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a920e5b2a4654f3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МОДЕЛИРОВАНИЕ РОБОТОТЕХНИЧЕСКИХ УСТРОЙСТВ</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4-5</w:t>
            </w:r>
          </w:p>
        </w:tc>
        <w:tc>
          <w:tcPr>
            <w:tcW w:w="957" w:type="dxa"/>
          </w:tcPr>
          <w:p w:rsidR="00F66786" w:rsidRDefault="00F66786">
            <w:r>
              <w:rPr/>
              <w:t>144-180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30</w:t>
            </w:r>
          </w:p>
        </w:tc>
        <w:tc>
          <w:tcPr>
            <w:tcW w:w="957" w:type="dxa"/>
          </w:tcPr>
          <w:p w:rsidR="00F66786" w:rsidRDefault="00F66786">
            <w:r>
              <w:rPr/>
              <w:t>48-84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4-5</w:t>
            </w:r>
          </w:p>
        </w:tc>
        <w:tc>
          <w:tcPr>
            <w:tcW w:w="957" w:type="dxa"/>
          </w:tcPr>
          <w:p w:rsidR="00F66786" w:rsidRDefault="00F66786">
            <w:r>
              <w:rPr/>
              <w:t>144-180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30</w:t>
            </w:r>
          </w:p>
        </w:tc>
        <w:tc>
          <w:tcPr>
            <w:tcW w:w="957" w:type="dxa"/>
          </w:tcPr>
          <w:p w:rsidR="00F66786" w:rsidRDefault="00F66786">
            <w:r>
              <w:rPr/>
              <w:t>48-84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Ознакомление с характеристиками робототехнических устройств и подходов к их моделированию в искусственной среде, изучения способов машинного восприятия объектов материального мира, в том числе машинного зрения, изучение поведения роботов как физических объектов в материальном мире, а так же введение в теорию принятия решений.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“Моделирование робототехнических устройств” являются: ознакомление с характеристиками робототехнических устройств и подходов к их моделированию в искусственной среде, изучения способов машинного восприятия объектов материального мира, в том числе машинного зрения, изучение поведения роботов как физических объектов в материальном мире, а так же введение в теорию принятия решений. Кроме того, целями являются расширение навыков использования библиотеки компьютерного зрения и обработки изображений OpenCV, приобретение навыков работы с самой популярной средой физического моделирования Unity.</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Моделирование робототехнических устройств относится к вариативной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Групповое взаимодействие в робототехнической системе</w:t>
            </w:r>
          </w:p>
        </w:tc>
        <w:tc>
          <w:tcPr>
            <w:tcW w:w="754" w:type="dxa"/>
          </w:tcPr>
          <w:p>
            <w:pPr>
              <w:pStyle w:val="a8"/>
              <w:ind w:firstLine="0"/>
            </w:pPr>
            <w:r>
              <w:rPr/>
              <w:t>1-8</w:t>
            </w:r>
          </w:p>
        </w:tc>
        <w:tc>
          <w:tcPr>
            <w:tcW w:w="1046" w:type="dxa"/>
          </w:tcPr>
          <w:p>
            <w:pPr>
              <w:pStyle w:val="a8"/>
              <w:ind w:firstLine="0"/>
            </w:pPr>
            <w:r>
              <w:rPr/>
              <w:t>8/8/16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Качественная оценка модели</w:t>
            </w:r>
          </w:p>
        </w:tc>
        <w:tc>
          <w:tcPr>
            <w:tcW w:w="754" w:type="dxa"/>
          </w:tcPr>
          <w:p>
            <w:pPr>
              <w:pStyle w:val="a8"/>
              <w:ind w:firstLine="0"/>
            </w:pPr>
            <w:r>
              <w:rPr/>
              <w:t>9-15</w:t>
            </w:r>
          </w:p>
        </w:tc>
        <w:tc>
          <w:tcPr>
            <w:tcW w:w="1046" w:type="dxa"/>
          </w:tcPr>
          <w:p>
            <w:pPr>
              <w:pStyle w:val="a8"/>
              <w:ind w:firstLine="0"/>
            </w:pPr>
            <w:r>
              <w:rPr/>
              <w:t>7/7/14</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15/15/30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30</w:t>
            </w:r>
          </w:p>
        </w:tc>
      </w:tr>
      <w:tr>
        <w:tc>
          <w:tcPr>
            <w:tcW w:w="973" w:type="dxa"/>
          </w:tcPr>
          <w:p>
            <w:r>
              <w:rPr>
                <w:b/>
              </w:rPr>
              <w:t>1-8</w:t>
            </w:r>
          </w:p>
        </w:tc>
        <w:tc>
          <w:tcPr>
            <w:tcW w:w="6365" w:type="dxa"/>
          </w:tcPr>
          <w:p>
            <w:r>
              <w:rPr>
                <w:b/>
              </w:rPr>
              <w:t>Групповое взаимодействие в робототехнической системе</w:t>
            </w:r>
          </w:p>
        </w:tc>
        <w:tc>
          <w:tcPr>
            <w:tcW w:w="850" w:type="dxa"/>
          </w:tcPr>
          <w:p>
            <w:r>
              <w:rPr/>
              <w:t>8</w:t>
            </w:r>
          </w:p>
        </w:tc>
        <w:tc>
          <w:tcPr>
            <w:tcW w:w="1134" w:type="dxa"/>
          </w:tcPr>
          <w:p>
            <w:r>
              <w:rPr/>
              <w:t>8</w:t>
            </w:r>
          </w:p>
        </w:tc>
        <w:tc>
          <w:tcPr>
            <w:tcW w:w="815" w:type="dxa"/>
          </w:tcPr>
          <w:p>
            <w:r>
              <w:rPr/>
              <w:t>16</w:t>
            </w:r>
          </w:p>
        </w:tc>
      </w:tr>
      <w:tr>
        <w:tc>
          <w:p>
            <w:r>
              <w:rPr/>
              <w:t>1</w:t>
            </w:r>
          </w:p>
          <w:tcPr>
            <w:vMerge w:val="restart"/>
            <w:tcW w:w="973" w:type="dxa"/>
          </w:tcPr>
        </w:tc>
        <w:tc>
          <w:p>
            <w:r>
              <w:rPr>
                <w:b/>
              </w:rPr>
              <w:t>Тема 1. Три компоненты модели робототехнического устройства</w:t>
            </w:r>
            <w:r>
              <w:br/>
            </w:r>
            <w:r>
              <w:rPr/>
              <w:t>Терминология. Организация и порядок  изучения курса.  О лабораторном практикуме. Связь курса с профилирующими курсами кафедры. Способы представления робота как модели. Связь робота с моделируемой окружающей средой.Цель создания моделей робототехнических устройств.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2 - 3</w:t>
            </w:r>
          </w:p>
          <w:tcPr>
            <w:vMerge w:val="restart"/>
            <w:tcW w:w="973" w:type="dxa"/>
          </w:tcPr>
        </w:tc>
        <w:tc>
          <w:p>
            <w:r>
              <w:rPr>
                <w:b/>
              </w:rPr>
              <w:t>Тема 2. Физическое моделирование. Физические свойства модели</w:t>
            </w:r>
            <w:r>
              <w:br/>
            </w:r>
            <w:r>
              <w:rPr/>
              <w:t>Понятие физической характеристики робототехнического устройства. Определение необходимой степени достоверности модели. Построение набора физических характеристик для моделирования различных 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b/>
              </w:rPr>
              <w:t>Тема 3. Моделирование восприятия. Общая информация.</w:t>
            </w:r>
            <w:r>
              <w:br/>
            </w:r>
            <w:r>
              <w:rPr/>
              <w:t>Обоснование необходимости получения информации о внешнем мире. Каналы восприятия (перцепции) робототехнического устройства. Математический аппарат взаимодействия робототехнического устройства с окружающим миром. Внесение погрешностей. Возможные результаты обработки роботом полученной информации: действия, знания, команды.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6 - 8</w:t>
            </w:r>
          </w:p>
          <w:tcPr>
            <w:vMerge w:val="restart"/>
            <w:tcW w:w="973" w:type="dxa"/>
          </w:tcPr>
        </w:tc>
        <w:tc>
          <w:p>
            <w:r>
              <w:rPr>
                <w:b/>
              </w:rPr>
              <w:t>Тема 4. Моделирование восприятия. Связь с моделируемой окружающей средой</w:t>
            </w:r>
            <w:r>
              <w:br/>
            </w:r>
            <w:r>
              <w:rPr/>
              <w:t>Типы воспринимаемой информации. Подходы к интерпретации получаемой информации, знакомство с моделями машинного обучения и теорией обработки сигналов. Математическая модель нейронных сетей, каскадных классификаторов. Расчет трудоемкости методов машинного обучения. Алгоритмы обработки сигналов. Прямое и обратное преобразование Фурье. Алгоритм быстрого дискретного преобразования Фурье.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Качественная оценка модели</w:t>
            </w:r>
          </w:p>
        </w:tc>
        <w:tc>
          <w:tcPr>
            <w:tcW w:w="850" w:type="dxa"/>
          </w:tcPr>
          <w:p>
            <w:r>
              <w:rPr/>
              <w:t>7</w:t>
            </w:r>
          </w:p>
        </w:tc>
        <w:tc>
          <w:tcPr>
            <w:tcW w:w="1134" w:type="dxa"/>
          </w:tcPr>
          <w:p>
            <w:r>
              <w:rPr/>
              <w:t>7</w:t>
            </w:r>
          </w:p>
        </w:tc>
        <w:tc>
          <w:tcPr>
            <w:tcW w:w="815" w:type="dxa"/>
          </w:tcPr>
          <w:p>
            <w:r>
              <w:rPr/>
              <w:t>14</w:t>
            </w:r>
          </w:p>
        </w:tc>
      </w:tr>
      <w:tr>
        <w:tc>
          <w:p>
            <w:r>
              <w:rPr/>
              <w:t>9 - 12</w:t>
            </w:r>
          </w:p>
          <w:tcPr>
            <w:vMerge w:val="restart"/>
            <w:tcW w:w="973" w:type="dxa"/>
          </w:tcPr>
        </w:tc>
        <w:tc>
          <w:p>
            <w:r>
              <w:rPr>
                <w:b/>
              </w:rPr>
              <w:t>Тема 5. Моделирование восприятия. Компьютерное зрение</w:t>
            </w:r>
            <w:r>
              <w:br/>
            </w:r>
            <w:r>
              <w:rPr/>
              <w:t>Алгоритмы нахождения ключевых точек. Выделение границ. Трудоемкость вычислений. Принятие решения о целесообразности обработки изображения средствами бортового компьютера робототехнического устройства. Архитектура обработки перцептивной информации в облаке на примере задач обработки изображений. Использование OpenCVдля нахождения объектов с заранее известными оптическими характеристиками в виртуальной среде.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13 - 15</w:t>
            </w:r>
          </w:p>
          <w:tcPr>
            <w:vMerge w:val="restart"/>
            <w:tcW w:w="973" w:type="dxa"/>
          </w:tcPr>
        </w:tc>
        <w:tc>
          <w:p>
            <w:r>
              <w:rPr>
                <w:b/>
              </w:rPr>
              <w:t>Тема 6. Интеллектуальное моделирование. Введение в теорию принятия решений</w:t>
            </w:r>
            <w:r>
              <w:br/>
            </w:r>
            <w:r>
              <w:rPr/>
              <w:t>Общие сведения из теории принятия решений. Терминология. Знакомство с Байесовскими сетями. Решение типовых задач принятия решения мобильным роботом. Постановка и решение задачи нахождения пути в трехмерном пространстве. Работа на практике с моделями представления информации в виде графов.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
            </w:r>
          </w:p>
        </w:tc>
        <w:tc>
          <w:tcPr>
            <w:tcW w:w="9164" w:type="dxa"/>
          </w:tcPr>
          <w:p>
            <w:r>
              <w:rPr>
                <w:b/>
              </w:rPr>
              <w:t>Лабораторная работа</w:t>
            </w:r>
            <w:r>
              <w:br/>
            </w:r>
            <w:r>
              <w:rPr/>
              <w:t>Создание модели робототехнического устройства</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 а так же на сайте http://unity3d.com.</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R67 Robot Intelligence : An Advanced Knowledge Processing Approach, London: Springer London, 2010</w:t>
      </w:r>
    </w:p>
    <w:p>
      <w:r>
        <w:t>2. ЭИ Г95 Микропроцессорные системы : учебник, Москва: ИНФРА-М, 2016</w:t>
      </w:r>
    </w:p>
    <w:p>
      <w:r>
        <w:t>3. ЭИ В 21 Модели и способы взаимодействия пользователя с киберфизическим интеллектуальным пространством : монография, Санкт-Петербург: Лань, 2019</w:t>
      </w:r>
    </w:p>
    <w:p>
      <w:r>
        <w:t>4. ЭИ С 50 Управление техническими системами : учебное пособие, Санкт-Петербург: Лань, 2020</w:t>
      </w:r>
    </w:p>
    <w:p w:rsidR="005300F8" w:rsidP="005300F8" w:rsidRDefault="005300F8"/>
    <w:p w:rsidR="005300F8" w:rsidP="005300F8" w:rsidRDefault="005300F8">
      <w:r>
        <w:t>ДОПОЛНИТЕЛЬНАЯ ЛИТЕРАТУРА:</w:t>
      </w:r>
    </w:p>
    <w:p>
      <w:r>
        <w:t>1. ЭИ С 21 Обучение с подкреплением : , Москва: Бином. Лаборатория знаний, 2012</w:t>
      </w:r>
    </w:p>
    <w:p>
      <w:r>
        <w:t>2. 621.8 И20 Основы робототехники : учебное пособие для вузов, Москва: Форум, 2015</w:t>
      </w:r>
    </w:p>
    <w:p>
      <w:r>
        <w:t>3. 004 К72 Искусственный интеллект и робототехника : , Б. В. Костров, В. Н. Ручкин, В. А. Фулин, Москва: Диалог-МИФИ, 2008</w:t>
      </w:r>
    </w:p>
    <w:p>
      <w:r>
        <w:t>4. 004 И73 Интеллектуальные роботы : учебное пособие для вузов, И. А. Каляев [и др.], Москва: Машиностроение, 2007</w:t>
      </w:r>
    </w:p>
    <w:p>
      <w:r>
        <w:t>5. 621.8 К17 Модели и алгоритмы коллективного управления в группах роботов  : , И. А. Каляев, А. Р. Гайдук, С. Г. Капустин, Москва: Физматлит, 2009</w:t>
      </w:r>
    </w:p>
    <w:p>
      <w:r>
        <w:t>6. 004 К17 Однородные нейроподобные структуры в системах выбора действий интеллектуальных роботов : , И.А. Каляев, А.Р. Гайдук, М.: Янус-К, 2000</w:t>
      </w:r>
    </w:p>
    <w:p>
      <w:r>
        <w:t>7. 004 Т98 Анализ данных на компьютере : учебное пособие для вузов, Ю. И. Тюрин , А. А. Макаров, Москва: Форум,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Чепин Евгений Валентинович,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Даньшин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