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69dd3d010c1043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ДИСКРЕТНАЯ МАТЕМАТИКА (МАТЕМАТИЧЕСКАЯ ЛИНГВИСТИКА И ТЕОРИЯ АВТОМАТОВ)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35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35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Изучение дисциплины направлено на получение базовых знаний по математической лингвистике и теории автоматов, использующихся в различных прикладных задачах и способствующих освоению других учебных дисциплин. Полученные знания используются при изучении курсов: дискретная математика (модели вычислений), базы данных и экспертные системы (теоретические основы баз данных), введение в теорию нейронных сетей, современные вычислительные системы, современные средства программирования, основы автоматизированных информационных технологий, проектирование баз данных, архитектура связей в локальных сетях, проектирование баз данных кибернетических систем, методы построения трансляторов.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Изучение дисциплины направлено на получение базовых знаний по математической лингвистике и теории автоматов, использующихся в различных прикладных задачах и способствующих освоению других учебных дисциплин. Полученные знания используются при изучении курсов: дискретная математика (модели вычислений), базы данных и экспертные системы (теоретические основы баз данных), введение в теорию нейронных сетей, современные вычислительные системы, современные средства программирования, основы автоматизированных информационных технологий, проектирование баз данных, архитектура связей в локальных сетях, проектирование баз данных кибернетических систем, методы построения трансляторов.</w:t>
      </w:r>
    </w:p>
    <w:p>
      <w:pPr>
        <w:pStyle w:val="a8"/>
      </w:pPr>
      <w:r>
        <w:rPr/>
        <w:t>Целью освоения дисциплины «дискретная математика (математическая лингвистика и теория автоматов)» является достижение следующих результатов образования: </w:t>
      </w:r>
    </w:p>
    <w:p>
      <w:pPr>
        <w:pStyle w:val="a8"/>
      </w:pPr>
      <w:r>
        <w:rPr/>
        <w:t>Знания:</w:t>
      </w:r>
    </w:p>
    <w:p>
      <w:pPr>
        <w:pStyle w:val="a8"/>
      </w:pPr>
      <w:r>
        <w:rPr/>
        <w:t>на уровне представлений: Основные особенности формальных языков и грамматик,  методы их описания и исследований. Принципы кодирования и подходы к построению кодов.</w:t>
      </w:r>
    </w:p>
    <w:p>
      <w:pPr>
        <w:pStyle w:val="a8"/>
      </w:pPr>
      <w:r>
        <w:rPr/>
        <w:t>на уровне воспроизведения: Теоретические результаты (теоремы и свойства), характеризующие формальные языки различных классов, лингвистические и конечные автоматы, свойства кодов. </w:t>
      </w:r>
    </w:p>
    <w:p>
      <w:pPr>
        <w:pStyle w:val="a8"/>
      </w:pPr>
      <w:r>
        <w:rPr/>
        <w:t> на уровне понимания: Классификация грамматик и её связь с классификацией формальных языков. Отображение свойств формальных грамматик в свойствах порождаемых ими языков. Возможности использования лингвистических и автоматных моделей в описании различных предметных областей.</w:t>
      </w:r>
    </w:p>
    <w:p>
      <w:pPr>
        <w:pStyle w:val="a8"/>
      </w:pPr>
      <w:r>
        <w:rPr/>
        <w:t>Умения:</w:t>
      </w:r>
    </w:p>
    <w:p>
      <w:pPr>
        <w:pStyle w:val="a8"/>
      </w:pPr>
      <w:r>
        <w:rPr/>
        <w:t> Теоретические:  Основные подходы к решению задачи синтаксического анализа. Методы синтеза автоматов по неформальному описанию.  Методы преобразований автоматов и грамматик.</w:t>
      </w:r>
    </w:p>
    <w:p>
      <w:pPr>
        <w:pStyle w:val="a8"/>
      </w:pPr>
      <w:r>
        <w:rPr/>
        <w:t> практические: владение методами математической лингвистики построения и преобразования  автоматов и грамматик. Определнение свойств грамматик и языков. Построение кодов по заданным параметрам.</w:t>
      </w:r>
    </w:p>
    <w:p>
      <w:pPr>
        <w:pStyle w:val="a8"/>
      </w:pPr>
      <w:r>
        <w:rPr/>
        <w:t>навыки: применять изученные методы для решения задач  формализации описания предметных областей в виде автоматных конструкций, анализа свойств автоматов и грамматик.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«Дискретная математика (математическая лингвистика и теорияавтоматов)» относится к вариативной части математического и естественнонаучного цикла и является обязательной дисциплиной для студента. Для изучения дисциплины требуется наличие знаний по следующим циклам: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• дискретная математика (математическая логика и теория графов)   шифр –Б2.В2;</w:t>
      </w:r>
    </w:p>
    <w:p>
      <w:pPr>
        <w:pStyle w:val="a8"/>
      </w:pPr>
      <w:r>
        <w:rPr/>
        <w:t>• дискретная математика (теория алгоритмов и сложность вычислений)  – шифр Б3.1.2;</w:t>
      </w:r>
    </w:p>
    <w:p>
      <w:pPr>
        <w:pStyle w:val="a8"/>
      </w:pPr>
      <w:r>
        <w:rPr/>
        <w:t>• дискретная математика (логические исчисления)  шифр-Б2.В5;</w:t>
      </w:r>
    </w:p>
    <w:p>
      <w:pPr>
        <w:pStyle w:val="a8"/>
      </w:pPr>
      <w:r>
        <w:rPr/>
        <w:t>В свою очередь, дисциплина является предшествующей для следующих курсов:</w:t>
      </w:r>
    </w:p>
    <w:p>
      <w:pPr>
        <w:pStyle w:val="a8"/>
      </w:pPr>
      <w:r>
        <w:rPr/>
        <w:t>• современные средства программирования           шифр Б2.ДВ1;</w:t>
      </w:r>
    </w:p>
    <w:p>
      <w:pPr>
        <w:pStyle w:val="a8"/>
      </w:pPr>
      <w:r>
        <w:rPr/>
        <w:t>• проектирование баз данных   шифр - Б3.В.7;</w:t>
      </w:r>
    </w:p>
    <w:p>
      <w:pPr>
        <w:pStyle w:val="a8"/>
      </w:pPr>
      <w:r>
        <w:rPr/>
        <w:t>• технология программирования кибернетических систем   шифр - Б3.В.8;</w:t>
      </w:r>
    </w:p>
    <w:p>
      <w:pPr>
        <w:pStyle w:val="a8"/>
      </w:pPr>
      <w:r>
        <w:rPr/>
        <w:t>• введение в интеллектуальные системы и технологии  шифр-Б3.В.3;</w:t>
      </w:r>
    </w:p>
    <w:p>
      <w:pPr>
        <w:pStyle w:val="a8"/>
      </w:pPr>
      <w:r>
        <w:rPr/>
        <w:t>• интеллектуальные диалоговые системы    шифр-Б3.В.4;</w:t>
      </w:r>
    </w:p>
    <w:p>
      <w:pPr>
        <w:pStyle w:val="a8"/>
      </w:pPr>
      <w:r>
        <w:rPr/>
        <w:t>• основы автоматизированных информационных технологий  шифр-Б3.В.6.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УК-1	–	Способен осуществлять поиск, критический анализ и синтез информации, применять системный подход для решения поставленных задач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А-грамматики, лингвистические автоматы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1-9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Т-2,к.р-4,ДЗ-7,к.р-8,Т-6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26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КС-грамматики, конечные автоматы, кодирование информации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10-16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к.р-10,Т-12,ДЗ-12,ДЗ-14,Т-14,Т-16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24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5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Тестирование</w:t>
            </w:r>
          </w:p>
        </w:tc>
      </w:tr>
      <w:tr>
        <w:tc>
          <w:tcPr>
            <w:tcW w:w="973" w:type="dxa"/>
          </w:tcPr>
          <w:p>
            <w:r>
              <w:rPr/>
              <w:t>ДЗ</w:t>
            </w:r>
          </w:p>
        </w:tc>
        <w:tc>
          <w:tcPr>
            <w:tcW w:w="9164" w:type="dxa"/>
          </w:tcPr>
          <w:p>
            <w:r>
              <w:rPr/>
              <w:t>Домашнее задание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к.р</w:t>
            </w:r>
          </w:p>
        </w:tc>
        <w:tc>
          <w:tcPr>
            <w:tcW w:w="9164" w:type="dxa"/>
          </w:tcPr>
          <w:p>
            <w:r>
              <w:rPr/>
              <w:t>Контрольная работа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5 Семестр</w:t>
            </w:r>
          </w:p>
        </w:tc>
        <w:tc>
          <w:tcPr>
            <w:tcW w:w="850" w:type="dxa"/>
          </w:tcPr>
          <w:p>
            <w:r>
              <w:rPr/>
              <w:t>32</w:t>
            </w:r>
          </w:p>
        </w:tc>
        <w:tc>
          <w:tcPr>
            <w:tcW w:w="1134" w:type="dxa"/>
          </w:tcPr>
          <w:p>
            <w:r>
              <w:rPr/>
              <w:t>32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1-9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А-грамматики, лингвистические автоматы</w:t>
            </w:r>
          </w:p>
        </w:tc>
        <w:tc>
          <w:tcPr>
            <w:tcW w:w="850" w:type="dxa"/>
          </w:tcPr>
          <w:p>
            <w:r>
              <w:rPr/>
              <w:t>18</w:t>
            </w:r>
          </w:p>
        </w:tc>
        <w:tc>
          <w:tcPr>
            <w:tcW w:w="1134" w:type="dxa"/>
          </w:tcPr>
          <w:p>
            <w:r>
              <w:rPr/>
              <w:t>18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1 - 9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А-грамматики, лингвистические автоматы</w:t>
            </w:r>
            <w:r>
              <w:br/>
            </w:r>
            <w:r>
              <w:rPr/>
              <w:t>Лекция 1. Формальные языки 
</w:t>
            </w:r>
            <w:r>
              <w:br/>
            </w:r>
            <w:r>
              <w:rPr/>
              <w:t>Алфавит, слова, операции над словами. Определение формального языка. Способы задания языков. Операции над языками, свойства операций. Регулярные множества и регулярные выражения. Алгебра регулярных выражений.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18</w:t>
            </w:r>
          </w:p>
        </w:tc>
        <w:tc>
          <w:tcPr>
            <w:tcW w:w="1134" w:type="dxa"/>
          </w:tcPr>
          <w:p>
            <w:r>
              <w:rPr/>
              <w:t>18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10-16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КС-грамматики, конечные автоматы, кодирование информации</w:t>
            </w:r>
          </w:p>
        </w:tc>
        <w:tc>
          <w:tcPr>
            <w:tcW w:w="850" w:type="dxa"/>
          </w:tcPr>
          <w:p>
            <w:r>
              <w:rPr/>
              <w:t>14</w:t>
            </w:r>
          </w:p>
        </w:tc>
        <w:tc>
          <w:tcPr>
            <w:tcW w:w="1134" w:type="dxa"/>
          </w:tcPr>
          <w:p>
            <w:r>
              <w:rPr/>
              <w:t>14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10 - 18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КС-грамматики, конечные автоматы, кодирование информации</w:t>
            </w:r>
            <w:r>
              <w:br/>
            </w:r>
            <w:r>
              <w:rPr/>
              <w:t>Лекция 8. КС-языки и грамматики
</w:t>
            </w:r>
            <w:r>
              <w:br/>
            </w:r>
            <w:r>
              <w:rPr/>
              <w:t>Нотации, применяемые для задания КС грамматики. Понятие структуры цепочки, варианты ее представления, связь с выводом. Синтаксические деревья, синтаксическая неоднозначность КС-грамматик. 
</w:t>
            </w:r>
            <w:r>
              <w:br/>
            </w:r>
            <w:r>
              <w:rPr/>
              <w:t>Лекция 9. СУ-схемы, перевод, порождаемый СУ-схемой 
</w:t>
            </w:r>
            <w:r>
              <w:br/>
            </w:r>
            <w:r>
              <w:rPr/>
              <w:t>Определение СУ-схем. Перевод, определяемый СУ-схемой.
</w:t>
            </w:r>
            <w:r>
              <w:br/>
            </w:r>
            <w:r>
              <w:rPr/>
              <w:t>Лекция 10.  Синтаксический анализ КС-языков
</w:t>
            </w:r>
            <w:r>
              <w:br/>
            </w:r>
            <w:r>
              <w:rPr/>
              <w:t>Задача синтаксического анализа в широком и узком смысле. Классификация алгоритмов синтаксического анализа. Преобразования грамматик. 
</w:t>
            </w:r>
            <w:r>
              <w:br/>
            </w:r>
            <w:r>
              <w:rPr/>
              <w:t>Лекция 11. Разрешимые и неразрешимые свойства  КС-грамматик
</w:t>
            </w:r>
            <w:r>
              <w:br/>
            </w:r>
            <w:r>
              <w:rPr/>
              <w:t>Понятие разрешимых и неразрешимых свойств. Эквивалентные преобразования грамматик. Разрешимые свойства КС-грамматик, неразрешимость проблемы эквивалентности для КС-грамматик.
</w:t>
            </w:r>
            <w:r>
              <w:br/>
            </w:r>
            <w:r>
              <w:rPr/>
              <w:t>Лекция 12. LL(k)-грамматики
</w:t>
            </w:r>
            <w:r>
              <w:br/>
            </w:r>
            <w:r>
              <w:rPr/>
              <w:t>LL(K) и строго LL(k) -грамматики. Теорема о принадлежности LL(1)-грамматик к классу строго LL(1)-грамматик. Критерий принадлежности грамматики к классу LL(1) -грамматик. Алгоритм построения First(A) и Follow(X). Реализация синтаксического анализа для LL(1)-грамматик с помощью рекурсивных процедур.
</w:t>
            </w:r>
            <w:r>
              <w:br/>
            </w:r>
            <w:r>
              <w:rPr/>
              <w:t>Лекция 13. Грамматики простого предшествования
</w:t>
            </w:r>
            <w:r>
              <w:br/>
            </w:r>
            <w:r>
              <w:rPr/>
              <w:t>Определение LR(k)-грамматик. Определение грамматик простого предшествования. Построение отношений предшествования по грамматике. Алгоритм разбора.
</w:t>
            </w:r>
            <w:r>
              <w:br/>
            </w:r>
            <w:r>
              <w:rPr/>
              <w:t>Лекция 14. Типы преобразующих конечных автоматов, автоматное отображение 
</w:t>
            </w:r>
            <w:r>
              <w:br/>
            </w:r>
            <w:r>
              <w:rPr/>
              <w:t>Определение автоматов Мили и Мура. Автоматное отображение и его свойства. Эквивалентность автоматов Мили и Мура с точки зрения класса реализуемых автоматных отображений. 
</w:t>
            </w:r>
            <w:r>
              <w:br/>
            </w:r>
            <w:r>
              <w:rPr/>
              <w:t>Синтез и преобразование конечных автоматов. Последовательное, параллельное и соединение с обратной связью конечных автоматов. Канонический метод структурного синтеза конечных автоматов. 
</w:t>
            </w:r>
            <w:r>
              <w:br/>
            </w:r>
            <w:r>
              <w:rPr/>
              <w:t>Лекция 15. Основные понятия теории кодирования
</w:t>
            </w:r>
            <w:r>
              <w:br/>
            </w:r>
            <w:r>
              <w:rPr/>
              <w:t>Кодирование.  Типы кодирования. Схема кодирования. Префиксные коды. Теорема об однозначности схемы кодирования. Проверка однозначности кодирования.  Неравенство Макмиллана.  Критерий однозначности кодирования. 
</w:t>
            </w:r>
            <w:r>
              <w:br/>
            </w:r>
            <w:r>
              <w:rPr/>
              <w:t>Лекция 16. Самокорректирующиеся коды 
</w:t>
            </w:r>
            <w:r>
              <w:br/>
            </w:r>
            <w:r>
              <w:rPr/>
              <w:t>Расстояние по Хеммингу. Самокорректирующиеся коды.Алгоритм построения самокорректирующихся кодов. Алгоритм проверки и восстановления сообщений.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14</w:t>
            </w:r>
          </w:p>
        </w:tc>
        <w:tc>
          <w:tcPr>
            <w:tcW w:w="1134" w:type="dxa"/>
          </w:tcPr>
          <w:p>
            <w:r>
              <w:rPr/>
              <w:t>14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5 Семестр</w:t>
            </w:r>
          </w:p>
        </w:tc>
      </w:tr>
      <w:tr>
        <w:tc>
          <w:tcPr>
            <w:tcW w:w="973" w:type="dxa"/>
          </w:tcPr>
          <w:p>
            <w:r>
              <w:rPr/>
              <w:t>1 - 9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А-грамматики, лингвистические автоматы</w:t>
            </w:r>
            <w:r>
              <w:br/>
            </w:r>
            <w:r>
              <w:rPr/>
              <w:t>1. Формальные языки и операции над языками. 
</w:t>
            </w:r>
            <w:r>
              <w:br/>
            </w:r>
            <w:r>
              <w:rPr/>
              <w:t>2. Построение грамматик по заданным языкам.
</w:t>
            </w:r>
            <w:r>
              <w:br/>
            </w:r>
            <w:r>
              <w:rPr/>
              <w:t>3. Определение языков, порождаемых грамматиками.
</w:t>
            </w:r>
            <w:r>
              <w:br/>
            </w:r>
            <w:r>
              <w:rPr/>
              <w:t>4. Построение и анализ диаграмм автоматов. 
</w:t>
            </w:r>
            <w:r>
              <w:br/>
            </w:r>
            <w:r>
              <w:rPr/>
              <w:t>5. Конечные лингвистические автоматы
</w:t>
            </w:r>
            <w:r>
              <w:br/>
            </w:r>
            <w:r>
              <w:rPr/>
              <w:t>6. Детерминизация автоматов
</w:t>
            </w:r>
            <w:r>
              <w:br/>
            </w:r>
            <w:r>
              <w:rPr/>
              <w:t>7. Минимизация числа состояний автоматов. 
</w:t>
            </w:r>
            <w:r>
              <w:br/>
            </w:r>
            <w:r>
              <w:rPr/>
              <w:t>8. Определение языка, распознаваемого автоматом.
</w:t>
            </w:r>
            <w:r>
              <w:br/>
            </w:r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10 - 16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КС-грамматики, конечные автоматы, кодирование информации</w:t>
            </w:r>
            <w:r>
              <w:br/>
            </w:r>
            <w:r>
              <w:rPr/>
              <w:t>КС-грамматики, конечные автоматы, кодирование информации
</w:t>
            </w:r>
            <w:r>
              <w:br/>
            </w:r>
            <w:r>
              <w:rPr/>
              <w:t>9. Построение автомата, распознающего язык, заданный регулярным выражением.
</w:t>
            </w:r>
            <w:r>
              <w:br/>
            </w:r>
            <w:r>
              <w:rPr/>
              <w:t>Решение канонических систем уравнений.
</w:t>
            </w:r>
            <w:r>
              <w:br/>
            </w:r>
            <w:r>
              <w:rPr/>
              <w:t>10. СУ-схемы: применение и построение.
</w:t>
            </w:r>
            <w:r>
              <w:br/>
            </w:r>
            <w:r>
              <w:rPr/>
              <w:t>11. Бекусовы нормальные формы..Построение синтаксических деревьев.
</w:t>
            </w:r>
            <w:r>
              <w:br/>
            </w:r>
            <w:r>
              <w:rPr/>
              <w:t>12. Определение свойств грамматик.
</w:t>
            </w:r>
            <w:r>
              <w:br/>
            </w:r>
            <w:r>
              <w:rPr/>
              <w:t>13. Преобразования автоматов Кодирование.
</w:t>
            </w:r>
            <w:r>
              <w:br/>
            </w:r>
            <w:r>
              <w:rPr/>
              <w:t>14. Синтез автоматов. Сети автоматов
</w:t>
            </w:r>
            <w:r>
              <w:br/>
            </w:r>
            <w:r>
              <w:rPr/>
              <w:t>15. Типы кодов. Критерий однозначности кодирования..
</w:t>
            </w:r>
            <w:r>
              <w:br/>
            </w:r>
            <w:r>
              <w:rPr/>
              <w:t>16. Коды Хемминга.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занятия:</w:t>
      </w:r>
    </w:p>
    <w:p>
      <w:pPr>
        <w:pStyle w:val="a8"/>
      </w:pPr>
      <w:r>
        <w:rPr/>
        <w:t>a. комплект электронных презентаций/слайдов,</w:t>
      </w:r>
    </w:p>
    <w:p>
      <w:pPr>
        <w:pStyle w:val="a8"/>
      </w:pPr>
      <w:r>
        <w:rPr/>
        <w:t>b. аудитория, оснащенная презентационной техникой (проектор,  экран, компьютер/ноутбук)</w:t>
      </w:r>
    </w:p>
    <w:p>
      <w:pPr>
        <w:pStyle w:val="a8"/>
      </w:pPr>
      <w:r>
        <w:rPr/>
        <w:t>2. Практические занятия: </w:t>
      </w:r>
    </w:p>
    <w:p>
      <w:pPr>
        <w:pStyle w:val="a8"/>
      </w:pPr>
      <w:r>
        <w:rPr/>
        <w:t>a. компьютерный класс,</w:t>
      </w:r>
    </w:p>
    <w:p>
      <w:pPr>
        <w:pStyle w:val="a8"/>
      </w:pPr>
      <w:r>
        <w:rPr/>
        <w:t>b. презентационная техника (проектор, экран, компьютер/ноутбук),</w:t>
      </w:r>
    </w:p>
    <w:p>
      <w:pPr>
        <w:pStyle w:val="a8"/>
      </w:pPr>
      <w:r>
        <w:rPr/>
        <w:t>c. стандартный пакет программ Microsoft Office.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активность (выполнение домашних занятий), выполнение тематических домашних заданий по каждому разделу, контрольно-тестовые работы и решение контрольных задач  по каждому разделу. Каждый раздел проходит аттестацию. </w:t>
      </w:r>
    </w:p>
    <w:p>
      <w:pPr>
        <w:pStyle w:val="a8"/>
      </w:pPr>
      <w:r>
        <w:rPr/>
        <w:t>За проводимые контрольные мероприятия, проводимые в соответствии с графиком, ставятся оценки по следующим правилам:</w:t>
      </w:r>
    </w:p>
    <w:p>
      <w:pPr>
        <w:pStyle w:val="a8"/>
      </w:pPr>
      <w:r>
        <w:rPr/>
        <w:t>Зд – решение контрольных задач ко разделу(аудиторная работа, продолжительность- 10-15 минут)         не менее 90%  +3 балла</w:t>
      </w:r>
    </w:p>
    <w:p>
      <w:pPr>
        <w:pStyle w:val="a8"/>
      </w:pPr>
      <w:r>
        <w:rPr/>
        <w:t>       не менее 80%  +2 балла</w:t>
      </w:r>
    </w:p>
    <w:p>
      <w:pPr>
        <w:pStyle w:val="a8"/>
      </w:pPr>
      <w:r>
        <w:rPr/>
        <w:t>не менее 50%  +1 балл</w:t>
      </w:r>
    </w:p>
    <w:p>
      <w:pPr>
        <w:pStyle w:val="a8"/>
      </w:pPr>
      <w:r>
        <w:rPr/>
        <w:t>       менее 50%  0 баллов</w:t>
      </w:r>
    </w:p>
    <w:p>
      <w:pPr>
        <w:pStyle w:val="a8"/>
      </w:pPr>
      <w:r>
        <w:rPr/>
        <w:t>БДЗ – выполнения тематического ДЗ </w:t>
      </w:r>
    </w:p>
    <w:p>
      <w:pPr>
        <w:pStyle w:val="a8"/>
      </w:pPr>
      <w:r>
        <w:rPr/>
        <w:t>       Выполнено не менее 90%  +8 баллов</w:t>
      </w:r>
    </w:p>
    <w:p>
      <w:pPr>
        <w:pStyle w:val="a8"/>
      </w:pPr>
      <w:r>
        <w:rPr/>
        <w:t>       Выполнено от 80-до 89%  +6 баллов</w:t>
      </w:r>
    </w:p>
    <w:p>
      <w:pPr>
        <w:pStyle w:val="a8"/>
      </w:pPr>
      <w:r>
        <w:rPr/>
        <w:t>       Выполнено от 70-до 79%  +5 баллов</w:t>
      </w:r>
    </w:p>
    <w:p>
      <w:pPr>
        <w:pStyle w:val="a8"/>
      </w:pPr>
      <w:r>
        <w:rPr/>
        <w:t>       Выполнено от 60-до 69%  +3 балла</w:t>
      </w:r>
    </w:p>
    <w:p>
      <w:pPr>
        <w:pStyle w:val="a8"/>
      </w:pPr>
      <w:r>
        <w:rPr/>
        <w:t>       Выполнено от 40-до 59%  +1 балл</w:t>
      </w:r>
    </w:p>
    <w:p>
      <w:pPr>
        <w:pStyle w:val="a8"/>
      </w:pPr>
      <w:r>
        <w:rPr/>
        <w:t>       Менее 39%    0 баллов</w:t>
      </w:r>
    </w:p>
    <w:p>
      <w:pPr>
        <w:pStyle w:val="a8"/>
      </w:pPr>
      <w:r>
        <w:rPr/>
        <w:t>БДЗ – выполнения тематического ДЗ </w:t>
      </w:r>
    </w:p>
    <w:p>
      <w:pPr>
        <w:pStyle w:val="a8"/>
      </w:pPr>
      <w:r>
        <w:rPr/>
        <w:t>не менее 90%  +3 балла</w:t>
      </w:r>
    </w:p>
    <w:p>
      <w:pPr>
        <w:pStyle w:val="a8"/>
      </w:pPr>
      <w:r>
        <w:rPr/>
        <w:t>       не менее 80%  +2 балла</w:t>
      </w:r>
    </w:p>
    <w:p>
      <w:pPr>
        <w:pStyle w:val="a8"/>
      </w:pPr>
      <w:r>
        <w:rPr/>
        <w:t>не менее 50%  +1 балл</w:t>
      </w:r>
    </w:p>
    <w:p>
      <w:pPr>
        <w:pStyle w:val="a8"/>
      </w:pPr>
      <w:r>
        <w:rPr/>
        <w:t>       менее 50%  0 баллов</w:t>
      </w:r>
    </w:p>
    <w:p>
      <w:pPr>
        <w:pStyle w:val="a8"/>
      </w:pPr>
      <w:r>
        <w:rPr/>
        <w:t>КТР - контрольно-тестовая работа (продолжительность – 1 а/час</w:t>
      </w:r>
    </w:p>
    <w:p>
      <w:pPr>
        <w:pStyle w:val="a8"/>
      </w:pPr>
      <w:r>
        <w:rPr/>
        <w:t>(проводится в аудитории)    </w:t>
      </w:r>
    </w:p>
    <w:p>
      <w:pPr>
        <w:pStyle w:val="a8"/>
      </w:pPr>
      <w:r>
        <w:rPr/>
        <w:t>Выполнено не менее 90%   +6 баллов</w:t>
      </w:r>
    </w:p>
    <w:p>
      <w:pPr>
        <w:pStyle w:val="a8"/>
      </w:pPr>
      <w:r>
        <w:rPr/>
        <w:t>       Выполнено от 70-до 89%  +4 баллов</w:t>
      </w:r>
    </w:p>
    <w:p>
      <w:pPr>
        <w:pStyle w:val="a8"/>
      </w:pPr>
      <w:r>
        <w:rPr/>
        <w:t>       Выполнено от 40-до 69%  +2 балла</w:t>
      </w:r>
    </w:p>
    <w:p>
      <w:pPr>
        <w:pStyle w:val="a8"/>
      </w:pPr>
      <w:r>
        <w:rPr/>
        <w:t>       Менее 39%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случае повторного выполнения заданий ( в случае получения неудовлетворительной оценки при первой сдаче работы)   или пропуска контрольных мероприятий по неуважительным причинам оценка выше 60% возможных баллов не ставится. </w:t>
      </w:r>
    </w:p>
    <w:p>
      <w:pPr>
        <w:pStyle w:val="a8"/>
      </w:pPr>
      <w:r>
        <w:rPr/>
        <w:t>КИ – аттестация раздела (контроль по итогам раздела)  Раздел аттестуется, если набрано не менее 60% (при этом за каждый оценочный пункт должно быть получено не менее 60% высшей оценки).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 Повторение теоретического материала – </w:t>
      </w:r>
    </w:p>
    <w:p>
      <w:pPr>
        <w:pStyle w:val="a8"/>
      </w:pPr>
      <w:r>
        <w:rPr/>
        <w:t>       Выполнение ДЗ    </w:t>
      </w:r>
    </w:p>
    <w:p>
      <w:pPr>
        <w:pStyle w:val="a8"/>
      </w:pPr>
      <w:r>
        <w:rPr/>
        <w:t>       Выполнение ТДЗ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519 К34 Вероятность и статистика в примерах и задачах Т.3 Теория информации и кодирования, Москва: МЦНМО, 2014</w:t>
      </w:r>
    </w:p>
    <w:p>
      <w:r>
        <w:t>2. ЭИ К68 Задачник по курсу "Математическая лингвистика и теория автоматов"  : учебное пособие для вузов, Москва: НИЯУ МИФИ, 2012</w:t>
      </w:r>
    </w:p>
    <w:p>
      <w:r>
        <w:t>3. 519 Ц94 Задачник по теории информации и кодированию : учебное пособие, Москва: Ленанд, 2014</w:t>
      </w:r>
    </w:p>
    <w:p>
      <w:r>
        <w:t>4. 519 К68 Математическая теория автоматов : учебное пособие для вузов, М. А. Короткова, Москва: МИФИ, 2008</w:t>
      </w:r>
    </w:p>
    <w:p>
      <w:r>
        <w:t>5. 519 К68 Задачник по курсу "Математическая лингвистика и теория автоматов"  : учебное пособие для вузов, М. А. Короткова, Е. Е. Трифонова, Москва: НИЯУ МИФИ, 2012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519 Г67 Теория автоматов : учебник для втузов, В. А. Горбатов, А. В. Горбатов, М. В. Горбатова, Москва: АСТ, 2008</w:t>
      </w:r>
    </w:p>
    <w:p>
      <w:r>
        <w:t>2. 519 Г12 Задачи и упражнения по дискретной математике : , Г. П. Гаврилов, А. А. Сапоженко, Москва: Физматлит, 2006</w:t>
      </w:r>
    </w:p>
    <w:p>
      <w:r>
        <w:t>3. 519 К68 Лингвистические методы анализа и синтеза систем : учеб. пособие для вузов, М. А. Короткова, Москва: МИФИ, 2006</w:t>
      </w:r>
    </w:p>
    <w:p>
      <w:r>
        <w:t>4. 519 К89 Дискретная математика для инженера : , О. П. Кузнецов, Санкт-Петербург [и др.]: Лань, 2009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активность (выполнение домашних занятий), выполнение тематических домашних заданий по каждому разделу, контрольно-тестовые работы и решение контрольных задач  по каждому разделу. Каждый раздел проходит аттестацию. </w:t>
      </w:r>
    </w:p>
    <w:p>
      <w:pPr>
        <w:pStyle w:val="a8"/>
      </w:pPr>
      <w:r>
        <w:rPr/>
        <w:t>За проводимые контрольные мероприятия, проводимые в соответствии с графиком, ставятся оценки по следующим правилам:</w:t>
      </w:r>
    </w:p>
    <w:p>
      <w:pPr>
        <w:pStyle w:val="a8"/>
      </w:pPr>
      <w:r>
        <w:rPr/>
        <w:t>Зд – решение контрольных задач ко разделу(аудиторная работа, продолжительность- 10-15 минут)         не менее 90%  +3 балла</w:t>
      </w:r>
    </w:p>
    <w:p>
      <w:pPr>
        <w:pStyle w:val="a8"/>
      </w:pPr>
      <w:r>
        <w:rPr/>
        <w:t>       не менее 80%  +2 балла</w:t>
      </w:r>
    </w:p>
    <w:p>
      <w:pPr>
        <w:pStyle w:val="a8"/>
      </w:pPr>
      <w:r>
        <w:rPr/>
        <w:t>не менее 50%  +1 балл</w:t>
      </w:r>
    </w:p>
    <w:p>
      <w:pPr>
        <w:pStyle w:val="a8"/>
      </w:pPr>
      <w:r>
        <w:rPr/>
        <w:t>       менее 50%  0 баллов</w:t>
      </w:r>
    </w:p>
    <w:p>
      <w:pPr>
        <w:pStyle w:val="a8"/>
      </w:pPr>
      <w:r>
        <w:rPr/>
        <w:t>БДЗ – выполнения тематического ДЗ </w:t>
      </w:r>
    </w:p>
    <w:p>
      <w:pPr>
        <w:pStyle w:val="a8"/>
      </w:pPr>
      <w:r>
        <w:rPr/>
        <w:t>       Выполнено не менее 90%  +8 баллов</w:t>
      </w:r>
    </w:p>
    <w:p>
      <w:pPr>
        <w:pStyle w:val="a8"/>
      </w:pPr>
      <w:r>
        <w:rPr/>
        <w:t>       Выполнено от 80-до 89%  +6 баллов</w:t>
      </w:r>
    </w:p>
    <w:p>
      <w:pPr>
        <w:pStyle w:val="a8"/>
      </w:pPr>
      <w:r>
        <w:rPr/>
        <w:t>       Выполнено от 70-до 79%  +5 баллов</w:t>
      </w:r>
    </w:p>
    <w:p>
      <w:pPr>
        <w:pStyle w:val="a8"/>
      </w:pPr>
      <w:r>
        <w:rPr/>
        <w:t>       Выполнено от 60-до 69%  +3 балла</w:t>
      </w:r>
    </w:p>
    <w:p>
      <w:pPr>
        <w:pStyle w:val="a8"/>
      </w:pPr>
      <w:r>
        <w:rPr/>
        <w:t>       Выполнено от 40-до 59%  +1 балл</w:t>
      </w:r>
    </w:p>
    <w:p>
      <w:pPr>
        <w:pStyle w:val="a8"/>
      </w:pPr>
      <w:r>
        <w:rPr/>
        <w:t>       Менее 39%    0 баллов</w:t>
      </w:r>
    </w:p>
    <w:p>
      <w:pPr>
        <w:pStyle w:val="a8"/>
      </w:pPr>
      <w:r>
        <w:rPr/>
        <w:t>ДЗ – выполнения тематического ДЗ </w:t>
      </w:r>
    </w:p>
    <w:p>
      <w:pPr>
        <w:pStyle w:val="a8"/>
      </w:pPr>
      <w:r>
        <w:rPr/>
        <w:t>не менее 90%  +3 балла</w:t>
      </w:r>
    </w:p>
    <w:p>
      <w:pPr>
        <w:pStyle w:val="a8"/>
      </w:pPr>
      <w:r>
        <w:rPr/>
        <w:t>       не менее 80%  +2 балла</w:t>
      </w:r>
    </w:p>
    <w:p>
      <w:pPr>
        <w:pStyle w:val="a8"/>
      </w:pPr>
      <w:r>
        <w:rPr/>
        <w:t>не менее 50%  +1 балл</w:t>
      </w:r>
    </w:p>
    <w:p>
      <w:pPr>
        <w:pStyle w:val="a8"/>
      </w:pPr>
      <w:r>
        <w:rPr/>
        <w:t>       менее 50%  0 баллов</w:t>
      </w:r>
    </w:p>
    <w:p>
      <w:pPr>
        <w:pStyle w:val="a8"/>
      </w:pPr>
      <w:r>
        <w:rPr/>
        <w:t>КТР - контрольно-тестовая работа (продолжительность – 1 а/час</w:t>
      </w:r>
    </w:p>
    <w:p>
      <w:pPr>
        <w:pStyle w:val="a8"/>
      </w:pPr>
      <w:r>
        <w:rPr/>
        <w:t>(проводится в аудитории)    </w:t>
      </w:r>
    </w:p>
    <w:p>
      <w:pPr>
        <w:pStyle w:val="a8"/>
      </w:pPr>
      <w:r>
        <w:rPr/>
        <w:t>Выполнено не менее 90%   +6 баллов</w:t>
      </w:r>
    </w:p>
    <w:p>
      <w:pPr>
        <w:pStyle w:val="a8"/>
      </w:pPr>
      <w:r>
        <w:rPr/>
        <w:t>       Выполнено от 70-до 89%  +4 баллов</w:t>
      </w:r>
    </w:p>
    <w:p>
      <w:pPr>
        <w:pStyle w:val="a8"/>
      </w:pPr>
      <w:r>
        <w:rPr/>
        <w:t>       Выполнено от 40-до 69%  +2 балла</w:t>
      </w:r>
    </w:p>
    <w:p>
      <w:pPr>
        <w:pStyle w:val="a8"/>
      </w:pPr>
      <w:r>
        <w:rPr/>
        <w:t>       Менее 39%  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случае повторного выполнения заданий ( в случае получения неудовлетворительной оценки при первой сдаче работы)   или пропуска контрольных мероприятий по неуважительным причинам оценка выше 60% возможных баллов не ставится. </w:t>
      </w:r>
    </w:p>
    <w:p>
      <w:pPr>
        <w:pStyle w:val="a8"/>
      </w:pPr>
      <w:r>
        <w:rPr/>
        <w:t>КИ – аттестация раздела (контроль по итогам раздела)  Раздел аттестуется, если набрано не менее 60% (при этом за каждый оценочный пункт должно быть получено не менее 60% высшей оценки).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Самостоятельная работа студента включает:  Повторение теоретического материала – </w:t>
      </w:r>
    </w:p>
    <w:p>
      <w:pPr>
        <w:pStyle w:val="a8"/>
      </w:pPr>
      <w:r>
        <w:rPr/>
        <w:t>       Выполнение ДЗ    </w:t>
      </w:r>
    </w:p>
    <w:p>
      <w:pPr>
        <w:pStyle w:val="a8"/>
      </w:pPr>
      <w:r>
        <w:rPr/>
        <w:t>       Выполнение ТДЗ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Короткова Мария Александровна, к.т.н., доцент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