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a11a72a8de854b2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ИНТЕЛЛЕКТУАЛЬНЫЕ ДИАЛОГОВЫЕ СИСТЕМЫ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6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54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144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15</w:t>
            </w:r>
          </w:p>
        </w:tc>
        <w:tc>
          <w:tcPr>
            <w:tcW w:w="957" w:type="dxa"/>
          </w:tcPr>
          <w:p w:rsidR="00F66786" w:rsidRDefault="00F66786">
            <w:r>
              <w:rPr/>
              <w:t>54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Изучаются фундаментальные и технологические основы построения одного из наиболее распространенных классов интеллектуальных систем – интеллектуальных диалоговых систем.</w:t>
      </w:r>
    </w:p>
    <w:p>
      <w:pPr>
        <w:pStyle w:val="a8"/>
      </w:pPr>
      <w:r>
        <w:rPr/>
        <w:t>Целью дисциплины является введение студентов в проблематику интеллектуальных диалоговых систем, ознакомление с теоретическими, инженерными и технологическими основами построения современных интеллектуальных диалоговых систем и привитие навыков построения компонентов интеллектуальных диалоговых систем с использованием современных инструментальных средств поддержки разработки.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Изучаются фундаментальные и технологические основы построения одного из наиболее распространенных классов интеллектуальных систем – интеллектуальных диалоговых систем.</w:t>
      </w:r>
    </w:p>
    <w:p>
      <w:pPr>
        <w:pStyle w:val="a8"/>
      </w:pPr>
      <w:r>
        <w:rPr/>
        <w:t>Целью дисциплины является введение студентов в проблематику интеллектуальных диалоговых систем, ознакомление с теоретическими, инженерными и технологическими основами построения современных интеллектуальных диалоговых систем и привитие навыков построения компонентов интеллектуальных диалоговых систем с использованием современных инструментальных средств поддержки разработки. 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предназначена для студентов, уже имеющих начальное образование в рамках дискретной математики, программирования, информационных систем, сетей и др. базовых дисциплин, и ориентирована на формирование профессиональных знаний, умений и навыков по проектированию и использованию интеллектуальных систем в широком классе приложений.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ПК-11	–	способность к формализации в своей предметной области с учетом ограничений используемых методов исследования</w:t>
      </w:r>
    </w:p>
    <w:p w:rsidR="00FC7B70" w:rsidP="00FC7B70" w:rsidRDefault="00FC7B70">
      <w:pPr>
        <w:pStyle w:val="a8"/>
      </w:pPr>
      <w:r>
        <w:rPr/>
        <w:t>ПК-12	–	готовность к использованию методов и инструментальных средств исследования объектов профессиональной деятельности</w:t>
      </w:r>
    </w:p>
    <w:p w:rsidR="00FC7B70" w:rsidP="00FC7B70" w:rsidRDefault="00FC7B70">
      <w:pPr>
        <w:pStyle w:val="a8"/>
      </w:pPr>
      <w:r>
        <w:rPr/>
        <w:t>ПК-15	–	владением навыками моделирования, анализа и использования формальных методов конструирования программного обеспечения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Основы теории построения интеллектуальных диалоговых систем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Т-7,КИ-12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Основы технологии построения интеллектуальных диалоговых систем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11-15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КР-13,Т-16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6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Тестирование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6 Семестр</w:t>
            </w:r>
          </w:p>
        </w:tc>
        <w:tc>
          <w:tcPr>
            <w:tcW w:w="850" w:type="dxa"/>
          </w:tcPr>
          <w:p>
            <w:r>
              <w:rPr/>
              <w:t>15</w:t>
            </w:r>
          </w:p>
        </w:tc>
        <w:tc>
          <w:tcPr>
            <w:tcW w:w="1134" w:type="dxa"/>
          </w:tcPr>
          <w:p>
            <w:r>
              <w:rPr/>
              <w:t>15</w:t>
            </w:r>
          </w:p>
        </w:tc>
        <w:tc>
          <w:tcPr>
            <w:tcW w:w="815" w:type="dxa"/>
          </w:tcPr>
          <w:p>
            <w:r>
              <w:rPr/>
              <w:t>15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1-10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Основы теории построения интеллектуальных диалоговых систем</w:t>
            </w:r>
          </w:p>
        </w:tc>
        <w:tc>
          <w:tcPr>
            <w:tcW w:w="850" w:type="dxa"/>
          </w:tcPr>
          <w:p>
            <w:r>
              <w:rPr/>
              <w:t>10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>10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 в искусственный интеллект</w:t>
            </w:r>
            <w:r>
              <w:br/>
            </w:r>
            <w:r>
              <w:rPr/>
              <w:t>Структура современных направлений исследований в области искусственного интеллекта (ИИ). Историческая эволюция ИИ. ИИ и новые информационные технологии. Традиционный путь решения задач. Решение задач на основе интеллектуального интерфейса. Классификация СИИ на основе концепции интеллектуального интерфейса. Интеллектуальные диалоговые системы (ИДС). Задачи и содержание курса.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 в интеллектуальные диалоговые системы (ИДС)</w:t>
            </w:r>
            <w:r>
              <w:br/>
            </w:r>
            <w:r>
              <w:rPr/>
              <w:t>ИДС - основные понятия и определения. Классификация ИДС. Интеллектуальные информационно-поисковые системы. Интеллектуальные системы проектирования. Другие ИДС. Общение с базами данных (БД). Решение задач. Обработка связного текста. Источники ИДС.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Формальные основы и архитектура ИДС</w:t>
            </w:r>
            <w:r>
              <w:br/>
            </w:r>
            <w:r>
              <w:rPr/>
              <w:t>Формальная постановка задачи создания ИДС. Обобщенная схема ИДС. Диалоговый компонент. Компонент понимания высказываний. Компонент генерации высказываний. Естественно-языковые системы (ЕЯС).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Система общения</w:t>
            </w:r>
            <w:r>
              <w:br/>
            </w:r>
            <w:r>
              <w:rPr/>
              <w:t>Классификация конечных пользователей. Внешние характеристики систем общения. Внутренние характеристики систем общения. Основные формы и языки взаимодействия с ЭВМ. Критерии выбора языка диалога.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Лингвистические аспекты ИДС</w:t>
            </w:r>
            <w:r>
              <w:br/>
            </w:r>
            <w:r>
              <w:rPr/>
              <w:t>Понятие языка, подъязыка. Естественные и формальные языки. Понятие ограниченного естественного языка (ОЕЯ). Лингвистическая модель входного подъязыка. Средства реализации модели. Общая схема компонента понимания входных высказываний.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Представление лингвистических знаний</w:t>
            </w:r>
            <w:r>
              <w:br/>
            </w:r>
            <w:r>
              <w:rPr/>
              <w:t>Уровни изучения текста. Основные понятия. Уровни представления знаний: концептуальный уровень, модельный уровень, инструментальный уровень. Знания о языке (основные понятия).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7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Морфологический анализ текста</w:t>
            </w:r>
            <w:r>
              <w:br/>
            </w:r>
            <w:r>
              <w:rPr/>
              <w:t>Словарь - как способ задания индивидуальных знаний о языке. Структура словаря. Морфологический анализ (МА). Алгоритмы МА.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Синтаксический анализ текста</w:t>
            </w:r>
            <w:r>
              <w:br/>
            </w:r>
            <w:r>
              <w:rPr/>
              <w:t>Грамматика - как способ задания общих знаний о языке. Декларативные синтаксические знания. Синтаксический анализ (СИА). Общий алгоритм СИА.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9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Семантический анализ текста</w:t>
            </w:r>
            <w:r>
              <w:br/>
            </w:r>
            <w:r>
              <w:rPr/>
              <w:t>Семантические валентности (глубинные падежи). Модель управления (МУ). Задание МУ в словаре. Семантический анализ (СЕА). Общий алгоритм СЕА.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Семантическая и прагматическая интерпретация</w:t>
            </w:r>
            <w:r>
              <w:br/>
            </w:r>
            <w:r>
              <w:rPr/>
              <w:t>Интерпретация. Семантическая интерпретация. Прагматическая интерпретация. Типовая структура лингвистического процессора ИДС.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11-15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Основы технологии построения интеллектуальных диалоговых систем</w:t>
            </w:r>
          </w:p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5</w:t>
            </w:r>
          </w:p>
        </w:tc>
        <w:tc>
          <w:tcPr>
            <w:tcW w:w="815" w:type="dxa"/>
          </w:tcPr>
          <w:p>
            <w:r>
              <w:rPr/>
              <w:t>5</w:t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Основы построения диалогового компонента ИДС</w:t>
            </w:r>
            <w:r>
              <w:br/>
            </w:r>
            <w:r>
              <w:rPr/>
              <w:t>Основные функции диалогового компонента. Управление диалогом. Структура диалога. Глобальная структура. Локальная структура. Тематическая структура диалога.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Средства реализации модели диалога</w:t>
            </w:r>
            <w:r>
              <w:br/>
            </w:r>
            <w:r>
              <w:rPr/>
              <w:t>Понятие сценария диалога. Шаг диалога. Основные типы шагов диалога. Языки описания сценариев диалога (примеры).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Архитектура, состав и структура диалогового компонента</w:t>
            </w:r>
            <w:r>
              <w:br/>
            </w:r>
            <w:r>
              <w:rPr/>
              <w:t>Типовая схема диалогового процессора. Структура отдельных модулей и особенности функционирования. 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Примеры прикладных ИДС</w:t>
            </w:r>
            <w:r>
              <w:br/>
            </w:r>
            <w:r>
              <w:rPr/>
              <w:t>Примеры ИДС. Табличные ЕЯС. Синтактико-семантическне ЕЯС. Семантико-синтаксические ЕЯС. Сбалансированные ЕЯС.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Анализ средств общения в современных интеллектуальных системах</w:t>
            </w:r>
            <w:r>
              <w:br/>
            </w:r>
            <w:r>
              <w:rPr/>
              <w:t>Современные системы общения с БД. Общение с экспертыми системами (ЭС). Общение с пакетами прикладных программ (ППП). Гипертекстовые средства общения. Многоагентные системы.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1</w:t>
            </w:r>
          </w:p>
        </w:tc>
        <w:tc>
          <w:tcPr>
            <w:tcW w:w="815" w:type="dxa"/>
          </w:tcPr>
          <w:p>
            <w:r>
              <w:rPr/>
              <w:t>1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Лекционные занятия:</w:t>
      </w:r>
    </w:p>
    <w:p>
      <w:pPr>
        <w:pStyle w:val="a8"/>
      </w:pPr>
      <w:r>
        <w:rPr/>
        <w:t>- учебное пособие по данному курсу,</w:t>
      </w:r>
    </w:p>
    <w:p>
      <w:pPr>
        <w:pStyle w:val="a8"/>
      </w:pPr>
      <w:r>
        <w:rPr/>
        <w:t>- лекционная аудитория.</w:t>
      </w:r>
    </w:p>
    <w:p>
      <w:pPr>
        <w:pStyle w:val="a8"/>
      </w:pPr>
      <w:r>
        <w:rPr/>
        <w:t>Лабораторные занятия:</w:t>
      </w:r>
    </w:p>
    <w:p>
      <w:pPr>
        <w:pStyle w:val="a8"/>
      </w:pPr>
      <w:r>
        <w:rPr/>
        <w:t>- компьютерный класс.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100-балльная семестровая система, учитывающая посещаемость занятий, активность на занятиях, результаты контрольно-тестовых испытаний по каждому разделу. Каждый раздел проходит аттестацию. </w:t>
      </w:r>
    </w:p>
    <w:p>
      <w:pPr>
        <w:pStyle w:val="a8"/>
      </w:pPr>
      <w:r>
        <w:rPr/>
        <w:t>Кроме того для проверки знаний и умений бакалавров на контрольно-тестовых испытаниях привлекаются обучающие интегрированные экспертные системы, поддерживающие все дисциплины специализации «Интеллектуальные системы и технологии»,  разработанные в учебно-научной лаборатории кафедры «Кибернетика» под руководством профессора  Рыбиной Г.В.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004 Р93 Основы построения интеллектуальных систем   : учебное пособие, Г. В. Рыбина, Москва: Финансы и статистика; Инфра-М, 2014</w:t>
      </w:r>
    </w:p>
    <w:p>
      <w:r>
        <w:t>2. ЭИ Р93 Технология построения динамических интеллектуальных систем : учебное пособие для вузов, Г. В. Рыбина, С. С. Паронджанов, Москва: НИЯУ МИФИ, 2011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>
      <w:r>
        <w:t>1. 004 Р93 Интеллектуальные системы: от А до Я Кн.1 Системы, основанные на знаниях. Интегрированные экспертные системы, Москва: Научтехлитиздат, 2014</w:t>
      </w:r>
    </w:p>
    <w:p>
      <w:r>
        <w:t>2. 004 Р93 Интеллектуальные системы: от А до Я Кн.2 Интеллектуальные диалоговые системы. Динамические интеллектуальные системы, Москва: Научтехлитиздат, 2015</w:t>
      </w:r>
    </w:p>
    <w:p>
      <w:r>
        <w:t>3. 004 Р93 Интеллектуальные системы: от А до Я Кн.3 Проблемно-специализированные интеллектуальные системы. Инструментальные средства построения интеллектуальных систем. Инструментальные средства построения интеллектуальных систем, Москва: Научтехлитиздат, 2015</w:t>
      </w:r>
    </w:p>
    <w:p>
      <w:r>
        <w:t>4. 004 Р93 Теория и технология построения интегрированных экспертных систем : Монография, Г. В. Рыбина, Москва: Научтехлитиздат, 2008</w:t>
      </w:r>
    </w:p>
    <w:p>
      <w:r>
        <w:t>5. 004 Р24 Искусственный интеллект : современный подход, С. Рассел, П. Норвиг, М. [и др.]: Вильямс, 2006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-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качестве оценочного средства используется 100-балльная семестровая система, учитывающая посещаемость занятий, активность на занятиях, результаты контрольно-тестовых испытаний по каждому разделу. Каждый раздел проходит аттестацию. </w:t>
      </w:r>
    </w:p>
    <w:p>
      <w:pPr>
        <w:pStyle w:val="a8"/>
      </w:pPr>
      <w:r>
        <w:rPr/>
        <w:t>Кроме того для проверки знаний и умений бакалавров на контрольно-тестовых испытаниях привлекаются обучающие интегрированные экспертные системы, поддерживающие все дисциплины специализации «Интеллектуальные системы и технологии»,  разработанные в учебно-научной лаборатории кафедры «Кибернетика» под руководством профессора  Рыбиной Г.В.</w:t>
      </w:r>
    </w:p>
    <w:p>
      <w:pPr>
        <w:pStyle w:val="a8"/>
      </w:pPr>
      <w:r>
        <w:rPr/>
        <w:t>В качестве методических указаний по изучению разделов дисциплины и успешному прохождению контрольно-тестовых испытаний рекомендуется использование следующей основной литературы:</w:t>
      </w:r>
    </w:p>
    <w:p>
      <w:pPr>
        <w:pStyle w:val="a8"/>
      </w:pPr>
      <w:r>
        <w:rPr/>
        <w:t>1. Рыбина Г.В. Основы построения интеллектуальных систем. М.: Финансы и статистика; ИНФРА-М, 2010. 432 c.</w:t>
      </w:r>
    </w:p>
    <w:p>
      <w:pPr>
        <w:pStyle w:val="a8"/>
      </w:pPr>
      <w:r>
        <w:rPr/>
        <w:t>2. Рыбина Г.В. Теория и технология построения интегрированных экспертных систем. М.: Научтехлитиздат, 2008. 482с.</w:t>
      </w:r>
    </w:p>
    <w:p>
      <w:pPr>
        <w:pStyle w:val="a8"/>
      </w:pPr>
      <w:r>
        <w:rPr/>
        <w:t>3. Рыбина Г.В., Паронджанов С.С. Технология построения динамических интеллектуальных систем: Учебное пособие. М.: НИЯУ МИФИ, 2011. 240 с.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Рыбина Галина Валентиновна, д.т.н., профессор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