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bb5e3f648464b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МАТЕМАТИЧЕСКАЯ СТАТИСТИКА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призвана обеспечить освоение студентами математических методов описания и исследования случайных событий и величин, выборочного подхода в статистике, методов статистического описания результатов наблюдений, а также базовых методов статистического анализа данных. Дисциплина обеспечивает выработку навыков и приёмов обработки статистических данных и выявления статистических закономерностей средствами статистических пакетов. Содержание дисциплины включает базовые понятия и определения математической статистики,   описательный статистический анализ; способы построения доверительных интервалов, проверки гипотез; подходы к выявлению и описанию формы статистической связи между результирующим признаком и факторными признаками; основные понятия, определения и методы, корреляционно-регрессионного анализа; способы сокращения пространства признаков.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и задачами освоения учебной дисциплины являются: </w:t>
      </w:r>
    </w:p>
    <w:p>
      <w:pPr>
        <w:pStyle w:val="a8"/>
      </w:pPr>
      <w:r>
        <w:rPr/>
        <w:t>• ознакомление студентов со статистическим подходом к поиску и описанию закономерностей массовых случайных событий; </w:t>
      </w:r>
    </w:p>
    <w:p>
      <w:pPr>
        <w:pStyle w:val="a8"/>
      </w:pPr>
      <w:r>
        <w:rPr/>
        <w:t>• получение студентами знаний об актуальных методах прикладного статистического анализа в рамках решения практических задач;</w:t>
      </w:r>
    </w:p>
    <w:p>
      <w:pPr>
        <w:pStyle w:val="a8"/>
      </w:pPr>
      <w:r>
        <w:rPr/>
        <w:t>• выработка у студентов практических навыков работы с современными статистическими пакетами обработки информации. 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«Теория вероятностей и математическая статистика» является базовой в профессиональном цикле основных образовательных программ ФГОС-3.</w:t>
      </w:r>
    </w:p>
    <w:p>
      <w:pPr>
        <w:pStyle w:val="a8"/>
      </w:pPr>
      <w:r>
        <w:rPr/>
        <w:t>Дисциплина требует специальной начальной подготовки в области математического анализа (дифференциальное и интегральное исчисление) и дискретной математики и информатики. 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– Введение в теорию нейронных сетей</w:t>
      </w:r>
    </w:p>
    <w:p>
      <w:pPr>
        <w:pStyle w:val="a8"/>
      </w:pPr>
      <w:r>
        <w:rPr/>
        <w:t>– Математические модели физических процессов в ядерных энергетических установках</w:t>
      </w:r>
    </w:p>
    <w:p>
      <w:pPr>
        <w:pStyle w:val="a8"/>
      </w:pPr>
      <w:r>
        <w:rPr/>
        <w:t>– Учебно-исследовательская работа по кибернетическим системам</w:t>
      </w:r>
    </w:p>
    <w:p>
      <w:pPr>
        <w:pStyle w:val="a8"/>
      </w:pPr>
      <w:r>
        <w:rPr/>
        <w:t>– Курсовой проект по построению кибернетических систем</w:t>
      </w:r>
    </w:p>
    <w:p>
      <w:pPr>
        <w:pStyle w:val="a8"/>
      </w:pPr>
      <w:r>
        <w:rPr/>
        <w:t>– Инструментальные средства имитационного моделирования</w:t>
      </w:r>
    </w:p>
    <w:p>
      <w:pPr>
        <w:pStyle w:val="a8"/>
      </w:pPr>
      <w:r>
        <w:rPr/>
        <w:t>– Моделирование систем (GPSS)</w:t>
      </w:r>
    </w:p>
    <w:p>
      <w:pPr>
        <w:pStyle w:val="a8"/>
      </w:pPr>
      <w:r>
        <w:rPr/>
        <w:t>– Моделирование систем (Matlab)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Проверка статистических гипотез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Анализ статистических взаимосвязей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ДЗ-6,ДЗ-14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многомерного статистического анализа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15-16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5 Семестр</w:t>
            </w:r>
          </w:p>
        </w:tc>
        <w:tc>
          <w:tcPr>
            <w:tcW w:w="850" w:type="dxa"/>
          </w:tcPr>
          <w:p>
            <w:r>
              <w:rPr/>
              <w:t>32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Проверка статистических гипотез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Проверка статистических гипотез</w:t>
            </w:r>
            <w:r>
              <w:br/>
            </w:r>
            <w:r>
              <w:rPr/>
              <w:t>     Проверка статистических гипотез. Терминология и примеры. Выборочные аналоги характеристик генеральной совокупности. Статистика критерия. Уровень значимости. Критическая область. Проверка гипотез о виде распределения. Критерий согласия Колмогорова. Проверка гипотез о виде распределения с помощью критерия хи-квадрат Пирсона. Определение параметров распределения. Метод обратной функции для визуальной проверки предположения о нормальности распределения.
</w:t>
            </w:r>
            <w:r>
              <w:br/>
            </w:r>
            <w:r>
              <w:rPr/>
              <w:t>      Проверка параметрических гипотез. Статистика критерия. Критическая область. Ошибки 1-го и 2-го рода. Функции мощности.
</w:t>
            </w:r>
            <w:r>
              <w:br/>
            </w:r>
            <w:r>
              <w:rPr/>
              <w:t>      Анализ нормальных выборок с помощью критерия отношения правдоподобия. Проверка гипотез о дисперсиях для выборок из нормальных генеральных совокупностей. Проверка гипотез о средних для выборок из нормальных генеральных совокупностей. Построение доверительных интервалов и проверка параметрических гипотез для нормальных выборок. Проверка гипотезы о значении коэффициента корреляции в двух нормальных выборках. Проверка гипотезы о вероятности в схеме Бернулли.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5-14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Анализ статистических взаимосвязей</w:t>
            </w:r>
          </w:p>
        </w:tc>
        <w:tc>
          <w:tcPr>
            <w:tcW w:w="850" w:type="dxa"/>
          </w:tcPr>
          <w:p>
            <w:r>
              <w:rPr/>
              <w:t>20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tcPr>
            <w:tcW w:w="973" w:type="dxa"/>
          </w:tcPr>
          <w:p>
            <w:r>
              <w:rPr/>
              <w:t>5 - 14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Анализ статистических взаимосвязей</w:t>
            </w:r>
            <w:r>
              <w:br/>
            </w:r>
            <w:r>
              <w:rPr/>
              <w:t>     Проверка статистических гипотез. Терминология и примеры. Выборочные аналоги характеристик генеральной совокупности. Статистика критерия. Уровень значимости. Критическая область. Проверка гипотез о виде распределения. Критерий согласия Колмогорова. Проверка гипотез о виде распределения с помощью критерия хи-квадрат Пирсона. Определение параметров распределения. Метод обратной функции для визуальной проверки предположения о нормальности распределения.
</w:t>
            </w:r>
            <w:r>
              <w:br/>
            </w:r>
            <w:r>
              <w:rPr/>
              <w:t>      Проверка параметрических гипотез. Статистика критерия. Критическая область. Ошибки 1-го и 2-го рода. Функции мощности.
</w:t>
            </w:r>
            <w:r>
              <w:br/>
            </w:r>
            <w:r>
              <w:rPr/>
              <w:t>      Анализ нормальных выборок с помощью критерия отношения правдоподобия. Проверка гипотез о дисперсиях для выборок из нормальных генеральных совокупностей. Проверка гипотез о средних для выборок из нормальных генеральных совокупностей. Построение доверительных интервалов и проверка параметрических гипотез для нормальных выборок. Проверка гипотезы о значении коэффициента корреляции в двух нормальных выборках. Проверка гипотезы о вероятности в схеме Бернулли.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15-16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многомерного статистического анализа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многомерного статистического анализа</w:t>
            </w:r>
            <w:r>
              <w:br/>
            </w:r>
            <w:r>
              <w:rPr/>
              <w:t>     Основы дисперсионного анализа. Постановка задачи, основное тождество. Сравнение внутри и межгрупповой дисперсии, линейные контрасты. Задача линейной регрессии, оценка параметров методом наименьших квадратов.
</w:t>
            </w:r>
            <w:r>
              <w:br/>
            </w:r>
            <w:r>
              <w:rPr/>
              <w:t>      Свойства МНК – оценок параметров простой линейной регрессии. Проверка гипотез л значимости линейной регрессии Коэффициент детерминации. Анализ адекватности линейной регрессивной модели.
</w:t>
            </w:r>
            <w:r>
              <w:br/>
            </w:r>
            <w:r>
              <w:rPr/>
              <w:t>       Линейная регрессия общего вида. Нормальная система управлений, оценка параметров модели, анализ значимости. Ортогональные системы функций в задаче линейной регрессии. Полиномы Чебышева. Анализ значимости и адекватности линейной модели полиномиального вида. Определение степени полинома.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Проверка статистических гипотез</w:t>
            </w:r>
            <w:r>
              <w:br/>
            </w:r>
            <w:r>
              <w:rPr/>
              <w:t>Проверка статистических гипотез</w:t>
            </w:r>
          </w:p>
        </w:tc>
      </w:tr>
      <w:tr>
        <w:tc>
          <w:tcPr>
            <w:tcW w:w="973" w:type="dxa"/>
          </w:tcPr>
          <w:p>
            <w:r>
              <w:rPr/>
              <w:t>5 - 14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Анализ статистических взаимосвязей</w:t>
            </w:r>
            <w:r>
              <w:br/>
            </w:r>
            <w:r>
              <w:rPr/>
              <w:t>Анализ статистических взаимосвязей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Основы многомерного статистического анализа</w:t>
            </w:r>
            <w:r>
              <w:br/>
            </w:r>
            <w:r>
              <w:rPr/>
              <w:t>Основы многомерного статистического анализа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Проверка статистических гипотез</w:t>
            </w:r>
            <w:r>
              <w:br/>
            </w:r>
            <w:r>
              <w:rPr/>
              <w:t>1-2 неделя. Проверка статистических гипотез.
</w:t>
            </w:r>
            <w:r>
              <w:br/>
            </w:r>
            <w:r>
              <w:rPr/>
              <w:t>3-4 неделя. Проверка однородности по двум выборкам с помощью критерия знаков. </w:t>
            </w:r>
          </w:p>
        </w:tc>
      </w:tr>
      <w:tr>
        <w:tc>
          <w:tcPr>
            <w:tcW w:w="973" w:type="dxa"/>
          </w:tcPr>
          <w:p>
            <w:r>
              <w:rPr/>
              <w:t>5 - 14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Анализ статистических взаимосвязей</w:t>
            </w:r>
            <w:r>
              <w:br/>
            </w:r>
            <w:r>
              <w:rPr/>
              <w:t>5-6 неделя. Непараметрические методы статистики
</w:t>
            </w:r>
            <w:r>
              <w:br/>
            </w:r>
            <w:r>
              <w:rPr/>
              <w:t>7-10 неделя. Дисперсионный анализ.
</w:t>
            </w:r>
            <w:r>
              <w:br/>
            </w:r>
            <w:r>
              <w:rPr/>
              <w:t>11-12 неделя. Контрольная работа.
</w:t>
            </w:r>
            <w:r>
              <w:br/>
            </w:r>
            <w:r>
              <w:rPr/>
              <w:t>13-14 неделя Регрессивный анализ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Основы многомерного статистического анализа</w:t>
            </w:r>
            <w:r>
              <w:br/>
            </w:r>
            <w:r>
              <w:rPr/>
              <w:t>15-17 неделя Метод наименьших квадратов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занятия.</w:t>
      </w:r>
    </w:p>
    <w:p>
      <w:pPr>
        <w:pStyle w:val="a8"/>
      </w:pPr>
      <w:r>
        <w:rPr/>
        <w:t>2. Практические занятия.</w:t>
      </w:r>
    </w:p>
    <w:p>
      <w:pPr>
        <w:pStyle w:val="a8"/>
      </w:pPr>
      <w:r>
        <w:rPr/>
        <w:t>3. Лабораторные занятия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     Выполнено не менее 80%   +3 баллов</w:t>
      </w:r>
    </w:p>
    <w:p>
      <w:pPr>
        <w:pStyle w:val="a8"/>
      </w:pPr>
      <w:r>
        <w:rPr/>
        <w:t>     Выполнено не менее 50%  +2 балла</w:t>
      </w:r>
    </w:p>
    <w:p>
      <w:pPr>
        <w:pStyle w:val="a8"/>
      </w:pPr>
      <w:r>
        <w:rPr/>
        <w:t>     Выполнено менее 50%   0 баллов  </w:t>
      </w:r>
    </w:p>
    <w:p>
      <w:pPr>
        <w:pStyle w:val="a8"/>
      </w:pPr>
      <w:r>
        <w:rPr/>
        <w:t>КР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балла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>По 1 и 2 разделам  организуется 1 пересдача на зачете. </w:t>
      </w:r>
    </w:p>
    <w:p>
      <w:pPr>
        <w:pStyle w:val="a8"/>
      </w:pPr>
      <w:r>
        <w:rPr/>
        <w:t>Самостоятельная работа студента включает:  Повторение теоретического материала – </w:t>
      </w:r>
    </w:p>
    <w:p>
      <w:pPr>
        <w:pStyle w:val="a8"/>
      </w:pPr>
      <w:r>
        <w:rPr/>
        <w:t>       Выполнение ДЗ</w:t>
      </w:r>
    </w:p>
    <w:p>
      <w:pPr>
        <w:pStyle w:val="a8"/>
      </w:pPr>
      <w:r>
        <w:rPr/>
        <w:t>       Выполнение ТДЗ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Б 91 Теория вероятностей и математическая статистика : учебное пособие, Санкт-Петербург: Лань, 2013</w:t>
      </w:r>
    </w:p>
    <w:p>
      <w:r>
        <w:t>2. ЭИ Г 69 Теория вероятностей и математическая статистика : учебное пособие, Санкт-Петербург: Лань, 2013</w:t>
      </w:r>
    </w:p>
    <w:p>
      <w:r>
        <w:t>3. 519 П63 Теория вероятностей и математическая статистика (Ч.1) , 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51 С23 Сборник задач по математике Ч.3 , , : Физматлит, 2007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     Выполнено не менее 80%   +3 баллов</w:t>
      </w:r>
    </w:p>
    <w:p>
      <w:pPr>
        <w:pStyle w:val="a8"/>
      </w:pPr>
      <w:r>
        <w:rPr/>
        <w:t>     Выполнено не менее 50%  +2 балла</w:t>
      </w:r>
    </w:p>
    <w:p>
      <w:pPr>
        <w:pStyle w:val="a8"/>
      </w:pPr>
      <w:r>
        <w:rPr/>
        <w:t>     Выполнено менее 50%   0 баллов  </w:t>
      </w:r>
    </w:p>
    <w:p>
      <w:pPr>
        <w:pStyle w:val="a8"/>
      </w:pPr>
      <w:r>
        <w:rPr/>
        <w:t>КР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балла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1 и 2 разделам  организуется по 1 пересдаче на зачете.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 Повторение теоретического материала – </w:t>
      </w:r>
    </w:p>
    <w:p>
      <w:pPr>
        <w:pStyle w:val="a8"/>
      </w:pPr>
      <w:r>
        <w:rPr/>
        <w:t>       Выполнение ДЗ    </w:t>
      </w:r>
    </w:p>
    <w:p>
      <w:pPr>
        <w:pStyle w:val="a8"/>
      </w:pPr>
      <w:r>
        <w:rPr/>
        <w:t>       Выполнение ТДЗ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выполнению домашнего задания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Варианты заданий объявляются на официальном сайте кафедры «Кибернетика» (http://cyber.mephi.ru) в разделе  «Библиотека-Лаборатории-Лаборатория «Нейронные сети»-Курс «Теория вероятностей и математическая статистика»» перед началом выполнения заданий.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качестве методических указаний  используется учебное пособие Тимохин С.Г., Болотская Т.М. «Методические указания по курсу «Теория вероятностей и математическая статистика»» - М.: МИФИ, 2007, а также Сборник задач по математике для ВТУЗов.Теория вероятностей и математическая статистика. Под ред. Ефимова – М.:Наука, 2000.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Трофимов Александр Геннадьевич,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Мишулина Ольга Александровна,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