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4eb1be5f26a74f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ОСНОВЫ АВТОМАТИЗИРОВАННЫХ ИНФОРМАЦИОННЫХ ТЕХНОЛОГИЙ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«Основы автоматизированных информационных технологий» охватывает основы дизайна баз данных с использованием методологии "сущность-связь". Изучаются методы формального описания предметных областей и построение концептуальных моделей. Рассматриваются построение логических и физических моделей баз данных и методы трансформации концептуальных моделей предметной области в концептуальных модели баз данных.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«ОСНОВЫ АВТОМАТИЗИРОВАННЫХ ИНФОРМАЦИОННЫХ ТЕХНОЛОГИЙ» являются</w:t>
      </w:r>
    </w:p>
    <w:p>
      <w:pPr>
        <w:pStyle w:val="a8"/>
      </w:pPr>
      <w:r>
        <w:rPr/>
        <w:t>• закрепление у студентов основных понятий в области автоматизированных систем и баз данных;</w:t>
      </w:r>
    </w:p>
    <w:p>
      <w:pPr>
        <w:pStyle w:val="a8"/>
      </w:pPr>
      <w:r>
        <w:rPr/>
        <w:t>• изучение методов формального описания предметных областей, построения концептуальных моделей;</w:t>
      </w:r>
    </w:p>
    <w:p>
      <w:pPr>
        <w:pStyle w:val="a8"/>
      </w:pPr>
      <w:r>
        <w:rPr/>
        <w:t>• изучение способов преобразования концептуальных моделей предметной области в концептуальные модели баз данных;</w:t>
      </w:r>
    </w:p>
    <w:p>
      <w:pPr>
        <w:pStyle w:val="a8"/>
      </w:pPr>
      <w:r>
        <w:rPr/>
        <w:t>• изучение правил построения логических и физических моделей баз данных;</w:t>
      </w:r>
    </w:p>
    <w:p>
      <w:pPr>
        <w:pStyle w:val="a8"/>
      </w:pPr>
      <w:r>
        <w:rPr/>
        <w:t>• выработка у студентов навыков и приемов оценки соответствия модели базы данных предъявляемым к ней требованиям;</w:t>
      </w:r>
    </w:p>
    <w:p>
      <w:pPr>
        <w:pStyle w:val="a8"/>
      </w:pPr>
      <w:r>
        <w:rPr/>
        <w:t>• применение в ходе самостоятельно работы различных инструментальных средств анализа предметных областей и проектирования баз данных.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«ОСНОВЫ АВТОМАТИЗИРОВАННЫХ ИНФОРМАЦИОННЫХ ТЕХНОЛОГИЙ» относится к вариативной части математического и естественнонаучного цикла и является обязательной дисциплиной для студента.</w:t>
      </w:r>
    </w:p>
    <w:p>
      <w:pPr>
        <w:pStyle w:val="a8"/>
      </w:pPr>
      <w:r>
        <w:rPr/>
        <w:t>Дисциплина требует специальной начальной подготовки, </w:t>
      </w:r>
    </w:p>
    <w:p>
      <w:pPr>
        <w:pStyle w:val="a8"/>
      </w:pPr>
      <w:r>
        <w:rPr/>
        <w:t>• Дискретная математика (логические исчисления);</w:t>
      </w:r>
    </w:p>
    <w:p>
      <w:pPr>
        <w:pStyle w:val="a8"/>
      </w:pPr>
      <w:r>
        <w:rPr/>
        <w:t>• Базы данных (теоретические основы баз данных).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Проектирование баз данных  шифр;</w:t>
      </w:r>
    </w:p>
    <w:p>
      <w:pPr>
        <w:pStyle w:val="a8"/>
      </w:pPr>
      <w:r>
        <w:rPr/>
        <w:t>• Проектирование баз данных кибернетических систем.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Технология  проектирования баз данных Основы моделирования предметных сред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Концептуально-информационная модель предметной области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18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Концептуально-информационная модель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Функциональная модель объекта управления и системы управления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15-15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38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30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Технология  проектирования баз данных Основы моделирования предметных сред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моделирования предметных сред</w:t>
            </w:r>
            <w:r>
              <w:br/>
            </w:r>
            <w:r>
              <w:rPr/>
              <w:t>Основные понятия: реальный мир, предметная область, формализация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Технология проектирования баз данных</w:t>
            </w:r>
            <w:r>
              <w:br/>
            </w:r>
            <w:r>
              <w:rPr/>
              <w:t>Информация и данные. Автоматизированные системы обработки данных. Фактографические и документальные системы. Типы фактографических систем. Различные подходы к проектированию систем. Этапы проектирования баз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предметной области</w:t>
            </w:r>
            <w:r>
              <w:br/>
            </w:r>
            <w:r>
              <w:rPr/>
              <w:t>Объекты модели: сущности, связи, свойства. Экземпляры сущностей и связей. Идентифицирующие свойства. Модель Чена. ER-диаграммы как средство графического изображения. Применения модели Чена. Примеры. Характеристика 
</w:t>
            </w:r>
            <w:r>
              <w:br/>
            </w:r>
            <w:r>
              <w:rPr/>
              <w:t>CASE система SILVERRUN. Нотация SILVERRUN. Переход от модели Чена к модели SILVERRUN.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5-9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предметной области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5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tcPr>
            <w:tcW w:w="973" w:type="dxa"/>
          </w:tcPr>
          <w:p>
            <w:r>
              <w:rPr/>
              <w:t>5 - 9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Переход от ER-диаграмм к схеме реляционной базы</w:t>
            </w:r>
            <w:r>
              <w:br/>
            </w:r>
            <w:r>
              <w:rPr/>
              <w:t>Отражение в ER-диаграмме аксиоматики предметной области. Переход к схеме РБД в усиленной 3НФ. Использование аксиоматики предметной области для оптимизации структуры 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5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базы данных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5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tcPr>
            <w:tcW w:w="973" w:type="dxa"/>
          </w:tcPr>
          <w:p>
            <w:r>
              <w:rPr/>
              <w:t>10 - 11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базы данных</w:t>
            </w:r>
            <w:r>
              <w:br/>
            </w:r>
            <w:r>
              <w:rPr/>
              <w:t>CASE система ERWIN. Нотация ERWIN. Переход от модели Чена к модели ERWIN. Генерация схем баз данных по концептуальной модели 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Функциональная модель объекта управления и системы управления</w:t>
            </w:r>
            <w:r>
              <w:br/>
            </w:r>
            <w:r>
              <w:rPr/>
              <w:t>Функциональные и операционные модели. Методология SADT. Инструментальная система BPWIN. Соглашения системы. Разработка моделей AS IS и TO BE в среде BPWIN.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15-15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Функциональная модель объекта управления и системы управления</w:t>
            </w:r>
          </w:p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документирования проектных решений</w:t>
            </w:r>
            <w:r>
              <w:br/>
            </w:r>
            <w:r>
              <w:rPr/>
              <w:t>Состав типовых проектных документов (техническое задание на систему, техническое задание на автоматизированную задачу, внешний проект системы).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2 - 14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Курсовая работа</w:t>
            </w:r>
            <w:r>
              <w:br/>
            </w:r>
            <w:r>
              <w:rPr/>
              <w:t>Курсовая работа по моделированию индивидуальной предметной области.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Проведение лекций преподавателем, встречи с представителями ведущих компаний в области создания и внедрения автоматизированных информационных технологий, опросы студентов по пройденным темам, лабораторные занятия, выполнение курсовых проектов, индивидуальные консультации с преподавателем, защита лабораторных работ.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выполнение лабораторных работ и выполнение курсового проекта.</w:t>
      </w:r>
    </w:p>
    <w:p>
      <w:pPr>
        <w:pStyle w:val="a8"/>
      </w:pPr>
      <w:r>
        <w:rPr/>
        <w:t>Основное значение придается выполнению индивидуального курсового проекта.</w:t>
      </w:r>
    </w:p>
    <w:p>
      <w:pPr>
        <w:pStyle w:val="a8"/>
      </w:pPr>
      <w:r>
        <w:rPr/>
        <w:t>Каждые посещенные студентом два часа лекции оцениваются в 1 балл.</w:t>
      </w:r>
    </w:p>
    <w:p>
      <w:pPr>
        <w:pStyle w:val="a8"/>
      </w:pPr>
      <w:r>
        <w:rPr/>
        <w:t>Каждый час лабораторной работы оценивается в 1 балл.</w:t>
      </w:r>
    </w:p>
    <w:p>
      <w:pPr>
        <w:pStyle w:val="a8"/>
      </w:pPr>
      <w:r>
        <w:rPr/>
        <w:t>Сдача каждого из 5 разделов курсового проекта оценивается в 10 баллов.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К89 Управление данными : учебник для вузов, А. В. Кузовкин, А. А. Цыганов, Б. А. Щукин, Москва: Академия, 2010</w:t>
      </w:r>
    </w:p>
    <w:p>
      <w:r>
        <w:t>2. ЭИ Ш77 Базы данных : учебное пособие для вузов, С. Л. Шнырев,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М20 Базы данных: основы, проектирование, использование : учебное пособие для вузов, М. П. Малыхина, Санкт-Петербург: БХВ-Петербург, 2007</w:t>
      </w:r>
    </w:p>
    <w:p>
      <w:r>
        <w:t>2. 004 Г60 Проектирование базы данных с использованием универсального отношения : методические указания по выполнению лабораторной работы для дисциплины "Базы данных" , О. Л. Голицына ; ред. : К. И. Курбаков, Москва: КОС.ИНФ, 2007</w:t>
      </w:r>
    </w:p>
    <w:p>
      <w:r>
        <w:t>3. 004 К48 Базы данных : лабораторный практикум: учебное пособие для вузов, Т. В. Клецова, Н. В. Овсянникова, И. В. Прохоров, Москва: МИФИ, 2008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Студентам на второй неделе выдается задание, суть которого заключается в проектировании прототипа базы данных для предметной области, указанной в задании. Это задание является общим с курсом «Практикум на ЭВМ (Основы автоматизированных информационных технологий)», изучаемым студентами в том же семестре. По итогам выполнения задания студенты должны сдать курсовую работу в печатном виде.</w:t>
      </w:r>
    </w:p>
    <w:p>
      <w:pPr>
        <w:pStyle w:val="a8"/>
      </w:pPr>
      <w:r>
        <w:rPr/>
        <w:t>Работа студента в ходе изучения раздела 1 (1-4 недели) оценивается по посещаемости лекций.  За посещение 1 часа лекций студенты получают 1 балл. Минимальная зачетная оценка за раздел составляет 5 баллов, максимальная – 8 баллов.</w:t>
      </w:r>
    </w:p>
    <w:p>
      <w:pPr>
        <w:pStyle w:val="a8"/>
      </w:pPr>
      <w:r>
        <w:rPr/>
        <w:t>По результатам выполнения раздела 2 (5-9 недели) студенты должны сдать распечатанную концептуальную модель предметной области в нотации «Сущность-Связь», выполненное с помощью программного обеспечения Silverrun или аналогичного. За сданную в срок модель студенты получают 8 баллов. За посещение 1 часа лекций студентам начисляется 1 балл. Минимальная зачетная оценка за раздел составляет 12 баллов, максимальная – 18 баллов.</w:t>
      </w:r>
    </w:p>
    <w:p>
      <w:pPr>
        <w:pStyle w:val="a8"/>
      </w:pPr>
      <w:r>
        <w:rPr/>
        <w:t>В ходе изучения раздела 3 (10-14 недели) студенты должны реализовать и сдать распечатанную логическую и физическую модели базы данных, сделанные на основе выполненной в разделе 2 концептуальной модели предметной области. При подготовке модели студенты должны использовать программное обеспечение ERWin или аналогичное. За каждую из сданных моделей студент получает по 8 баллов. За посещение 1 часа лекций студентам начисляется 1 балл. Минимальная зачетная оценка за раздел составляет 18 баллов, максимальная – 24 балла.</w:t>
      </w:r>
    </w:p>
    <w:p>
      <w:pPr>
        <w:pStyle w:val="a8"/>
      </w:pPr>
      <w:r>
        <w:rPr/>
        <w:t>Оценка работы студента в ходе изучения раздела 4 (15-17 недели) производится на основе посещаемости студентами лекций. За посещение 1 часа лекций студентам начисляется 2 балла. Минимальная зачетная оценка за раздел составляет 8 баллов, максимальная – 12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получения зачета студенты должны принести полностью выполненную курсовую работу и ответить на вопросы преподавателя по своей работе. Максимальная оценка, которая может быть получена на зачете - 38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Кроме реально заработанных баллов, студенты могут получать поощрительные баллы за правильные ответы на вопросы, заданные преподавателем на лекциях. За каждый правильный ответ студент получает +1 балл.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Минимальное зачетное число баллов по курсу 60. Если эта сумма набирается за сданные разделы, то студенту гарантирован зачет, при условии сдачи полностью выполненной курсовой работы.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1, 2, 3 и 4 разделам организуется по 1 пересдаче в течение семестра; На зачете организуется 1 пересдача.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 повторение теоретического материала и выполнение курсовой работы.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выполнению курсовой работы</w:t>
      </w:r>
    </w:p>
    <w:p>
      <w:pPr>
        <w:pStyle w:val="a8"/>
      </w:pPr>
      <w:r>
        <w:rPr/>
        <w:t>Варианты заданий для курсовой работы выдаются студентам на лекциях. При согласовании с преподавателем вариант задания может быть изменен.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Разделы курсовой работы следующие:</w:t>
      </w:r>
    </w:p>
    <w:p>
      <w:pPr>
        <w:pStyle w:val="a8"/>
      </w:pPr>
      <w:r>
        <w:rPr/>
        <w:t>1. Анализ предметной области.</w:t>
      </w:r>
    </w:p>
    <w:p>
      <w:pPr>
        <w:pStyle w:val="a8"/>
      </w:pPr>
      <w:r>
        <w:rPr/>
        <w:t>1.1. Формулировка задания.</w:t>
      </w:r>
    </w:p>
    <w:p>
      <w:pPr>
        <w:pStyle w:val="a8"/>
      </w:pPr>
      <w:r>
        <w:rPr/>
        <w:t>1.2. Конкретизация предметной области.</w:t>
      </w:r>
    </w:p>
    <w:p>
      <w:pPr>
        <w:pStyle w:val="a8"/>
      </w:pPr>
      <w:r>
        <w:rPr/>
        <w:t>1.3. Требования по хранению данных.</w:t>
      </w:r>
    </w:p>
    <w:p>
      <w:pPr>
        <w:pStyle w:val="a8"/>
      </w:pPr>
      <w:r>
        <w:rPr/>
        <w:t>1.4. Пользователи системы.</w:t>
      </w:r>
    </w:p>
    <w:p>
      <w:pPr>
        <w:pStyle w:val="a8"/>
      </w:pPr>
      <w:r>
        <w:rPr/>
        <w:t>1.5. Сроки хранения информации.</w:t>
      </w:r>
    </w:p>
    <w:p>
      <w:pPr>
        <w:pStyle w:val="a8"/>
      </w:pPr>
      <w:r>
        <w:rPr/>
        <w:t>1.6. Ситуации, изменяющие состояние БД.</w:t>
      </w:r>
    </w:p>
    <w:p>
      <w:pPr>
        <w:pStyle w:val="a8"/>
      </w:pPr>
      <w:r>
        <w:rPr/>
        <w:t>1.7. Основные запросы к БД (на естественном языке).</w:t>
      </w:r>
    </w:p>
    <w:p>
      <w:pPr>
        <w:pStyle w:val="a8"/>
      </w:pPr>
      <w:r>
        <w:rPr/>
        <w:t>2. Концептуальное моделирование.</w:t>
      </w:r>
    </w:p>
    <w:p>
      <w:pPr>
        <w:pStyle w:val="a8"/>
      </w:pPr>
      <w:r>
        <w:rPr/>
        <w:t>2.1. ER-диаграмма модели предметной области (Silverrun).</w:t>
      </w:r>
    </w:p>
    <w:p>
      <w:pPr>
        <w:pStyle w:val="a8"/>
      </w:pPr>
      <w:r>
        <w:rPr/>
        <w:t>2.2. Оценка мощностных характеристик сущностей и связей.</w:t>
      </w:r>
    </w:p>
    <w:p>
      <w:pPr>
        <w:pStyle w:val="a8"/>
      </w:pPr>
      <w:r>
        <w:rPr/>
        <w:t>3. Концептуальное проектирование.</w:t>
      </w:r>
    </w:p>
    <w:p>
      <w:pPr>
        <w:pStyle w:val="a8"/>
      </w:pPr>
      <w:r>
        <w:rPr/>
        <w:t>3.1. Концептуальная модель БД (Silverrun).</w:t>
      </w:r>
    </w:p>
    <w:p>
      <w:pPr>
        <w:pStyle w:val="a8"/>
      </w:pPr>
      <w:r>
        <w:rPr/>
        <w:t>4. Логическое проектирование.</w:t>
      </w:r>
    </w:p>
    <w:p>
      <w:pPr>
        <w:pStyle w:val="a8"/>
      </w:pPr>
      <w:r>
        <w:rPr/>
        <w:t>4.1. ER-диаграмма БД (ERwin Logical).</w:t>
      </w:r>
    </w:p>
    <w:p>
      <w:pPr>
        <w:pStyle w:val="a8"/>
      </w:pPr>
      <w:r>
        <w:rPr/>
        <w:t>4.2. Схемы отношений БД (ERwin Physical).</w:t>
      </w:r>
    </w:p>
    <w:p>
      <w:pPr>
        <w:pStyle w:val="a8"/>
      </w:pPr>
      <w:r>
        <w:rPr/>
        <w:t>4.3. Схемы реляционной БД.</w:t>
      </w:r>
    </w:p>
    <w:p>
      <w:pPr>
        <w:pStyle w:val="a8"/>
      </w:pPr>
      <w:r>
        <w:rPr/>
        <w:t>4.4. Схемы основных запросов.</w:t>
      </w:r>
    </w:p>
    <w:p>
      <w:pPr>
        <w:pStyle w:val="a8"/>
      </w:pPr>
      <w:r>
        <w:rPr/>
        <w:t>5. Физическое проектирование (СУБД Firebird и программа IBExpert).</w:t>
      </w:r>
    </w:p>
    <w:p>
      <w:pPr>
        <w:pStyle w:val="a8"/>
      </w:pPr>
      <w:r>
        <w:rPr/>
        <w:t>5.1. Создание БД.</w:t>
      </w:r>
    </w:p>
    <w:p>
      <w:pPr>
        <w:pStyle w:val="a8"/>
      </w:pPr>
      <w:r>
        <w:rPr/>
        <w:t>5.2. Создание таблиц.</w:t>
      </w:r>
    </w:p>
    <w:p>
      <w:pPr>
        <w:pStyle w:val="a8"/>
      </w:pPr>
      <w:r>
        <w:rPr/>
        <w:t>5.3. Заполнение таблиц.</w:t>
      </w:r>
    </w:p>
    <w:p>
      <w:pPr>
        <w:pStyle w:val="a8"/>
      </w:pPr>
      <w:r>
        <w:rPr/>
        <w:t>5.4. Запросы в терминах SQL.</w:t>
      </w:r>
    </w:p>
    <w:p>
      <w:pPr>
        <w:pStyle w:val="a8"/>
      </w:pPr>
      <w:r>
        <w:rPr/>
        <w:t>5.5. Оценка размеров БД и каждого из файлов.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Климов Валентин Вячеславович,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