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cc5882f4117440e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АБСТРАКТНЫЕ ВЫЧИСЛИТЕЛЬНЫЕ МАШИНЫ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3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112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«Абстрактные вычислительные машины» представляет собой введение в проблематику и многообразие вычислительных моделей, построенных на аппликативных принципах. Описание вычислительных процессов опирается на выбор подходящей концепции построения языка и структурных примитивов, и в качестве хорошего кандидата на эту роль многими признается -исчисление. Осуществление вычисления также связано с выбором подходящего набора базовых идей. В настоящем курсе рассматривается два основных направления: сведение -выражений к тем или иным системам комбинаторов и совершенствование техники редукции. Первый подход приводит, в частности, категориальной абстрактной машине, а второй – к суперкомбинаторной технике редукции.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Дисциплина «Абстрактные вычислительные машины» развивает у студентов навыки моделирования вычислений как процесса получения конечного значения, а также выработки концепции и проектирования сложных вычислительных систем и сред.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«Абстрактные вычислительные машины» относится к вариативной части профессионального цикла и является дисциплиной по выбору.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Дисциплина в базовом варианте требует предварительной подготовки в объеме курса «Дискретная математика (модели вычислений)» и может рассматриваться как продолжение этого курса в части углубленного изучения различных стратегий редукции и абстрактных машин. Упор делается на изучение идей, связанных с компиляцией исходного выражения относительно той или иной целевой системы с последующей редукцией уже в этой системе. В том числе рассматривается редукция выражений с помощью абстрактных машин, которые, более или менее косвенно, реализуют принципы соответствующей вычислительной системы.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Предшествующие дисциплины:</w:t>
      </w:r>
    </w:p>
    <w:p>
      <w:pPr>
        <w:pStyle w:val="a8"/>
      </w:pPr>
      <w:r>
        <w:rPr/>
        <w:t>- Методология научных исследований</w:t>
      </w:r>
    </w:p>
    <w:p>
      <w:pPr>
        <w:pStyle w:val="a8"/>
      </w:pPr>
      <w:r>
        <w:rPr/>
        <w:t>- Основы автоматизированных информационных технологий</w:t>
      </w:r>
    </w:p>
    <w:p>
      <w:pPr>
        <w:pStyle w:val="a8"/>
      </w:pPr>
      <w:r>
        <w:rPr/>
        <w:t>- Функциональное программирование</w:t>
      </w:r>
    </w:p>
    <w:p>
      <w:pPr>
        <w:pStyle w:val="a8"/>
      </w:pPr>
      <w:r>
        <w:rPr/>
        <w:t>- Дискретная математика (модели вычислений)</w:t>
      </w:r>
    </w:p>
    <w:p>
      <w:pPr>
        <w:pStyle w:val="a8"/>
      </w:pPr>
      <w:r>
        <w:rPr/>
        <w:t>- Формализмы в информационных технологиях</w:t>
      </w:r>
    </w:p>
    <w:p>
      <w:pPr>
        <w:pStyle w:val="a8"/>
      </w:pPr>
      <w:r>
        <w:rPr/>
        <w:t>- Семантически безопасное информационное моделирование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свою очередь дисциплина предоставляет понятийный каркас для изложения методов моделирования информационных и физических процессов, подчеркивая фундаментальную роль информационных процессов в современной картине мира. Рассматриваемые модели вычислений составляют основу для оперирования функциями в технологиях программирования (функциональное и логическое программирование), а также для моделирования динамики предметных областей для систем, основанных на знаниях. Кроме того, дисциплина дает безусловную базу для выполнения научно-исследовательской работы (НИР) в областях прикладной математики и информатики. В особенности, понятийный каркас дисциплины может быть плодотворен для области анализа/разработки/применения информационных систем в Веб.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Параллельные дисциплины:</w:t>
      </w:r>
    </w:p>
    <w:p>
      <w:pPr>
        <w:pStyle w:val="a8"/>
      </w:pPr>
      <w:r>
        <w:rPr/>
        <w:t>- Семантическое конфигурирование программных систем</w:t>
      </w:r>
    </w:p>
    <w:p>
      <w:pPr>
        <w:pStyle w:val="a8"/>
      </w:pPr>
      <w:r>
        <w:rPr/>
        <w:t>- Конструирование программных систем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Последующие дисциплины: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- Моделирование (корпоративные информационные системы)</w:t>
      </w:r>
    </w:p>
    <w:p>
      <w:pPr>
        <w:pStyle w:val="a8"/>
      </w:pPr>
      <w:r>
        <w:rPr/>
        <w:t>- Теория систем и системный анализ</w:t>
      </w:r>
    </w:p>
    <w:p>
      <w:pPr>
        <w:pStyle w:val="a8"/>
      </w:pPr>
      <w:r>
        <w:rPr/>
        <w:t>- Научно-исследовательская работа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Для усвоения курса желательно знакомство с формальными системами и элементами математической логики. Как минимум, необходимо владение представлением об объекте в информатике и о функции в анализе, основами объектно-ориентированного программирования. Более глубокое изучение отдельных элементов курса достигается в дисциплинах: теория типов, семантическое моделирование, концептуальное моделирование и проектирование, модели данных и др.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ПК-12	–	Способен проектировать вспомогательные и специализированные языки программирования и языки представления данных</w:t>
      </w:r>
    </w:p>
    <w:p w:rsidR="00FC7B70" w:rsidP="00FC7B70" w:rsidRDefault="00FC7B70">
      <w:pPr>
        <w:pStyle w:val="a8"/>
      </w:pPr>
      <w:r>
        <w:rPr/>
        <w:t>ПК-16	–	Владеет навыками создания трансляторов и интерпретаторов языков программирования</w:t>
      </w:r>
    </w:p>
    <w:p w:rsidR="00FC7B70" w:rsidP="00FC7B70" w:rsidRDefault="00FC7B70">
      <w:pPr>
        <w:pStyle w:val="a8"/>
      </w:pPr>
      <w:r>
        <w:rPr/>
        <w:t>ПК-18	–	Владеет навыками создания компонент операционных систем и систем реального времени</w:t>
      </w:r>
    </w:p>
    <w:p w:rsidR="00FC7B70" w:rsidP="00FC7B70" w:rsidRDefault="00FC7B70">
      <w:pPr>
        <w:pStyle w:val="a8"/>
      </w:pPr>
      <w:r>
        <w:rPr/>
        <w:t>ПК-19	–	Владеет навыками создания систем обработки текстов</w:t>
      </w:r>
    </w:p>
    <w:p>
      <w:pPr>
        <w:pStyle w:val="a8"/>
      </w:pPr>
      <w:r>
        <w:rPr/>
        <w:t>- знания:</w:t>
      </w:r>
    </w:p>
    <w:p>
      <w:pPr>
        <w:pStyle w:val="a8"/>
      </w:pPr>
      <w:r>
        <w:rPr/>
        <w:t>на уровне представлений: интерпретация компьютерных программ как выражений; оценка выражений; компиляция компьютерных программ; стратегии редукции; ленивые вычисления; жадные вычисления;</w:t>
      </w:r>
    </w:p>
    <w:p>
      <w:pPr>
        <w:pStyle w:val="a8"/>
      </w:pPr>
      <w:r>
        <w:rPr/>
        <w:t>на уровне воспроизведения: оценивающее отображение; ламбда-подъем; цикл работы КАМ; цикл работы абстрактной машины на суперкомбинаторов;</w:t>
      </w:r>
    </w:p>
    <w:p>
      <w:pPr>
        <w:pStyle w:val="a8"/>
      </w:pPr>
      <w:r>
        <w:rPr/>
        <w:t>на уровне понимания: кодирование по де Брейну; среда вычислений, де Брейновская среда; стратегия редукции; нормальная форма, различные виды нормальный форм, связь с стратегиями редукции; -редукция; понятие суперкомбинатора; максимально свободные выражения.</w:t>
      </w:r>
    </w:p>
    <w:p>
      <w:pPr>
        <w:pStyle w:val="a8"/>
      </w:pPr>
      <w:r>
        <w:rPr/>
        <w:t>- умения:</w:t>
      </w:r>
    </w:p>
    <w:p>
      <w:pPr>
        <w:pStyle w:val="a8"/>
      </w:pPr>
      <w:r>
        <w:rPr/>
        <w:t>теоретические: оценка идентификатора относительно среды; оценка выражения в среде;</w:t>
      </w:r>
    </w:p>
    <w:p>
      <w:pPr>
        <w:pStyle w:val="a8"/>
      </w:pPr>
      <w:r>
        <w:rPr/>
        <w:t>практические: компиляция -выражений в код КАМ; исполнение КАМ-кода; компиляция λ-выражений в суперкомбинаторный код; исполнение суперкомбинаторного кода;</w:t>
      </w:r>
    </w:p>
    <w:p>
      <w:pPr>
        <w:pStyle w:val="a8"/>
      </w:pPr>
      <w:r>
        <w:rPr/>
        <w:t>навыки: редукция выражений, эквациональная теория; сведение -выражений к различным комбинаторным базисам; суперкомбинаторная техника редукции; сведение λ-выражений к суперкомбинаторам.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Комбинаторная редукция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КР-4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КАМ-машина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Суперкомбинаторы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13-16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3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3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Комбинаторная редукция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Аппликативный язык и комбинаторная редукция</w:t>
            </w:r>
            <w:r>
              <w:br/>
            </w:r>
            <w:r>
              <w:rPr/>
              <w:t>Аппликативный язык. Запись выражений с помощью аппликативного языка. Понятие комбинатора. Комбинаторный базис. Компиляция -выражений в комбинаторный код (на примере базисов IKS и IBCS).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Категориальная комбинаторная логика</w:t>
            </w:r>
            <w:r>
              <w:br/>
            </w:r>
            <w:r>
              <w:rPr/>
              <w:t>Исходные комбинаторы. Правила редукции. Кодирование -выражений по де Брейну. Де Брейновская схема организации среды. Схема компиляции -выражений в категориальный комбинаторный код. Редукция категориальных комбинаторных выражений относительной среды.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Категориальная абстрактная машина</w:t>
            </w:r>
            <w:r>
              <w:br/>
            </w:r>
            <w:r>
              <w:rPr/>
              <w:t>Инструкции. Цикл работы. Компиляция -выражений в КАМ-код. Исполнение КАМ-кода. Примеры.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7-12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КАМ-машина</w:t>
            </w:r>
          </w:p>
        </w:tc>
        <w:tc>
          <w:tcPr>
            <w:tcW w:w="850" w:type="dxa"/>
          </w:tcPr>
          <w:p>
            <w:r>
              <w:rPr/>
              <w:t>6</w:t>
            </w:r>
          </w:p>
        </w:tc>
        <w:tc>
          <w:tcPr>
            <w:tcW w:w="1134" w:type="dxa"/>
          </w:tcPr>
          <w:p>
            <w:r>
              <w:rPr/>
              <w:t>6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Расширения КАМ</w:t>
            </w:r>
            <w:r>
              <w:br/>
            </w:r>
            <w:r>
              <w:rPr/>
              <w:t>Компиляция и исполнение условных конструкций. Компиляция бинарных операторов. Оптимизация.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КАМ - рекурсия</w:t>
            </w:r>
            <w:r>
              <w:br/>
            </w:r>
            <w:r>
              <w:rPr/>
              <w:t>Рекурсия, способы поддержки рекурсивных вычислений. Схема компиляции, исполнение кода. Примеры.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Понятие суперкомбинатора</w:t>
            </w:r>
            <w:r>
              <w:br/>
            </w:r>
            <w:r>
              <w:rPr/>
              <w:t>Процесс компиляции. Приведение к суперкомбинаторам. Устранение избыточных параметров. Упорядочивание параметров.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13-16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Суперкомбинаторы</w:t>
            </w:r>
          </w:p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Суперкомбинаторы - рекурсия</w:t>
            </w:r>
            <w:r>
              <w:br/>
            </w:r>
            <w:r>
              <w:rPr/>
              <w:t>Ламбда-подъем при рекурсии. Работа алгоритма ламбда-подъема. Другие способы ламбда-подъеда.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Полная ленивость</w:t>
            </w:r>
            <w:r>
              <w:br/>
            </w:r>
            <w:r>
              <w:rPr/>
              <w:t>Максимально свободные подвыражения. Ламбда-подъем с использование МСВ. Полностью ленивый ламбда-подъем в letrec. Комплексный пример.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3 Семестр</w:t>
            </w:r>
          </w:p>
        </w:tc>
      </w:tr>
      <w:tr>
        <w:tc>
          <w:tcPr>
            <w:tcW w:w="973" w:type="dxa"/>
          </w:tcPr>
          <w:p>
            <w:r>
              <w:rPr/>
              <w:t>1 - 6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Часть I</w:t>
            </w:r>
            <w:r>
              <w:br/>
            </w:r>
            <w:r>
              <w:rPr/>
              <w:t>Компиляция и редукция аппликативных выражений в системах комбинаторов (IKS, IBCS, CCL)</w:t>
            </w:r>
          </w:p>
        </w:tc>
      </w:tr>
      <w:tr>
        <w:tc>
          <w:tcPr>
            <w:tcW w:w="973" w:type="dxa"/>
          </w:tcPr>
          <w:p>
            <w:r>
              <w:rPr/>
              <w:t>7 - 12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Часть II</w:t>
            </w:r>
            <w:r>
              <w:br/>
            </w:r>
            <w:r>
              <w:rPr/>
              <w:t>Компиляция аппликативных выражений в КАМ-код. Исполнение КАМ-кода.</w:t>
            </w:r>
          </w:p>
        </w:tc>
      </w:tr>
      <w:tr>
        <w:tc>
          <w:tcPr>
            <w:tcW w:w="973" w:type="dxa"/>
          </w:tcPr>
          <w:p>
            <w:r>
              <w:rPr/>
              <w:t>13 - 16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Часть III</w:t>
            </w:r>
            <w:r>
              <w:br/>
            </w:r>
            <w:r>
              <w:rPr/>
              <w:t>Компиляция и исполнение аппликативных выражений в суперкомбинаторный код.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Методы проведения занятий.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Читаются лекции 1 час в неделю, а также проводятся лабораторные работы 2 часа в неделю. В рамках лабораторных работ изучается решение некоторых типовых задач, а также проводится консультационная работа по выполнению и прием индивидуальных курсовых проектов.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Формы контроля.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Предусмотрена курсовая работа – индивидуальное задание, которое выдается на семестр. Выполнение курсового проекта организуется в три этапа, каждый этап привязан к разделу курса. Прием работы состоит в демонстрации реализации и исходного кода, беседы по теории и вопросов по ходу решения задач. Также в конце каждого раздела предусматривается контрольно-тестовая работа для оценки степени усвоения теоретических знаний и навыков. Это позволяет контролировать как усвоение теоретического материала, так и уровень овладения практическим решением задач. Итоговым контролем является экзамен, включающий ответы на вопросы и решение задач. При определении итоговой оценки учитываются баллы, полученные студентами в семестре: за качество своевременность выполнения курсовых работ.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Технологические особенности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мира. Студентам предоставляется возможность и необходимая информация для ознакомления с методами и подходами, относящимися к кругу вопросов дисциплины и применяемыми лучшими преподавателями университетов и учебных центров мира.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частности, для ознакомления, анализа и сопоставления предоставляются ссылки на публично доступный мультимедийный контент и/или электронные формы издания научно-методического материала.</w:t>
      </w:r>
    </w:p>
    <w:p>
      <w:pPr>
        <w:pStyle w:val="a8"/>
      </w:pPr>
      <w:r>
        <w:rPr/>
        <w:t/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лекционных занятий, качество и сроки выполнения курсовых проектов. Каждый раздел проходит отдельную аттестацию, включающую оценку работы над соответствующей частью курсового проекта и результаты КТР. Методика оценки, примеры заданий и др. материалы приведены в фонде оценочных средств (ФОС).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A16 Abstract State Machines, Alloy, B, TLA, VDM, and Z : 5th International Conference, ABZ 2016, Linz, Austria, May 23-27, 2016, Proceedings, Cham: Springer International Publishing, 2016</w:t>
      </w:r>
    </w:p>
    <w:p>
      <w:r>
        <w:t>2. ЭИ S38 Modification of K0s and Lambda(AntiLambda) Transverse Momentum Spectra in Pb-Pb Collisions at vsNN = 2.76 TeV with ALICE : , Cham: Springer International Publishing, 2016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И W81 Combinatory logic in programming : Computations with objects through examples and exercises, Wolfengagen V.E., M.: Center JurInfor, 2003</w:t>
      </w:r>
    </w:p>
    <w:p>
      <w:r>
        <w:t>2. 004 В72 Категориальная абстрактная машина : Конспект лекций: введение в вычисления, В. Э. Вольфенгаген, М.: Центр ЮрИнфоР, 2002</w:t>
      </w:r>
    </w:p>
    <w:p>
      <w:r>
        <w:t>3. 16 В75 Логика : конспект лекций: техника рассуждений, В.Э. Вольфенгаген, М.: Центр ЮрИнфоР, 2004</w:t>
      </w:r>
    </w:p>
    <w:p>
      <w:r>
        <w:t>4. 004 В72 Методы и средства вычислений с объектами : Аппликативные вычислительные системы, В.Э. Вольфенгаген, Москва: JurlnfoR Ltd; ЮрИнфоР-МГУ, 2004</w:t>
      </w:r>
    </w:p>
    <w:p>
      <w:r>
        <w:t>5. 519 В72 Комбинаторная логика в программировании : (Вычисления с объектами в примерах и задачах): Учеб. пособие, Вольфенгаген В.Э., М.: МИФИ, 1994</w:t>
      </w:r>
    </w:p>
    <w:p>
      <w:r>
        <w:t>6. 519 В72 Аппликативные вычисления на основе комбинаторов и  лямбда-исчисления : Учеб. пособие, Вольфенгаген В.Э., Гольцева Л.В., М.: МИФИ, 1992</w:t>
      </w:r>
    </w:p>
    <w:p>
      <w:r>
        <w:t>7. 007 И49 Экспертные системы на реляционной основе : Учеб. пособие, Илюхин А.А.,Исмаилова Л.Ю.,Шаргатова Э.И., М.: МИФИ, 1990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Читаются лекции 1 час в неделю, а также проводятся лабораторные работы 2 часа в неделю. В рамках лабораторных работ изучается решение некоторых типовых задач, а также проводится консультационная работа по выполнению и прием индивидуальных курсовых проектов.</w:t>
      </w:r>
    </w:p>
    <w:p>
      <w:pPr>
        <w:pStyle w:val="a8"/>
      </w:pPr>
      <w:r>
        <w:rPr/>
        <w:t>Формы контроля.</w:t>
      </w:r>
    </w:p>
    <w:p>
      <w:pPr>
        <w:pStyle w:val="a8"/>
      </w:pPr>
      <w:r>
        <w:rPr/>
        <w:t>Предусмотрена курсовая работа – индивидуальное задание, которое выдается на семестр. Выполнение курсового проекта организуется в три этапа, каждый этап привязан к разделу курса. Прием работы состоит в демонстрации реализации и исходного кода, беседы по теории и вопросов по ходу решения задач. Также в конце каждого раздела предусматривается контрольно-тестовая работа для оценки степени усвоения теоретических знаний и навыков. Это позволяет контролировать как усвоение теоретического материала, так и уровень овладения практическим решением задач. Итоговым контролем является экзамен, включающий ответы на вопросы и решение задач. При определении итоговой оценки учитываются баллы, полученные студентами в семестре: за качество своевременность выполнения курсовых работ.</w:t>
      </w:r>
    </w:p>
    <w:p>
      <w:pPr>
        <w:pStyle w:val="a8"/>
      </w:pPr>
      <w:r>
        <w:rPr/>
        <w:t>Технологические особенности</w:t>
      </w:r>
    </w:p>
    <w:p>
      <w:pPr>
        <w:pStyle w:val="a8"/>
      </w:pPr>
      <w:r>
        <w:rPr/>
        <w:t>Технологической особенностью изложения дисциплины является отражение лучших мировых практик преподавания подобных курсов в ведущих университетах мира. Студентам предоставляется возможность и необходимая информация для ознакомления с методами и подходами, относящимися к кругу вопросов дисциплины и применяемыми лучшими преподавателями университетов и учебных центров мира.</w:t>
      </w:r>
    </w:p>
    <w:p>
      <w:pPr>
        <w:pStyle w:val="a8"/>
      </w:pPr>
      <w:r>
        <w:rPr/>
        <w:t>В частности, для ознакомления, анализа и сопоставления предоставляются ссылки на публично доступный мультимедийный контент и/или электронные формы издания научно-методического материала.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Исмаилова Лариса Юсифовна, к.т.н.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Рословцев Владимир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Вольфенгаген Вячеслав Эрнстович,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Косиков Сергей Владимирович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