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c10f1948a4b74b1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МЕТОДОЛОГИЯ НАУЧНЫХ ИССЛЕДОВАНИЙ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1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"Методология научных исследований"  демонстрирует возможности анализа прообраза предметной области с формированием семейства ее образов и дает представление о методах структуризации образа предметной области, фиксации соотнесенного образа отображенной предметной области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Методология научных исследований (МНИ) является развитие целостной системы взглядов и представлений об осуществлении научного исследования в области программной инженерии. Дисциплина МНИ показывает возможности анализа прообраза предметной области с формированием семейства ее образов и дает представление о методах структуризации образа предметной области, фиксации соотнесенного образа отображенной предметной области (ОПО). Охватываются вопросы использования алгебраических форм представления для получения предструктуры и структуры ОПО. Демонстрируются возможности и преимущества принципа свертывания для структуры ОПО, в которой изучаются унифицированные представления концептуальных зависимостей в полных частичных упорядочениях (п.ч.у.).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Понятийная основа курса способствует развитию навыка выполнения исследований в области семантического моделирования, а также овладению кругом идей наиболее актуальных информационных технологий и подходов к проектированию информационных систем.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"Методология научных исследований" (МНИ) относится к базовой части профессионального цикла и является обязательной дисциплиной.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Курс считается базовым для компьютерных наук и информационных технологий, а методологические вопросы информационного моделирования, изучение их границ их применимости и выявление технологических преимуществ соответствуют  переднему краю научных исследований. В силу особой важности для современных информационных технологий особое место отводится установлению образа объектов и связей между ними, их поддержанию со временем для, возможно, меняющейся предметной области, что служит базой для формализмов для повсеместных вычислений и их моделей..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Дисциплина в базовом варианте не требует предварительной специальной подготовки и может читаться независимо. Но она будет особенно полезна для тех, кто уже знаком с современными проблемами прикладной математики и информатики, а также с идеями, методами и кругом задач современного программирования, включая чисто технологические вопросы.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Понятийная основа курса способствует развитию навыка выполнения исследований в области семантического моделирования, а также овладению кругом идей наиболее актуальных информационных технологий и подходов к проектированию информационных систем.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Дисциплина предоставляет понятийный каркас для изложения методов моделирования информационных и физических процессов, подчеркивая фундаментальную роль информационных процессов в современной картине мира. Рассматриваемые структуры составляют основу для оперирования событийными, характеристическими и функциональными представлениями в информационных технологиях, для анализа Big Data с формированием интенсиональных структур. Кроме того, дисциплина дает безусловную базу для выполнения научно-исследовательской работы (НИР) в областях прикладной математики и информатики. В особенности, понятийный каркас дисциплины может быть плодотворен для области анализа/разработки/применения информационных систем в Веб при необходимости работы с относительно большим числом наборов данных.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Параллельные дисциплины:</w:t>
      </w:r>
    </w:p>
    <w:p>
      <w:pPr>
        <w:pStyle w:val="a8"/>
      </w:pPr>
      <w:r>
        <w:rPr/>
        <w:t>- Основы автоматизированных информационных технологий</w:t>
      </w:r>
    </w:p>
    <w:p>
      <w:pPr>
        <w:pStyle w:val="a8"/>
      </w:pPr>
      <w:r>
        <w:rPr/>
        <w:t>- Современные архитектуры интеллектуальных систем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Последующие дисциплины:</w:t>
      </w:r>
    </w:p>
    <w:p>
      <w:pPr>
        <w:pStyle w:val="a8"/>
      </w:pPr>
      <w:r>
        <w:rPr/>
        <w:t>- Семантически безопасное информационное моделирование</w:t>
      </w:r>
    </w:p>
    <w:p>
      <w:pPr>
        <w:pStyle w:val="a8"/>
      </w:pPr>
      <w:r>
        <w:rPr/>
        <w:t>- Семантическое конфигурирование программных систем</w:t>
      </w:r>
    </w:p>
    <w:p>
      <w:pPr>
        <w:pStyle w:val="a8"/>
      </w:pPr>
      <w:r>
        <w:rPr/>
        <w:t>- Конструирование программных систем</w:t>
      </w:r>
    </w:p>
    <w:p>
      <w:pPr>
        <w:pStyle w:val="a8"/>
      </w:pPr>
      <w:r>
        <w:rPr/>
        <w:t>- Абстрактные вычислительные машины</w:t>
      </w:r>
    </w:p>
    <w:p>
      <w:pPr>
        <w:pStyle w:val="a8"/>
      </w:pPr>
      <w:r>
        <w:rPr/>
        <w:t>- Моделирование (корпоративные информационные системы) </w:t>
      </w:r>
    </w:p>
    <w:p>
      <w:pPr>
        <w:pStyle w:val="a8"/>
      </w:pPr>
      <w:r>
        <w:rPr/>
        <w:t>- Научно-исследовательская  работа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усвоения курса желательно знакомство с формальными системами и элементами математической логики. Как минимум, необходимо владение представлением об объекте в информатике и о функции в анализе. Более глубокое изучение отдельных элементов курса достигается в дисциплинах: объектное программирование, модели вычислений, семантическое моделирование, концептуальное моделирование и проектирование, модели данных и др.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ОПК-3	–	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</w:p>
    <w:p w:rsidR="00FC7B70" w:rsidP="00FC7B70" w:rsidRDefault="00FC7B70">
      <w:pPr>
        <w:pStyle w:val="a8"/>
      </w:pPr>
      <w:r>
        <w:rPr/>
        <w:t>ПК-1	–	Владеет знаниями основ философии и методологии науки</w:t>
      </w:r>
    </w:p>
    <w:p w:rsidR="00FC7B70" w:rsidP="00FC7B70" w:rsidRDefault="00FC7B70">
      <w:pPr>
        <w:pStyle w:val="a8"/>
      </w:pPr>
      <w:r>
        <w:rPr/>
        <w:t>ПК-2	–	Владеет знаниями методов научных исследований и навыками их проведения</w:t>
      </w:r>
    </w:p>
    <w:p w:rsidR="00FC7B70" w:rsidP="00FC7B70" w:rsidRDefault="00FC7B70">
      <w:pPr>
        <w:pStyle w:val="a8"/>
      </w:pPr>
      <w:r>
        <w:rPr/>
        <w:t>УК-1	–	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FC7B70" w:rsidP="00FC7B70" w:rsidRDefault="00FC7B70">
      <w:pPr>
        <w:pStyle w:val="a8"/>
      </w:pPr>
      <w:r>
        <w:rPr/>
        <w:t>УК-6	–	Способен определять и реализовывать приоритеты собственной деятельности и способы ее совершенствования на основе самооценки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Анализ предметной области и получение предструктуры семейства отображенных предметных областей.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Сем-8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Представление отображенной предметной области в структурах с полными частичными упорядочениями (п.ч.у.).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Сем-15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Сем</w:t>
            </w:r>
          </w:p>
        </w:tc>
        <w:tc>
          <w:tcPr>
            <w:tcW w:w="9164" w:type="dxa"/>
          </w:tcPr>
          <w:p>
            <w:r>
              <w:rPr/>
              <w:t>Семинар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1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Анализ предметной области и получение предструктуры семейства отображенных предметных областей.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Анализ предметной области</w:t>
            </w:r>
            <w:r>
              <w:br/>
            </w:r>
            <w:r>
              <w:rPr/>
              <w:t>Анализ предметной области.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Работа системного аналитика</w:t>
            </w:r>
            <w:r>
              <w:br/>
            </w:r>
            <w:r>
              <w:rPr/>
              <w:t>Работа системного аналитика.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Динамика образа предметной области</w:t>
            </w:r>
            <w:r>
              <w:br/>
            </w:r>
            <w:r>
              <w:rPr/>
              <w:t>Динамика образа предметной области.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Представление отображенной предметной области в структурах с полными частичными упорядочениями (п.ч.у.).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Семантические единицы моделирования предметной области</w:t>
            </w:r>
            <w:r>
              <w:br/>
            </w:r>
            <w:r>
              <w:rPr/>
              <w:t>Семантические единицы моделирования предметной области.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Операции над семантическими единицами</w:t>
            </w:r>
            <w:r>
              <w:br/>
            </w:r>
            <w:r>
              <w:rPr/>
              <w:t>Операции над семантическими единицами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Расширения и динамика семантических единиц</w:t>
            </w:r>
            <w:r>
              <w:br/>
            </w:r>
            <w:r>
              <w:rPr/>
              <w:t>Расширения и динамика семантических единиц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1 Семестр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Анализ предметной области</w:t>
            </w:r>
            <w:r>
              <w:br/>
            </w:r>
            <w:r>
              <w:rPr/>
              <w:t>Анализ предметной области.</w:t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Работа системного аналитика</w:t>
            </w:r>
            <w:r>
              <w:br/>
            </w:r>
            <w:r>
              <w:rPr/>
              <w:t>Работа системного аналитика.</w:t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Динамика образа предметной области</w:t>
            </w:r>
            <w:r>
              <w:br/>
            </w:r>
            <w:r>
              <w:rPr/>
              <w:t>Динамика образа предметной области.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Семантические единицы моделирования предметной области</w:t>
            </w:r>
            <w:r>
              <w:br/>
            </w:r>
            <w:r>
              <w:rPr/>
              <w:t>Семантические единицы моделирования предметной области.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Операции над семантическими единицами</w:t>
            </w:r>
            <w:r>
              <w:br/>
            </w:r>
            <w:r>
              <w:rPr/>
              <w:t>Операции над семантическими единицами.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Расширения и динамика семантических единиц</w:t>
            </w:r>
            <w:r>
              <w:br/>
            </w:r>
            <w:r>
              <w:rPr/>
              <w:t>Расширения и динамика семантических единиц.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Занятия проводятся по классической системе проведения практических занятий. </w:t>
      </w:r>
    </w:p>
    <w:p>
      <w:pPr>
        <w:pStyle w:val="a8"/>
      </w:pPr>
      <w:r>
        <w:rPr/>
        <w:t>Несколько тем курса магистранты осваивают самостоятельно, используя предоставленные методические материалы. Контроль самостоятельной работы и освоения изученной темы проводится на семинарском занятии. В процессе контрольного опроса каждый слушатель должен ответить на вопросы преподавателя или провести краткие расчеты по предложенным задачам. Результаты контрольного опроса магистрантов оцениваются в баллах.</w:t>
      </w:r>
    </w:p>
    <w:p>
      <w:pPr>
        <w:pStyle w:val="a8"/>
      </w:pPr>
      <w:r>
        <w:rPr/>
        <w:t>Для получения навыков аналитических расчетов магистрантам выдаются задачи для самостоятельной домашней работы. Результаты решения задач контролируются в аудитории на практических занятиях.</w:t>
      </w:r>
    </w:p>
    <w:p>
      <w:pPr>
        <w:pStyle w:val="a8"/>
      </w:pPr>
      <w:r>
        <w:rPr/>
        <w:t>В течение семестра проводятся 2 контрольные работы по всем разделам курса. 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Подразумевается текущий и итоговый контроль. В процессе текущего контроля оценивается работа студентов на практических занятиях (степень подготовленности и активность участия в групповых обсуждениях), также предусмотрена контрольная работа. Итоговый контроль осуществляется посредством проведения устного зачета. </w:t>
      </w:r>
    </w:p>
    <w:p>
      <w:pPr>
        <w:pStyle w:val="a8"/>
      </w:pPr>
      <w:r>
        <w:rPr/>
        <w:t>При проведении зачета в устной форме используются следующие критерии: </w:t>
      </w:r>
    </w:p>
    <w:p>
      <w:pPr>
        <w:pStyle w:val="a8"/>
      </w:pPr>
      <w:r>
        <w:rPr/>
        <w:t>"10 баллов" – обсуждение студентом поставленной проблемы с использованием основных положений дисциплины. </w:t>
      </w:r>
    </w:p>
    <w:p>
      <w:pPr>
        <w:pStyle w:val="a8"/>
      </w:pPr>
      <w:r>
        <w:rPr/>
        <w:t>"8-9 баллов" - свободное, безупречное владение материалами, умение сопоставлять и анализировать. </w:t>
      </w:r>
    </w:p>
    <w:p>
      <w:pPr>
        <w:pStyle w:val="a8"/>
      </w:pPr>
      <w:r>
        <w:rPr/>
        <w:t>"7 баллов" – подробный пересказ вопросов зачета. </w:t>
      </w:r>
    </w:p>
    <w:p>
      <w:pPr>
        <w:pStyle w:val="a8"/>
      </w:pPr>
      <w:r>
        <w:rPr/>
        <w:t>"6 баллов" – умение сформулировать и основные темы дисциплины. </w:t>
      </w:r>
    </w:p>
    <w:p>
      <w:pPr>
        <w:pStyle w:val="a8"/>
      </w:pPr>
      <w:r>
        <w:rPr/>
        <w:t>"5 баллов" - не вполне четкий ответ по основным формулировкам тем дисциплины. </w:t>
      </w:r>
    </w:p>
    <w:p>
      <w:pPr>
        <w:pStyle w:val="a8"/>
      </w:pPr>
      <w:r>
        <w:rPr/>
        <w:t>"4 балла" – отсутствие ответа по основным формулировкам тем дисциплины. </w:t>
      </w:r>
    </w:p>
    <w:p>
      <w:pPr>
        <w:pStyle w:val="a8"/>
      </w:pPr>
      <w:r>
        <w:rPr/>
        <w:t>"1-3 балла" – отсутствие ответа по любому вопросу. </w:t>
      </w:r>
    </w:p>
    <w:p>
      <w:pPr>
        <w:pStyle w:val="a8"/>
      </w:pPr>
      <w:r>
        <w:rPr/>
        <w:t>Преподаватель оценивает работу студентов на практических занятиях по следующей формуле: </w:t>
      </w:r>
    </w:p>
    <w:p>
      <w:pPr>
        <w:pStyle w:val="a8"/>
      </w:pPr>
      <w:r>
        <w:rPr/>
        <w:t>Оаудиторная= 0,7• Осам +0,3•Оактивность, где  Оактивность преподаватель оценивает по активности студентов в дискуссиях, в ответах на вопросы. Оценка показателя активности определяется по совокупности данных за весь период обучения по данной учебной дисциплине. </w:t>
      </w:r>
    </w:p>
    <w:p>
      <w:pPr>
        <w:pStyle w:val="a8"/>
      </w:pPr>
      <w:r>
        <w:rPr/>
        <w:t>Осам оценивается по выполнению самостоятельной работы. </w:t>
      </w:r>
    </w:p>
    <w:p>
      <w:pPr>
        <w:pStyle w:val="a8"/>
      </w:pPr>
      <w:r>
        <w:rPr/>
        <w:t>Результирующая оценка за текущий контроль учитывает результаты студента по текущему контролю следующим образом: </w:t>
      </w:r>
    </w:p>
    <w:p>
      <w:pPr>
        <w:pStyle w:val="a8"/>
      </w:pPr>
      <w:r>
        <w:rPr/>
        <w:t>Отекущий = Озачет., где Ок.р – оценка за зачет </w:t>
      </w:r>
    </w:p>
    <w:p>
      <w:pPr>
        <w:pStyle w:val="a8"/>
      </w:pPr>
      <w:r>
        <w:rPr/>
        <w:t>Результирующая оценка за итоговый контроль в форме зачета выставляется по следующей формуле, где: </w:t>
      </w:r>
    </w:p>
    <w:p>
      <w:pPr>
        <w:pStyle w:val="a8"/>
      </w:pPr>
      <w:r>
        <w:rPr/>
        <w:t>Оитоговая = 0,6• Отекущий +0,4•Оаудиторная 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Г 96 Дискретная математика : , Москва: КУРС, 2019</w:t>
      </w:r>
    </w:p>
    <w:p>
      <w:r>
        <w:t>2. ЭИ В72 Модели вычислений : , [Москва]: [МИФИ], 2008</w:t>
      </w:r>
    </w:p>
    <w:p>
      <w:r>
        <w:t>3. ЭИ Н34 Научное познание в историко-философском контексте : учебно-методическое пособие для вузов, М. С. Хотеева [и др.],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ЭИ H75 Introduction to Scientific Computing and Data Analysis : , Cham: Springer International Publishing, 2016</w:t>
      </w:r>
    </w:p>
    <w:p>
      <w:r>
        <w:t>2. ЭИ M44 The Nature of Scientific Knowledge : An Explanatory Approach, Cham: Springer International Publishing, 2016</w:t>
      </w:r>
    </w:p>
    <w:p>
      <w:r>
        <w:t>3. 001 Н73 Методология научного исследования : учебно-методическое пособие, А. М. Новиков, Д. А. Новиков, Москва: Либроком, 2010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Исмаилова Лариса Юсифовна,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Рословцев Владимир Владимирович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Вольфенгаген Вячеслав Эрнстович,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Косиков Сергей Владимирович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