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03e60fedbfd4492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ПРОЕКТИРОВАНИЕ КИБЕРНЕТИЧЕСКИХ СИСТЕМ, ОСНОВАННЫХ НА ЗНАНИЯХ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>252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>252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Задачей дисциплины на финальной стадии обучения является интеграция теоретических знаний и инженерных навыков студентов в области создания реальных практических СОЗ. В этих целях в рамках курса наряду с традиционными формами учебных занятий используются новые формы учебной работы студентов, в том числе выполнение каждым студентом с помощью преподавателя выпускной курсовой работы (КРА) в виде создания демонстрационного прототипа некоторой программной системы, например ЭС, содержащей индивидуальную базу знаний усвоенного материала по основам проектирования СОЗ.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учебной дисциплины «Проектирование систем, основанных на знаниях» является ознакомление студентов с теоретическими, методологическими и технологическими  основами построения современных систем, основанных на знаниях и привитие практических навыков построения компонентов интеллектуальных систем, основанных на знаниях (статических экспертных систем) с использованием современных инструментальных средств поддержки разработки. Задачей курса на финальной стадии обучении является интеграция теоретических знаний и инженерных навыков студентов в области создания реальных практических СОЗ. В этих целях в рамках курса наряду с традиционными формами учебных занятий используются новые формы учебной работы студентов, в том числе выполнение каждым студентом с помощью преподавателя выпускной курсовой работы (КРА) в виде создания демонстрационного прототипа некоторой программной системы, например ЭС, содержащей индивидуальную базу знаний усвоенного материала по основам проектирования СОЗ.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предназначена для студентов, уже имеющих начальное образование в рамках дискретной математики, программирования, информационных систем, сетей и др. базовых дисциплин, и ориентирована на формирование профессиональных знаний, умений и навыков по проектированию и использованию интеллектуальных систем в широком классе приложений. 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УК-1	–	Способен осуществлять критический анализ проблемных ситуаций на основе системного подхода, вырабатывать стратегию действий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теории построения статических интеллектуальных систем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технологии построения статических интеллектуальных систем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32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теории построения статических интеллектуальных систем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</w:t>
            </w:r>
            <w:r>
              <w:br/>
            </w:r>
            <w:r>
              <w:rPr/>
              <w:t>Современные направления исследований в области искусственного интеллекта (ИИ): программы решения интеллектуальных задач, нейроподобные структуры, системы, основанные на знаниях, интеллектуальное программирование, прикладные интеллектуальные системы. Структура направлений ИИ, связанных со знаниями: извлечение знаний из различных источников, приобретение знаний от профессионалов, представление знаний, манипулирование знаниями, объяснение на знаниях. Рынок продуктов ИИ. Роль экспертных систем в приросте дохода от продаж продуктов ИИ. Приоритетные фундаментальные и прикладные исследования в области ИИ. Задачи и содержание курса.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2 - 3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Системы, основанные на знаниях (СОЗ) - основные определения и понятия.</w:t>
            </w:r>
            <w:r>
              <w:br/>
            </w:r>
            <w:r>
              <w:rPr/>
              <w:t>Формальные основы СОЗ. Базовая структура СОЗ. Сравнение классической технологии разработки программного обеспечения с технологией разработки программного обеспечения с использованием СОЗ. Различие структур обычной программы и программы ИИ (СОЗ). Сравнительная характеристика традиционной программы и СОЗ. Технология СОЗ (технология инженерия знаний). Экспертные системы (ЭС) - самый распространенный представитель СОЗ. Эволюция терминов.4 неделя. Области приложения СОЗ (системный анализ проблемных областей, для которых разработка СОЗ будет иметь успех).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Области приложения СОЗ (системный анализ проблемных областей, для которых разработка СОЗ будет иметь успех)</w:t>
            </w:r>
            <w:r>
              <w:br/>
            </w:r>
            <w:r>
              <w:rPr/>
              <w:t>Уместность (релевантность) разработки СОЗ. Критерии релевантности. Оправданность разработки СОЗ. Критерии оправданности. Возможность разработки СОЗ. Критерии возможности. Пример разработки фрагмента базы знаний (БЗ), связанного с анализом решаемой задачи на предмет создания СОЗ. Ограничения СОЗ. Соотнесения компетентности человека-эксперта и СОЗ. Пути повышения эффективности создаваемых СОЗ.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Классификация проблемных областей, для которых создаются СОЗ.</w:t>
            </w:r>
            <w:r>
              <w:br/>
            </w:r>
            <w:r>
              <w:rPr/>
              <w:t>Параметры проблемных областей (ПО): состав знаний ПО; тип знаний, описывающих область экспертизы; тип решаемой задачи. Фиксированный и переменный состав знаний. Конкретные и абстрактные знания. Задачи анализа и синтеза. Динамические и статические ПО. Разновидности статических ПО; ПО с фиксированным составом конкретных знаний; ПО с фиксированным составом абстрактных знаний; ПО с переменным составом абстрактных знаний. Классификация СОЗ по характеристикам ПО.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Приобретение знаний в СОЗ.</w:t>
            </w:r>
            <w:r>
              <w:br/>
            </w:r>
            <w:r>
              <w:rPr/>
              <w:t>Методы извлечения экспертных знаний и их формализация. Интервьюирование. Формирование перечня понятий. Составление списка элементарных действий. Составление оглавлений. Интерактивное приобретение базовых понятий. Современные средства автоматизации приобретения знаний: основанные на деревьях решений; базирующиеся на психологических методах (метод репертуарных решеток и др.); использующие модели и методы решения конкретных типов задач; основанные на рассуждениях по прецедентам, индуктивные средства; использующие комбинацию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технологии построения статических интеллектуальных систем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Интегрированные СОЗ.</w:t>
            </w:r>
            <w:r>
              <w:br/>
            </w:r>
            <w:r>
              <w:rPr/>
              <w:t>Понятие интегрированной СОЗ. Интеграция баз данных (БД) и БЗ. Подходы к проблеме связи СОЗ с БД. Слабое сцепление. Сильное сцепление. Достоинства и недостатки двух подходов. Методы реализации механизма сильного сцепления. Пример интегрированной СОЗ. Интеграция СОЗ с гипертекстовыми средствами. Основные свойства и функции. Использование гипертекста в системах общения. Перспективы использования гипертекста в СОЗ. Интеграция СОЗ с пакетами расчетного и графического характера. Проблемы моделирования СОЗ. Обучающие СОЗ.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Характеристика инструментальных средств (ИС) поддержки проектирования СОЗ.</w:t>
            </w:r>
            <w:r>
              <w:br/>
            </w:r>
            <w:r>
              <w:rPr/>
              <w:t>Виды классификации ИС. Классификация ИС по способу представления и обработки знаний: ИС с простыми правилами (правилами без сопоставлений); ИС со структурированными правилами; ИС с гибридными способами представления и обработки знаний. Примеры ИС (отечественных и зарубежных). Критерии выбора ИС. Внутренние и внешние критерии. Применение экспертных оценок для выбора ИС. Статистические методы выбора ИС. Автоматизированные методы выбора ИС. Использование ИС для консультаций по выбору ИС. Пример создания фрагмента БЗ, связанного с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Классификация СОЗ по организации общения с пользователем.</w:t>
            </w:r>
            <w:r>
              <w:br/>
            </w:r>
            <w:r>
              <w:rPr/>
              <w:t>Виды общения пользователя с СОЗ: консультация, приобретение знаний, обучение. Формы общения пользователя СОЗ: естественный язык (ЕЯ), формальный язык, система меню, многооконная графика, строковый ввод, гипертекстовые средства, средства создания и отладки БЗ. Возможности подсистемы объяснений: установка степени помощи, ретроспективные объяснения, встроенные объяснения, гипотетические объяснения. Критерии выбора языка общения конечного пользователя с СОЗ.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Характеристика инструментальных средств (ИС) поддержки проектирования СОЗ</w:t>
            </w:r>
            <w:r>
              <w:br/>
            </w:r>
            <w:r>
              <w:rPr/>
              <w:t>Виды классификации ИС. Классификация ИС по способу представления и обработки знаний: ИС с простыми правилами (правилами без сопоставлений); ИС со структурированными правилами; ИС с гибридными способами представления и обработки знаний. Примеры ИС (отечественных и зарубежных). Критерии выбора ИС. Внутренние и внешние критерии. Применение экспертных оценок для выбора ИС. Статистические методы выбора ИС. Автоматизированные методы выбора ИС. Использование ИС для консультаций по выбору ИС. Пример создания фрагмента БЗ, связанного с анализом решаемой задачи и выбором соответствующего ИС.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Классификация технологий создания СОЗ</w:t>
            </w:r>
            <w:r>
              <w:br/>
            </w:r>
            <w:r>
              <w:rPr/>
              <w:t>Общие понятия технологии (методологии) создания СОЗ. Технология, базирующаяся на поверхностных знаниях о процессе решения. Технология, базирующаяся на структурировании процесса решения. Технология, основанная на использовании глубинных знаний. Характеристика ИС, типичных для каждого подхода. Сравнение трех технологий.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Промышленная технология создания СОЗ</w:t>
            </w:r>
            <w:r>
              <w:br/>
            </w:r>
            <w:r>
              <w:rPr/>
              <w:t>Три фазы промышленной технологии создания СОЗ: фаза проектирования, фаза реализации, фаза внедрения. Понятие жизненного цикла (ЖЦ) СОЗ. Этап исследований выполнимости проекта. Этап разработки общей концепции СОЗ. Этап разработки и тестирования серии прототипов. Этап разработки и испытания головного образца СОЗ. Этап привязки СОЗ к реальной рабочей среде.
</w:t>
            </w:r>
            <w:r>
              <w:br/>
            </w:r>
            <w:r>
              <w:rPr/>
              <w:t>Фаза проектирования: инициализация проекта; формирование группы разработки; определение требований к системе; проведение исследований по выполнимости проекта; разработка общей концепции системы. Фаза разработки: общие соображения по прототипированию, виды стратегий прототипирования, документирование разработки, итеративная разработка серии прототипов и отладка финального прототипа. Фазы внедрения: перенос СОЗ из среды разработка в среду функционирования; отладка системы; доводка до заданных параметров по эффективности функционирования.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Общая характеристика динамических СОЗ.</w:t>
            </w:r>
            <w:r>
              <w:br/>
            </w:r>
            <w:r>
              <w:rPr/>
              <w:t>Особенности архитектуры динамических СОЗ. ИС для динамических СОЗ. Базовая система G2. Особенности технологии построения ЭС реального времени.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Системный анализ проблемной области </w:t>
            </w:r>
            <w:r>
              <w:br/>
            </w:r>
            <w:r>
              <w:rPr/>
              <w:t>Системный анализ проблемной области </w:t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Типы задач для СОЗ</w:t>
            </w:r>
            <w:r>
              <w:br/>
            </w:r>
            <w:r>
              <w:rPr/>
              <w:t>Типы задач для СОЗ</w:t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Приобретение знаний</w:t>
            </w:r>
            <w:r>
              <w:br/>
            </w:r>
            <w:r>
              <w:rPr/>
              <w:t>Приобретение знаний</w:t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Интегрированные СОЗ </w:t>
            </w:r>
            <w:r>
              <w:br/>
            </w:r>
            <w:r>
              <w:rPr/>
              <w:t>Интегрированные СОЗ </w:t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Методология и технология разработки СОЗ</w:t>
            </w:r>
            <w:r>
              <w:br/>
            </w:r>
            <w:r>
              <w:rPr/>
              <w:t>Методология и технология разработки СОЗ</w:t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Выбор ИС для СОЗ</w:t>
            </w:r>
            <w:r>
              <w:br/>
            </w:r>
            <w:r>
              <w:rPr/>
              <w:t>Выбор ИС для СОЗ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и семинарские занятия:</w:t>
      </w:r>
    </w:p>
    <w:p>
      <w:pPr>
        <w:pStyle w:val="a8"/>
      </w:pPr>
      <w:r>
        <w:rPr/>
        <w:t>- учебное пособие по курсу ПКСОЗ,</w:t>
      </w:r>
    </w:p>
    <w:p>
      <w:pPr>
        <w:pStyle w:val="a8"/>
      </w:pPr>
      <w:r>
        <w:rPr/>
        <w:t>- лекционная аудитория.</w:t>
      </w:r>
    </w:p>
    <w:p>
      <w:pPr>
        <w:pStyle w:val="a8"/>
      </w:pPr>
      <w:r>
        <w:rPr/>
        <w:t>2.   Лабораторные занятия:</w:t>
      </w:r>
    </w:p>
    <w:p>
      <w:pPr>
        <w:pStyle w:val="a8"/>
      </w:pPr>
      <w:r>
        <w:rPr/>
        <w:t>- компьютерный класс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 </w:t>
      </w:r>
    </w:p>
    <w:p>
      <w:pPr>
        <w:pStyle w:val="a8"/>
      </w:pPr>
      <w:r>
        <w:rPr/>
        <w:t>Кроме того для проверки знаний и умений магистров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Р93 Основы построения интеллектуальных систем   : учебное пособие, Г. В. Рыбина, Москва: Финансы и статистика; Инфра-М, 2014</w:t>
      </w:r>
    </w:p>
    <w:p>
      <w:r>
        <w:t>2. ЭИ Р93 Технология построения динамических интеллектуальных систем : учебное пособие для вузов, Г. В. Рыбина, С. С. Паронджанов,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Р93 Интеллектуальные системы: от А до Я Кн.1 Системы, основанные на знаниях. Интегрированные экспертные системы, Москва: Научтехлитиздат, 2014</w:t>
      </w:r>
    </w:p>
    <w:p>
      <w:r>
        <w:t>2. 004 Р93 Интеллектуальные системы: от А до Я Кн.2 Интеллектуальные диалоговые системы. Динамические интеллектуальные системы, Москва: Научтехлитиздат, 2015</w:t>
      </w:r>
    </w:p>
    <w:p>
      <w:r>
        <w:t>3. 004 Р93 Интеллектуальные системы: от А до Я Кн.3 Проблемно-специализированные интеллектуальные системы. Инструментальные средства построения интеллектуальных систем. Инструментальные средства построения интеллектуальных систем, Москва: Научтехлитиздат, 2015</w:t>
      </w:r>
    </w:p>
    <w:p>
      <w:r>
        <w:t>4. 004 Р24 Искусственный интеллект : современный подход, С. Рассел, П. Норвиг, М. [и др.]: Вильямс, 2006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 </w:t>
      </w:r>
    </w:p>
    <w:p>
      <w:pPr>
        <w:pStyle w:val="a8"/>
      </w:pPr>
      <w:r>
        <w:rPr/>
        <w:t>Кроме того для проверки знаний и умений магистров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>
      <w:pPr>
        <w:pStyle w:val="a8"/>
      </w:pPr>
      <w:r>
        <w:rPr/>
        <w:t>В качестве методических указаний по изучению разделов дисциплины и успешному прохождению контрольно-тестовых испытаний рекомендуется использование следующей основной литературы:</w:t>
      </w:r>
    </w:p>
    <w:p>
      <w:pPr>
        <w:pStyle w:val="a8"/>
      </w:pPr>
      <w:r>
        <w:rPr/>
        <w:t>1. Рыбина Г.В. Основы построения интеллектуальных систем. М.: Финансы и статистика; ИНФРА-М, 2010. 432 c.</w:t>
      </w:r>
    </w:p>
    <w:p>
      <w:pPr>
        <w:pStyle w:val="a8"/>
      </w:pPr>
      <w:r>
        <w:rPr/>
        <w:t>2. Рыбина Г.В. Теория и технология построения интегрированных экспертных систем. М.: Научтехлитиздат, 2008. 482с.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Рыбина Галина Валентиновна,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