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358cf524ceab4e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СЕМАНТИЧЕСКИ БЕЗОПАСНОЕ ИНФОРМАЦИОННОЕ МОДЕЛИРОВАНИЕ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99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99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«Семантически безопасное информационное моделирование» представляет собой продолжение дисциплины «Методология научного исследования». Знания и навыки оперирования с концептами и семантическими сетями, полученные ранее, углубляются, акцент смещается в сторону моделирования динамики предметной области. Рассматриваются схемы свертывания, на основе которых создаются и поддерживаются системы концептов; приводится построение базовой вычислительной модели индивидов и концептов. Рассматривается способ толкования возникающих динамических эффектов с точки зрения семантического вирусования, включая эквациональную характеристику.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Дисциплина «Семантически безопасное информационное моделирование» развивает и формирует навыки концептуального моделирования предметных областей и семантического моделирования протекающих в них информационных процессов. Изложение ведется на основе сквозного наводящего примера, имеющего достаточно общий характер, при изложении выдерживается принцип использования «вычислительного мышления».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«Семантически безопасное информационное моделирование» относится к вариативной части профессионального цикла и является дисциплиной по выбору.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Дисциплина в базовом варианте не требует предварительной специальной подготовки и может читаться независимо. Но она будет особенно полезна для тех, кто уже знаком с современными проблемами прикладной математики и информатики, а также с идеями, методами и кругом задач современного программирования, включая чисто технологические вопросы.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Предшествующие дисциплины:</w:t>
      </w:r>
    </w:p>
    <w:p>
      <w:pPr>
        <w:pStyle w:val="a8"/>
      </w:pPr>
      <w:r>
        <w:rPr/>
        <w:t>- Методология научных исследований</w:t>
      </w:r>
    </w:p>
    <w:p>
      <w:pPr>
        <w:pStyle w:val="a8"/>
      </w:pPr>
      <w:r>
        <w:rPr/>
        <w:t>- Основы автоматизированных информационных технологий</w:t>
      </w:r>
    </w:p>
    <w:p>
      <w:pPr>
        <w:pStyle w:val="a8"/>
      </w:pPr>
      <w:r>
        <w:rPr/>
        <w:t>- Современные архитектуры интеллектуальных систем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свою очередь дисциплина предоставляет понятийный каркас для изложения методов моделирования информационных и физических процессов, подчеркивая фундаментальную роль информационных процессов в современной картине мира. Рассматриваемые семантические модели составляют основу для моделирования динамики предметных областей для информационных систем и систем, основанных на знаниях. Рассматриваемые модели чувствительны к «информационным траекториям» индивидов и/или концептов. Рассматриваются механизмы выявления и разрешения семантически нестабильных ситуаций, когда, в частности, информационные образы некоторых индивидов становятся неотличимы от информационных образов других индивидов. Кроме того, дисциплина дает безусловную базу для выполнения научно-исследовательской работы (НИР) в областях прикладной математики и информатики. В особенности, понятийный каркас дисциплины может быть плодотворен для области анализа/разработки/применения информационных систем в Веб.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Последующие дисциплины:</w:t>
      </w:r>
    </w:p>
    <w:p>
      <w:pPr>
        <w:pStyle w:val="a8"/>
      </w:pPr>
      <w:r>
        <w:rPr/>
        <w:t>- Семантическое конфигурирование программных систем</w:t>
      </w:r>
    </w:p>
    <w:p>
      <w:pPr>
        <w:pStyle w:val="a8"/>
      </w:pPr>
      <w:r>
        <w:rPr/>
        <w:t>- Конструирование программных систем</w:t>
      </w:r>
    </w:p>
    <w:p>
      <w:pPr>
        <w:pStyle w:val="a8"/>
      </w:pPr>
      <w:r>
        <w:rPr/>
        <w:t>- Абстрактные вычислительные машины</w:t>
      </w:r>
    </w:p>
    <w:p>
      <w:pPr>
        <w:pStyle w:val="a8"/>
      </w:pPr>
      <w:r>
        <w:rPr/>
        <w:t>- Моделирование (корпоративные информационные системы)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Для усвоения курса желательно знакомство с формальными системами и элементами математической логики. Как минимум, необходимо владение представлением об объекте в информатике и о функции в анализе. Более глубокое изучение отдельных элементов курса достигается в дисциплинах: объектное программирование, теория типов, семантическое моделирование, концептуальное моделирование и проектирование, модели данных и др.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ПК-12	–	Способен проектировать вспомогательные и специализированные языки программирования и языки представления данных</w:t>
      </w:r>
    </w:p>
    <w:p w:rsidR="00FC7B70" w:rsidP="00FC7B70" w:rsidRDefault="00FC7B70">
      <w:pPr>
        <w:pStyle w:val="a8"/>
      </w:pPr>
      <w:r>
        <w:rPr/>
        <w:t>ПК-16	–	Владеет навыками создания трансляторов и интерпретаторов языков программирования</w:t>
      </w:r>
    </w:p>
    <w:p w:rsidR="00FC7B70" w:rsidP="00FC7B70" w:rsidRDefault="00FC7B70">
      <w:pPr>
        <w:pStyle w:val="a8"/>
      </w:pPr>
      <w:r>
        <w:rPr/>
        <w:t>ПК-18	–	Владеет навыками создания компонент операционных систем и систем реального времени</w:t>
      </w:r>
    </w:p>
    <w:p w:rsidR="00FC7B70" w:rsidP="00FC7B70" w:rsidRDefault="00FC7B70">
      <w:pPr>
        <w:pStyle w:val="a8"/>
      </w:pPr>
      <w:r>
        <w:rPr/>
        <w:t>ПК-19	–	Владеет навыками создания систем обработки текстов</w:t>
      </w:r>
    </w:p>
    <w:p>
      <w:pPr>
        <w:pStyle w:val="a8"/>
      </w:pPr>
      <w:r>
        <w:rPr/>
        <w:t>- знания:</w:t>
      </w:r>
    </w:p>
    <w:p>
      <w:pPr>
        <w:pStyle w:val="a8"/>
      </w:pPr>
      <w:r>
        <w:rPr/>
        <w:t>на уровне представлений: представление об объектах и их формализмах;  подстановка и принцип свертки; представление о динамике предметной области;</w:t>
      </w:r>
    </w:p>
    <w:p>
      <w:pPr>
        <w:pStyle w:val="a8"/>
      </w:pPr>
      <w:r>
        <w:rPr/>
        <w:t>на уровне воспроизведения: язык описания дескрипций; запись разворачивания событий вдоль эвольвенты;</w:t>
      </w:r>
    </w:p>
    <w:p>
      <w:pPr>
        <w:pStyle w:val="a8"/>
      </w:pPr>
      <w:r>
        <w:rPr/>
        <w:t>на уровне понимания: конструктивы представления предметной области; механизм работы оценивающего отображения; безопасное функционирование сети.</w:t>
      </w:r>
    </w:p>
    <w:p>
      <w:pPr>
        <w:pStyle w:val="a8"/>
      </w:pPr>
      <w:r>
        <w:rPr/>
        <w:t>- умения:</w:t>
      </w:r>
    </w:p>
    <w:p>
      <w:pPr>
        <w:pStyle w:val="a8"/>
      </w:pPr>
      <w:r>
        <w:rPr/>
        <w:t>теоретические: моделирование динамики индивидов на основе их информационного следа; моделирование изменения концептов;</w:t>
      </w:r>
    </w:p>
    <w:p>
      <w:pPr>
        <w:pStyle w:val="a8"/>
      </w:pPr>
      <w:r>
        <w:rPr/>
        <w:t>практические: фиксация изменений индивидов в семантической сети; фиксация изменений концептов в семантической сети;</w:t>
      </w:r>
    </w:p>
    <w:p>
      <w:pPr>
        <w:pStyle w:val="a8"/>
      </w:pPr>
      <w:r>
        <w:rPr/>
        <w:t>навыки: метод семантических сетей в семантическом моделировании предметных областей; применение логико-аппликативных моделей для работы с семантическими конструкциями.</w:t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Семантическое вирусование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к.р-8,ДЗ-8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Динамика предметной обаласти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к.р-15,ДЗ-15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ДЗ</w:t>
            </w:r>
          </w:p>
        </w:tc>
        <w:tc>
          <w:tcPr>
            <w:tcW w:w="9164" w:type="dxa"/>
          </w:tcPr>
          <w:p>
            <w:r>
              <w:rPr/>
              <w:t>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к.р</w:t>
            </w:r>
          </w:p>
        </w:tc>
        <w:tc>
          <w:tcPr>
            <w:tcW w:w="9164" w:type="dxa"/>
          </w:tcPr>
          <w:p>
            <w:r>
              <w:rPr/>
              <w:t>Контрольная работа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>
            <w:r>
              <w:rPr/>
              <w:t>15</w:t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>15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Семантическое вирусование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Принципы свертывания</w:t>
            </w:r>
            <w:r>
              <w:br/>
            </w:r>
            <w:r>
              <w:rPr/>
              <w:t>Тексты и их представления. Понятия. Принятие принципов свертывания.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Семантическая сеть</w:t>
            </w:r>
            <w:r>
              <w:br/>
            </w:r>
            <w:r>
              <w:rPr/>
              <w:t>Представление о динамике предметной области. Задача о «быстром Смите».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Семантическая сеть (продолжение)</w:t>
            </w:r>
            <w:r>
              <w:br/>
            </w:r>
            <w:r>
              <w:rPr/>
              <w:t>Задача о «быстром Смите».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Семантические вирусы и провоцирующие подстановки</w:t>
            </w:r>
            <w:r>
              <w:br/>
            </w:r>
            <w:r>
              <w:rPr/>
              <w:t>Обобщение представления динамики. Провоцирующая подстановка. Безопасное функционирование сети. Семантическое вирусование.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Динамика предметной обаласти</w:t>
            </w:r>
          </w:p>
        </w:tc>
        <w:tc>
          <w:tcPr>
            <w:tcW w:w="850" w:type="dxa"/>
          </w:tcPr>
          <w:p>
            <w:r>
              <w:rPr/>
              <w:t>7</w:t>
            </w:r>
          </w:p>
        </w:tc>
        <w:tc>
          <w:tcPr>
            <w:tcW w:w="1134" w:type="dxa"/>
          </w:tcPr>
          <w:p>
            <w:r>
              <w:rPr/>
              <w:t>7</w:t>
            </w:r>
          </w:p>
        </w:tc>
        <w:tc>
          <w:tcPr>
            <w:tcW w:w="815" w:type="dxa"/>
          </w:tcPr>
          <w:p>
            <w:r>
              <w:rPr/>
              <w:t>7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Представление предметной области</w:t>
            </w:r>
            <w:r>
              <w:br/>
            </w:r>
            <w:r>
              <w:rPr/>
              <w:t>Конструктивы. Свойства и атрибуты. Функциональная схема.  Объекты метаданных.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Эффекты перехода</w:t>
            </w:r>
            <w:r>
              <w:br/>
            </w:r>
            <w:r>
              <w:rPr/>
              <w:t>Переходы состояний. Клонирование. Переход общего вида.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Эффекты перехода (продолжение)</w:t>
            </w:r>
            <w:r>
              <w:br/>
            </w:r>
            <w:r>
              <w:rPr/>
              <w:t>Характеристика объектов. Анализ случаев для переменных объектов. Оценивающее отображение.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3</w:t>
            </w:r>
          </w:p>
        </w:tc>
        <w:tc>
          <w:tcPr>
            <w:tcW w:w="815" w:type="dxa"/>
          </w:tcPr>
          <w:p>
            <w:r>
              <w:rPr/>
              <w:t>3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Семантическое вирусование</w:t>
            </w:r>
            <w:r>
              <w:br/>
            </w:r>
            <w:r>
              <w:rPr/>
              <w:t>Задача о «быстром Смите». Проявления в информационных системах на уровне баз данных. Приемы противодействия и устранения последствий.</w:t>
            </w:r>
          </w:p>
        </w:tc>
      </w:tr>
      <w:tr>
        <w:tc>
          <w:tcPr>
            <w:tcW w:w="973" w:type="dxa"/>
          </w:tcPr>
          <w:p>
            <w:r>
              <w:rPr/>
              <w:t>7 - 15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Динамика предметной области</w:t>
            </w:r>
            <w:r>
              <w:br/>
            </w:r>
            <w:r>
              <w:rPr/>
              <w:t>Аудит действий пользователей; журнал как информационный след индивидов. Смещение концептов, последствия. Попытки охвата смещения средствами БД.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Семантическое вирусование</w:t>
            </w:r>
            <w:r>
              <w:br/>
            </w:r>
            <w:r>
              <w:rPr/>
              <w:t>Понятия (концепты). Принцип свертывания. Задача о «быстром Смите». Подстановки. Провоцирующие подстановки. Семантические вирусы.</w:t>
            </w:r>
          </w:p>
        </w:tc>
      </w:tr>
      <w:tr>
        <w:tc>
          <w:tcPr>
            <w:tcW w:w="973" w:type="dxa"/>
          </w:tcPr>
          <w:p>
            <w:r>
              <w:rPr/>
              <w:t>7 - 15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Динамика предметной области</w:t>
            </w:r>
            <w:r>
              <w:br/>
            </w:r>
            <w:r>
              <w:rPr/>
              <w:t>Описание предметной области. Конструктивы описания. Характеристика объектов. Интерпретация. Конструирование концептов. Диаграммы общего вида.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Методы проведения занятий.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Читаются лекции 1 час в неделю и проводятся семинарские занятия 1 час в неделю, а также лабораторные работы 1 час в неделю. На семинарских занятиях решаются задачи, а также рассматриваются дополнительные, не отраженные в лекциях, вопросы построения новых систем, методов и средств вычислений с объектами. На лабораторных работах иллюстрируются и закрепляются практические навыки применения моделей вычислений.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Формы контроля.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Предусмотрено 2 самостоятельных (контрольных) работы по группам, а также курсовая работа (домашнее задание). Прием работы состоит в показе выполнения домашнего задания, беседы по теории и вопросов по ходу решения задач. Это позволяет контролировать как усвоение теоретического материала, так и уровень овладения практическим решением задач. Итоговым контролем является экзамен, включающий ответы на вопросы и решение задач. При определении итоговой оценки учитываются баллы, полученные студентами в семестре: за контрольные работы; за курсовую работу (домашнее задание); за текущую работу в семестре, включая баллы за работу в семинаре; за выполнение домашних заданий.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Технологические особенности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Технологической особенностью изложения дисциплины является отражение лучших мировых практик преподавания подобных курсов в ведущих университетах мира. Студентам предоставляется возможность и необходимая информация для ознакомления с методами и подходами, относящимися к кругу вопросов дисциплины и применяемыми лучшими преподавателями университетов и учебных центров мира.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частности, для ознакомления, анализа и сопоставления предоставляются ссылки на публично доступный мультимедийный контент и/или электронные формы издания научно-методического материала.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текущих домашних занятий -- ТДЗ), выполнение семестрового домашнего задания по курсу, контрольно-тестовая работа по каждому разделу. Каждый раздел проходит аттестацию.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O-99 Guide to Discrete Mathematics : An Accessible Introduction to the History, Theory, Logic and Applications, Cham: Springer International Publishing, 2016</w:t>
      </w:r>
    </w:p>
    <w:p>
      <w:r>
        <w:t>2. ЭИ Г 96 Дискретная математика : , Москва: КУРС, 2019</w:t>
      </w:r>
    </w:p>
    <w:p>
      <w:r>
        <w:t>3. ЭИ В72 Модели вычислений : , [Москва]: [МИФИ], 2008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И W81 Combinatory logic in programming : Computations with objects through examples and exercises, Wolfengagen V.E., M.: Center JurInfor, 2003</w:t>
      </w:r>
    </w:p>
    <w:p>
      <w:r>
        <w:t>2. 16 В75 Логика : конспект лекций: техника рассуждений, В.Э. Вольфенгаген, М.: Центр ЮрИнфоР, 2004</w:t>
      </w:r>
    </w:p>
    <w:p>
      <w:r>
        <w:t>3. 004 В72 Методы и средства вычислений с объектами : Аппликативные вычислительные системы, В.Э. Вольфенгаген, Москва: JurlnfoR Ltd; ЮрИнфоР-МГУ, 2004</w:t>
      </w:r>
    </w:p>
    <w:p>
      <w:r>
        <w:t>4. 681.3 В72 Категориальная абстрактная машина : Учеб. пособие, Вольфенгаген В.Э., М.: МИФИ, 1993</w:t>
      </w:r>
    </w:p>
    <w:p>
      <w:r>
        <w:t>5. 519 В72 Комбинаторная логика в программировании : (Вычисления с объектами в примерах и задачах): Учеб. пособие, Вольфенгаген В.Э., М.: МИФИ, 1994</w:t>
      </w:r>
    </w:p>
    <w:p>
      <w:r>
        <w:t>6. 519 В72 Аппликативные вычисления на основе комбинаторов и  лямбда-исчисления : Учеб. пособие, Вольфенгаген В.Э., Гольцева Л.В., М.: МИФИ, 1992</w:t>
      </w:r>
    </w:p>
    <w:p>
      <w:r>
        <w:t>7. 007 И49 Экспертные системы на реляционной основе : Учеб. пособие, Илюхин А.А.,Исмаилова Л.Ю.,Шаргатова Э.И., М.: МИФИ, 1990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Исмаилова Лариса Юсифовна,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Рословцев Владимир Владимирович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Вольфенгаген Вячеслав Эрнстович,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Косиков Сергей Владимирович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