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1e27d0acfea8489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ЛАЗЕРНЫХ И ПЛАЗМЕННЫХ ТЕХНОЛОГИЙ</w:t>
      </w:r>
    </w:p>
    <w:p w:rsidR="00010244" w:rsidP="00010244" w:rsidRDefault="00010244">
      <w:pPr>
        <w:jc w:val="center"/>
      </w:pPr>
      <w:r>
        <w:rPr/>
        <w:t>КАФЕДРА ПРИКЛАДНОЙ МАТЕМАТИКИ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ИСКУССТВЕННЫЕ НЕЙРОННЫЕ СЕТИ И КЛЕТОЧНЫЕ АВТОМАТЫ В ЗАДАЧАХ ОБРАБОТКИ ДАННЫХ</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42</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В курсе рассматриваются математические модели искусственных нейронных сетей и клеточных автоматов, приводятся примеры их применения в задачах обработки данных наблюдения из различных областей науки и техники: экспериментальная физика частиц высоких энергий, исследования информационных потоков в компьютерных сетях, построение моделей для исследования механизмов возникновения землетрясений,  изучение структур сильного выгорания двуокиси уранаcпомощью клеточных автоматов, использование клеточных автоматов и нейронных сетей для распознавания редких событий в физике частиц и др.</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«Искусственные нейронные сети и клеточные автоматы в задачах обработки данных» являются: </w:t>
      </w:r>
    </w:p>
    <w:p>
      <w:pPr>
        <w:pStyle w:val="a8"/>
      </w:pPr>
      <w:r>
        <w:rPr/>
        <w:t>• в области обучения  дать базовый объём знаний по используемым в обработке данных математическим методам, в том числе при постановке и решении задач, связанных с инвестированием капитала, с помощью технологий, основанных на математическом моделировании и  подготовить магистра для успешной работы в сфере  профессиональной деятельности, развить универсальную информационную компетентность, способствующую его социальной мобильности и устойчивости на рынке труда.</w:t>
      </w:r>
    </w:p>
    <w:p>
      <w:pPr>
        <w:pStyle w:val="a8"/>
      </w:pPr>
      <w:r>
        <w:rPr/>
        <w:t>• в области воспитания личности сформировать такие социально-личностные качества, как целеустремленность, организованность, трудолюбие, ответственности за конечный результат своей профессиональной деятельности в области информационно-коммуникационных технологий, способности самостоятельно приобретать и применять новые знания и умения.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Учебная дисциплина «Искусственные нейронные сети и клеточные автоматы в задачах обработки данных» относится к дисциплинам вариативной части  математического цикла.</w:t>
      </w:r>
    </w:p>
    <w:p>
      <w:pPr>
        <w:pStyle w:val="a8"/>
      </w:pPr>
      <w:r>
        <w:rPr/>
        <w:t>Курс является составной частью для применения математических методов при обработке данных. В логической последовательности дисциплин, формируемых инструментальную  информационную компетентность, это дисциплина, на которую опираются последующие дисциплины. </w:t>
      </w:r>
    </w:p>
    <w:p>
      <w:pPr>
        <w:pStyle w:val="a8"/>
      </w:pPr>
      <w:r>
        <w:rPr/>
        <w:t>Уровень сложности теоретических и практических заданий полностью соответствует требованиям государственного образовательного стандарта.</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Первый раздел</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к.р-6,</w:t>
            </w:r>
            <w:r>
              <w:br/>
            </w:r>
            <w:r>
              <w:rPr/>
              <w:t>Т-7</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ТвР-14,</w:t>
            </w:r>
            <w:r>
              <w:br/>
            </w:r>
            <w:r>
              <w:rPr/>
              <w:t>Т-15</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15/15/0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Т</w:t>
            </w:r>
          </w:p>
        </w:tc>
        <w:tc>
          <w:tcPr>
            <w:tcW w:w="9164" w:type="dxa"/>
          </w:tcPr>
          <w:p>
            <w:r>
              <w:rPr/>
              <w:t>Тестирование</w:t>
            </w:r>
          </w:p>
        </w:tc>
      </w:tr>
      <w:tr>
        <w:tc>
          <w:tcPr>
            <w:tcW w:w="973" w:type="dxa"/>
          </w:tcPr>
          <w:p>
            <w:r>
              <w:rPr/>
              <w:t>ТвР</w:t>
            </w:r>
          </w:p>
        </w:tc>
        <w:tc>
          <w:tcPr>
            <w:tcW w:w="9164" w:type="dxa"/>
          </w:tcPr>
          <w:p>
            <w:r>
              <w:rPr/>
              <w:t>Творческая работа</w:t>
            </w:r>
          </w:p>
        </w:tc>
      </w:tr>
      <w:tr>
        <w:tc>
          <w:tcPr>
            <w:tcW w:w="973" w:type="dxa"/>
          </w:tcPr>
          <w:p>
            <w:r>
              <w:rPr/>
              <w:t>КИ</w:t>
            </w:r>
          </w:p>
        </w:tc>
        <w:tc>
          <w:tcPr>
            <w:tcW w:w="9164" w:type="dxa"/>
          </w:tcPr>
          <w:p>
            <w:r>
              <w:rPr/>
              <w:t>Контроль по итогам</w:t>
            </w:r>
          </w:p>
        </w:tc>
      </w:tr>
      <w:tr>
        <w:tc>
          <w:tcPr>
            <w:tcW w:w="973" w:type="dxa"/>
          </w:tcPr>
          <w:p>
            <w:r>
              <w:rPr/>
              <w:t>к.р</w:t>
            </w:r>
          </w:p>
        </w:tc>
        <w:tc>
          <w:tcPr>
            <w:tcW w:w="9164" w:type="dxa"/>
          </w:tcPr>
          <w:p>
            <w:r>
              <w:rPr/>
              <w:t>Контрольная работа</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15</w:t>
            </w:r>
          </w:p>
        </w:tc>
        <w:tc>
          <w:tcPr>
            <w:tcW w:w="815" w:type="dxa"/>
          </w:tcPr>
          <w:p>
            <w:r>
              <w:rPr/>
              <w:t>0</w:t>
            </w:r>
          </w:p>
        </w:tc>
      </w:tr>
      <w:tr>
        <w:tc>
          <w:tcPr>
            <w:tcW w:w="973" w:type="dxa"/>
          </w:tcPr>
          <w:p>
            <w:r>
              <w:rPr>
                <w:b/>
              </w:rPr>
              <w:t>1-8</w:t>
            </w:r>
          </w:p>
        </w:tc>
        <w:tc>
          <w:tcPr>
            <w:tcW w:w="6365" w:type="dxa"/>
          </w:tcPr>
          <w:p>
            <w:r>
              <w:rPr>
                <w:b/>
              </w:rPr>
              <w:t>Первый раздел</w:t>
            </w:r>
          </w:p>
        </w:tc>
        <w:tc>
          <w:tcPr>
            <w:tcW w:w="850" w:type="dxa"/>
          </w:tcPr>
          <w:p>
            <w:r>
              <w:rPr/>
              <w:t>8</w:t>
            </w:r>
          </w:p>
        </w:tc>
        <w:tc>
          <w:tcPr>
            <w:tcW w:w="1134" w:type="dxa"/>
          </w:tcPr>
          <w:p>
            <w:r>
              <w:rPr/>
              <w:t>8</w:t>
            </w:r>
          </w:p>
        </w:tc>
        <w:tc>
          <w:tcPr>
            <w:tcW w:w="815" w:type="dxa"/>
          </w:tcPr>
          <w:p>
            <w:r>
              <w:rPr/>
              <w:t/>
            </w:r>
          </w:p>
        </w:tc>
      </w:tr>
      <w:tr>
        <w:tc>
          <w:p>
            <w:r>
              <w:rPr/>
              <w:t>1 - 4</w:t>
            </w:r>
          </w:p>
          <w:tcPr>
            <w:vMerge w:val="restart"/>
            <w:tcW w:w="973" w:type="dxa"/>
          </w:tcPr>
        </w:tc>
        <w:tc>
          <w:p>
            <w:r>
              <w:rPr>
                <w:b/>
              </w:rPr>
              <w:t>Тема 1. Искусственные нейронные сети.</w:t>
            </w:r>
            <w:r>
              <w:br/>
            </w:r>
            <w:r>
              <w:rPr/>
              <w:t>Введение в искусственные нейронные сети (ИНС): а) краткий исторический обзор, б) биологические нейронные сети, в) от биологических сетей к ИНС. Основные понятия: а) модель технического нейрона, а) б) архитектура нейронной сети, в) обучение ИНС. Многослойные сети прямого распространения информации: а) многослойныйперцептрон, б) сети с радиальными базисными функциями, в) некоторые нерешенные проблемы. Самоорганизующиеся карты Кохонена. Сеть Хопфилда: а) ассоциативная память, б) минимизация энергии. Пакеты прикладных программ для обработки данных с помощью искусственных нейронных сетей.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5 - 8</w:t>
            </w:r>
          </w:p>
          <w:tcPr>
            <w:vMerge w:val="restart"/>
            <w:tcW w:w="973" w:type="dxa"/>
          </w:tcPr>
        </w:tc>
        <w:tc>
          <w:p>
            <w:r>
              <w:rPr>
                <w:b/>
              </w:rPr>
              <w:t>Тема 2. Применения искусственных нейронных в задачах обработки данных.   </w:t>
            </w:r>
            <w:r>
              <w:br/>
            </w:r>
            <w:r>
              <w:rPr/>
              <w:t>Идентификация заряженных частиц, регистрируемых детектором переходного излучения, с помощью многослойного перцептрона; сравнение нейросетевого подхода с традиционными статистическими методами и с критерием W(k,n). Об аппроксимации одномерных функций с помощью чебышевской ИНС. Реконструкция случайного процесса (Logisticmap) с помощью двух ИНС (многослойныйперцептрон и чебышевскаянейросеть), сравнениехарактеристик этих сетей. Реконструкция динамического процесса, отвечающего измерениям информационного трафика, с целью воспроизведения информационного потока и оценки размерности процесса. Отбор сигнальных событий с помощью ИНС в  экспериментах физики высоких энергий.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Второй раздел</w:t>
            </w:r>
          </w:p>
        </w:tc>
        <w:tc>
          <w:tcPr>
            <w:tcW w:w="850" w:type="dxa"/>
          </w:tcPr>
          <w:p>
            <w:r>
              <w:rPr/>
              <w:t>7</w:t>
            </w:r>
          </w:p>
        </w:tc>
        <w:tc>
          <w:tcPr>
            <w:tcW w:w="1134" w:type="dxa"/>
          </w:tcPr>
          <w:p>
            <w:r>
              <w:rPr/>
              <w:t>7</w:t>
            </w:r>
          </w:p>
        </w:tc>
        <w:tc>
          <w:tcPr>
            <w:tcW w:w="815" w:type="dxa"/>
          </w:tcPr>
          <w:p>
            <w:r>
              <w:rPr/>
              <w:t/>
            </w:r>
          </w:p>
        </w:tc>
      </w:tr>
      <w:tr>
        <w:tc>
          <w:p>
            <w:r>
              <w:rPr/>
              <w:t>9 - 12</w:t>
            </w:r>
          </w:p>
          <w:tcPr>
            <w:vMerge w:val="restart"/>
            <w:tcW w:w="973" w:type="dxa"/>
          </w:tcPr>
        </w:tc>
        <w:tc>
          <w:p>
            <w:r>
              <w:rPr>
                <w:b/>
              </w:rPr>
              <w:t>Тема 3. Клеточные автоматы. </w:t>
            </w:r>
            <w:r>
              <w:br/>
            </w:r>
            <w:r>
              <w:rPr/>
              <w:t>Введение в клеточные автоматы (КА): а) краткий исторический экскурс; б) устоявшееся определение КА; в) аналогии с природными процессами. Математическое определение КА. Классификация клеточных автоматов: а) классификация по типам поведения; б) тоталистичные КА; в) связанные определения КА; г) свойство обратимости. Простейшие КА. Пространство правил КА. Клеточные автоматы в естественной среде. Некоторые специфичные применения КА. КА в задачах моделирования физических процессов.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13 - 16</w:t>
            </w:r>
          </w:p>
          <w:tcPr>
            <w:vMerge w:val="restart"/>
            <w:tcW w:w="973" w:type="dxa"/>
          </w:tcPr>
        </w:tc>
        <w:tc>
          <w:p>
            <w:r>
              <w:rPr>
                <w:b/>
              </w:rPr>
              <w:t>Тема 4.  Применения клеточных автоматов в задачах обработки данных. </w:t>
            </w:r>
            <w:r>
              <w:br/>
            </w:r>
            <w:r>
              <w:rPr/>
              <w:t>Распознавание траекторий заряженных частиц, регистрируемых координатными детекторами в физике высоких энергий. Математические модели на основе КА для изучения механизмов возникновения землетрясений.  Изучение структур сильного выгорания двуокиси уранаcпомощью клеточных автоматов. Генератор случайных чисел на базе двумерного КА. Клеточный автомат для фильтрации событий, регистрируемых координатными детекторами, от случайного шума. Использование КА и ИНС для распознавания сигнальных событий в физике частиц.</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3</w:t>
            </w:r>
          </w:p>
        </w:tc>
        <w:tc>
          <w:p>
            <w:r>
              <w:rPr/>
              <w:t>3</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реализации программы дисциплины «Искусственные нейронные сети и клеточные автоматы в задачах обработки данных» используются различные образовательные технологии – во время аудиторных занятий (32 часа) занятия проводятся в форме продвинутых лекций и практических (семинарских) занятий. </w:t>
      </w:r>
    </w:p>
    <w:p>
      <w:pPr>
        <w:pStyle w:val="a8"/>
      </w:pPr>
      <w:r>
        <w:rPr/>
        <w:t>Для контроля усвоения студентом разделов данного курса широко используются активные формы, ответы на которые позволяют судить об усвоении студентом данного курса. Самостоятельная работа студентов (13 часов) подразумевает под собой проработку лекционного материала с использованием рекомендуемой литературы.Чтение лекций данной дисциплины сопровождается демонстрацией в лекционной аудитории на экране теоретического материала и многочисленных примеров, подготовленных, в том числе, в виде электронных презентаций. Используютсяактивные и интерактивныеформы проведения занятий: семинары в диалоговом режиме; разбор конкретных ситуаций; публичные доклады с презентациями и их обсуждение в студенческой группе, различные виды групповых дискуссий; электронное тестирование знаний, умений и навыков. Основной формой проведения семинарских занятий является научно-практический семинар, в рамках которого студенты пишут рефераты, на базе лучших из которых  готовят материалы для публикаций на Международных научных и научно - практических конференциях, а также в научных периодических журналах.</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Ч-45 Применение искусственных нейронных сетей и системы остаточных классов в криптографии : учебное пособие, Москва: Физматлит, 2012</w:t>
      </w:r>
    </w:p>
    <w:p>
      <w:r>
        <w:t>2. 004 Г16 Нейронные сети: основы теории : , А. И. Галушкин, Москва: Горячая линия-Телеком, 2010</w:t>
      </w:r>
    </w:p>
    <w:p w:rsidR="005300F8" w:rsidP="005300F8" w:rsidRDefault="005300F8"/>
    <w:p w:rsidR="005300F8" w:rsidP="005300F8" w:rsidRDefault="005300F8">
      <w:r>
        <w:t>ДОПОЛНИТЕЛЬНАЯ ЛИТЕРАТУРА:</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Иванов Виктор Владимирович, д.ф.-м.н.,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д.ф.-м.н., профессор Крянев А.В.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