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27ffd28bfb28491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МАТЕМАТИЧЕСКОЕ МОДЕЛИРОВАНИЕ С ИСПОЛЬЗОВАНИЕМ ПАКЕТОВ ПРИКЛАДНЫХ ПРОГРАММ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30</w:t>
            </w:r>
          </w:p>
        </w:tc>
        <w:tc>
          <w:tcPr>
            <w:tcW w:w="957" w:type="dxa"/>
          </w:tcPr>
          <w:p w:rsidR="00F66786" w:rsidRDefault="00F66786">
            <w:r>
              <w:rPr/>
              <w:t>27</w:t>
            </w:r>
          </w:p>
        </w:tc>
        <w:tc>
          <w:tcPr>
            <w:tcW w:w="957" w:type="dxa"/>
          </w:tcPr>
          <w:p w:rsidR="00F66786" w:rsidRDefault="00F66786">
            <w:r>
              <w:rPr/>
              <w:t>0</w:t>
            </w:r>
          </w:p>
        </w:tc>
        <w:tc>
          <w:tcPr>
            <w:tcW w:w="957" w:type="dxa"/>
          </w:tcPr>
          <w:p w:rsidR="00F66786" w:rsidRDefault="00F66786">
            <w:r>
              <w:rPr/>
              <w:t>Э  КП</w:t>
            </w:r>
          </w:p>
        </w:tc>
      </w:tr>
    </w:tbl>
    <w:p w:rsidR="0019056A" w:rsidRDefault="0019056A"/>
    <w:p w:rsidRPr="00305144" w:rsidR="00F66786" w:rsidP="00305144" w:rsidRDefault="00F66786">
      <w:pPr>
        <w:pStyle w:val="aa"/>
      </w:pPr>
      <w:r w:rsidRPr="00305144">
        <w:br w:type="page"/>
        <w:t>АННОТАЦИЯ</w:t>
      </w:r>
    </w:p>
    <w:p>
      <w:pPr>
        <w:pStyle w:val="a8"/>
      </w:pPr>
      <w:r>
        <w:rPr/>
        <w:t>Семестровый курс «Математическое моделирование с использованием пакетов прикладных программ», читаемый магистрам кафедры «Прикладная математика» НИЯУ «МИФИ» является ознакомлением с современными методами пространственного гидродинамического и теплового анализа на примере простейших численных моделей с использованием свободного программного обеспечения SALOME, OpenFOAM и ParaView. В результате освоения курса слушатели изучат основных понятий, инструментов и алгоритмов работы свободных пакетов. Получат  базовых навыков по проведению математического моделирования в задачах механики сплошной среды с использованием пакетов прикладных программ.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«Математическое моделирование с использованием пакетов прикладных программ»  является наглядное знакомство студентов с несколькими пакетами прикладного программного обеспечения используемого при проведении математического моделирования, достаточного для успешного и более основательного изучения современного прикладного программного обеспечения. </w:t>
      </w:r>
    </w:p>
    <w:p>
      <w:pPr>
        <w:pStyle w:val="a8"/>
      </w:pPr>
      <w:r>
        <w:rPr/>
        <w:t>По окончании курса студенты получат навыки и знания по: эффективному использованию инструментария пакетов прикладных программ для выполнении основного цикла расчетов — от подготовки исходных данных до обработки результатов; проведению простейших гидродинамических и тепловых расчетов; подготовке геометрии расчетных областей и генерации сеток в среде SALOME; подготовке расчетной модели, проведению и мониторингу расчета в OpenFOAM; визуализации результатов в ParaView</w:t>
      </w:r>
    </w:p>
    <w:p>
      <w:pPr>
        <w:pStyle w:val="a8"/>
      </w:pPr>
      <w:r>
        <w:rPr/>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логически и содержательно-методически связана с материалами следующих дисциплин, читаемых студентам физико-математических специальностей: программирование, численные методы, вычислительная математика, уравнения математической физики.</w:t>
      </w:r>
    </w:p>
    <w:p>
      <w:pPr>
        <w:pStyle w:val="a8"/>
      </w:pPr>
      <w:r>
        <w:rPr/>
        <w:t>Для успешного освоения дисциплины от студентов требуются базовые знания по курсам программированию. При изучении примеров моделирования механики сплошной среды предполагается, что студенты имеют представление об основах классической механики, механики сплошных сред, электродинамики, термодинамики и дифференциального и интегрального исчисления.</w:t>
      </w:r>
    </w:p>
    <w:p>
      <w:pPr>
        <w:pStyle w:val="a8"/>
      </w:pPr>
      <w:r>
        <w:rPr/>
        <w:t>Полученные в результате освоения данной дисциплины навыки и знания могут  использоваться, при подготовке дипломных проектов, при проведении научно-поисковых исследований.</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Кл-8</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ДЗ-15</w:t>
            </w:r>
          </w:p>
        </w:tc>
        <w:tc>
          <w:tcPr>
            <w:tcW w:w="1047" w:type="dxa"/>
          </w:tcPr>
          <w:p>
            <w:pPr>
              <w:pStyle w:val="a8"/>
              <w:ind w:firstLine="0"/>
            </w:pPr>
            <w:r>
              <w:rPr/>
              <w:t>КИ-15</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15/0/30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КП</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Кл</w:t>
            </w:r>
          </w:p>
        </w:tc>
        <w:tc>
          <w:tcPr>
            <w:tcW w:w="9164" w:type="dxa"/>
          </w:tcPr>
          <w:p>
            <w:r>
              <w:rPr/>
              <w:t>Коллоквиум</w:t>
            </w:r>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r>
        <w:tc>
          <w:tcPr>
            <w:tcW w:w="973" w:type="dxa"/>
          </w:tcPr>
          <w:p>
            <w:r>
              <w:rPr/>
              <w:t>КП</w:t>
            </w:r>
          </w:p>
        </w:tc>
        <w:tc>
          <w:tcPr>
            <w:tcW w:w="9164" w:type="dxa"/>
          </w:tcPr>
          <w:p>
            <w:r>
              <w:rPr/>
              <w:t>Курсовой проект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0</w:t>
            </w:r>
          </w:p>
        </w:tc>
        <w:tc>
          <w:tcPr>
            <w:tcW w:w="815" w:type="dxa"/>
          </w:tcPr>
          <w:p>
            <w:r>
              <w:rPr/>
              <w:t>30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
            </w:r>
          </w:p>
        </w:tc>
        <w:tc>
          <w:tcPr>
            <w:tcW w:w="815" w:type="dxa"/>
          </w:tcPr>
          <w:p>
            <w:r>
              <w:rPr/>
              <w:t>16</w:t>
            </w:r>
          </w:p>
        </w:tc>
      </w:tr>
      <w:tr>
        <w:tc>
          <w:p>
            <w:r>
              <w:rPr/>
              <w:t>1</w:t>
            </w:r>
          </w:p>
          <w:tcPr>
            <w:vMerge w:val="restart"/>
            <w:tcW w:w="973" w:type="dxa"/>
          </w:tcPr>
        </w:tc>
        <w:tc>
          <w:p>
            <w:r>
              <w:rPr>
                <w:b/>
              </w:rPr>
              <w:t>Тема 1. Введение</w:t>
            </w:r>
            <w:r>
              <w:br/>
            </w:r>
            <w:r>
              <w:rPr/>
              <w:t>Примеры задач механики сплошной среды (МСС).
</w:t>
            </w:r>
            <w:r>
              <w:br/>
            </w:r>
            <w:r>
              <w:rPr/>
              <w:t>Алгоритм процесса решения задач механики сплошной среды.
</w:t>
            </w:r>
            <w:r>
              <w:br/>
            </w:r>
            <w:r>
              <w:rPr/>
              <w:t>Примеры пакетных решений.
</w:t>
            </w:r>
            <w:r>
              <w:br/>
            </w:r>
            <w:r>
              <w:rPr/>
              <w:t>Свободное программное обеспечение (СПО) для задач МСС.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2 - 4</w:t>
            </w:r>
          </w:p>
          <w:tcPr>
            <w:vMerge w:val="restart"/>
            <w:tcW w:w="973" w:type="dxa"/>
          </w:tcPr>
        </w:tc>
        <w:tc>
          <w:p>
            <w:r>
              <w:rPr>
                <w:b/>
              </w:rPr>
              <w:t>Тема 2. OpenFOAM – математическое моделирование МСС</w:t>
            </w:r>
            <w:r>
              <w:br/>
            </w:r>
            <w:r>
              <w:rPr/>
              <w:t>Основные принципы.
</w:t>
            </w:r>
            <w:r>
              <w:br/>
            </w:r>
            <w:r>
              <w:rPr/>
              <w:t>Системное окружение OpenFOAM. 
</w:t>
            </w:r>
            <w:r>
              <w:br/>
            </w:r>
            <w:r>
              <w:rPr/>
              <w:t>Файловая структура пакета.
</w:t>
            </w:r>
            <w:r>
              <w:br/>
            </w:r>
            <w:r>
              <w:rPr/>
              <w:t>Формат хранения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5 - 7</w:t>
            </w:r>
          </w:p>
          <w:tcPr>
            <w:vMerge w:val="restart"/>
            <w:tcW w:w="973" w:type="dxa"/>
          </w:tcPr>
        </w:tc>
        <w:tc>
          <w:p>
            <w:r>
              <w:rPr>
                <w:b/>
              </w:rPr>
              <w:t>Тема 3. Salome – CAD/CAE интегрированная платформа</w:t>
            </w:r>
            <w:r>
              <w:br/>
            </w:r>
            <w:r>
              <w:rPr/>
              <w:t>Поверхностный обзор возможностей Salome/
</w:t>
            </w:r>
            <w:r>
              <w:br/>
            </w:r>
            <w:r>
              <w:rPr/>
              <w:t>Основной интерфейс
</w:t>
            </w:r>
            <w:r>
              <w:br/>
            </w:r>
            <w:r>
              <w:rPr/>
              <w:t>Трехмерное моделирование, подготовка геометрии.
</w:t>
            </w:r>
            <w:r>
              <w:br/>
            </w:r>
            <w:r>
              <w:rPr/>
              <w:t>Генерация сетки. Создание структурированных и неструктурированных сеток.
</w:t>
            </w:r>
            <w:r>
              <w:br/>
            </w:r>
            <w:r>
              <w:rPr/>
              <w:t>Контроль качества расчетных сеток. Визуализация.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4. Paraview – визуализация результатов моделирования</w:t>
            </w:r>
            <w:r>
              <w:br/>
            </w:r>
            <w:r>
              <w:rPr/>
              <w:t>Конвейер визуализации.
</w:t>
            </w:r>
            <w:r>
              <w:br/>
            </w:r>
            <w:r>
              <w:rPr/>
              <w:t>Панель управления объектом.
</w:t>
            </w:r>
            <w:r>
              <w:br/>
            </w:r>
            <w:r>
              <w:rPr/>
              <w:t>Панель отображения.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7</w:t>
            </w:r>
          </w:p>
        </w:tc>
        <w:tc>
          <w:tcPr>
            <w:tcW w:w="1134" w:type="dxa"/>
          </w:tcPr>
          <w:p>
            <w:r>
              <w:rPr/>
              <w:t/>
            </w:r>
          </w:p>
        </w:tc>
        <w:tc>
          <w:tcPr>
            <w:tcW w:w="815" w:type="dxa"/>
          </w:tcPr>
          <w:p>
            <w:r>
              <w:rPr/>
              <w:t>14</w:t>
            </w:r>
          </w:p>
        </w:tc>
      </w:tr>
      <w:tr>
        <w:tc>
          <w:p>
            <w:r>
              <w:rPr/>
              <w:t>9</w:t>
            </w:r>
          </w:p>
          <w:tcPr>
            <w:vMerge w:val="restart"/>
            <w:tcW w:w="973" w:type="dxa"/>
          </w:tcPr>
        </w:tc>
        <w:tc>
          <w:p>
            <w:r>
              <w:rPr>
                <w:b/>
              </w:rPr>
              <w:t>Тема 4. Paraview – визуализация результатов моделирования</w:t>
            </w:r>
            <w:r>
              <w:br/>
            </w:r>
            <w:r>
              <w:rPr/>
              <w:t>Основная панель, использование фильтров.
</w:t>
            </w:r>
            <w:r>
              <w:br/>
            </w:r>
            <w:r>
              <w:rPr/>
              <w:t>Практика применения: визуализация скалярного поля, визуализация векторного поля, интерполяция, визуализация линий тока. Графики распределения вдоль направлений.
</w:t>
            </w:r>
            <w:r>
              <w:br/>
            </w:r>
            <w:r>
              <w:rPr/>
              <w:t>Анализ результатов.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10 - 16</w:t>
            </w:r>
          </w:p>
          <w:tcPr>
            <w:vMerge w:val="restart"/>
            <w:tcW w:w="973" w:type="dxa"/>
          </w:tcPr>
        </w:tc>
        <w:tc>
          <w:p>
            <w:r>
              <w:rPr>
                <w:b/>
              </w:rPr>
              <w:t>Тема 5. Работа с пакетами OpenFOAM и Paraview на основе готовых примеров.</w:t>
            </w:r>
            <w:r>
              <w:br/>
            </w:r>
            <w:r>
              <w:rPr/>
              <w:t>Расчет поля напряжения в пластине.
</w:t>
            </w:r>
            <w:r>
              <w:br/>
            </w:r>
            <w:r>
              <w:rPr/>
              <w:t>Несжимаемое течение в каверне.
</w:t>
            </w:r>
            <w:r>
              <w:br/>
            </w:r>
            <w:r>
              <w:rPr/>
              <w:t>Турбулентное течение за обратным уступом.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проводятся в традиционной форме с использованием мультимедийного проектора и/или интерактивной доски. На лабораторных работах и при выполнении домашних заданий стеденты используют персональный компьютеры. Обсуждение результатов математического моделирования проводится в интерактивной форме дискуссии и предполагает активное участие студентов. Обязательным требованием является самостоятельная работа студентов, выполнение индивидуальных заданий, работа с литературой.</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В 67 Вычислительные технологии в задачах механики жидкости и газа : , Москва: Физматлит, 2012</w:t>
      </w:r>
    </w:p>
    <w:p>
      <w:r>
        <w:t>2. ЭИ О-56 Лекции и упражнения по многосеточным методам : , Москва: Физматлит, 2005</w:t>
      </w:r>
    </w:p>
    <w:p>
      <w:r>
        <w:t>3. ЭИ М 30 Методы вычислительной математики : учебное пособие, Санкт-Петербург: Лань, 2009</w:t>
      </w:r>
    </w:p>
    <w:p>
      <w:r>
        <w:t>4. ЭИ М 29 Многосеточная технология: теория и приложения : , Москва: Физматлит, 2016</w:t>
      </w:r>
    </w:p>
    <w:p>
      <w:r>
        <w:t>5. ЭИ Т 51 Прикладная газовая динамика. Численные методы решения гиперболических систем уравнений : учебное пособие, Санкт-Петербург: Лань, 2019</w:t>
      </w:r>
    </w:p>
    <w:p w:rsidR="005300F8" w:rsidP="005300F8" w:rsidRDefault="005300F8"/>
    <w:p w:rsidR="005300F8" w:rsidP="005300F8" w:rsidRDefault="005300F8">
      <w:r>
        <w:t>ДОПОЛНИТЕЛЬНАЯ ЛИТЕРАТУРА:</w:t>
      </w:r>
    </w:p>
    <w:p>
      <w:r>
        <w:t>1. ЭИ M90 The Finite Volume Method in Computational Fluid Dynamics : An Advanced Introduction with OpenFOAM® and Matlab, Cham: Springer International Publishing, 2016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Чмыхов Михаил Александрович, к.ф.-м.н.,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доцент Климанов С.Г.</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