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f980d2f829464f7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НАУЧНЫЙ СЕМИНАР ПО ПРИКЛАДНОЙ МАТЕМАТИКЕ</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0</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Курс направлен на выработку навыков работы с научной литературой и умений выступать с докладами на математическую тематику. Рассматривается широкий круг задач математики и механики, в каждой из которых используются свои техники и методики решения. Рассматриваются задачи, раскрывающие особенности, характерные для отдельно взятого раздела математики. </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«Научный семинар по прикладной математике (на английском языке)» являются: получение студентами навыка подготовки докладов, освоение студентами принципов работы с литературой, расширение математического кругозора.</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Курс опирается на материал следующих дисциплин, читаемых студентам физико-математических специальностей: математика, математический анализ, линейная алгебра, геометрия, аналитическая геометрия, обыкновенные дифференциальные уравнения, теория функций комплексного переменного.</w:t>
      </w:r>
    </w:p>
    <w:p>
      <w:pPr>
        <w:pStyle w:val="a8"/>
      </w:pPr>
      <w:r>
        <w:rPr/>
        <w:t>Для успешного освоения дисциплины необходимы знания по дифференциальным уравнениям, вариационному исчислению. Необходимо уметь работать с матрицами, решать дифференциальные уравнения. Также необходимо владеть английским языком на уровне не ниже B2.</w:t>
      </w:r>
    </w:p>
    <w:p>
      <w:pPr>
        <w:pStyle w:val="a8"/>
      </w:pPr>
      <w:r>
        <w:rPr/>
        <w:t>Полученные знания используются во всем объеме математических дисциплин специализации.</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Дкл-8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Дкл-15</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0/30/0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Дкл</w:t>
            </w:r>
          </w:p>
        </w:tc>
        <w:tc>
          <w:tcPr>
            <w:tcW w:w="9164" w:type="dxa"/>
          </w:tcPr>
          <w:p>
            <w:r>
              <w:rPr/>
              <w:t>Доклад</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0</w:t>
            </w:r>
          </w:p>
        </w:tc>
        <w:tc>
          <w:tcPr>
            <w:tcW w:w="1134" w:type="dxa"/>
          </w:tcPr>
          <w:p>
            <w:r>
              <w:rPr/>
              <w:t>30</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
            </w:r>
          </w:p>
        </w:tc>
        <w:tc>
          <w:tcPr>
            <w:tcW w:w="1134" w:type="dxa"/>
          </w:tcPr>
          <w:p>
            <w:r>
              <w:rPr/>
              <w:t>15</w:t>
            </w:r>
          </w:p>
        </w:tc>
        <w:tc>
          <w:tcPr>
            <w:tcW w:w="815" w:type="dxa"/>
          </w:tcPr>
          <w:p>
            <w:r>
              <w:rPr/>
              <w:t/>
            </w:r>
          </w:p>
        </w:tc>
      </w:tr>
      <w:tr>
        <w:tc>
          <w:p>
            <w:r>
              <w:rPr/>
              <w:t>1 - 8</w:t>
            </w:r>
          </w:p>
          <w:tcPr>
            <w:vMerge w:val="restart"/>
            <w:tcW w:w="973" w:type="dxa"/>
          </w:tcPr>
        </w:tc>
        <w:tc>
          <w:p>
            <w:r>
              <w:rPr>
                <w:b/>
              </w:rPr>
              <w:t>Тема 1 </w:t>
            </w:r>
            <w:r>
              <w:br/>
            </w:r>
            <w:r>
              <w:rPr/>
              <w:t>Выбор и подготовка доклада по тематике из области прикладной математики и информатики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Второй раздел</w:t>
            </w:r>
          </w:p>
        </w:tc>
        <w:tc>
          <w:tcPr>
            <w:tcW w:w="850" w:type="dxa"/>
          </w:tcPr>
          <w:p>
            <w:r>
              <w:rPr/>
              <w:t/>
            </w:r>
          </w:p>
        </w:tc>
        <w:tc>
          <w:tcPr>
            <w:tcW w:w="1134" w:type="dxa"/>
          </w:tcPr>
          <w:p>
            <w:r>
              <w:rPr/>
              <w:t>15</w:t>
            </w:r>
          </w:p>
        </w:tc>
        <w:tc>
          <w:tcPr>
            <w:tcW w:w="815" w:type="dxa"/>
          </w:tcPr>
          <w:p>
            <w:r>
              <w:rPr/>
              <w:t/>
            </w:r>
          </w:p>
        </w:tc>
      </w:tr>
      <w:tr>
        <w:tc>
          <w:p>
            <w:r>
              <w:rPr/>
              <w:t>9 - 16</w:t>
            </w:r>
          </w:p>
          <w:tcPr>
            <w:vMerge w:val="restart"/>
            <w:tcW w:w="973" w:type="dxa"/>
          </w:tcPr>
        </w:tc>
        <w:tc>
          <w:p>
            <w:r>
              <w:rPr>
                <w:b/>
              </w:rPr>
              <w:t>Тема 2</w:t>
            </w:r>
            <w:r>
              <w:br/>
            </w:r>
            <w:r>
              <w:rPr/>
              <w:t>Выбор и подготовка доклада по тематике из области прикладной математики и информатики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15</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В течение семестра студенты делают доклады по предложенным темам. При подготовке к докладу студенты осваивают новые методы и техники решения задач, учатся работать с научной литературой. При обсуждении докладов могут использоваться презентации. При выступлении с докладом все основные математические выкладки проводятся на доске.</w:t>
      </w:r>
    </w:p>
    <w:p>
      <w:pPr>
        <w:pStyle w:val="a8"/>
      </w:pPr>
      <w:r>
        <w:rPr/>
        <w:t>В процессе обучения предусматривается широкое использование в учебном процессе активных и интерактивных форм проведения занятий: адресация аудитории вопросов и коллективный поиск ответов на них в форме дискуссий.</w:t>
      </w:r>
    </w:p>
    <w:p>
      <w:pPr>
        <w:pStyle w:val="a8"/>
      </w:pPr>
      <w:r>
        <w:rPr/>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517 П 56 Обыкновенные дифференциальные уравнения : учебник, Москва: Ленанд, 2019</w:t>
      </w:r>
    </w:p>
    <w:p>
      <w:r>
        <w:t>2. ЭИ Х 38 Обыкновенные дифференциальные уравнения, вариационное исчисление, основы специальных функций и интегральных уравнений : учебное пособие, Санкт-Петербург: Лань, 2017</w:t>
      </w:r>
    </w:p>
    <w:p>
      <w:r>
        <w:t>3. 517 К 78 Теория функций комплексной переменной : методы решения задач, Москва: URSS, 2017</w:t>
      </w:r>
    </w:p>
    <w:p w:rsidR="005300F8" w:rsidP="005300F8" w:rsidRDefault="005300F8"/>
    <w:p w:rsidR="005300F8" w:rsidP="005300F8" w:rsidRDefault="005300F8">
      <w:r>
        <w:t>ДОПОЛНИТЕЛЬНАЯ ЛИТЕРАТУРА:</w:t>
      </w:r>
    </w:p>
    <w:p>
      <w:r>
        <w:t>1. ЭИ П 30 Лекции по теории обыкновенных дифференциальных уравнений : учебное пособие, Москва: Физматлит, 2009</w:t>
      </w:r>
    </w:p>
    <w:p>
      <w:r>
        <w:t>2. ЭИ С18 Методы решения линейных дифференциальных уравнений и систем с постоянными коэффициентами : , Москва: НИЯУ МИФИ, 2013</w:t>
      </w:r>
    </w:p>
    <w:p>
      <w:r>
        <w:t>3. ЭИ А 13 Элементы вариационного исчисления и оптимального управления. Теория, задачи, индивидуальные задания : учебное пособие, Санкт-Петербург: Лань, 2014</w:t>
      </w:r>
    </w:p>
    <w:p>
      <w:r>
        <w:t>4. 517 Д30 Лекции по математической теории устойчивости : учебное пособие, Б. П. Демидович, Санкт-Петербург [и др.]: Лань, 2008</w:t>
      </w:r>
    </w:p>
    <w:p>
      <w:r>
        <w:t>5. 517 К27 Обыкновенные дифференциальные уравнения и основы вариационного исчисления : , Карташев А.П.,Рождественский Б.Л., М.: Наука, 1986</w:t>
      </w:r>
    </w:p>
    <w:p>
      <w:r>
        <w:t>6. 517 К93 Курс лекций по обыкновенным дифференциальным уравнениям : учебное пособие для вузов, Т. И. Бухарова [и др.], Москва: НИЯУ МИФИ, 2011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Кудряшов Николай Алексеевич,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