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a1227ae56c4a4ed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НАУЧНЫЙ СЕМИНАР</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3</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112</w:t>
            </w:r>
          </w:p>
        </w:tc>
        <w:tc>
          <w:tcPr>
            <w:tcW w:w="957" w:type="dxa"/>
          </w:tcPr>
          <w:p w:rsidR="00F66786" w:rsidRDefault="00F66786">
            <w:r>
              <w:rPr/>
              <w:t>0</w:t>
            </w:r>
          </w:p>
        </w:tc>
        <w:tc>
          <w:tcPr>
            <w:tcW w:w="957" w:type="dxa"/>
          </w:tcPr>
          <w:p w:rsidR="00F66786" w:rsidRDefault="00F66786">
            <w:r>
              <w:rPr/>
              <w:t>Э  КП</w:t>
            </w:r>
          </w:p>
        </w:tc>
      </w:tr>
    </w:tbl>
    <w:p w:rsidR="0019056A" w:rsidRDefault="0019056A"/>
    <w:p w:rsidRPr="00305144" w:rsidR="00F66786" w:rsidP="00305144" w:rsidRDefault="00F66786">
      <w:pPr>
        <w:pStyle w:val="aa"/>
      </w:pPr>
      <w:r w:rsidRPr="00305144">
        <w:br w:type="page"/>
        <w:t>АННОТАЦИЯ</w:t>
      </w:r>
    </w:p>
    <w:p>
      <w:pPr>
        <w:pStyle w:val="a8"/>
      </w:pPr>
      <w:r>
        <w:rPr/>
        <w:t>Курс направлен на выработку навыков работы с научной литературой и умений выступать с докладами на математическую тематику. Студенты приобретают навыки педагогической практики во время выступлений и ответов на вопросы. Рассматривается круг задач по выбранной тематике, который помогает в закреплении у студентов навыков по применению теоретических и практических знаний, приобретенных ранее.</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«Научный семинар» являются: закрепление у студентов навыка подготовки докладов, развитие педагогических навыков, выступлений на научных семинарах.</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Курс опирается на материал следующих дисциплин, читаемых студентам физико-математических специальностей: аналитические свойства нелинейных дифференциальных уравнений, нелинейные математические модели (на английском языке), численные методы решения задач математической физики на неортогональных сетках.</w:t>
      </w:r>
    </w:p>
    <w:p>
      <w:pPr>
        <w:pStyle w:val="a8"/>
      </w:pPr>
      <w:r>
        <w:rPr/>
        <w:t>Для успешного освоения дисциплины необходимы знания по дифференциальным уравнениям, вариационному исчислению, численным методам. Необходимо уметь работать с матрицами, решать дифференциальные уравнения.</w:t>
      </w:r>
    </w:p>
    <w:p>
      <w:pPr>
        <w:pStyle w:val="a8"/>
      </w:pPr>
      <w:r>
        <w:rPr/>
        <w:t>Полученные знания используются во всем объеме математических дисциплин специализации.</w:t>
      </w:r>
    </w:p>
    <w:p>
      <w:pPr>
        <w:pStyle w:val="a8"/>
      </w:pPr>
      <w:r>
        <w:rPr/>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ТвР-8</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ТвР-16</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0/32/0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КП</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ТвР</w:t>
            </w:r>
          </w:p>
        </w:tc>
        <w:tc>
          <w:tcPr>
            <w:tcW w:w="9164" w:type="dxa"/>
          </w:tcPr>
          <w:p>
            <w:r>
              <w:rPr/>
              <w:t>Творческая работа</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r>
        <w:tc>
          <w:tcPr>
            <w:tcW w:w="973" w:type="dxa"/>
          </w:tcPr>
          <w:p>
            <w:r>
              <w:rPr/>
              <w:t>КП</w:t>
            </w:r>
          </w:p>
        </w:tc>
        <w:tc>
          <w:tcPr>
            <w:tcW w:w="9164" w:type="dxa"/>
          </w:tcPr>
          <w:p>
            <w:r>
              <w:rPr/>
              <w:t>Курсовой проект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3 Семестр</w:t>
            </w:r>
          </w:p>
        </w:tc>
        <w:tc>
          <w:tcPr>
            <w:tcW w:w="850" w:type="dxa"/>
          </w:tcPr>
          <w:p>
            <w:r>
              <w:rPr/>
              <w:t>0</w:t>
            </w:r>
          </w:p>
        </w:tc>
        <w:tc>
          <w:tcPr>
            <w:tcW w:w="1134" w:type="dxa"/>
          </w:tcPr>
          <w:p>
            <w:r>
              <w:rPr/>
              <w:t>32</w:t>
            </w:r>
          </w:p>
        </w:tc>
        <w:tc>
          <w:tcPr>
            <w:tcW w:w="815" w:type="dxa"/>
          </w:tcPr>
          <w:p>
            <w:r>
              <w:rPr/>
              <w:t>0</w:t>
            </w:r>
          </w:p>
        </w:tc>
      </w:tr>
      <w:tr>
        <w:tc>
          <w:tcPr>
            <w:tcW w:w="973" w:type="dxa"/>
          </w:tcPr>
          <w:p>
            <w:r>
              <w:rPr>
                <w:b/>
              </w:rPr>
              <w:t>1-8</w:t>
            </w:r>
          </w:p>
        </w:tc>
        <w:tc>
          <w:tcPr>
            <w:tcW w:w="6365" w:type="dxa"/>
          </w:tcPr>
          <w:p>
            <w:r>
              <w:rPr>
                <w:b/>
              </w:rPr>
              <w:t>Первый раздел</w:t>
            </w:r>
          </w:p>
        </w:tc>
        <w:tc>
          <w:tcPr>
            <w:tcW w:w="850" w:type="dxa"/>
          </w:tcPr>
          <w:p>
            <w:r>
              <w:rPr/>
              <w:t/>
            </w:r>
          </w:p>
        </w:tc>
        <w:tc>
          <w:tcPr>
            <w:tcW w:w="1134" w:type="dxa"/>
          </w:tcPr>
          <w:p>
            <w:r>
              <w:rPr/>
              <w:t>16</w:t>
            </w:r>
          </w:p>
        </w:tc>
        <w:tc>
          <w:tcPr>
            <w:tcW w:w="815" w:type="dxa"/>
          </w:tcPr>
          <w:p>
            <w:r>
              <w:rPr/>
              <w:t/>
            </w:r>
          </w:p>
        </w:tc>
      </w:tr>
      <w:tr>
        <w:tc>
          <w:p>
            <w:r>
              <w:rPr/>
              <w:t>1 - 8</w:t>
            </w:r>
          </w:p>
          <w:tcPr>
            <w:vMerge w:val="restart"/>
            <w:tcW w:w="973" w:type="dxa"/>
          </w:tcPr>
        </w:tc>
        <w:tc>
          <w:p>
            <w:r>
              <w:rPr>
                <w:b/>
              </w:rPr>
              <w:t>Тема 1. Выбор тематики, аналитический обзор, подготовка доклада</w:t>
            </w:r>
            <w:r>
              <w:br/>
            </w:r>
            <w:r>
              <w:rPr/>
              <w:t>Обсуждаются существующие программные средства для поиска, систематизации научной литературы. Обсуждаются основные направления развития, тренды и достижения в области прикладной математики и информатики.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16</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Второй раздел</w:t>
            </w:r>
          </w:p>
        </w:tc>
        <w:tc>
          <w:tcPr>
            <w:tcW w:w="850" w:type="dxa"/>
          </w:tcPr>
          <w:p>
            <w:r>
              <w:rPr/>
              <w:t/>
            </w:r>
          </w:p>
        </w:tc>
        <w:tc>
          <w:tcPr>
            <w:tcW w:w="1134" w:type="dxa"/>
          </w:tcPr>
          <w:p>
            <w:r>
              <w:rPr/>
              <w:t>16</w:t>
            </w:r>
          </w:p>
        </w:tc>
        <w:tc>
          <w:tcPr>
            <w:tcW w:w="815" w:type="dxa"/>
          </w:tcPr>
          <w:p>
            <w:r>
              <w:rPr/>
              <w:t/>
            </w:r>
          </w:p>
        </w:tc>
      </w:tr>
      <w:tr>
        <w:tc>
          <w:p>
            <w:r>
              <w:rPr/>
              <w:t>9 - 16</w:t>
            </w:r>
          </w:p>
          <w:tcPr>
            <w:vMerge w:val="restart"/>
            <w:tcW w:w="973" w:type="dxa"/>
          </w:tcPr>
        </w:tc>
        <w:tc>
          <w:p>
            <w:r>
              <w:rPr>
                <w:b/>
              </w:rPr>
              <w:t>Тема 2. Подготовка и выступление с научным докладом</w:t>
            </w:r>
            <w:r>
              <w:br/>
            </w:r>
            <w:r>
              <w:rPr/>
              <w:t>Обсуждаются основные направления развития, тренды и достижения в области прикладной математики и информатики. Обсуждение проводится в формате дискуссии.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16</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В течение семестра студенты делают доклады по предложенным темам. При подготовке к докладу студенты осваивают новые методы и техники решения задач, учатся работать с научной литературой. При обсуждении докладов могут использоваться презентации. При выступлении с докладом все основные математические выкладки проводятся на доске.</w:t>
      </w:r>
    </w:p>
    <w:p>
      <w:pPr>
        <w:pStyle w:val="a8"/>
      </w:pPr>
      <w:r>
        <w:rPr/>
        <w:t>В процессе обучения предусматривается широкое использование в учебном процессе активных и интерактивных форм проведения занятий: адресация аудитории вопросов и коллективный поиск ответов на них в форме дискуссий.</w:t>
      </w:r>
    </w:p>
    <w:p>
      <w:pPr>
        <w:pStyle w:val="a8"/>
      </w:pPr>
      <w:r>
        <w:rPr/>
        <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Г 61 Курс математической физики с использованием пакета Maple : учебное пособие, Санкт-Петербург: Лань, 2015</w:t>
      </w:r>
    </w:p>
    <w:p>
      <w:r>
        <w:t>2. ЭИ К 27 Лекции по уравнениям математической физики : учебное пособие, Санкт-Петербург: Лань, 2016</w:t>
      </w:r>
    </w:p>
    <w:p>
      <w:r>
        <w:t>3. 517 А37 Обыкновенные дифференциальные уравнения : , Москва: Книга по Требованию, 2015</w:t>
      </w:r>
    </w:p>
    <w:p>
      <w:r>
        <w:t>4. 517 П 56 Обыкновенные дифференциальные уравнения : учебник, Москва: Ленанд, 2019</w:t>
      </w:r>
    </w:p>
    <w:p>
      <w:r>
        <w:t>5. ЭИ Т 80 Обыкновенные дифференциальные уравнения и методы их решения. Ряды. Элементы вариационного исчисления : учебное пособие, Санкт-Петербург: Лань, 2020</w:t>
      </w:r>
    </w:p>
    <w:p>
      <w:r>
        <w:t>6. ЭИ К 27 Уравнения математической физики. Дополнительные главы : учебное пособие, Санкт-Петербург: Лань, 2016</w:t>
      </w:r>
    </w:p>
    <w:p w:rsidR="005300F8" w:rsidP="005300F8" w:rsidRDefault="005300F8"/>
    <w:p w:rsidR="005300F8" w:rsidP="005300F8" w:rsidRDefault="005300F8">
      <w:r>
        <w:t>ДОПОЛНИТЕЛЬНАЯ ЛИТЕРАТУРА:</w:t>
      </w:r>
    </w:p>
    <w:p>
      <w:r>
        <w:t>1. 532 И46 Уединенные волны в моделях гидромеханики : , Ильичев А.Т., М.: Физматлит, 2003</w:t>
      </w:r>
    </w:p>
    <w:p>
      <w:r>
        <w:t>2. 53 А15 Солитоны и метод обратной задачи : , М. Абловиц, Х. Сигур , М.: Мир, 1987</w:t>
      </w:r>
    </w:p>
    <w:p>
      <w:r>
        <w:t>3. 517 К88 Методы нелинейной математической физики : , Н. А. Кудряшов, Долгопрудный: Интеллект, 2010</w:t>
      </w:r>
    </w:p>
    <w:p>
      <w:r>
        <w:t>4. 517 К65 Метод Пенлеве и его приложения : , Р. Конт, М. Мюзетт, Москва. Ижевск: Институт компьютерных исследований. Регулярная и хаотическая динамика, 2011</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Кудряшов Николай Алексеевич, д.ф.-м.н.,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