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95c5caec675946f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ПРОИЗВОДСТВЕННАЯ ПРАКТИКА (НАУЧНО-ИССЛЕДОВАТЕЛЬСКАЯ РАБОТА)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24</w:t>
            </w:r>
          </w:p>
        </w:tc>
        <w:tc>
          <w:tcPr>
            <w:tcW w:w="957" w:type="dxa"/>
          </w:tcPr>
          <w:p w:rsidR="00F66786" w:rsidRDefault="00F66786">
            <w:r>
              <w:rPr/>
              <w:t>864</w:t>
            </w:r>
          </w:p>
        </w:tc>
        <w:tc>
          <w:tcPr>
            <w:tcW w:w="957" w:type="dxa"/>
          </w:tcPr>
          <w:p w:rsidR="00F66786" w:rsidRDefault="00F66786">
            <w:r>
              <w:rPr/>
              <w:t>0</w:t>
            </w:r>
          </w:p>
        </w:tc>
        <w:tc>
          <w:tcPr>
            <w:tcW w:w="957" w:type="dxa"/>
          </w:tcPr>
          <w:p w:rsidR="00F66786" w:rsidRDefault="00F66786">
            <w:r>
              <w:rPr/>
              <w:t>324</w:t>
            </w:r>
          </w:p>
        </w:tc>
        <w:tc>
          <w:tcPr>
            <w:tcW w:w="957" w:type="dxa"/>
          </w:tcPr>
          <w:p w:rsidR="00F66786" w:rsidRDefault="00F66786">
            <w:r>
              <w:rPr/>
              <w:t>0</w:t>
            </w:r>
          </w:p>
        </w:tc>
        <w:tc>
          <w:tcPr>
            <w:tcW w:w="957" w:type="dxa"/>
          </w:tcPr>
          <w:p w:rsidR="00F66786" w:rsidRDefault="00F66786">
            <w:r>
              <w:rPr/>
              <w:t>504</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Основная задача дисциплины  состоит в том, чтобы привить студентам навыки самостоятельной теоретической и экспериментальной работы в современных условиях развития общества и технологий, ознакомить их с современными перспективными методами научного исследования на базе системного подхода, техникой численного эксперимента, реальными условиями работы в научных и производственных коллективах, с обеспечением требований техники безопасности.</w:t>
      </w:r>
    </w:p>
    <w:p>
      <w:pPr>
        <w:pStyle w:val="a8"/>
      </w:pPr>
      <w:r>
        <w:rPr/>
        <w:t>В процессе освоения дисциплины  студенты должны научиться применять теоретические знания на практике, формулировать постановку задачи на проведение научного исследования (цель, основные задачи, исходные данные), работать с научной литературой, источниками Интернет, составлять рефераты и обзоры, решать отдельные теоретические задачи, самостоятельно подготавливать и проводить численные эксперименты, пользоваться высокотехнологичными программно-аппаратными комплексами, докладывать результаты работы с применением мультимедийных технологий.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дисциплины является практическое ознакомление студентов со всеми этапами научно-исследовательской работы.</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Курс опирается на материал следующих дисциплин, читаемых студентам физико-математических специальностей: математика, математический анализ, линейная алгебра, геометрия, аналитическая геометрия, теория функций комплексного переменного, дополнительные главы теории функций комплексного переменного, функциональный анализ, уравнения математической физики, численные методы, языки программирования и методы трансляции, методы оптимизации.</w:t>
      </w:r>
    </w:p>
    <w:p>
      <w:pPr>
        <w:pStyle w:val="a8"/>
      </w:pPr>
      <w:r>
        <w:rPr/>
        <w:t>Для успешного освоения дисциплины необходимы знания по курсам общей физики, дифференциальным уравнениям, вариационному исчислению. Необходимо уметь работать с матрицами, решать дифференциальные и интегральные уравнения, знать дифференциальное и интегральное исчисление, пользоваться средой Maple.</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Отч-8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Отч-16</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0/324/0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Отч</w:t>
            </w:r>
          </w:p>
        </w:tc>
        <w:tc>
          <w:tcPr>
            <w:tcW w:w="9164" w:type="dxa"/>
          </w:tcPr>
          <w:p>
            <w:r>
              <w:rPr/>
              <w:t>Отчет</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0</w:t>
            </w:r>
          </w:p>
        </w:tc>
        <w:tc>
          <w:tcPr>
            <w:tcW w:w="1134" w:type="dxa"/>
          </w:tcPr>
          <w:p>
            <w:r>
              <w:rPr/>
              <w:t>324</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
            </w:r>
          </w:p>
        </w:tc>
        <w:tc>
          <w:tcPr>
            <w:tcW w:w="1134" w:type="dxa"/>
          </w:tcPr>
          <w:p>
            <w:r>
              <w:rPr/>
              <w:t>162</w:t>
            </w:r>
          </w:p>
        </w:tc>
        <w:tc>
          <w:tcPr>
            <w:tcW w:w="815" w:type="dxa"/>
          </w:tcPr>
          <w:p>
            <w:r>
              <w:rPr/>
              <w:t/>
            </w:r>
          </w:p>
        </w:tc>
      </w:tr>
      <w:tr>
        <w:tc>
          <w:p>
            <w:r>
              <w:rPr/>
              <w:t>1 - 8</w:t>
            </w:r>
          </w:p>
          <w:tcPr>
            <w:vMerge w:val="restart"/>
            <w:tcW w:w="973" w:type="dxa"/>
          </w:tcPr>
        </w:tc>
        <w:tc>
          <w:p>
            <w:r>
              <w:rPr>
                <w:b/>
              </w:rPr>
              <w:t>Выполнение научной-парктической работы</w:t>
            </w:r>
            <w:r>
              <w:br/>
            </w:r>
            <w:r>
              <w:rPr/>
              <w:t>Проведение теоретической и практической части работы. Верификация и анализ полученных результатов. Устранение ошибок и  замечаний возникающих в процессе выполнения работы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162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
            </w:r>
          </w:p>
        </w:tc>
        <w:tc>
          <w:tcPr>
            <w:tcW w:w="1134" w:type="dxa"/>
          </w:tcPr>
          <w:p>
            <w:r>
              <w:rPr/>
              <w:t>162</w:t>
            </w:r>
          </w:p>
        </w:tc>
        <w:tc>
          <w:tcPr>
            <w:tcW w:w="815" w:type="dxa"/>
          </w:tcPr>
          <w:p>
            <w:r>
              <w:rPr/>
              <w:t/>
            </w:r>
          </w:p>
        </w:tc>
      </w:tr>
      <w:tr>
        <w:tc>
          <w:p>
            <w:r>
              <w:rPr/>
              <w:t>9 - 15</w:t>
            </w:r>
          </w:p>
          <w:tcPr>
            <w:vMerge w:val="restart"/>
            <w:tcW w:w="973" w:type="dxa"/>
          </w:tcPr>
        </w:tc>
        <w:tc>
          <w:p>
            <w:r>
              <w:rPr>
                <w:b/>
              </w:rPr>
              <w:t>Выполнение научной-парктической работы</w:t>
            </w:r>
            <w:r>
              <w:br/>
            </w:r>
            <w:r>
              <w:rPr/>
              <w:t>Проведение теоретической и практической работы. разработка программных комплексов, построения математичсеких моделей и т.п. Верификация и анализ полученных результатов. Устранение ошибок и  замечаний возникающих в процессе выполнения.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155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16</w:t>
            </w:r>
          </w:p>
          <w:tcPr>
            <w:vMerge w:val="restart"/>
            <w:tcW w:w="973" w:type="dxa"/>
          </w:tcPr>
        </w:tc>
        <w:tc>
          <w:p>
            <w:r>
              <w:rPr>
                <w:b/>
              </w:rPr>
              <w:t>Подготовка отчета</w:t>
            </w:r>
            <w:r>
              <w:br/>
            </w:r>
            <w:r>
              <w:rPr/>
              <w:t>Подготовка отчета по практике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7</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Практические занятия по дисциплине проводятся в форме работы в рамках действующего научного или производственного коллектива.  Не реже чем 2 раза в неделю, студент обязан отчитаться научному руководителю о выполненной работе. Рекомендуется, чтобы обзорная информация о ходе научно-исследовательской работы студента докладывалась на научных семинарах или заседаниях кафедры в течение семестра.  При выполнении научно-исследовательской работы студенты используют современную специализированню литературу, а также, при желании, могут использовать современное програмное обеспечение, необходимое для получения положительного результата. Обязательным является самостоятельная научно-исследовательская  работа студентов. Также полученные в рамках дисциплины результаты могут обсуждаться в научной группе, к которой прикреплен студент.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П 14 Имитационное моделирование. Разработка имитационных моделей средствами iWebsim и AnyLogic : учебное пособие, Санкт-Петербург: Лань, 2019</w:t>
      </w:r>
    </w:p>
    <w:p>
      <w:r>
        <w:t>2. ЭИ С 79 Обработка данных и компьютерное моделирование : учебное пособие, Санкт-Петербург: Лань, 2020</w:t>
      </w:r>
    </w:p>
    <w:p>
      <w:r>
        <w:t>3. ЭИ Л 50 Основы методов оптимизации : учебное пособие, Санкт-Петербург: Лань, 2016</w:t>
      </w:r>
    </w:p>
    <w:p>
      <w:r>
        <w:t>4. ЭИ П16 Моделирование переноса излучения : учебное пособие для вузов, М. П. Панин, Москва: МИФИ, 2008</w:t>
      </w:r>
    </w:p>
    <w:p>
      <w:r>
        <w:t>5. 517 К88 Методы нелинейной математической физики : учебное пособие для вузов, Н. А. Кудряшов, Москва: МИФИ, 2008</w:t>
      </w:r>
    </w:p>
    <w:p>
      <w:r>
        <w:t>6. ЭИ К88 Методы нелинейной математической физики : учебное пособие для вузов, Н. А. Кудряшов, Москва: МИФИ, 2008</w:t>
      </w:r>
    </w:p>
    <w:p w:rsidR="005300F8" w:rsidP="005300F8" w:rsidRDefault="005300F8"/>
    <w:p w:rsidR="005300F8" w:rsidP="005300F8" w:rsidRDefault="005300F8">
      <w:r>
        <w:t>ДОПОЛНИТЕЛЬНАЯ ЛИТЕРАТУРА:</w:t>
      </w:r>
    </w:p>
    <w:p>
      <w:r>
        <w:t>1. ЭИ К 85 Метрический анализ и обработка данных : , Москва: Физматлит, 2012</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Кудряшов Николай Алексеевич,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д.ф.-м.н., профессор Крянев А.В. </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