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4506da843a4d48b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СИМВОЛЬНЫЕ ПОСЛЕДОВАТЕЛЬНОСТИ И МЕТОДЫ ИХ АНАЛИЗА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В курсе излагаются основные сведения о различных математических методах изучения символьных последовательностей, таких как динамическое программирование, скрытые марковские модели, нейронные сети и некоторые другие методы. Одновременно с математическими методами рассматриваются самые популярные символьные последовательности - генетические тексты и аминокислотные последовательности белков. В курсе приводятся данные о строении генетических текстов и биологических процессах в которых они участвуют.</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«Символьные последовательности и методы их анализа» являются освоение современных математических методов поиска подобий между символьными последовательностями и изучение математических методов анализа их структуры и их приложение в различных областях науки, включая, прежде всего  биологию, лингвистику,  экономику, а так же формирование у магистров навыков, необходимых для успешной научной и профессиональной деятельности в различных областях математики.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логически и содержательно-методически связана с материалами предыдущих дисциплин, читаемых студентам физико-математических специальностей: математический анализ, аналитическая геометрия, теория функций комплексного переменного, теория групп, теория вероятностей и математическая статистика.</w:t>
      </w:r>
    </w:p>
    <w:p>
      <w:pPr>
        <w:pStyle w:val="a8"/>
      </w:pPr>
      <w:r>
        <w:rPr/>
        <w:t>Для успешного освоения дисциплины необходимы знания по курсам теории вероятности и математической статистики. Необходимо уметь работать с матрицами, уметь программировать на языке С/С++, знать понятия из теории информации.</w:t>
      </w:r>
    </w:p>
    <w:p>
      <w:pPr>
        <w:pStyle w:val="a8"/>
      </w:pPr>
      <w:r>
        <w:rPr/>
        <w:t>Полученные в результате освоения данной дисциплины навыки и знания используются, при подготовке дипломных проектов, при проведении научно-поисковых исследований.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Раздел 1</w:t>
            </w:r>
          </w:p>
        </w:tc>
        <w:tc>
          <w:tcPr>
            <w:tcW w:w="754" w:type="dxa"/>
          </w:tcPr>
          <w:p>
            <w:pPr>
              <w:pStyle w:val="a8"/>
              <w:ind w:firstLine="0"/>
            </w:pPr>
            <w:r>
              <w:rPr/>
              <w:t>1-8</w:t>
            </w:r>
          </w:p>
        </w:tc>
        <w:tc>
          <w:tcPr>
            <w:tcW w:w="1046" w:type="dxa"/>
          </w:tcPr>
          <w:p>
            <w:pPr>
              <w:pStyle w:val="a8"/>
              <w:ind w:firstLine="0"/>
            </w:pPr>
            <w:r>
              <w:rPr/>
              <w:t>16/0/16</w:t>
            </w:r>
          </w:p>
        </w:tc>
        <w:tc>
          <w:tcPr>
            <w:tcW w:w="1047" w:type="dxa"/>
          </w:tcPr>
          <w:p>
            <w:pPr>
              <w:pStyle w:val="a8"/>
              <w:ind w:firstLine="0"/>
            </w:pPr>
            <w:r>
              <w:rPr/>
              <w:t>Т-8</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Раздел 2</w:t>
            </w:r>
          </w:p>
        </w:tc>
        <w:tc>
          <w:tcPr>
            <w:tcW w:w="754" w:type="dxa"/>
          </w:tcPr>
          <w:p>
            <w:pPr>
              <w:pStyle w:val="a8"/>
              <w:ind w:firstLine="0"/>
            </w:pPr>
            <w:r>
              <w:rPr/>
              <w:t>9-16</w:t>
            </w:r>
          </w:p>
        </w:tc>
        <w:tc>
          <w:tcPr>
            <w:tcW w:w="1046" w:type="dxa"/>
          </w:tcPr>
          <w:p>
            <w:pPr>
              <w:pStyle w:val="a8"/>
              <w:ind w:firstLine="0"/>
            </w:pPr>
            <w:r>
              <w:rPr/>
              <w:t>16/0/16</w:t>
            </w:r>
          </w:p>
        </w:tc>
        <w:tc>
          <w:tcPr>
            <w:tcW w:w="1047" w:type="dxa"/>
          </w:tcPr>
          <w:p>
            <w:pPr>
              <w:pStyle w:val="a8"/>
              <w:ind w:firstLine="0"/>
            </w:pPr>
            <w:r>
              <w:rPr/>
              <w:t>Т-16</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w:t>
            </w:r>
          </w:p>
        </w:tc>
        <w:tc>
          <w:tcPr>
            <w:tcW w:w="9164" w:type="dxa"/>
          </w:tcPr>
          <w:p>
            <w:r>
              <w:rPr/>
              <w:t>Тестирование</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1-8</w:t>
            </w:r>
          </w:p>
        </w:tc>
        <w:tc>
          <w:tcPr>
            <w:tcW w:w="6365" w:type="dxa"/>
          </w:tcPr>
          <w:p>
            <w:r>
              <w:rPr>
                <w:b/>
              </w:rPr>
              <w:t>Раздел 1</w:t>
            </w:r>
          </w:p>
        </w:tc>
        <w:tc>
          <w:tcPr>
            <w:tcW w:w="850" w:type="dxa"/>
          </w:tcPr>
          <w:p>
            <w:r>
              <w:rPr/>
              <w:t>16</w:t>
            </w:r>
          </w:p>
        </w:tc>
        <w:tc>
          <w:tcPr>
            <w:tcW w:w="1134" w:type="dxa"/>
          </w:tcPr>
          <w:p>
            <w:r>
              <w:rPr/>
              <w:t>0</w:t>
            </w:r>
          </w:p>
        </w:tc>
        <w:tc>
          <w:tcPr>
            <w:tcW w:w="815" w:type="dxa"/>
          </w:tcPr>
          <w:p>
            <w:r>
              <w:rPr/>
              <w:t>16</w:t>
            </w:r>
          </w:p>
        </w:tc>
      </w:tr>
      <w:tr>
        <w:tc>
          <w:p>
            <w:r>
              <w:rPr/>
              <w:t>1 - 8</w:t>
            </w:r>
          </w:p>
          <w:tcPr>
            <w:vMerge w:val="restart"/>
            <w:tcW w:w="973" w:type="dxa"/>
          </w:tcPr>
        </w:tc>
        <w:tc>
          <w:p>
            <w:r>
              <w:rPr>
                <w:b/>
              </w:rPr>
              <w:t>Тема 1. Структура генетических текстов</w:t>
            </w:r>
            <w:r>
              <w:br/>
            </w:r>
            <w:r>
              <w:rPr/>
              <w:t>Строение и пространственная организация биологических макромолекул. Структура  гена в геномах прокариот и эукариот. Экзоны и интроны. Генетический код. Транспортные РНК. Повторяющиеся последовательности различных классов. SINE и LINE семейства повторов. Уникальные последовательности ДНК. Интерсперсная организация геномов. Строение генных кластеров для альфа и бета глобиновых  генов. Регуляция генетической активности генов. Псевдогены. Регуляторные  последовательности ДНК. Процессы транскрипции, репликации и трансляции ДНК.</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16</w:t>
            </w:r>
          </w:p>
        </w:tc>
        <w:tc>
          <w:p>
            <w:r>
              <w:rPr/>
              <w:t/>
            </w:r>
          </w:p>
        </w:tc>
        <w:tc>
          <w:p>
            <w:r>
              <w:rPr/>
              <w:t>16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Раздел 2</w:t>
            </w:r>
          </w:p>
        </w:tc>
        <w:tc>
          <w:tcPr>
            <w:tcW w:w="850" w:type="dxa"/>
          </w:tcPr>
          <w:p>
            <w:r>
              <w:rPr/>
              <w:t>16</w:t>
            </w:r>
          </w:p>
        </w:tc>
        <w:tc>
          <w:tcPr>
            <w:tcW w:w="1134" w:type="dxa"/>
          </w:tcPr>
          <w:p>
            <w:r>
              <w:rPr/>
              <w:t>0</w:t>
            </w:r>
          </w:p>
        </w:tc>
        <w:tc>
          <w:tcPr>
            <w:tcW w:w="815" w:type="dxa"/>
          </w:tcPr>
          <w:p>
            <w:r>
              <w:rPr/>
              <w:t>16</w:t>
            </w:r>
          </w:p>
        </w:tc>
      </w:tr>
      <w:tr>
        <w:tc>
          <w:p>
            <w:r>
              <w:rPr/>
              <w:t>9 - 10</w:t>
            </w:r>
          </w:p>
          <w:tcPr>
            <w:vMerge w:val="restart"/>
            <w:tcW w:w="973" w:type="dxa"/>
          </w:tcPr>
        </w:tc>
        <w:tc>
          <w:p>
            <w:r>
              <w:rPr>
                <w:b/>
              </w:rPr>
              <w:t>Тема 2. Выравнивание символьных последовательностей</w:t>
            </w:r>
            <w:r>
              <w:br/>
            </w:r>
            <w:r>
              <w:rPr/>
              <w:t>Понятие выравнивания двух символьных последовательностей. Простейшие методы определения статистической значимости выравниваний. Применение динамического программирования для поиска выравниваний. Локальное и глобальное выравнивание. 
</w:t>
            </w:r>
            <w:r>
              <w:br/>
            </w:r>
            <w:r>
              <w:rPr/>
              <w:t>Алгоритмы поиска выравниваний Blast и Fasta. Методы построения матриц весов PAM и BLOSUM.
</w:t>
            </w:r>
            <w:r>
              <w:br/>
            </w:r>
            <w:r>
              <w:rPr/>
              <w:t>Математические методы и алгоритмы, применяемые при множественном выравнивании символьных последовательностей. 
</w:t>
            </w:r>
            <w:r>
              <w:br/>
            </w:r>
            <w:r>
              <w:rPr/>
              <w:t>Базы данных генетических последовательностей и их использование при анализе генетических текстов.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5</w:t>
            </w:r>
          </w:p>
        </w:tc>
        <w:tc>
          <w:p>
            <w:r>
              <w:rPr/>
              <w:t/>
            </w:r>
          </w:p>
        </w:tc>
        <w:tc>
          <w:p>
            <w:r>
              <w:rPr/>
              <w:t>5</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Тема 3. Применение Марковских моделей для анализа символьных последовательностей</w:t>
            </w:r>
            <w:r>
              <w:br/>
            </w:r>
            <w:r>
              <w:rPr/>
              <w:t>Простые и скрытые Марковские модели и их применение к поиску локального и глобального выравнивания. Поиск GC –богатых областей при помощи простых Марковских моделей. 
</w:t>
            </w:r>
            <w:r>
              <w:br/>
            </w:r>
            <w:r>
              <w:rPr/>
              <w:t>Понятие последовательности состояний. Алгоритмы определения наиболее вероятной последовательности состояний в скрытой марковской модели, алгоритмы просмотра назад и вперед, алгоритм Viterbi.</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5</w:t>
            </w:r>
          </w:p>
        </w:tc>
        <w:tc>
          <w:p>
            <w:r>
              <w:rPr/>
              <w:t/>
            </w:r>
          </w:p>
        </w:tc>
        <w:tc>
          <w:p>
            <w:r>
              <w:rPr/>
              <w:t>5</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13 - 16</w:t>
            </w:r>
          </w:p>
          <w:tcPr>
            <w:vMerge w:val="restart"/>
            <w:tcW w:w="973" w:type="dxa"/>
          </w:tcPr>
        </w:tc>
        <w:tc>
          <w:p>
            <w:r>
              <w:rPr>
                <w:b/>
              </w:rPr>
              <w:t>Тема 4. Статистические методы изучения символьных последовательностей</w:t>
            </w:r>
            <w:r>
              <w:br/>
            </w:r>
            <w:r>
              <w:rPr/>
              <w:t>Методы математической лингвистики и их применение для анализа  произвольных символьных последовательностей. Словари символьных последовательностей.
</w:t>
            </w:r>
            <w:r>
              <w:br/>
            </w:r>
            <w:r>
              <w:rPr/>
              <w:t>Понятие кодирующего потенциала и математические методы, направленные на поиск генов и кодирующих последовательностей. 
</w:t>
            </w:r>
            <w:r>
              <w:br/>
            </w:r>
            <w:r>
              <w:rPr/>
              <w:t>Математические методы построения нейронных сетей и их применение для поиска кодирующих элементов различных геномов. 
</w:t>
            </w:r>
            <w:r>
              <w:br/>
            </w:r>
            <w:r>
              <w:rPr/>
              <w:t>Математические алгоритмы поиска периодичности символьных последовательностей, основанные на методах динамического программирования. преобразования Фурье и информационного разложения символьных последовательностей. 
</w:t>
            </w:r>
            <w:r>
              <w:br/>
            </w:r>
            <w:r>
              <w:rPr/>
              <w:t>Понятие скрытой периодичности символьной последовательности. Применение скрытой периодичности для аннотации аминокислотных последовательностей. Триплетная периодичность нуклеотидных последовательностей и ее классы. 
</w:t>
            </w:r>
            <w:r>
              <w:br/>
            </w:r>
            <w:r>
              <w:rPr/>
              <w:t>Понятие сложности символьной последовательности и методы ее вычисления. Подсчет сложности вида H1 и H2.
</w:t>
            </w:r>
            <w:r>
              <w:br/>
            </w:r>
            <w:r>
              <w:rPr/>
              <w:t>Профильный анализ символьных последовательностей и его применение для создания белковых семейств
</w:t>
            </w:r>
            <w:r>
              <w:br/>
            </w:r>
            <w:r>
              <w:rPr/>
              <w:t>Принципы построения фрактальных изображений при анализе символьных последовательностей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Лекции и семинары проводятся с использованием современных компьютерных технологий, для проведения лекций используются компьютерные презентации. При выполнении домашнего задания студенты широко используют компьютерные технологии, в том числе языки программирования С/С++. При обсуждении тем лекционных занятий используются презентации, обсуждения последних научных работ, новые методы. Обязательным является самостоятельная работа студентов, выполнение индивидуальных заданий, работа с литературой.</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57 М75 Молекулярная биология клетки Т.2 , Москва ; Ижевск: Институт Компьютерных исследований, 2013</w:t>
      </w:r>
    </w:p>
    <w:p>
      <w:r>
        <w:t>2. 57 М75 Молекулярная биология клетки Т.3 , Москва ; Ижевск: Институт Компьютерных исследований, 2013</w:t>
      </w:r>
    </w:p>
    <w:p>
      <w:r>
        <w:t>3. 57 П76 Применение современных молекулярно-биологических методов для поиска и клонирования полноразмерных нуклеотидных последовательностей кДНК  : учебное пособие для вузов, Д. В. Ребриков [и др.], Москва: НИЯУ МИФИ, 2011</w:t>
      </w:r>
    </w:p>
    <w:p w:rsidR="005300F8" w:rsidP="005300F8" w:rsidRDefault="005300F8"/>
    <w:p w:rsidR="005300F8" w:rsidP="005300F8" w:rsidRDefault="005300F8">
      <w:r>
        <w:t>ДОПОЛНИТЕЛЬНАЯ ЛИТЕРАТУРА:</w:t>
      </w:r>
    </w:p>
    <w:p>
      <w:r>
        <w:t>1. 57 М75 Молекулярная биология клетки Т.1 , Москва ; Ижевск: Институт Компьютерных исследований, 2013</w:t>
      </w:r>
    </w:p>
    <w:p>
      <w:r>
        <w:t>2. 57 У97 Физические основы молекулярной биологии : , Долгопрудный: Интеллект, 2010</w:t>
      </w:r>
    </w:p>
    <w:p>
      <w:r>
        <w:t>3. 57 М98 Математическая биология Т.2 Пространственные модели и их приложения в биомедицине, , Москва. Ижевск: Ин-т компьютерных исследований. Регулярная и хаотическая динамика , 2011</w:t>
      </w:r>
    </w:p>
    <w:p>
      <w:r>
        <w:t>4. 57 Х26 Введение в вычислительную биологию. Эволюционный подход : , Б. Хаубольд, Т. Вие, Москва. Ижевск: Институт компьютерных исследований. Регулярная и хаотическая динамика, 2011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Коротков Евгений Вадимович, д.б.н.,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