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dd4544aaa8814f5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СОВРЕМЕННЫЕ ЯЗЫКИ ПРОГРАММИРОВАНИЯ И ИХ ПРИЛОЖЕНИЕ</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76</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В курсе "Современные языки программирования и их приложение" изучаются основы объектно-ориентированных языков программирования. Внимание уделяется изучению основных контейнеров из стандартной библиотеки шаблонов C++, программированию с использованием спецификации OpenGL, а также программированию шейдеров и включению их в программу на C++. Кроме этого производится ознакомление учащихся со способами создани параллельных программ, с современными скриптовыми языками и языками на основе виртуальных машин: PHP, Python, Java, и др</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изучения дисциплины являются изучение основ объектно-ориентированного программирования, тестирования программного обеспечения, приобретения навыков работы в современных системах программирования.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Содержание программы представляет собой развитие полученных ранее знаний в области прикладной математики и информатики. В ней используются основные понятия, концепции, представляющие собой теоретическую базу, освоенную студентами при изучении дисциплин в рамках бакалавриата.</w:t>
      </w:r>
    </w:p>
    <w:p>
      <w:pPr>
        <w:pStyle w:val="a8"/>
      </w:pPr>
      <w:r>
        <w:rPr/>
        <w:t>Курс находится среди базовых дисциплин профессионального цикла. Дисциплина знакомит с современными объектно-ориентированными языками программирования,  средами программирования, технологиями разработки программного обеспечения. Знания, полученные при изучении дисциплины, могут быть применены в научно-исследовательской работе, при изучении дисциплин: «Научно-исследовательская работа магистра», «Методы решения нелинейных уравнений», «Численные методы решения задач математической физики на неортогональных сетках» и др. Изучение данной дисциплины вносит необходимый вклад в достижение ожидаемых результатов в профессиональной части программы подготовки магистра прикладной математики и информатики.</w:t>
      </w:r>
    </w:p>
    <w:p>
      <w:pPr>
        <w:pStyle w:val="a8"/>
      </w:pPr>
      <w:r>
        <w:rPr/>
        <w:t>Для изучения данной дисциплины студент должен получить необходимые знания, умения и компетенции, которые формируются в результате изучения перечисленных ниже дисциплин: «Базы данных», «Дискретная математика», «Компьютерные сети», «Дополнительные главы информатики».</w:t>
      </w:r>
    </w:p>
    <w:p>
      <w:pPr>
        <w:pStyle w:val="a8"/>
      </w:pPr>
      <w:r>
        <w:rPr/>
        <w:t>Изучение дисциплины позволит студентам получить и развивать навыки применения современных вычислительных средств, современных методов решения задач организации распределенной работы, а также ознакомиться с современной спецификой работы крупных технически оснащенных подразделений в зарубежных и отечественных организациях. Изучение дисциплины позволит выработать навыки постановки и решения проблем развития организации, развить творческое мышление студентов, выработать умение решать технические и управленческие проблемы в конкретной производственной ситуации. На основе усвоенных знаний будущий магистр должен уметь эффективно организовывать разработку программного обеспечения, разбираться в последних инновациях на рынке средств разработки, уметь обращаться со сложными средами разработки, создавать программы с использованием современных технологий.</w:t>
      </w:r>
    </w:p>
    <w:p>
      <w:pPr>
        <w:pStyle w:val="a8"/>
      </w:pPr>
      <w:r>
        <w:rPr/>
        <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8/8/0</w:t>
            </w:r>
          </w:p>
        </w:tc>
        <w:tc>
          <w:tcPr>
            <w:tcW w:w="1047" w:type="dxa"/>
          </w:tcPr>
          <w:p>
            <w:pPr>
              <w:pStyle w:val="a8"/>
              <w:ind w:firstLine="0"/>
            </w:pPr>
            <w:r>
              <w:rPr/>
              <w:t>ЛР-7,</w:t>
            </w:r>
            <w:r>
              <w:br/>
            </w:r>
            <w:r>
              <w:rPr/>
              <w:t>ЛР-3,</w:t>
            </w:r>
            <w:r>
              <w:br/>
            </w:r>
            <w:r>
              <w:rPr/>
              <w:t>ЛР-5,</w:t>
            </w:r>
            <w:r>
              <w:br/>
            </w:r>
            <w:r>
              <w:rPr/>
              <w:t>к.р-8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8/8/0</w:t>
            </w:r>
          </w:p>
        </w:tc>
        <w:tc>
          <w:tcPr>
            <w:tcW w:w="1047" w:type="dxa"/>
          </w:tcPr>
          <w:p>
            <w:pPr>
              <w:pStyle w:val="a8"/>
              <w:ind w:firstLine="0"/>
            </w:pPr>
            <w:r>
              <w:rPr/>
              <w:t>ЛР-9,</w:t>
            </w:r>
            <w:r>
              <w:br/>
            </w:r>
            <w:r>
              <w:rPr/>
              <w:t>ЛР-11,</w:t>
            </w:r>
            <w:r>
              <w:br/>
            </w:r>
            <w:r>
              <w:rPr/>
              <w:t>ЛР-14,</w:t>
            </w:r>
            <w:r>
              <w:br/>
            </w:r>
            <w:r>
              <w:rPr/>
              <w:t>к.р-16</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16/16/0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ЛР</w:t>
            </w:r>
          </w:p>
        </w:tc>
        <w:tc>
          <w:tcPr>
            <w:tcW w:w="9164" w:type="dxa"/>
          </w:tcPr>
          <w:p>
            <w:r>
              <w:rPr/>
              <w:t>Лабораторная работа</w:t>
            </w:r>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16</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0</w:t>
            </w:r>
          </w:p>
        </w:tc>
      </w:tr>
      <w:tr>
        <w:tc>
          <w:p>
            <w:r>
              <w:rPr/>
              <w:t>1</w:t>
            </w:r>
          </w:p>
          <w:tcPr>
            <w:vMerge w:val="restart"/>
            <w:tcW w:w="973" w:type="dxa"/>
          </w:tcPr>
        </w:tc>
        <w:tc>
          <w:p>
            <w:r>
              <w:rPr>
                <w:b/>
              </w:rPr>
              <w:t>Тема 1</w:t>
            </w:r>
            <w:r>
              <w:br/>
            </w:r>
            <w:r>
              <w:rPr/>
              <w:t>Знакомство с библиотекой STLв С++.Контейнерыvector(стек) и pair (структура). ФункцииSTL.
</w:t>
            </w:r>
            <w:r>
              <w:br/>
            </w:r>
            <w:r>
              <w:rPr/>
              <w:t>Изучение основных методов контейнеров vector и pair библиотеки STL C++. Знакомствосфункциямиnext_permutation, max_element, min_element, sort, reverse. Примеры задач на использование функций STL</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 2</w:t>
            </w:r>
            <w:r>
              <w:br/>
            </w:r>
            <w:r>
              <w:rPr/>
              <w:t>Контейнер map (ассоциированный массив). Использование итераторов. Контейнеры queue (очередь)и priority_queue (очередь с приоритетами).
</w:t>
            </w:r>
            <w:r>
              <w:br/>
            </w:r>
            <w:r>
              <w:rPr/>
              <w:t>Изучение основных методов контейнера map библиотеки STL C++. Использование итераторов для обхода всех элементов ассоциированного массива. Изучение основных методов контейнеров queue и priority_queue библиотеки STL C++. Реализация алгоритма Дейкстры, поисков в ширину и глубину через очередь с приоритетами, очередь и стек соответственно. Оценка сложности алгоритма.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Тема 3</w:t>
            </w:r>
            <w:r>
              <w:br/>
            </w:r>
            <w:r>
              <w:rPr/>
              <w:t>Контейнеры set (множество) и multiset (мультимножество). Комплексное использование контейнеров.
</w:t>
            </w:r>
            <w:r>
              <w:br/>
            </w:r>
            <w:r>
              <w:rPr/>
              <w:t>Изучение основных методов контейнеров set и multiset библиотеки STL C++. Решение задачи массового обслуживания с использованием контейнера set. Примеры задач на комплексное использование контейнеров STL.</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b/>
              </w:rPr>
              <w:t>Тема 4</w:t>
            </w:r>
            <w:r>
              <w:br/>
            </w:r>
            <w:r>
              <w:rPr/>
              <w:t>Знакомство с OpenGL.
</w:t>
            </w:r>
            <w:r>
              <w:br/>
            </w:r>
            <w:r>
              <w:rPr/>
              <w:t>Введение в OpenGL. Основные возможности OpenGL. Библиотеки OpenGL. Структура программы на OpenGL. Инициализация OpenGL.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6 - 7</w:t>
            </w:r>
          </w:p>
          <w:tcPr>
            <w:vMerge w:val="restart"/>
            <w:tcW w:w="973" w:type="dxa"/>
          </w:tcPr>
        </w:tc>
        <w:tc>
          <w:p>
            <w:r>
              <w:rPr>
                <w:b/>
              </w:rPr>
              <w:t>Тема 5</w:t>
            </w:r>
            <w:r>
              <w:br/>
            </w:r>
            <w:r>
              <w:rPr/>
              <w:t>Вершины и примитивы OpenGL.
</w:t>
            </w:r>
            <w:r>
              <w:br/>
            </w:r>
            <w:r>
              <w:rPr/>
              <w:t>Знакомство с функциями OpenGLдля задания вершин. Задание цвета вершин. Примитивы OpenGL: способы соединения вершин в треугольники, многоугольники. Типы цветовой окраски полигонов.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6</w:t>
            </w:r>
            <w:r>
              <w:br/>
            </w:r>
            <w:r>
              <w:rPr/>
              <w:t>Движение и вращение в OpenGL. Текстуры.
</w:t>
            </w:r>
            <w:r>
              <w:br/>
            </w:r>
            <w:r>
              <w:rPr/>
              <w:t>Обработка нажатий клавиш и движения мыши с OpenGL. Виды матриц в OpenGL. Функции для движения и вращения библиотеки GL. Функции для задания угла зрения библиотеки GLU. Задание перспективы. Наложение текстур.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8</w:t>
            </w:r>
          </w:p>
        </w:tc>
        <w:tc>
          <w:tcPr>
            <w:tcW w:w="1134" w:type="dxa"/>
          </w:tcPr>
          <w:p>
            <w:r>
              <w:rPr/>
              <w:t>8</w:t>
            </w:r>
          </w:p>
        </w:tc>
        <w:tc>
          <w:tcPr>
            <w:tcW w:w="815" w:type="dxa"/>
          </w:tcPr>
          <w:p>
            <w:r>
              <w:rPr/>
              <w:t>0</w:t>
            </w:r>
          </w:p>
        </w:tc>
      </w:tr>
      <w:tr>
        <w:tc>
          <w:p>
            <w:r>
              <w:rPr/>
              <w:t>9</w:t>
            </w:r>
          </w:p>
          <w:tcPr>
            <w:vMerge w:val="restart"/>
            <w:tcW w:w="973" w:type="dxa"/>
          </w:tcPr>
        </w:tc>
        <w:tc>
          <w:p>
            <w:r>
              <w:rPr>
                <w:b/>
              </w:rPr>
              <w:t>Тема 7</w:t>
            </w:r>
            <w:r>
              <w:br/>
            </w:r>
            <w:r>
              <w:rPr/>
              <w:t>Сплайны. Основы рисования сложных поверхностей. Эффекты OpenGL.
</w:t>
            </w:r>
            <w:r>
              <w:br/>
            </w:r>
            <w:r>
              <w:rPr/>
              <w:t>Рисование произвольных фигур путем их триангуляции или с использованием сплайнов. Проверка на столкновение с объектами. Виды обхода препятствий. Эффект тумана. Задание источников света в OpenGL.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Тема 8</w:t>
            </w:r>
            <w:r>
              <w:br/>
            </w:r>
            <w:r>
              <w:rPr/>
              <w:t>Шейдеры.
</w:t>
            </w:r>
            <w:r>
              <w:br/>
            </w:r>
            <w:r>
              <w:rPr/>
              <w:t>Использование видеокарты для создания дополнительныхэффектов. Программирование шейдеров и включение их в программу на C++. Создание шейдеров для рисования зеркальных поверхностей и для создания ряби на воде.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Тема 9</w:t>
            </w:r>
            <w:r>
              <w:br/>
            </w:r>
            <w:r>
              <w:rPr/>
              <w:t>Знакомство с языком php.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Тема 10</w:t>
            </w:r>
            <w:r>
              <w:br/>
            </w:r>
            <w:r>
              <w:rPr/>
              <w:t>Знакомство c языком python.</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Тема 11</w:t>
            </w:r>
            <w:r>
              <w:br/>
            </w:r>
            <w:r>
              <w:rPr/>
              <w:t>Знакомство с языком Java.</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Лекции и семинары проводятся в традиционной форме. При обсуждении тем лекционных занятий используются презентации. Обязательным является самостоятельная работа студентов, выполнение индивидуальных заданий, работа с литературой, подготовка рефератов.</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004 П76 Приемы объектно-ориентированного проектирования. : паттерны проектирования, Санкт-Петербург [и др.]: Питер, 2013</w:t>
      </w:r>
    </w:p>
    <w:p>
      <w:r>
        <w:t>2. ЭИ П 44 Программирование в среде Borland C++ Builder с математическими библиотеками MATLAB С/С++ : , Москва: ДМК Пресс, 2009</w:t>
      </w:r>
    </w:p>
    <w:p>
      <w:r>
        <w:t>3. ЭИ С 32 Теория и реализация языков программирования : учебное пособие, Москва: Физматлит, 2012</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Алюшин Виктор Михайлович, к.ф.-м.н.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доцент Климанов С.Г.</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