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ИНСТИТУТ ЛАЗЕРНЫХ И ПЛАЗМЕННЫХ ТЕХНОЛОГИЙ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ПРЕПОДАВАТЕЛЕЙ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5F0D0D" w:rsidRDefault="0075525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Численные методы решения задач математической физики на </w:t>
      </w:r>
      <w:proofErr w:type="spellStart"/>
      <w:r>
        <w:rPr>
          <w:b/>
          <w:sz w:val="24"/>
          <w:szCs w:val="24"/>
        </w:rPr>
        <w:t>неортогональных</w:t>
      </w:r>
      <w:proofErr w:type="spellEnd"/>
      <w:r>
        <w:rPr>
          <w:b/>
          <w:sz w:val="24"/>
          <w:szCs w:val="24"/>
        </w:rPr>
        <w:t xml:space="preserve"> сетках</w:t>
      </w:r>
    </w:p>
    <w:p w:rsidR="00755252" w:rsidRDefault="00755252" w:rsidP="00755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294" w:firstLine="708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5F0D0D" w:rsidRDefault="00755252" w:rsidP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294" w:firstLine="706"/>
        <w:jc w:val="both"/>
        <w:rPr>
          <w:color w:val="000000"/>
          <w:sz w:val="24"/>
          <w:szCs w:val="24"/>
        </w:rPr>
      </w:pPr>
      <w:bookmarkStart w:id="0" w:name="_GoBack"/>
      <w:proofErr w:type="gramStart"/>
      <w:r>
        <w:rPr>
          <w:color w:val="000000"/>
          <w:sz w:val="24"/>
          <w:szCs w:val="24"/>
        </w:rPr>
        <w:t>Курс  «</w:t>
      </w:r>
      <w:proofErr w:type="gramEnd"/>
      <w:r>
        <w:rPr>
          <w:sz w:val="24"/>
          <w:szCs w:val="24"/>
        </w:rPr>
        <w:t xml:space="preserve">Численные методы решения задач математической физики на </w:t>
      </w:r>
      <w:proofErr w:type="spellStart"/>
      <w:r>
        <w:rPr>
          <w:sz w:val="24"/>
          <w:szCs w:val="24"/>
        </w:rPr>
        <w:t>неортогональных</w:t>
      </w:r>
      <w:proofErr w:type="spellEnd"/>
      <w:r>
        <w:rPr>
          <w:sz w:val="24"/>
          <w:szCs w:val="24"/>
        </w:rPr>
        <w:t xml:space="preserve"> сетках</w:t>
      </w:r>
      <w:r>
        <w:rPr>
          <w:color w:val="000000"/>
          <w:sz w:val="24"/>
          <w:szCs w:val="24"/>
        </w:rPr>
        <w:t>» является логическим продолжением курса «Численные методы», читаемого студентам бакалавриата кафедры «Прикладная математика» НИЯУ МИФИ, и во многом обобщает результаты, полученн</w:t>
      </w:r>
      <w:r>
        <w:rPr>
          <w:color w:val="000000"/>
          <w:sz w:val="24"/>
          <w:szCs w:val="24"/>
        </w:rPr>
        <w:t xml:space="preserve">ые в рамках указанного курса. Рассматривается применение </w:t>
      </w:r>
      <w:proofErr w:type="gramStart"/>
      <w:r>
        <w:rPr>
          <w:color w:val="000000"/>
          <w:sz w:val="24"/>
          <w:szCs w:val="24"/>
        </w:rPr>
        <w:t>аппарата  математического</w:t>
      </w:r>
      <w:proofErr w:type="gramEnd"/>
      <w:r>
        <w:rPr>
          <w:color w:val="000000"/>
          <w:sz w:val="24"/>
          <w:szCs w:val="24"/>
        </w:rPr>
        <w:t xml:space="preserve"> моделирования для решения прикладных задач, связанных с описанием реальных физических процессов. Освещаются классические и </w:t>
      </w:r>
      <w:proofErr w:type="gramStart"/>
      <w:r>
        <w:rPr>
          <w:color w:val="000000"/>
          <w:sz w:val="24"/>
          <w:szCs w:val="24"/>
        </w:rPr>
        <w:t>современные  методы</w:t>
      </w:r>
      <w:proofErr w:type="gramEnd"/>
      <w:r>
        <w:rPr>
          <w:color w:val="000000"/>
          <w:sz w:val="24"/>
          <w:szCs w:val="24"/>
        </w:rPr>
        <w:t xml:space="preserve"> построения сеточных аппроксима</w:t>
      </w:r>
      <w:r>
        <w:rPr>
          <w:color w:val="000000"/>
          <w:sz w:val="24"/>
          <w:szCs w:val="24"/>
        </w:rPr>
        <w:t xml:space="preserve">ций дифференциальных моделей со сложной геометрией. Большое внимание уделено применению метода конечных объемов на индексных и нерегулярных сетках. Подробно рассматриваются метод динамической адаптации </w:t>
      </w:r>
      <w:proofErr w:type="gramStart"/>
      <w:r>
        <w:rPr>
          <w:color w:val="000000"/>
          <w:sz w:val="24"/>
          <w:szCs w:val="24"/>
        </w:rPr>
        <w:t>для  численного</w:t>
      </w:r>
      <w:proofErr w:type="gramEnd"/>
      <w:r>
        <w:rPr>
          <w:color w:val="000000"/>
          <w:sz w:val="24"/>
          <w:szCs w:val="24"/>
        </w:rPr>
        <w:t xml:space="preserve"> решения  нелинейных задач на сетках ма</w:t>
      </w:r>
      <w:r>
        <w:rPr>
          <w:color w:val="000000"/>
          <w:sz w:val="24"/>
          <w:szCs w:val="24"/>
        </w:rPr>
        <w:t>лой размерности и метод опорных операторов для аппроксимации задач на нерегулярных сетках.</w:t>
      </w:r>
    </w:p>
    <w:bookmarkEnd w:id="0"/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</w:t>
      </w:r>
    </w:p>
    <w:p w:rsidR="005F0D0D" w:rsidRDefault="005F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Проведение лекционных и практических занятий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рамках курса «</w:t>
      </w:r>
      <w:r>
        <w:rPr>
          <w:sz w:val="24"/>
          <w:szCs w:val="24"/>
        </w:rPr>
        <w:t xml:space="preserve">Численные методы решения задач математической физики на </w:t>
      </w:r>
      <w:proofErr w:type="spellStart"/>
      <w:r>
        <w:rPr>
          <w:sz w:val="24"/>
          <w:szCs w:val="24"/>
        </w:rPr>
        <w:t>неортогональных</w:t>
      </w:r>
      <w:proofErr w:type="spellEnd"/>
      <w:r>
        <w:rPr>
          <w:sz w:val="24"/>
          <w:szCs w:val="24"/>
        </w:rPr>
        <w:t xml:space="preserve"> сетках</w:t>
      </w:r>
      <w:r>
        <w:rPr>
          <w:color w:val="000000"/>
          <w:sz w:val="24"/>
          <w:szCs w:val="24"/>
        </w:rPr>
        <w:t>» предусмотрено проведение лекционных и практических занятий. Лекционные и практические занятия проводятся с применением современных образовательных технологий. Используя прослушанный на лекциях материал, студенты должны научиться решать поставленные перед</w:t>
      </w:r>
      <w:r>
        <w:rPr>
          <w:color w:val="000000"/>
          <w:sz w:val="24"/>
          <w:szCs w:val="24"/>
        </w:rPr>
        <w:t xml:space="preserve"> ними задачи. 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Практика показала, что для наиболее эффективного усвоения студентами материала данной дисциплины необходимо использовать интерактивные формы проведения занятий с привлечением мультимедийных технологий. В рамках занятий следует проводить акти</w:t>
      </w:r>
      <w:r>
        <w:rPr>
          <w:color w:val="000000"/>
          <w:sz w:val="24"/>
          <w:szCs w:val="24"/>
        </w:rPr>
        <w:t xml:space="preserve">вное обсуждение и анализ современных научных работ, проводить групповой поиск ответов </w:t>
      </w:r>
      <w:proofErr w:type="gramStart"/>
      <w:r>
        <w:rPr>
          <w:color w:val="000000"/>
          <w:sz w:val="24"/>
          <w:szCs w:val="24"/>
        </w:rPr>
        <w:t>на вопросы</w:t>
      </w:r>
      <w:proofErr w:type="gramEnd"/>
      <w:r>
        <w:rPr>
          <w:color w:val="000000"/>
          <w:sz w:val="24"/>
          <w:szCs w:val="24"/>
        </w:rPr>
        <w:t xml:space="preserve"> возникающие у студентов при подготовке заданий и во время лекционных занятий. Основной упор на лекционных занятиях должен делаться на понимание излагаемого мат</w:t>
      </w:r>
      <w:r>
        <w:rPr>
          <w:color w:val="000000"/>
          <w:sz w:val="24"/>
          <w:szCs w:val="24"/>
        </w:rPr>
        <w:t xml:space="preserve">ериала и умение его использовать при выполнении заданий.   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каждом занятии следует отмечать посещаемость студентов. Рекомендуется не допускать студентов до сдачи контрольных мероприятий регулярно пропускающих занятия. 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первом занятии необходимо ознак</w:t>
      </w:r>
      <w:r>
        <w:rPr>
          <w:color w:val="000000"/>
          <w:sz w:val="24"/>
          <w:szCs w:val="24"/>
        </w:rPr>
        <w:t xml:space="preserve">омить </w:t>
      </w:r>
      <w:proofErr w:type="gramStart"/>
      <w:r>
        <w:rPr>
          <w:color w:val="000000"/>
          <w:sz w:val="24"/>
          <w:szCs w:val="24"/>
        </w:rPr>
        <w:t>студентов  с</w:t>
      </w:r>
      <w:proofErr w:type="gramEnd"/>
      <w:r>
        <w:rPr>
          <w:color w:val="000000"/>
          <w:sz w:val="24"/>
          <w:szCs w:val="24"/>
        </w:rPr>
        <w:t xml:space="preserve"> программой дисциплины, а также предложить литературу, которая потребуется для успешного освоения материала.</w:t>
      </w:r>
    </w:p>
    <w:p w:rsidR="005F0D0D" w:rsidRDefault="005F0D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Организация контроля успеваемости студентов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«Численные методы решен</w:t>
      </w:r>
      <w:r>
        <w:rPr>
          <w:color w:val="000000"/>
          <w:sz w:val="24"/>
          <w:szCs w:val="24"/>
        </w:rPr>
        <w:t xml:space="preserve">ия задач математической физики на </w:t>
      </w:r>
      <w:proofErr w:type="spellStart"/>
      <w:r>
        <w:rPr>
          <w:color w:val="000000"/>
          <w:sz w:val="24"/>
          <w:szCs w:val="24"/>
        </w:rPr>
        <w:t>неортогональных</w:t>
      </w:r>
      <w:proofErr w:type="spellEnd"/>
      <w:r>
        <w:rPr>
          <w:color w:val="000000"/>
          <w:sz w:val="24"/>
          <w:szCs w:val="24"/>
        </w:rPr>
        <w:t xml:space="preserve"> сетках» и предназначен для контроля и оценки образовательных достижений обучающихся, освоивших программу данной дисциплины.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проведении текущего контроля успеваемости по дисциплине «Численные методы реше</w:t>
      </w:r>
      <w:r>
        <w:rPr>
          <w:color w:val="000000"/>
          <w:sz w:val="24"/>
          <w:szCs w:val="24"/>
        </w:rPr>
        <w:t xml:space="preserve">ния задач математической физики на </w:t>
      </w:r>
      <w:proofErr w:type="spellStart"/>
      <w:r>
        <w:rPr>
          <w:color w:val="000000"/>
          <w:sz w:val="24"/>
          <w:szCs w:val="24"/>
        </w:rPr>
        <w:t>неортогональных</w:t>
      </w:r>
      <w:proofErr w:type="spellEnd"/>
      <w:r>
        <w:rPr>
          <w:color w:val="000000"/>
          <w:sz w:val="24"/>
          <w:szCs w:val="24"/>
        </w:rPr>
        <w:t xml:space="preserve"> сетках» используются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Домашняя работа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Рубежный контроль проводится на 8 и 16. Промежуточный контроль выставляется на основе экзамена.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допуска к зачету и экзамену необходимо закрыть на положительную оц</w:t>
      </w:r>
      <w:r>
        <w:rPr>
          <w:color w:val="000000"/>
          <w:sz w:val="24"/>
          <w:szCs w:val="24"/>
        </w:rPr>
        <w:t>енку все предложенные в рамках текущего контроля задания.</w:t>
      </w:r>
    </w:p>
    <w:p w:rsidR="005F0D0D" w:rsidRDefault="007552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Style w:val="ad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0"/>
        <w:gridCol w:w="28"/>
        <w:gridCol w:w="1470"/>
        <w:gridCol w:w="5172"/>
        <w:gridCol w:w="8"/>
        <w:gridCol w:w="1045"/>
        <w:gridCol w:w="1078"/>
      </w:tblGrid>
      <w:tr w:rsidR="005F0D0D">
        <w:tc>
          <w:tcPr>
            <w:tcW w:w="770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Код</w:t>
            </w:r>
          </w:p>
        </w:tc>
        <w:tc>
          <w:tcPr>
            <w:tcW w:w="1498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Вид оценочного</w:t>
            </w:r>
          </w:p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средства</w:t>
            </w: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Критерии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Балл</w:t>
            </w:r>
          </w:p>
        </w:tc>
        <w:tc>
          <w:tcPr>
            <w:tcW w:w="1078" w:type="dxa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Макс. балл– мин. балл</w:t>
            </w:r>
          </w:p>
        </w:tc>
      </w:tr>
      <w:tr w:rsidR="005F0D0D">
        <w:tc>
          <w:tcPr>
            <w:tcW w:w="770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ДЗ1</w:t>
            </w:r>
          </w:p>
        </w:tc>
        <w:tc>
          <w:tcPr>
            <w:tcW w:w="1498" w:type="dxa"/>
            <w:gridSpan w:val="2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Домашнее задание №1</w:t>
            </w: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выставляется студенту при демонстрации адекватной работы программы и знания теоретических основ используемого метода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078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25-15</w:t>
            </w:r>
          </w:p>
        </w:tc>
      </w:tr>
      <w:tr w:rsidR="005F0D0D">
        <w:tc>
          <w:tcPr>
            <w:tcW w:w="7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выставляется студенту при демонстрации адекватной работы программы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0"/>
                <w:id w:val="152343236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15−24</w:t>
                </w:r>
              </w:sdtContent>
            </w:sdt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c>
          <w:tcPr>
            <w:tcW w:w="7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 отсутствии или неверной работе программы домашнее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н/з</w:t>
            </w:r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c>
          <w:tcPr>
            <w:tcW w:w="770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ДЗ2</w:t>
            </w:r>
          </w:p>
        </w:tc>
        <w:tc>
          <w:tcPr>
            <w:tcW w:w="1498" w:type="dxa"/>
            <w:gridSpan w:val="2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Домашнее задание №2</w:t>
            </w: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выставляется студенту при демонстрации адекватной работы программы и знания теоретических основ используемого метода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078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25-15</w:t>
            </w:r>
          </w:p>
        </w:tc>
      </w:tr>
      <w:tr w:rsidR="005F0D0D">
        <w:tc>
          <w:tcPr>
            <w:tcW w:w="7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выставляется студенту при демонстрации адекватной работы программы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1"/>
                <w:id w:val="-27795911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15−24</w:t>
                </w:r>
              </w:sdtContent>
            </w:sdt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c>
          <w:tcPr>
            <w:tcW w:w="7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80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 отсутствии или неверной работе программы домашнее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1045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н/з</w:t>
            </w:r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rPr>
          <w:trHeight w:val="185"/>
        </w:trPr>
        <w:tc>
          <w:tcPr>
            <w:tcW w:w="798" w:type="dxa"/>
            <w:gridSpan w:val="2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1470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Экзамен</w:t>
            </w:r>
          </w:p>
        </w:tc>
        <w:tc>
          <w:tcPr>
            <w:tcW w:w="5172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 полностью правильно написанном билете </w:t>
            </w:r>
            <w:proofErr w:type="gramStart"/>
            <w:r>
              <w:rPr>
                <w:color w:val="000000"/>
              </w:rPr>
              <w:t>и  при</w:t>
            </w:r>
            <w:proofErr w:type="gramEnd"/>
            <w:r>
              <w:rPr>
                <w:color w:val="000000"/>
              </w:rPr>
              <w:t xml:space="preserve">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 демонстрирует углубленное понимание пре</w:t>
            </w:r>
            <w:r>
              <w:rPr>
                <w:color w:val="000000"/>
              </w:rPr>
              <w:t>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1053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078" w:type="dxa"/>
            <w:vMerge w:val="restart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50-30</w:t>
            </w:r>
          </w:p>
        </w:tc>
      </w:tr>
      <w:tr w:rsidR="005F0D0D">
        <w:trPr>
          <w:trHeight w:val="185"/>
        </w:trPr>
        <w:tc>
          <w:tcPr>
            <w:tcW w:w="7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72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при полностью правильно написанном билете </w:t>
            </w:r>
            <w:proofErr w:type="gramStart"/>
            <w:r>
              <w:rPr>
                <w:color w:val="000000"/>
              </w:rPr>
              <w:t>и  при</w:t>
            </w:r>
            <w:proofErr w:type="gramEnd"/>
            <w:r>
              <w:rPr>
                <w:color w:val="000000"/>
              </w:rPr>
              <w:t xml:space="preserve">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1053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2"/>
                <w:id w:val="145105316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40−45</w:t>
                </w:r>
              </w:sdtContent>
            </w:sdt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rPr>
          <w:trHeight w:val="185"/>
        </w:trPr>
        <w:tc>
          <w:tcPr>
            <w:tcW w:w="7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72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при написанных ответах на вопросы билета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1053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sdt>
              <w:sdtPr>
                <w:tag w:val="goog_rdk_3"/>
                <w:id w:val="38654238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</w:rPr>
                  <w:t>30−39</w:t>
                </w:r>
              </w:sdtContent>
            </w:sdt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5F0D0D">
        <w:trPr>
          <w:trHeight w:val="185"/>
        </w:trPr>
        <w:tc>
          <w:tcPr>
            <w:tcW w:w="798" w:type="dxa"/>
            <w:gridSpan w:val="2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1470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172" w:type="dxa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если студент не написал ответ хотя бы на один из вопросов билета и не может ответить на дополнительные компетентностно–ориентированные вопросы</w:t>
            </w:r>
          </w:p>
        </w:tc>
        <w:tc>
          <w:tcPr>
            <w:tcW w:w="1053" w:type="dxa"/>
            <w:gridSpan w:val="2"/>
            <w:vAlign w:val="center"/>
          </w:tcPr>
          <w:p w:rsidR="005F0D0D" w:rsidRDefault="00755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н/з</w:t>
            </w:r>
          </w:p>
        </w:tc>
        <w:tc>
          <w:tcPr>
            <w:tcW w:w="1078" w:type="dxa"/>
            <w:vMerge/>
            <w:vAlign w:val="center"/>
          </w:tcPr>
          <w:p w:rsidR="005F0D0D" w:rsidRDefault="005F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:rsidR="005F0D0D" w:rsidRDefault="005F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5F0D0D" w:rsidRDefault="005F0D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</w:p>
    <w:p w:rsidR="005F0D0D" w:rsidRDefault="005F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sectPr w:rsidR="005F0D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0D"/>
    <w:rsid w:val="005F0D0D"/>
    <w:rsid w:val="0075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24D86-CAC1-40C1-BCE2-CBB837D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</w:rPr>
  </w:style>
  <w:style w:type="table" w:styleId="a5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Параграф"/>
    <w:basedOn w:val="a"/>
    <w:pPr>
      <w:spacing w:line="276" w:lineRule="auto"/>
      <w:ind w:firstLine="709"/>
      <w:jc w:val="both"/>
    </w:pPr>
    <w:rPr>
      <w:sz w:val="24"/>
      <w:szCs w:val="22"/>
      <w:lang w:eastAsia="en-US"/>
    </w:rPr>
  </w:style>
  <w:style w:type="character" w:customStyle="1" w:styleId="a7">
    <w:name w:val="Параграф Знак"/>
    <w:rPr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  <w:rPr>
      <w:sz w:val="24"/>
      <w:szCs w:val="22"/>
      <w:lang w:eastAsia="en-US"/>
    </w:rPr>
  </w:style>
  <w:style w:type="character" w:customStyle="1" w:styleId="a9">
    <w:name w:val="Верхний колонтитул Знак"/>
    <w:rPr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maq4SixZy5wv/44psbz3x3YiQ==">AMUW2mWMnIee1sDB6KTKjPixfeUU1mmTieJdE5d9SzaK1ExekK4EslRUJLr3bESBivXEk3Cwl0yUqEMEdAL7h4nTP2peh8rRfXCRmVRe5D1xK1PP9MaYs87JC8IYnC/+WJE+VvMytoRsAp5yf7OZs9n+cbFN+oVbB8PAjQbb/1bmotfBmuE5M7tDIY4J4zfmK55pD0YGJyWVR+aI0D8XTKFlGzgTJxC9LRqnDLg47SyVjf0OlbdesZdrLVP+udpHtPZ6TNrWxIcjHYl7IF23Qg8XCFtnQl1u5I+TeghhiM3rq3CyNYRgqbrYyf2BshCHPYbI7T8Lnk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galina tihonova</cp:lastModifiedBy>
  <cp:revision>2</cp:revision>
  <dcterms:created xsi:type="dcterms:W3CDTF">2015-05-26T10:23:00Z</dcterms:created>
  <dcterms:modified xsi:type="dcterms:W3CDTF">2020-11-22T11:29:00Z</dcterms:modified>
</cp:coreProperties>
</file>