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ИНСТИТУТ ЛАЗЕРНЫХ И ПЛАЗМЕННЫХ ТЕХНОЛОГИЙ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МЕТОДИЧЕСКИЕ УКАЗАНИЯ ДЛЯ СТУДЕНТОВ </w:t>
      </w:r>
      <w:bookmarkStart w:id="0" w:name="_GoBack"/>
      <w:bookmarkEnd w:id="0"/>
      <w:r>
        <w:rPr>
          <w:b/>
          <w:color w:val="000000"/>
          <w:sz w:val="24"/>
          <w:szCs w:val="24"/>
        </w:rPr>
        <w:t>ПО ДИСЦИПЛИНЕ</w:t>
      </w:r>
    </w:p>
    <w:p w:rsidR="00784FBD" w:rsidRDefault="00A9752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Численные методы решения задач математической физики на </w:t>
      </w:r>
      <w:proofErr w:type="spellStart"/>
      <w:r>
        <w:rPr>
          <w:b/>
          <w:color w:val="000000"/>
          <w:sz w:val="24"/>
          <w:szCs w:val="24"/>
        </w:rPr>
        <w:t>неортогональных</w:t>
      </w:r>
      <w:proofErr w:type="spellEnd"/>
      <w:r>
        <w:rPr>
          <w:b/>
          <w:color w:val="000000"/>
          <w:sz w:val="24"/>
          <w:szCs w:val="24"/>
        </w:rPr>
        <w:t xml:space="preserve"> сетках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Курс  «</w:t>
      </w:r>
      <w:proofErr w:type="gramEnd"/>
      <w:r>
        <w:rPr>
          <w:color w:val="000000"/>
          <w:sz w:val="24"/>
          <w:szCs w:val="24"/>
        </w:rPr>
        <w:t xml:space="preserve">Численные методы решения задач математической физики на </w:t>
      </w:r>
      <w:proofErr w:type="spellStart"/>
      <w:r>
        <w:rPr>
          <w:color w:val="000000"/>
          <w:sz w:val="24"/>
          <w:szCs w:val="24"/>
        </w:rPr>
        <w:t>неортогональных</w:t>
      </w:r>
      <w:proofErr w:type="spellEnd"/>
      <w:r>
        <w:rPr>
          <w:color w:val="000000"/>
          <w:sz w:val="24"/>
          <w:szCs w:val="24"/>
        </w:rPr>
        <w:t xml:space="preserve"> сетках» является логическим продолжением курса «Численные методы», читаемого студентам магистратуры кафедры «Прикладная математика» факультета экспериментальной и теоретической </w:t>
      </w:r>
      <w:r>
        <w:rPr>
          <w:color w:val="000000"/>
          <w:sz w:val="24"/>
          <w:szCs w:val="24"/>
        </w:rPr>
        <w:t xml:space="preserve">физики НИЯУ МИФИ, и во многом обобщает результаты, полученные в рамках указанного курса. Рассматривается применение </w:t>
      </w:r>
      <w:proofErr w:type="gramStart"/>
      <w:r>
        <w:rPr>
          <w:color w:val="000000"/>
          <w:sz w:val="24"/>
          <w:szCs w:val="24"/>
        </w:rPr>
        <w:t>аппарата  математического</w:t>
      </w:r>
      <w:proofErr w:type="gramEnd"/>
      <w:r>
        <w:rPr>
          <w:color w:val="000000"/>
          <w:sz w:val="24"/>
          <w:szCs w:val="24"/>
        </w:rPr>
        <w:t xml:space="preserve"> моделирования для решения прикладных задач, связанных с описанием реальных физических процессов. Освещаются класси</w:t>
      </w:r>
      <w:r>
        <w:rPr>
          <w:color w:val="000000"/>
          <w:sz w:val="24"/>
          <w:szCs w:val="24"/>
        </w:rPr>
        <w:t xml:space="preserve">ческие и </w:t>
      </w:r>
      <w:proofErr w:type="gramStart"/>
      <w:r>
        <w:rPr>
          <w:color w:val="000000"/>
          <w:sz w:val="24"/>
          <w:szCs w:val="24"/>
        </w:rPr>
        <w:t>современные  методы</w:t>
      </w:r>
      <w:proofErr w:type="gramEnd"/>
      <w:r>
        <w:rPr>
          <w:color w:val="000000"/>
          <w:sz w:val="24"/>
          <w:szCs w:val="24"/>
        </w:rPr>
        <w:t xml:space="preserve"> построения сеточных аппроксимаций дифференциальных моделей со сложной геометрией. Большое внимание уделено применению метода конечных объемов на индексных и нерегулярных сетках. Подробно рассматривается метод динамической адапт</w:t>
      </w:r>
      <w:r>
        <w:rPr>
          <w:color w:val="000000"/>
          <w:sz w:val="24"/>
          <w:szCs w:val="24"/>
        </w:rPr>
        <w:t xml:space="preserve">ации </w:t>
      </w:r>
      <w:proofErr w:type="gramStart"/>
      <w:r>
        <w:rPr>
          <w:color w:val="000000"/>
          <w:sz w:val="24"/>
          <w:szCs w:val="24"/>
        </w:rPr>
        <w:t>для  численного</w:t>
      </w:r>
      <w:proofErr w:type="gramEnd"/>
      <w:r>
        <w:rPr>
          <w:color w:val="000000"/>
          <w:sz w:val="24"/>
          <w:szCs w:val="24"/>
        </w:rPr>
        <w:t xml:space="preserve"> решения  нелинейных задач на сетках малой размерности.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</w:t>
      </w:r>
    </w:p>
    <w:p w:rsidR="00784FBD" w:rsidRDefault="00A9752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Проведение лекционных и практических занятий</w:t>
      </w:r>
    </w:p>
    <w:p w:rsidR="00784FBD" w:rsidRDefault="00A9752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курса «Численные методы решения задач математической физики на </w:t>
      </w:r>
      <w:proofErr w:type="spellStart"/>
      <w:r>
        <w:rPr>
          <w:sz w:val="24"/>
          <w:szCs w:val="24"/>
        </w:rPr>
        <w:t>неортогональных</w:t>
      </w:r>
      <w:proofErr w:type="spellEnd"/>
      <w:r>
        <w:rPr>
          <w:sz w:val="24"/>
          <w:szCs w:val="24"/>
        </w:rPr>
        <w:t xml:space="preserve"> сетках» предусмотрено проведение лекционных и практических занятий. Лекционные и практические занятия проводятся с применением современных образовательных технологий. И</w:t>
      </w:r>
      <w:r>
        <w:rPr>
          <w:sz w:val="24"/>
          <w:szCs w:val="24"/>
        </w:rPr>
        <w:t xml:space="preserve">спользуя прослушанный на лекциях материал, студенты должны научиться решать поставленные перед ними задачи. </w:t>
      </w:r>
    </w:p>
    <w:p w:rsidR="00784FBD" w:rsidRDefault="00A9752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Большая часть лекционных и практических занятий проводится в интерактивной форме с привлечением мультимедийных технологий. В рамках занятий проводи</w:t>
      </w:r>
      <w:r>
        <w:rPr>
          <w:sz w:val="24"/>
          <w:szCs w:val="24"/>
        </w:rPr>
        <w:t xml:space="preserve">тся активное обсуждение и анализ современных научных работ, вопросов и </w:t>
      </w:r>
      <w:proofErr w:type="gramStart"/>
      <w:r>
        <w:rPr>
          <w:sz w:val="24"/>
          <w:szCs w:val="24"/>
        </w:rPr>
        <w:t>затруднений</w:t>
      </w:r>
      <w:proofErr w:type="gramEnd"/>
      <w:r>
        <w:rPr>
          <w:sz w:val="24"/>
          <w:szCs w:val="24"/>
        </w:rPr>
        <w:t xml:space="preserve"> возникающих в процессе подготовки заданий.</w:t>
      </w:r>
    </w:p>
    <w:p w:rsidR="00784FBD" w:rsidRDefault="00A9752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отмечается посещаемость студентов. </w:t>
      </w:r>
    </w:p>
    <w:p w:rsidR="00784FBD" w:rsidRDefault="00A9752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изучении курса студентам рекомендуется внимательно ознакомиться с програ</w:t>
      </w:r>
      <w:r>
        <w:rPr>
          <w:sz w:val="24"/>
          <w:szCs w:val="24"/>
        </w:rPr>
        <w:t>ммой дисциплины, взять в библиотеке рекомендованную литературу.</w:t>
      </w:r>
    </w:p>
    <w:p w:rsidR="00784FBD" w:rsidRDefault="00A9752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</w:t>
      </w:r>
      <w:r>
        <w:rPr>
          <w:sz w:val="24"/>
          <w:szCs w:val="24"/>
        </w:rPr>
        <w:t>Численные методы решен</w:t>
      </w:r>
      <w:r>
        <w:rPr>
          <w:sz w:val="24"/>
          <w:szCs w:val="24"/>
        </w:rPr>
        <w:t xml:space="preserve">ия задач математической физики на </w:t>
      </w:r>
      <w:proofErr w:type="spellStart"/>
      <w:r>
        <w:rPr>
          <w:sz w:val="24"/>
          <w:szCs w:val="24"/>
        </w:rPr>
        <w:t>неортогональных</w:t>
      </w:r>
      <w:proofErr w:type="spellEnd"/>
      <w:r>
        <w:rPr>
          <w:sz w:val="24"/>
          <w:szCs w:val="24"/>
        </w:rPr>
        <w:t xml:space="preserve"> сетках</w:t>
      </w:r>
      <w:r>
        <w:rPr>
          <w:color w:val="000000"/>
          <w:sz w:val="24"/>
          <w:szCs w:val="24"/>
        </w:rPr>
        <w:t xml:space="preserve">» и </w:t>
      </w:r>
      <w:r>
        <w:rPr>
          <w:color w:val="000000"/>
          <w:sz w:val="24"/>
          <w:szCs w:val="24"/>
        </w:rPr>
        <w:lastRenderedPageBreak/>
        <w:t>предназначен для контроля и оценки образовательных достижений обучающихся, освоивших программу данной дисциплины.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проведении текущего контроля успеваемости по дисциплине «</w:t>
      </w:r>
      <w:r>
        <w:rPr>
          <w:sz w:val="24"/>
          <w:szCs w:val="24"/>
        </w:rPr>
        <w:t>Численные методы реше</w:t>
      </w:r>
      <w:r>
        <w:rPr>
          <w:sz w:val="24"/>
          <w:szCs w:val="24"/>
        </w:rPr>
        <w:t xml:space="preserve">ния задач математической физики на </w:t>
      </w:r>
      <w:proofErr w:type="spellStart"/>
      <w:r>
        <w:rPr>
          <w:sz w:val="24"/>
          <w:szCs w:val="24"/>
        </w:rPr>
        <w:t>неортогональных</w:t>
      </w:r>
      <w:proofErr w:type="spellEnd"/>
      <w:r>
        <w:rPr>
          <w:sz w:val="24"/>
          <w:szCs w:val="24"/>
        </w:rPr>
        <w:t xml:space="preserve"> сетках</w:t>
      </w:r>
      <w:r>
        <w:rPr>
          <w:color w:val="000000"/>
          <w:sz w:val="24"/>
          <w:szCs w:val="24"/>
        </w:rPr>
        <w:t>» используются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Домашняя работа</w:t>
      </w:r>
    </w:p>
    <w:p w:rsidR="00784FBD" w:rsidRDefault="00A975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Рубежный контроль проводится на 8 и 16 неделе.  Промежуточный контроль выставляется на основе экзамена.</w:t>
      </w:r>
    </w:p>
    <w:p w:rsidR="00784FBD" w:rsidRDefault="00A9752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и экзамену необходимо закрыть на положительную оценку все предложенные в рамках текущего контроля задания.</w:t>
      </w:r>
    </w:p>
    <w:p w:rsidR="00784FBD" w:rsidRDefault="00A9752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27"/>
        <w:gridCol w:w="1437"/>
        <w:gridCol w:w="5038"/>
        <w:gridCol w:w="8"/>
        <w:gridCol w:w="1023"/>
        <w:gridCol w:w="1055"/>
      </w:tblGrid>
      <w:tr w:rsidR="00784FBD">
        <w:tc>
          <w:tcPr>
            <w:tcW w:w="756" w:type="dxa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464" w:type="dxa"/>
            <w:gridSpan w:val="2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Вид оценочного</w:t>
            </w:r>
          </w:p>
          <w:p w:rsidR="00784FBD" w:rsidRDefault="00A97522">
            <w:pPr>
              <w:rPr>
                <w:b/>
              </w:rPr>
            </w:pPr>
            <w:r>
              <w:rPr>
                <w:b/>
              </w:rPr>
              <w:t>средства</w:t>
            </w: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1023" w:type="dxa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1055" w:type="dxa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Макс. бал</w:t>
            </w:r>
            <w:r>
              <w:rPr>
                <w:b/>
              </w:rPr>
              <w:t>л– мин. балл</w:t>
            </w:r>
          </w:p>
        </w:tc>
      </w:tr>
      <w:tr w:rsidR="00784FBD">
        <w:tc>
          <w:tcPr>
            <w:tcW w:w="756" w:type="dxa"/>
            <w:vMerge w:val="restart"/>
            <w:vAlign w:val="center"/>
          </w:tcPr>
          <w:p w:rsidR="00784FBD" w:rsidRDefault="00A97522">
            <w:r>
              <w:t>ДЗ1</w:t>
            </w:r>
          </w:p>
        </w:tc>
        <w:tc>
          <w:tcPr>
            <w:tcW w:w="1464" w:type="dxa"/>
            <w:gridSpan w:val="2"/>
            <w:vMerge w:val="restart"/>
            <w:vAlign w:val="center"/>
          </w:tcPr>
          <w:p w:rsidR="00784FBD" w:rsidRDefault="00A97522">
            <w:r>
              <w:t>Домашнее задание №1</w:t>
            </w: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jc w:val="both"/>
            </w:pPr>
            <w:r>
              <w:t>выставляется студенту при демонстрации адекватной работы программы и знания теоретических основ используемого метода</w:t>
            </w:r>
          </w:p>
        </w:tc>
        <w:tc>
          <w:tcPr>
            <w:tcW w:w="1023" w:type="dxa"/>
            <w:vAlign w:val="center"/>
          </w:tcPr>
          <w:p w:rsidR="00784FBD" w:rsidRDefault="00A97522">
            <w:r>
              <w:t>25</w:t>
            </w:r>
          </w:p>
        </w:tc>
        <w:tc>
          <w:tcPr>
            <w:tcW w:w="1055" w:type="dxa"/>
            <w:vMerge w:val="restart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25-15</w:t>
            </w:r>
          </w:p>
        </w:tc>
      </w:tr>
      <w:tr w:rsidR="00784FBD">
        <w:tc>
          <w:tcPr>
            <w:tcW w:w="756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64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jc w:val="both"/>
            </w:pPr>
            <w:r>
              <w:t>выставляется студенту при демонстрации адекватной работы программы</w:t>
            </w:r>
          </w:p>
        </w:tc>
        <w:tc>
          <w:tcPr>
            <w:tcW w:w="1023" w:type="dxa"/>
            <w:vAlign w:val="center"/>
          </w:tcPr>
          <w:p w:rsidR="00784FBD" w:rsidRDefault="00A97522">
            <w:sdt>
              <w:sdtPr>
                <w:tag w:val="goog_rdk_0"/>
                <w:id w:val="-1398272187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15−24</w:t>
                </w:r>
              </w:sdtContent>
            </w:sdt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4FBD">
        <w:tc>
          <w:tcPr>
            <w:tcW w:w="756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64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jc w:val="both"/>
            </w:pPr>
            <w:r>
              <w:t xml:space="preserve">при отсутствии или неверной работе программы домашнее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1023" w:type="dxa"/>
            <w:vAlign w:val="center"/>
          </w:tcPr>
          <w:p w:rsidR="00784FBD" w:rsidRDefault="00A97522">
            <w:r>
              <w:t>н/з</w:t>
            </w:r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4FBD">
        <w:tc>
          <w:tcPr>
            <w:tcW w:w="756" w:type="dxa"/>
            <w:vMerge w:val="restart"/>
            <w:vAlign w:val="center"/>
          </w:tcPr>
          <w:p w:rsidR="00784FBD" w:rsidRDefault="00A97522">
            <w:r>
              <w:t>ДЗ2</w:t>
            </w:r>
          </w:p>
        </w:tc>
        <w:tc>
          <w:tcPr>
            <w:tcW w:w="1464" w:type="dxa"/>
            <w:gridSpan w:val="2"/>
            <w:vMerge w:val="restart"/>
            <w:vAlign w:val="center"/>
          </w:tcPr>
          <w:p w:rsidR="00784FBD" w:rsidRDefault="00A97522">
            <w:r>
              <w:t>Домашнее задание №2</w:t>
            </w: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jc w:val="both"/>
            </w:pPr>
            <w:r>
              <w:t>выставляется студенту при демонстрации адекватно</w:t>
            </w:r>
            <w:r>
              <w:t>й работы программы и знания теоретических основ используемого метода</w:t>
            </w:r>
          </w:p>
        </w:tc>
        <w:tc>
          <w:tcPr>
            <w:tcW w:w="1023" w:type="dxa"/>
            <w:vAlign w:val="center"/>
          </w:tcPr>
          <w:p w:rsidR="00784FBD" w:rsidRDefault="00A97522">
            <w:r>
              <w:t>25</w:t>
            </w:r>
          </w:p>
        </w:tc>
        <w:tc>
          <w:tcPr>
            <w:tcW w:w="1055" w:type="dxa"/>
            <w:vMerge w:val="restart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25-15</w:t>
            </w:r>
          </w:p>
        </w:tc>
      </w:tr>
      <w:tr w:rsidR="00784FBD">
        <w:tc>
          <w:tcPr>
            <w:tcW w:w="756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64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jc w:val="both"/>
            </w:pPr>
            <w:r>
              <w:t>выставляется студенту при демонстрации адекватной работы программы</w:t>
            </w:r>
          </w:p>
        </w:tc>
        <w:tc>
          <w:tcPr>
            <w:tcW w:w="1023" w:type="dxa"/>
            <w:vAlign w:val="center"/>
          </w:tcPr>
          <w:p w:rsidR="00784FBD" w:rsidRDefault="00A97522">
            <w:sdt>
              <w:sdtPr>
                <w:tag w:val="goog_rdk_1"/>
                <w:id w:val="54634101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15−24</w:t>
                </w:r>
              </w:sdtContent>
            </w:sdt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4FBD">
        <w:tc>
          <w:tcPr>
            <w:tcW w:w="756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64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47" w:type="dxa"/>
            <w:gridSpan w:val="2"/>
            <w:vAlign w:val="center"/>
          </w:tcPr>
          <w:p w:rsidR="00784FBD" w:rsidRDefault="00A97522">
            <w:pPr>
              <w:jc w:val="both"/>
            </w:pPr>
            <w:r>
              <w:t xml:space="preserve">при отсутствии или неверной работе программы домашнее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1023" w:type="dxa"/>
            <w:vAlign w:val="center"/>
          </w:tcPr>
          <w:p w:rsidR="00784FBD" w:rsidRDefault="00A97522">
            <w:r>
              <w:t>н/з</w:t>
            </w:r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4FBD">
        <w:trPr>
          <w:trHeight w:val="185"/>
        </w:trPr>
        <w:tc>
          <w:tcPr>
            <w:tcW w:w="783" w:type="dxa"/>
            <w:gridSpan w:val="2"/>
            <w:vMerge w:val="restart"/>
            <w:vAlign w:val="center"/>
          </w:tcPr>
          <w:p w:rsidR="00784FBD" w:rsidRDefault="00A97522">
            <w:r>
              <w:t>Э</w:t>
            </w:r>
          </w:p>
        </w:tc>
        <w:tc>
          <w:tcPr>
            <w:tcW w:w="1437" w:type="dxa"/>
            <w:vMerge w:val="restart"/>
            <w:vAlign w:val="center"/>
          </w:tcPr>
          <w:p w:rsidR="00784FBD" w:rsidRDefault="00A97522">
            <w:r>
              <w:t>Экзамен</w:t>
            </w:r>
          </w:p>
        </w:tc>
        <w:tc>
          <w:tcPr>
            <w:tcW w:w="5039" w:type="dxa"/>
            <w:vAlign w:val="center"/>
          </w:tcPr>
          <w:p w:rsidR="00784FBD" w:rsidRDefault="00A97522">
            <w:pPr>
              <w:jc w:val="both"/>
            </w:pPr>
            <w:r>
              <w:t xml:space="preserve">при полностью правильно написанном билете </w:t>
            </w:r>
            <w:proofErr w:type="gramStart"/>
            <w:r>
              <w:t>и  при</w:t>
            </w:r>
            <w:proofErr w:type="gramEnd"/>
            <w:r>
              <w:t xml:space="preserve"> ответе на все</w:t>
            </w:r>
            <w:r>
              <w:t xml:space="preserve">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предмета и владение ключевыми знаниями, умениями и навыками, пред</w:t>
            </w:r>
            <w:r>
              <w:t>усмотренными данной дисциплиной</w:t>
            </w:r>
          </w:p>
        </w:tc>
        <w:tc>
          <w:tcPr>
            <w:tcW w:w="1031" w:type="dxa"/>
            <w:gridSpan w:val="2"/>
            <w:vAlign w:val="center"/>
          </w:tcPr>
          <w:p w:rsidR="00784FBD" w:rsidRDefault="00A97522">
            <w:r>
              <w:t>50</w:t>
            </w:r>
          </w:p>
        </w:tc>
        <w:tc>
          <w:tcPr>
            <w:tcW w:w="1055" w:type="dxa"/>
            <w:vMerge w:val="restart"/>
            <w:vAlign w:val="center"/>
          </w:tcPr>
          <w:p w:rsidR="00784FBD" w:rsidRDefault="00A97522">
            <w:pPr>
              <w:rPr>
                <w:b/>
              </w:rPr>
            </w:pPr>
            <w:r>
              <w:rPr>
                <w:b/>
              </w:rPr>
              <w:t>50-30</w:t>
            </w:r>
          </w:p>
        </w:tc>
      </w:tr>
      <w:tr w:rsidR="00784FBD">
        <w:trPr>
          <w:trHeight w:val="185"/>
        </w:trPr>
        <w:tc>
          <w:tcPr>
            <w:tcW w:w="783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37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039" w:type="dxa"/>
            <w:vAlign w:val="center"/>
          </w:tcPr>
          <w:p w:rsidR="00784FBD" w:rsidRDefault="00A97522">
            <w:pPr>
              <w:jc w:val="both"/>
            </w:pPr>
            <w:r>
              <w:t xml:space="preserve">при полностью правильно написанном билете </w:t>
            </w:r>
            <w:proofErr w:type="gramStart"/>
            <w:r>
              <w:t>и  при</w:t>
            </w:r>
            <w:proofErr w:type="gramEnd"/>
            <w:r>
              <w:t xml:space="preserve">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1031" w:type="dxa"/>
            <w:gridSpan w:val="2"/>
            <w:vAlign w:val="center"/>
          </w:tcPr>
          <w:p w:rsidR="00784FBD" w:rsidRDefault="00A97522">
            <w:sdt>
              <w:sdtPr>
                <w:tag w:val="goog_rdk_2"/>
                <w:id w:val="84683516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40−45</w:t>
                </w:r>
              </w:sdtContent>
            </w:sdt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4FBD">
        <w:trPr>
          <w:trHeight w:val="185"/>
        </w:trPr>
        <w:tc>
          <w:tcPr>
            <w:tcW w:w="783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7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39" w:type="dxa"/>
            <w:vAlign w:val="center"/>
          </w:tcPr>
          <w:p w:rsidR="00784FBD" w:rsidRDefault="00A97522">
            <w:pPr>
              <w:jc w:val="both"/>
            </w:pPr>
            <w:r>
              <w:t>при написанных ответах на вопросы билета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1031" w:type="dxa"/>
            <w:gridSpan w:val="2"/>
            <w:vAlign w:val="center"/>
          </w:tcPr>
          <w:p w:rsidR="00784FBD" w:rsidRDefault="00A97522">
            <w:sdt>
              <w:sdtPr>
                <w:tag w:val="goog_rdk_3"/>
                <w:id w:val="-49264600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30−39</w:t>
                </w:r>
              </w:sdtContent>
            </w:sdt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4FBD">
        <w:trPr>
          <w:trHeight w:val="185"/>
        </w:trPr>
        <w:tc>
          <w:tcPr>
            <w:tcW w:w="783" w:type="dxa"/>
            <w:gridSpan w:val="2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7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39" w:type="dxa"/>
            <w:vAlign w:val="center"/>
          </w:tcPr>
          <w:p w:rsidR="00784FBD" w:rsidRDefault="00A97522">
            <w:pPr>
              <w:jc w:val="both"/>
            </w:pPr>
            <w:r>
              <w:t>если студент не написал ответ хотя бы на один из вопросов билета и не может ответить на</w:t>
            </w:r>
            <w:r>
              <w:t xml:space="preserve"> дополнительные компетентностно–ориентированные вопросы</w:t>
            </w:r>
          </w:p>
        </w:tc>
        <w:tc>
          <w:tcPr>
            <w:tcW w:w="1031" w:type="dxa"/>
            <w:gridSpan w:val="2"/>
            <w:vAlign w:val="center"/>
          </w:tcPr>
          <w:p w:rsidR="00784FBD" w:rsidRDefault="00A97522">
            <w:r>
              <w:t>н/з</w:t>
            </w:r>
          </w:p>
        </w:tc>
        <w:tc>
          <w:tcPr>
            <w:tcW w:w="1055" w:type="dxa"/>
            <w:vMerge/>
            <w:vAlign w:val="center"/>
          </w:tcPr>
          <w:p w:rsidR="00784FBD" w:rsidRDefault="0078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784FBD" w:rsidRDefault="00784FBD" w:rsidP="00A97522">
      <w:pPr>
        <w:jc w:val="both"/>
        <w:rPr>
          <w:color w:val="000000"/>
          <w:sz w:val="24"/>
          <w:szCs w:val="24"/>
        </w:rPr>
      </w:pPr>
    </w:p>
    <w:sectPr w:rsidR="00784F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BD"/>
    <w:rsid w:val="00784FBD"/>
    <w:rsid w:val="00A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F2167-E24F-469A-809F-AC63A1CF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5570F2"/>
    <w:rPr>
      <w:sz w:val="24"/>
    </w:rPr>
  </w:style>
  <w:style w:type="table" w:styleId="a5">
    <w:name w:val="Table Grid"/>
    <w:basedOn w:val="a1"/>
    <w:rsid w:val="000018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араграф"/>
    <w:basedOn w:val="a"/>
    <w:link w:val="a7"/>
    <w:rsid w:val="000018AC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7">
    <w:name w:val="Параграф Знак"/>
    <w:link w:val="a6"/>
    <w:rsid w:val="000018AC"/>
    <w:rPr>
      <w:rFonts w:eastAsia="Calibri" w:cs="Times New Roman"/>
      <w:sz w:val="24"/>
      <w:szCs w:val="22"/>
      <w:lang w:eastAsia="en-US"/>
    </w:rPr>
  </w:style>
  <w:style w:type="paragraph" w:styleId="a8">
    <w:name w:val="header"/>
    <w:basedOn w:val="a"/>
    <w:link w:val="a9"/>
    <w:rsid w:val="000018AC"/>
    <w:pPr>
      <w:tabs>
        <w:tab w:val="center" w:pos="4677"/>
        <w:tab w:val="right" w:pos="9355"/>
      </w:tabs>
    </w:pPr>
    <w:rPr>
      <w:rFonts w:eastAsia="Calibri"/>
      <w:sz w:val="24"/>
      <w:szCs w:val="22"/>
      <w:lang w:eastAsia="en-US"/>
    </w:rPr>
  </w:style>
  <w:style w:type="character" w:customStyle="1" w:styleId="a9">
    <w:name w:val="Верхний колонтитул Знак"/>
    <w:link w:val="a8"/>
    <w:rsid w:val="000018AC"/>
    <w:rPr>
      <w:rFonts w:eastAsia="Calibri" w:cs="Times New Roman"/>
      <w:sz w:val="24"/>
      <w:szCs w:val="22"/>
      <w:lang w:eastAsia="en-US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HKOkCRt7pVNSAU+o+9QSSRG5w==">AMUW2mV9i3cZucx/mi28PApuOmXAzeTjnACkZ24l52PAO6aC6xzDJCWE9M8LAJNv9+T/VzaVxQlxRnqHxVSM0aJyA7IyZP0eWICjnF0tg3SMEOZ8rRowDz9o4zEIWWV5Ue5MQHQPSARos6FtLJ11FgBmnRgbPnOoSgJWm8lN0BCSS8kVQRLGgGruye1SHgK/LnaEJY7dx4RIHQuVJdFt6LHEzUIdvAs+8L6fBPKVrJBrMeWdnhrCzoo=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galina tihonova</cp:lastModifiedBy>
  <cp:revision>2</cp:revision>
  <dcterms:created xsi:type="dcterms:W3CDTF">2020-11-19T11:57:00Z</dcterms:created>
  <dcterms:modified xsi:type="dcterms:W3CDTF">2020-11-22T11:31:00Z</dcterms:modified>
</cp:coreProperties>
</file>