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159FC" w14:textId="77777777" w:rsidR="00DA6C49" w:rsidRDefault="00DA6C49">
      <w:pPr>
        <w:jc w:val="right"/>
      </w:pPr>
    </w:p>
    <w:p w14:paraId="127618C1" w14:textId="77777777" w:rsidR="00DA6C49" w:rsidRDefault="003B7E6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7A04F7F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C169B7F" w14:textId="77777777" w:rsidR="00DA6C49" w:rsidRDefault="00DA6C49">
      <w:pPr>
        <w:jc w:val="center"/>
        <w:rPr>
          <w:spacing w:val="20"/>
        </w:rPr>
      </w:pPr>
    </w:p>
    <w:p w14:paraId="4A58213E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20013A7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47FEB620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119DB5E8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A58354F" w14:textId="77777777" w:rsidR="00DA6C49" w:rsidRDefault="003B7E6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5020219" w14:textId="77777777" w:rsidR="00DA6C49" w:rsidRDefault="003B7E6B">
      <w:pPr>
        <w:jc w:val="center"/>
      </w:pPr>
      <w:r>
        <w:rPr>
          <w:rFonts w:ascii="Times New Roman" w:hAnsi="Times New Roman" w:cs="Times New Roman"/>
          <w:spacing w:val="20"/>
        </w:rPr>
        <w:t>Математическая статистика</w:t>
      </w:r>
    </w:p>
    <w:p w14:paraId="49175039" w14:textId="77777777" w:rsidR="00DA6C49" w:rsidRDefault="003B7E6B">
      <w:pPr>
        <w:jc w:val="center"/>
      </w:pPr>
      <w:r>
        <w:rPr>
          <w:rFonts w:ascii="Times New Roman" w:hAnsi="Times New Roman" w:cs="Times New Roman"/>
          <w:spacing w:val="20"/>
        </w:rPr>
        <w:t>Mathematical Statistics</w:t>
      </w:r>
    </w:p>
    <w:p w14:paraId="1E6D7E10" w14:textId="77777777" w:rsidR="00DA6C49" w:rsidRDefault="003B7E6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698A001B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E32F2E8" w14:textId="77777777" w:rsidR="00DA6C49" w:rsidRDefault="003B7E6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39DAC16" w14:textId="77777777" w:rsidR="00DA6C49" w:rsidRDefault="003B7E6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42DFA0EF" w14:textId="77777777" w:rsidR="00DA6C49" w:rsidRDefault="00DA6C49"/>
    <w:p w14:paraId="182DBB9B" w14:textId="77777777" w:rsidR="00DA6C49" w:rsidRDefault="00DA6C49"/>
    <w:p w14:paraId="2D82E76D" w14:textId="77777777" w:rsidR="00DA6C49" w:rsidRDefault="003B7E6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11F50A55" w14:textId="77777777" w:rsidR="00DA6C49" w:rsidRDefault="003B7E6B">
      <w:r>
        <w:rPr>
          <w:rFonts w:ascii="Times New Roman" w:hAnsi="Times New Roman" w:cs="Times New Roman"/>
        </w:rPr>
        <w:t xml:space="preserve"> </w:t>
      </w:r>
    </w:p>
    <w:p w14:paraId="009A082B" w14:textId="77777777" w:rsidR="00DA6C49" w:rsidRDefault="003B7E6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001211</w:t>
      </w:r>
    </w:p>
    <w:p w14:paraId="30381052" w14:textId="77777777" w:rsidR="00DA6C49" w:rsidRDefault="003B7E6B">
      <w:r>
        <w:rPr>
          <w:rFonts w:ascii="Times New Roman" w:hAnsi="Times New Roman" w:cs="Times New Roman"/>
        </w:rPr>
        <w:t xml:space="preserve"> </w:t>
      </w:r>
    </w:p>
    <w:p w14:paraId="71D6E431" w14:textId="77777777" w:rsidR="00DA6C49" w:rsidRDefault="003B7E6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5BFD1F4D" w14:textId="77777777" w:rsidR="00DA6C49" w:rsidRDefault="003B7E6B">
      <w:r>
        <w:br w:type="page"/>
      </w:r>
    </w:p>
    <w:p w14:paraId="18A6B9FF" w14:textId="77777777" w:rsidR="00DA6C49" w:rsidRDefault="003B7E6B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F3A2A20" w14:textId="77777777" w:rsidR="00DA6C49" w:rsidRDefault="003B7E6B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56EFA33" w14:textId="77777777" w:rsidR="00DA6C49" w:rsidRDefault="003B7E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«Математическая статистика» является одной из важнейших дисциплин, определяющих подготовку специалиста в области ма</w:t>
      </w:r>
      <w:r>
        <w:rPr>
          <w:rFonts w:ascii="Times New Roman" w:hAnsi="Times New Roman" w:cs="Times New Roman"/>
        </w:rPr>
        <w:t xml:space="preserve">тематики. Основным методологическим принципом построения программы курса, является принцип построения все более усложняющихся статистических моделей для анализа статистических данных, появляющихся в конкретных прикладных задачах, и последующий анализ этих </w:t>
      </w:r>
      <w:r>
        <w:rPr>
          <w:rFonts w:ascii="Times New Roman" w:hAnsi="Times New Roman" w:cs="Times New Roman"/>
        </w:rPr>
        <w:t>моделей с использованием накопленных студентом математических знаний. На заключительном этапе анализ статистических моделей приводит к статистическим выводам типа оценки неизвестных параметров и принятия/отвержения выдвигаемых статистических гипотез. На эт</w:t>
      </w:r>
      <w:r>
        <w:rPr>
          <w:rFonts w:ascii="Times New Roman" w:hAnsi="Times New Roman" w:cs="Times New Roman"/>
        </w:rPr>
        <w:t xml:space="preserve">ом пути происходит накопление знаний и формирование необходимых компетенций, причем характерной особенностью прохождения отдельных разделов программы является ступенчатость и цикличность, а также постоянное обращение к работе с конкретными статистическими </w:t>
      </w:r>
      <w:r>
        <w:rPr>
          <w:rFonts w:ascii="Times New Roman" w:hAnsi="Times New Roman" w:cs="Times New Roman"/>
        </w:rPr>
        <w:t xml:space="preserve">данными и их первичная обработка. Цель изучения дисциплины: обучение студентов основным идеям и методам современной математической статистики; </w:t>
      </w:r>
      <w:proofErr w:type="gramStart"/>
      <w:r>
        <w:rPr>
          <w:rFonts w:ascii="Times New Roman" w:hAnsi="Times New Roman" w:cs="Times New Roman"/>
        </w:rPr>
        <w:t>развитие  у</w:t>
      </w:r>
      <w:proofErr w:type="gramEnd"/>
      <w:r>
        <w:rPr>
          <w:rFonts w:ascii="Times New Roman" w:hAnsi="Times New Roman" w:cs="Times New Roman"/>
        </w:rPr>
        <w:t xml:space="preserve"> студентов навыков построения статистических моделей и статистического мышления. Обучение использовани</w:t>
      </w:r>
      <w:r>
        <w:rPr>
          <w:rFonts w:ascii="Times New Roman" w:hAnsi="Times New Roman" w:cs="Times New Roman"/>
        </w:rPr>
        <w:t>ю ряда прикладных программ для анализа данных.</w:t>
      </w:r>
    </w:p>
    <w:p w14:paraId="0D813193" w14:textId="77777777" w:rsidR="00DA6C49" w:rsidRDefault="003B7E6B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30578CF9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 xml:space="preserve">Программа курса предназначена обучающимся на 4 курсе.  Обучающиеся должны владеть курсом теории вероятностей, основами математического анализа, высшей алгебры, аналитической геометрии, элементами теории дифференциальных уравнений. </w:t>
      </w:r>
    </w:p>
    <w:p w14:paraId="29C80B9E" w14:textId="77777777" w:rsidR="00DA6C49" w:rsidRDefault="003B7E6B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</w:t>
      </w:r>
      <w:r>
        <w:rPr>
          <w:rFonts w:ascii="Times New Roman" w:hAnsi="Times New Roman" w:cs="Times New Roman"/>
          <w:b/>
        </w:rPr>
        <w:t>в обучения (learning outcomes)</w:t>
      </w:r>
    </w:p>
    <w:p w14:paraId="7A727A19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Обучающиеся должны:</w:t>
      </w:r>
    </w:p>
    <w:p w14:paraId="14C2F8C9" w14:textId="1831E419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знать содержание дисциплины </w:t>
      </w:r>
      <w:r w:rsidR="00F05910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Математическая статистика</w:t>
      </w:r>
      <w:r w:rsidR="00F05910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уметь применять ее результаты и методы в разнообразных прикладных областях знания, </w:t>
      </w:r>
    </w:p>
    <w:p w14:paraId="16CEF97C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уметь строить статистические модели в различных задачах ест</w:t>
      </w:r>
      <w:r>
        <w:rPr>
          <w:rFonts w:ascii="Times New Roman" w:hAnsi="Times New Roman" w:cs="Times New Roman"/>
        </w:rPr>
        <w:t xml:space="preserve">ествознания и техники, уметь применять на практике включенные в курс методы оценивания параметров и проверки гипотез, </w:t>
      </w:r>
    </w:p>
    <w:p w14:paraId="1D45C1F2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уметь использовать в прикладных задачах конкретные статистические процедуры, знать их свойства и уметь их сравнивать друг с другом, уме</w:t>
      </w:r>
      <w:r>
        <w:rPr>
          <w:rFonts w:ascii="Times New Roman" w:hAnsi="Times New Roman" w:cs="Times New Roman"/>
        </w:rPr>
        <w:t>ть делать выбор наиболее адекватной статистической процедуры и правильно интерпретировать результаты ее применения</w:t>
      </w:r>
    </w:p>
    <w:p w14:paraId="182E27B9" w14:textId="77777777" w:rsidR="00DA6C49" w:rsidRDefault="003B7E6B">
      <w:pPr>
        <w:spacing w:before="0" w:after="0"/>
        <w:ind w:firstLine="720"/>
      </w:pPr>
      <w:r>
        <w:rPr>
          <w:rFonts w:ascii="Times New Roman" w:hAnsi="Times New Roman" w:cs="Times New Roman"/>
        </w:rPr>
        <w:t>• владеть простейшей компьютерной обработкой данных с помощью пакетов прикладных программ.</w:t>
      </w:r>
    </w:p>
    <w:p w14:paraId="3DB6B0A2" w14:textId="77777777" w:rsidR="00DA6C49" w:rsidRDefault="003B7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</w:t>
      </w:r>
      <w:r>
        <w:rPr>
          <w:rFonts w:ascii="Times New Roman" w:hAnsi="Times New Roman" w:cs="Times New Roman"/>
          <w:b/>
        </w:rPr>
        <w:t>м учебных занятий</w:t>
      </w:r>
    </w:p>
    <w:p w14:paraId="24A31B2F" w14:textId="4D085252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Аудиторная учебная работа: теоретические занятия </w:t>
      </w:r>
      <w:r>
        <w:rPr>
          <w:rFonts w:ascii="Times New Roman" w:hAnsi="Times New Roman" w:cs="Times New Roman"/>
        </w:rPr>
        <w:t>и практические занятия по решению задач и компьютерной обработке статистических данных в течение 7-го семестра, выполнение контрольных работ и заданий, текущее тестирование, и экзамен в ко</w:t>
      </w:r>
      <w:r>
        <w:rPr>
          <w:rFonts w:ascii="Times New Roman" w:hAnsi="Times New Roman" w:cs="Times New Roman"/>
        </w:rPr>
        <w:t>нце 7-го семестра.</w:t>
      </w:r>
    </w:p>
    <w:p w14:paraId="205695DF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работа: </w:t>
      </w:r>
    </w:p>
    <w:p w14:paraId="34C03D8A" w14:textId="3020843B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домашних заданий, самостоятельное написание программ в</w:t>
      </w:r>
      <w:r w:rsidR="00F059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алгоритмическом языке R для компьютерного анализа данных.</w:t>
      </w:r>
    </w:p>
    <w:p w14:paraId="4E05B372" w14:textId="77777777" w:rsidR="00DA6C49" w:rsidRDefault="003B7E6B">
      <w:pPr>
        <w:spacing w:before="0" w:after="0"/>
        <w:ind w:firstLine="720"/>
      </w:pPr>
      <w:r>
        <w:rPr>
          <w:rFonts w:ascii="Times New Roman" w:hAnsi="Times New Roman" w:cs="Times New Roman"/>
        </w:rPr>
        <w:t>Без участия преподавателя - индивидуальная работа с доступными информационными и образо</w:t>
      </w:r>
      <w:r>
        <w:rPr>
          <w:rFonts w:ascii="Times New Roman" w:hAnsi="Times New Roman" w:cs="Times New Roman"/>
        </w:rPr>
        <w:t xml:space="preserve">вательными ресурсами, имеющимися в библиотеке, в открытом доступе в сети Интернет и локальной сети Университета с целью преодоления </w:t>
      </w:r>
      <w:r>
        <w:rPr>
          <w:rFonts w:ascii="Times New Roman" w:hAnsi="Times New Roman" w:cs="Times New Roman"/>
        </w:rPr>
        <w:lastRenderedPageBreak/>
        <w:t>индивидуальных трудностей в освоении отдельных разделов курса, а также удовлетворения личных познавательных потребностей.</w:t>
      </w:r>
    </w:p>
    <w:p w14:paraId="4BC1EDDC" w14:textId="77777777" w:rsidR="00DA6C49" w:rsidRDefault="003B7E6B">
      <w:r>
        <w:br w:type="page"/>
      </w:r>
    </w:p>
    <w:p w14:paraId="69CEFBC4" w14:textId="77777777" w:rsidR="00DA6C49" w:rsidRDefault="003B7E6B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49D8F28" w14:textId="77777777" w:rsidR="00DA6C49" w:rsidRDefault="003B7E6B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B89BC28" w14:textId="77777777" w:rsidR="00DA6C49" w:rsidRDefault="003B7E6B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830"/>
        <w:gridCol w:w="469"/>
        <w:gridCol w:w="402"/>
        <w:gridCol w:w="470"/>
        <w:gridCol w:w="582"/>
        <w:gridCol w:w="402"/>
        <w:gridCol w:w="402"/>
        <w:gridCol w:w="402"/>
        <w:gridCol w:w="402"/>
        <w:gridCol w:w="582"/>
        <w:gridCol w:w="402"/>
        <w:gridCol w:w="582"/>
        <w:gridCol w:w="582"/>
        <w:gridCol w:w="582"/>
        <w:gridCol w:w="402"/>
        <w:gridCol w:w="402"/>
        <w:gridCol w:w="582"/>
        <w:gridCol w:w="582"/>
        <w:gridCol w:w="402"/>
      </w:tblGrid>
      <w:tr w:rsidR="00DA6C49" w14:paraId="253565BC" w14:textId="77777777">
        <w:trPr>
          <w:trHeight w:val="315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44770" w14:textId="77777777" w:rsidR="00DA6C49" w:rsidRDefault="003B7E6B">
            <w:pPr>
              <w:spacing w:before="0" w:after="0"/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DA6C49" w14:paraId="4CCD0722" w14:textId="77777777">
        <w:trPr>
          <w:trHeight w:val="255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0C8CB32B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CC2323F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4227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8C89" w14:textId="77777777" w:rsidR="00DA6C49" w:rsidRDefault="003B7E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5B7850B7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1BD5A84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48465238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DA6C49" w14:paraId="232C47FA" w14:textId="77777777">
        <w:trPr>
          <w:trHeight w:val="2128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7868E" w14:textId="77777777" w:rsidR="00DA6C49" w:rsidRDefault="00DA6C4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011E250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923B9C1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A99FEC6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0CFDB5C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11EFB6A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C9FE4AE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D14BDF9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FC906B3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</w:t>
            </w:r>
            <w:r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12C3A3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0E8306A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961112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19D314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C3838D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629A9788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FB4180B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B0B3D75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94174B8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F2767B2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01FD" w14:textId="77777777" w:rsidR="00DA6C49" w:rsidRDefault="00DA6C4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31729" w14:textId="77777777" w:rsidR="00DA6C49" w:rsidRDefault="00DA6C4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A6C49" w14:paraId="39FAC566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119E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DA6C49" w14:paraId="423CD2BB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9C37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DA6C49" w14:paraId="7A9F71CA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D273A" w14:textId="77777777" w:rsidR="00DA6C49" w:rsidRDefault="003B7E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6A700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770D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11592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578CE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267E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7754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8BA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611D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4B55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E5C1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AE9EB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96D1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9D79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2B15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B5D9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A0AEB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19EFC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D334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DA6C49" w14:paraId="7426F281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D54E8" w14:textId="77777777" w:rsidR="00DA6C49" w:rsidRDefault="00DA6C4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F324E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9B4FF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19299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1CA02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5AB6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7C37E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AEA3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7258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24640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EC80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D008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7B19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7720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E901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B82A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8CCD9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4D0B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58EA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DA6C49" w14:paraId="68DA15E2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2357A" w14:textId="77777777" w:rsidR="00DA6C49" w:rsidRDefault="003B7E6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A517A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48C16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F0EDF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438C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3716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4300B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3E2CC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08CEB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AE0EC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3977F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D433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4AC66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B944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E5B6A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5D910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EF57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E9CBE" w14:textId="77777777" w:rsidR="00DA6C49" w:rsidRDefault="00DA6C4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01171" w14:textId="77777777" w:rsidR="00DA6C49" w:rsidRDefault="003B7E6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11866648" w14:textId="77777777" w:rsidR="00DA6C49" w:rsidRDefault="00DA6C49"/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1561"/>
        <w:gridCol w:w="948"/>
        <w:gridCol w:w="1036"/>
        <w:gridCol w:w="1700"/>
        <w:gridCol w:w="282"/>
        <w:gridCol w:w="1419"/>
        <w:gridCol w:w="1134"/>
        <w:gridCol w:w="1276"/>
      </w:tblGrid>
      <w:tr w:rsidR="00DA6C49" w14:paraId="05BEEFA3" w14:textId="77777777">
        <w:trPr>
          <w:trHeight w:val="50"/>
        </w:trPr>
        <w:tc>
          <w:tcPr>
            <w:tcW w:w="9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E9033" w14:textId="77777777" w:rsidR="00DA6C49" w:rsidRDefault="003B7E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Виды, формы и сроки текущего контроля успеваемости и </w:t>
            </w:r>
            <w:r>
              <w:rPr>
                <w:bCs/>
                <w:sz w:val="20"/>
                <w:szCs w:val="20"/>
              </w:rPr>
              <w:t>промежуточной аттестации</w:t>
            </w:r>
          </w:p>
        </w:tc>
      </w:tr>
      <w:tr w:rsidR="00DA6C49" w14:paraId="225B16EA" w14:textId="77777777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C047A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48201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C375B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737A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086EEBDC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(только для программ итоговой аттестации и дополнительных образовательных </w:t>
            </w:r>
            <w:r>
              <w:rPr>
                <w:sz w:val="16"/>
                <w:szCs w:val="16"/>
              </w:rPr>
              <w:t>программ)</w:t>
            </w:r>
          </w:p>
        </w:tc>
      </w:tr>
      <w:tr w:rsidR="00DA6C49" w14:paraId="362246E3" w14:textId="77777777">
        <w:trPr>
          <w:trHeight w:val="303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AC722" w14:textId="77777777" w:rsidR="00DA6C49" w:rsidRDefault="00DA6C4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18B4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7175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5498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22D0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45FF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FEE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DA6C49" w14:paraId="762EDA96" w14:textId="77777777">
        <w:tc>
          <w:tcPr>
            <w:tcW w:w="9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3BBE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DA6C49" w14:paraId="41526C50" w14:textId="77777777">
        <w:tc>
          <w:tcPr>
            <w:tcW w:w="9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4A247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A6C49" w14:paraId="214DFE6F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20FE8" w14:textId="77777777" w:rsidR="00DA6C49" w:rsidRDefault="003B7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9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FEC3" w14:textId="77777777" w:rsidR="00DA6C49" w:rsidRDefault="00DA6C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639E" w14:textId="77777777" w:rsidR="00DA6C49" w:rsidRDefault="00DA6C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8A01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0788" w14:textId="77777777" w:rsidR="00DA6C49" w:rsidRDefault="003B7E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A49B" w14:textId="77777777" w:rsidR="00DA6C49" w:rsidRDefault="00DA6C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8AA0" w14:textId="77777777" w:rsidR="00DA6C49" w:rsidRDefault="00DA6C4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26A7CA" w14:textId="77777777" w:rsidR="00DA6C49" w:rsidRDefault="00DA6C49">
      <w:pPr>
        <w:rPr>
          <w:lang w:val="en-US"/>
        </w:rPr>
      </w:pPr>
    </w:p>
    <w:p w14:paraId="0DFFC475" w14:textId="77777777" w:rsidR="00DA6C49" w:rsidRDefault="00DA6C49"/>
    <w:p w14:paraId="28206857" w14:textId="77777777" w:rsidR="00DA6C49" w:rsidRDefault="003B7E6B">
      <w:r>
        <w:br w:type="page"/>
      </w:r>
    </w:p>
    <w:p w14:paraId="7E4F8F0B" w14:textId="77777777" w:rsidR="00DA6C49" w:rsidRDefault="00DA6C49"/>
    <w:p w14:paraId="4D2F971A" w14:textId="77777777" w:rsidR="00DA6C49" w:rsidRDefault="003B7E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35C48EE5" w14:textId="77777777" w:rsidR="00DA6C49" w:rsidRDefault="003B7E6B">
      <w:pPr>
        <w:spacing w:before="0" w:after="0"/>
        <w:ind w:firstLine="72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Темы для изучения и </w:t>
      </w:r>
      <w:r>
        <w:rPr>
          <w:rFonts w:ascii="Times New Roman" w:eastAsia="Times New Roman" w:hAnsi="Times New Roman"/>
          <w:b/>
          <w:lang w:eastAsia="ru-RU"/>
        </w:rPr>
        <w:t>обсуждения</w:t>
      </w:r>
    </w:p>
    <w:p w14:paraId="50AAC7D9" w14:textId="77777777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1) Классификация и примеры статистических задач. Статистические эксперименты и статистики. Статистические задачи и теория решений. Эмпирические распределения. Выборочные моменты. Порядковые статистики. Теорема Гливенко-Кантелли. Предельные распр</w:t>
      </w:r>
      <w:r>
        <w:rPr>
          <w:rFonts w:ascii="Times New Roman" w:eastAsia="Times New Roman" w:hAnsi="Times New Roman"/>
          <w:lang w:eastAsia="ru-RU"/>
        </w:rPr>
        <w:t xml:space="preserve">еделения выборочных характеристик. </w:t>
      </w:r>
    </w:p>
    <w:p w14:paraId="42C1B5CF" w14:textId="77777777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2) Выборки из нормальной совокупности, распределения основных статистик, статистические задачи о параметрах нормального распределения</w:t>
      </w:r>
    </w:p>
    <w:p w14:paraId="1C68A835" w14:textId="6A7D8773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3) Основные определения в теории достаточных статистик. Теорема факторизации. Полнота достаточных статистик. Несмещенное оценивание с помощью достаточных статистик</w:t>
      </w:r>
      <w:r>
        <w:rPr>
          <w:rFonts w:ascii="Times New Roman" w:eastAsia="Times New Roman" w:hAnsi="Times New Roman"/>
          <w:lang w:eastAsia="ru-RU"/>
        </w:rPr>
        <w:t xml:space="preserve">: теоремы Рао –Блекуэлла-Колмогорова и Лемана-Шеффе. Теорема Базу. </w:t>
      </w:r>
    </w:p>
    <w:p w14:paraId="7609C335" w14:textId="6CC23392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4)  Постановка задачи ст</w:t>
      </w:r>
      <w:r>
        <w:rPr>
          <w:rFonts w:ascii="Times New Roman" w:eastAsia="Times New Roman" w:hAnsi="Times New Roman"/>
          <w:lang w:eastAsia="ru-RU"/>
        </w:rPr>
        <w:t>атистического оценивания. Примеры параметрических семейств. Требования, предъявляемые к оценкам параметра. Допустимые, минимаксные и байесовские оценки, соотношения между ними. Методы построения оценок. Регулярные статистические эксперименты, инфор</w:t>
      </w:r>
      <w:r>
        <w:rPr>
          <w:rFonts w:ascii="Times New Roman" w:eastAsia="Times New Roman" w:hAnsi="Times New Roman"/>
          <w:lang w:eastAsia="ru-RU"/>
        </w:rPr>
        <w:softHyphen/>
        <w:t>мация Ф</w:t>
      </w:r>
      <w:r>
        <w:rPr>
          <w:rFonts w:ascii="Times New Roman" w:eastAsia="Times New Roman" w:hAnsi="Times New Roman"/>
          <w:lang w:eastAsia="ru-RU"/>
        </w:rPr>
        <w:t>ишера,</w:t>
      </w:r>
      <w:r>
        <w:rPr>
          <w:rFonts w:ascii="Times New Roman" w:eastAsia="Times New Roman" w:hAnsi="Times New Roman"/>
          <w:lang w:eastAsia="ru-RU"/>
        </w:rPr>
        <w:t xml:space="preserve"> неравенство Крамера - Рао.  Экспонентные семейства. </w:t>
      </w:r>
    </w:p>
    <w:p w14:paraId="6F92ACCE" w14:textId="71415E59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5) Метод максимального правдоподобия и примеры его применения.  Асимптотические свойства оценок </w:t>
      </w:r>
      <w:r>
        <w:rPr>
          <w:rFonts w:ascii="Times New Roman" w:eastAsia="Times New Roman" w:hAnsi="Times New Roman"/>
          <w:lang w:eastAsia="ru-RU"/>
        </w:rPr>
        <w:t>максимального правдоподобия. Асимпто</w:t>
      </w:r>
      <w:r>
        <w:rPr>
          <w:rFonts w:ascii="Times New Roman" w:eastAsia="Times New Roman" w:hAnsi="Times New Roman"/>
          <w:lang w:eastAsia="ru-RU"/>
        </w:rPr>
        <w:softHyphen/>
        <w:t>тическая эффективность оценок по Фишеру и суперэффективность.</w:t>
      </w:r>
      <w:r>
        <w:rPr>
          <w:rFonts w:ascii="Times New Roman" w:eastAsia="Times New Roman" w:hAnsi="Times New Roman"/>
          <w:lang w:eastAsia="ru-RU"/>
        </w:rPr>
        <w:t xml:space="preserve"> Понятие о робастности статистических оценок.</w:t>
      </w:r>
    </w:p>
    <w:p w14:paraId="68FC520B" w14:textId="6511E892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6)  Математическая формулировка задачи проверки гипотез</w:t>
      </w:r>
      <w:r>
        <w:rPr>
          <w:rFonts w:ascii="Times New Roman" w:eastAsia="Times New Roman" w:hAnsi="Times New Roman"/>
          <w:lang w:eastAsia="ru-RU"/>
        </w:rPr>
        <w:t>.</w:t>
      </w:r>
      <w:r w:rsidR="00F05910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Основные</w:t>
      </w:r>
      <w:r w:rsidR="00F05910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понятия и определения. Лемма Неймана-Пирсона. Критерии с монотонным отношением правдоподобия. Критерии отношения правдоподобия для сложных гипот</w:t>
      </w:r>
      <w:r>
        <w:rPr>
          <w:rFonts w:ascii="Times New Roman" w:eastAsia="Times New Roman" w:hAnsi="Times New Roman"/>
          <w:lang w:eastAsia="ru-RU"/>
        </w:rPr>
        <w:t xml:space="preserve">ез, теорема Уилкса. Критерий Стьюдента как критерий отношения правдоподобия. </w:t>
      </w:r>
    </w:p>
    <w:p w14:paraId="32E46FE6" w14:textId="77777777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7) Критерий «хи-квадрат» как критерий согласия, независимости и однородности. Критерии, основанные на эмпирической функции распределения. Статистические свойства рангов. Локально</w:t>
      </w:r>
      <w:r>
        <w:rPr>
          <w:rFonts w:ascii="Times New Roman" w:eastAsia="Times New Roman" w:hAnsi="Times New Roman"/>
          <w:lang w:eastAsia="ru-RU"/>
        </w:rPr>
        <w:t xml:space="preserve"> наиболее мощные ранговые критерии. Критерий Вилкоксона.</w:t>
      </w:r>
    </w:p>
    <w:p w14:paraId="00A5A6B8" w14:textId="77777777" w:rsidR="00DA6C49" w:rsidRDefault="003B7E6B">
      <w:pPr>
        <w:widowControl w:val="0"/>
        <w:tabs>
          <w:tab w:val="left" w:pos="720"/>
        </w:tabs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8) Регрессия как условное математическое ожидание. Линейная регрессия. Метод наименьших квадратов. Оценка Эйткена в гетероскедастической модели. Теорема Гаусса – Маркова. Несмещенное оценивание диспе</w:t>
      </w:r>
      <w:r>
        <w:rPr>
          <w:rFonts w:ascii="Times New Roman" w:eastAsia="Times New Roman" w:hAnsi="Times New Roman"/>
          <w:lang w:eastAsia="ru-RU"/>
        </w:rPr>
        <w:t>рсии шумов. Задачи дисперсионного анализа. Однофакторный дисперсионный анализ. Теорема Кокрена. Ранговая корреляция.</w:t>
      </w:r>
    </w:p>
    <w:p w14:paraId="6DF9A45A" w14:textId="77777777" w:rsidR="00DA6C49" w:rsidRDefault="003B7E6B">
      <w:r>
        <w:br w:type="page"/>
      </w:r>
    </w:p>
    <w:p w14:paraId="1D2303CA" w14:textId="77777777" w:rsidR="00DA6C49" w:rsidRDefault="003B7E6B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3551B65" w14:textId="77777777" w:rsidR="00DA6C49" w:rsidRDefault="003B7E6B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5308E8AD" w14:textId="77777777" w:rsidR="00DA6C49" w:rsidRDefault="003B7E6B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7D31FC6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>По курсу математич</w:t>
      </w:r>
      <w:r>
        <w:rPr>
          <w:rFonts w:ascii="Times New Roman" w:hAnsi="Times New Roman" w:cs="Times New Roman"/>
        </w:rPr>
        <w:t>еской статистики предусмотрено чтение лекций и проведение практических занятий. Лекции читают и проводят практические занятия опытные преподаватели, как правило, с большим стажем работы. В курс лекций включаются новые результаты, полученные как сотрудникам</w:t>
      </w:r>
      <w:r>
        <w:rPr>
          <w:rFonts w:ascii="Times New Roman" w:hAnsi="Times New Roman" w:cs="Times New Roman"/>
        </w:rPr>
        <w:t>и кафедры теории вероятностей и математической статистики, так и ведущими учеными России и зарубежных стран. Все учащиеся имеют возможность взять в библиотеке учебники, рекомендованные по курсу.  Аудитория должна быть снабжена доской и мелом. Часть практич</w:t>
      </w:r>
      <w:r>
        <w:rPr>
          <w:rFonts w:ascii="Times New Roman" w:hAnsi="Times New Roman" w:cs="Times New Roman"/>
        </w:rPr>
        <w:t>еских занятий проходит в дисплейных классах, где студенты учатся применять для анализа статистических данных пакеты прикладных программ.</w:t>
      </w:r>
    </w:p>
    <w:p w14:paraId="1976AA20" w14:textId="77777777" w:rsidR="00DA6C49" w:rsidRDefault="003B7E6B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8695421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домашних, индивидуальных и контрольных заданий уча</w:t>
      </w:r>
      <w:r>
        <w:rPr>
          <w:rFonts w:ascii="Times New Roman" w:hAnsi="Times New Roman" w:cs="Times New Roman"/>
        </w:rPr>
        <w:t>щемуся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</w:t>
      </w:r>
      <w:r>
        <w:rPr>
          <w:rFonts w:ascii="Times New Roman" w:hAnsi="Times New Roman" w:cs="Times New Roman"/>
        </w:rPr>
        <w:t xml:space="preserve"> учебники и задачники, а также дополнительную литературу. </w:t>
      </w:r>
    </w:p>
    <w:p w14:paraId="7BCD7344" w14:textId="77777777" w:rsidR="00DA6C49" w:rsidRDefault="003B7E6B">
      <w:pPr>
        <w:spacing w:before="0" w:after="0"/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электронные учебные пособия, электронные прикладные программы.</w:t>
      </w:r>
      <w:r>
        <w:rPr>
          <w:rFonts w:ascii="Times New Roman" w:hAnsi="Times New Roman" w:cs="Times New Roman"/>
        </w:rPr>
        <w:br/>
        <w:t>Самостоятельная работа учащегося является видом деятельно</w:t>
      </w:r>
      <w:r>
        <w:rPr>
          <w:rFonts w:ascii="Times New Roman" w:hAnsi="Times New Roman" w:cs="Times New Roman"/>
        </w:rPr>
        <w:t>сти, стимулирующим активность, любознательность, познавательный интерес с целью поиска необходимой информации, повышения квалификации, использования приобретенных знаний для решения учебных, научных и профессиональных задач. Она представляет собой важную с</w:t>
      </w:r>
      <w:r>
        <w:rPr>
          <w:rFonts w:ascii="Times New Roman" w:hAnsi="Times New Roman" w:cs="Times New Roman"/>
        </w:rPr>
        <w:t xml:space="preserve">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используется учащимися для более полного освоения учебной дисциплины. Поэтому организация эффективной </w:t>
      </w:r>
      <w:r>
        <w:rPr>
          <w:rFonts w:ascii="Times New Roman" w:hAnsi="Times New Roman" w:cs="Times New Roman"/>
        </w:rPr>
        <w:t>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использование ряда учебных пос</w:t>
      </w:r>
      <w:r>
        <w:rPr>
          <w:rFonts w:ascii="Times New Roman" w:hAnsi="Times New Roman" w:cs="Times New Roman"/>
        </w:rPr>
        <w:t>обий, снабженных методическими указаниями, с другой.</w:t>
      </w:r>
    </w:p>
    <w:p w14:paraId="13CBEC85" w14:textId="77777777" w:rsidR="00DA6C49" w:rsidRDefault="003B7E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13D64B0" w14:textId="24BB8870" w:rsidR="00DA6C49" w:rsidRDefault="003B7E6B">
      <w:pPr>
        <w:spacing w:before="0" w:after="0"/>
        <w:ind w:firstLine="720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Times New Roman" w:eastAsia="Times New Roman" w:hAnsi="Times New Roman"/>
          <w:iCs/>
          <w:lang w:eastAsia="ru-RU"/>
        </w:rPr>
        <w:t>Фо</w:t>
      </w:r>
      <w:r>
        <w:rPr>
          <w:rFonts w:ascii="Times New Roman" w:eastAsia="Times New Roman" w:hAnsi="Times New Roman"/>
          <w:bCs/>
          <w:iCs/>
          <w:lang w:eastAsia="ru-RU"/>
        </w:rPr>
        <w:t>рмы контроля:</w:t>
      </w:r>
      <w:r>
        <w:rPr>
          <w:rFonts w:ascii="Times New Roman" w:eastAsia="Times New Roman" w:hAnsi="Times New Roman"/>
          <w:b/>
          <w:bCs/>
          <w:iCs/>
          <w:lang w:eastAsia="ru-RU"/>
        </w:rPr>
        <w:t xml:space="preserve"> </w:t>
      </w:r>
      <w:r>
        <w:rPr>
          <w:rFonts w:ascii="Times New Roman" w:eastAsia="Times New Roman" w:hAnsi="Times New Roman"/>
          <w:bCs/>
          <w:iCs/>
          <w:lang w:eastAsia="ru-RU"/>
        </w:rPr>
        <w:t>в</w:t>
      </w:r>
      <w:r>
        <w:rPr>
          <w:rFonts w:ascii="Times New Roman" w:eastAsia="Times New Roman" w:hAnsi="Times New Roman"/>
          <w:lang w:eastAsia="ru-RU"/>
        </w:rPr>
        <w:t xml:space="preserve"> конце 7 семестра – </w:t>
      </w:r>
      <w:r>
        <w:rPr>
          <w:rFonts w:ascii="Times New Roman" w:eastAsia="Times New Roman" w:hAnsi="Times New Roman"/>
          <w:lang w:eastAsia="ru-RU"/>
        </w:rPr>
        <w:t>экзамен (беседа по пройденным темам, проверка их понимания</w:t>
      </w:r>
      <w:r>
        <w:rPr>
          <w:rFonts w:ascii="Times New Roman" w:eastAsia="Times New Roman" w:hAnsi="Times New Roman"/>
          <w:lang w:eastAsia="ru-RU"/>
        </w:rPr>
        <w:t xml:space="preserve">, </w:t>
      </w:r>
      <w:r>
        <w:rPr>
          <w:rFonts w:ascii="Times New Roman" w:eastAsia="Times New Roman" w:hAnsi="Times New Roman"/>
          <w:lang w:eastAsia="ru-RU"/>
        </w:rPr>
        <w:t>решение задачи).  Предусмотрены 4 контрольных работы по всему курсу.</w:t>
      </w:r>
    </w:p>
    <w:p w14:paraId="7B4C7A84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>Итоговый контроль.</w:t>
      </w:r>
    </w:p>
    <w:p w14:paraId="40051E34" w14:textId="1302C352" w:rsidR="00DA6C49" w:rsidRDefault="003B7E6B">
      <w:pPr>
        <w:spacing w:before="0" w:after="0"/>
        <w:ind w:firstLine="72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В 7 семестре</w:t>
      </w:r>
      <w:r>
        <w:rPr>
          <w:rFonts w:ascii="Times New Roman" w:hAnsi="Times New Roman"/>
        </w:rPr>
        <w:t xml:space="preserve"> </w:t>
      </w:r>
      <w:bookmarkStart w:id="0" w:name="_Hlk55493341"/>
      <w:r w:rsidR="00F05910"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</w:t>
      </w:r>
      <w:bookmarkEnd w:id="0"/>
      <w:r>
        <w:rPr>
          <w:rFonts w:ascii="Times New Roman" w:hAnsi="Times New Roman"/>
        </w:rPr>
        <w:t>обязан выполнить предусмотренные рабочей программой письменные контрольные работы.</w:t>
      </w:r>
    </w:p>
    <w:p w14:paraId="1F647B4C" w14:textId="3990BFD6" w:rsidR="00DA6C49" w:rsidRDefault="003B7E6B">
      <w:pPr>
        <w:spacing w:before="0" w:after="0"/>
        <w:ind w:firstLine="720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Times New Roman" w:hAnsi="Times New Roman"/>
        </w:rPr>
        <w:t xml:space="preserve">Экзамен проводится в устной форме путем </w:t>
      </w:r>
      <w:r>
        <w:rPr>
          <w:rFonts w:ascii="Times New Roman" w:hAnsi="Times New Roman"/>
        </w:rPr>
        <w:t xml:space="preserve">выборочного опроса по программе годового курса. В случае полного или частичного невыполнения </w:t>
      </w:r>
      <w:r w:rsidR="00F05910">
        <w:rPr>
          <w:rFonts w:ascii="Times New Roman" w:hAnsi="Times New Roman"/>
        </w:rPr>
        <w:t>обучающи</w:t>
      </w:r>
      <w:r w:rsidR="00F05910">
        <w:rPr>
          <w:rFonts w:ascii="Times New Roman" w:hAnsi="Times New Roman"/>
        </w:rPr>
        <w:t>м</w:t>
      </w:r>
      <w:r w:rsidR="00F05910">
        <w:rPr>
          <w:rFonts w:ascii="Times New Roman" w:hAnsi="Times New Roman"/>
        </w:rPr>
        <w:t xml:space="preserve">ся </w:t>
      </w:r>
      <w:r>
        <w:rPr>
          <w:rFonts w:ascii="Times New Roman" w:hAnsi="Times New Roman"/>
        </w:rPr>
        <w:t xml:space="preserve">контрольных работ 7 семестра, задачи по соответствующим темам для этого </w:t>
      </w:r>
      <w:r w:rsidR="00F05910">
        <w:rPr>
          <w:rFonts w:ascii="Times New Roman" w:hAnsi="Times New Roman"/>
        </w:rPr>
        <w:t>обучающ</w:t>
      </w:r>
      <w:r w:rsidR="00F05910">
        <w:rPr>
          <w:rFonts w:ascii="Times New Roman" w:hAnsi="Times New Roman"/>
        </w:rPr>
        <w:t>его</w:t>
      </w:r>
      <w:r w:rsidR="00F05910">
        <w:rPr>
          <w:rFonts w:ascii="Times New Roman" w:hAnsi="Times New Roman"/>
        </w:rPr>
        <w:t xml:space="preserve">ся </w:t>
      </w:r>
      <w:r>
        <w:rPr>
          <w:rFonts w:ascii="Times New Roman" w:hAnsi="Times New Roman"/>
        </w:rPr>
        <w:t>выносятся на экзамен в качестве дополнительного задания.</w:t>
      </w:r>
    </w:p>
    <w:p w14:paraId="6CDAD43F" w14:textId="77777777" w:rsidR="00DA6C49" w:rsidRDefault="003B7E6B">
      <w:pPr>
        <w:spacing w:before="0" w:after="0"/>
        <w:ind w:firstLine="72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Методика провед</w:t>
      </w:r>
      <w:r>
        <w:rPr>
          <w:rFonts w:ascii="Times New Roman" w:hAnsi="Times New Roman"/>
          <w:bCs/>
        </w:rPr>
        <w:t>ения экзамена</w:t>
      </w:r>
    </w:p>
    <w:p w14:paraId="220D5339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Экзамен проводятся в устной форме. Билет состоит из двух вопросов. Время подготовки ответа на вопросы билета составляет 60 минут.</w:t>
      </w:r>
    </w:p>
    <w:p w14:paraId="743E7F8E" w14:textId="4EA3537D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</w:t>
      </w:r>
      <w:r>
        <w:rPr>
          <w:rFonts w:ascii="Times New Roman" w:hAnsi="Times New Roman"/>
        </w:rPr>
        <w:t xml:space="preserve">при подготовке и ответе на вопросы экзамена </w:t>
      </w:r>
      <w:r>
        <w:rPr>
          <w:rFonts w:ascii="Times New Roman" w:hAnsi="Times New Roman"/>
        </w:rPr>
        <w:lastRenderedPageBreak/>
        <w:t xml:space="preserve">категорически запрещено. В случае обнаружения факта использования недозволенных материалов (устройств) составляется акт и </w:t>
      </w:r>
      <w:r w:rsidR="00F05910">
        <w:rPr>
          <w:rFonts w:ascii="Times New Roman" w:hAnsi="Times New Roman"/>
        </w:rPr>
        <w:t xml:space="preserve">обучающийся </w:t>
      </w:r>
      <w:r>
        <w:rPr>
          <w:rFonts w:ascii="Times New Roman" w:hAnsi="Times New Roman"/>
        </w:rPr>
        <w:t>удаляется с экзамена. После ответа на вопросы билета преподаватель задает нескольк</w:t>
      </w:r>
      <w:r>
        <w:rPr>
          <w:rFonts w:ascii="Times New Roman" w:hAnsi="Times New Roman"/>
        </w:rPr>
        <w:t>о дополнительных вопросов, на основании оценки ответов</w:t>
      </w:r>
      <w:r w:rsidR="00F0591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на которые итоговая оценка по предмету может быть повышена или понижена.</w:t>
      </w:r>
    </w:p>
    <w:p w14:paraId="1CB0603A" w14:textId="77777777" w:rsidR="00DA6C49" w:rsidRDefault="003B7E6B" w:rsidP="00F05910">
      <w:pPr>
        <w:spacing w:before="0" w:after="0"/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Критерии выставления оценок:</w:t>
      </w:r>
    </w:p>
    <w:p w14:paraId="35684B71" w14:textId="77777777" w:rsidR="00DA6C49" w:rsidRDefault="003B7E6B" w:rsidP="00F05910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«отлично» ставится за полностью раскрытый теоретический материал и правильные ответы на допо</w:t>
      </w:r>
      <w:r>
        <w:rPr>
          <w:rFonts w:ascii="Times New Roman" w:hAnsi="Times New Roman"/>
        </w:rPr>
        <w:t>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7D22F4A1" w14:textId="77777777" w:rsidR="00DA6C49" w:rsidRDefault="003B7E6B" w:rsidP="00F05910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Оценка «хорошо» ставится за изложенный </w:t>
      </w:r>
      <w:r>
        <w:rPr>
          <w:rFonts w:ascii="Times New Roman" w:hAnsi="Times New Roman"/>
        </w:rPr>
        <w:t>теоретический материал билета (возможно с помощью наводящих подсказок преподавателя).</w:t>
      </w:r>
    </w:p>
    <w:p w14:paraId="410FC8BD" w14:textId="77777777" w:rsidR="00DA6C49" w:rsidRDefault="003B7E6B" w:rsidP="00F05910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«удовлетворительно» ставится за знание основных вопросов по каждой теме.</w:t>
      </w:r>
    </w:p>
    <w:p w14:paraId="1594C511" w14:textId="77777777" w:rsidR="00DA6C49" w:rsidRDefault="003B7E6B" w:rsidP="00F05910">
      <w:pPr>
        <w:spacing w:before="0" w:after="0"/>
        <w:ind w:firstLine="720"/>
      </w:pPr>
      <w:r>
        <w:rPr>
          <w:rFonts w:ascii="Times New Roman" w:hAnsi="Times New Roman"/>
        </w:rPr>
        <w:t>Оценка «неудовлетворительно» выставляется, если не выполняются условия для получения оцено</w:t>
      </w:r>
      <w:r>
        <w:rPr>
          <w:rFonts w:ascii="Times New Roman" w:hAnsi="Times New Roman"/>
        </w:rPr>
        <w:t>к «отлично», «хорошо» и «удовлетворительно».</w:t>
      </w:r>
    </w:p>
    <w:p w14:paraId="0758DED1" w14:textId="77777777" w:rsidR="00DA6C49" w:rsidRDefault="00DA6C49" w:rsidP="00F05910">
      <w:pPr>
        <w:spacing w:before="0" w:after="0"/>
        <w:ind w:firstLine="720"/>
        <w:rPr>
          <w:rFonts w:ascii="Times New Roman" w:hAnsi="Times New Roman"/>
        </w:rPr>
      </w:pPr>
    </w:p>
    <w:p w14:paraId="7768AFE5" w14:textId="77777777" w:rsidR="00DA6C49" w:rsidRDefault="003B7E6B" w:rsidP="00F0591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 w14:paraId="0630D856" w14:textId="77777777" w:rsidR="00DA6C49" w:rsidRDefault="003B7E6B" w:rsidP="00F05910">
      <w:pPr>
        <w:pStyle w:val="ad"/>
        <w:spacing w:before="0"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«хорошо» (B) ставится за изложенный теоретический материал билета</w:t>
      </w:r>
      <w:r>
        <w:rPr>
          <w:rFonts w:ascii="Times New Roman" w:hAnsi="Times New Roman" w:cs="Times New Roman"/>
        </w:rPr>
        <w:t xml:space="preserve"> (возможно с помощью наводящих подсказок преподавателя) и правильные ответы на дополнительные вопросы преподавателя. </w:t>
      </w:r>
    </w:p>
    <w:p w14:paraId="1AE7FD56" w14:textId="41AB1BEE" w:rsidR="00DA6C49" w:rsidRDefault="003B7E6B" w:rsidP="00F05910">
      <w:pPr>
        <w:pStyle w:val="ad"/>
        <w:spacing w:before="0"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«хорошо» (C) ставится за полный ответ на вопросы билета с небольшими неточностями.</w:t>
      </w:r>
    </w:p>
    <w:p w14:paraId="50EE9885" w14:textId="5C5B59AB" w:rsidR="00DA6C49" w:rsidRDefault="003B7E6B" w:rsidP="00F05910">
      <w:pPr>
        <w:pStyle w:val="ad"/>
        <w:spacing w:before="0"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«удовлетворительно» (D) ставится за зна</w:t>
      </w:r>
      <w:r>
        <w:rPr>
          <w:rFonts w:ascii="Times New Roman" w:hAnsi="Times New Roman" w:cs="Times New Roman"/>
        </w:rPr>
        <w:t>ние ответов на основные вопросы по каждой теме.</w:t>
      </w:r>
    </w:p>
    <w:p w14:paraId="6C5DFCB5" w14:textId="378BD7A7" w:rsidR="00DA6C49" w:rsidRDefault="003B7E6B" w:rsidP="00F05910">
      <w:pPr>
        <w:pStyle w:val="ad"/>
        <w:spacing w:before="0"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 w14:paraId="6CB49626" w14:textId="0ADCF60A" w:rsidR="00DA6C49" w:rsidRDefault="003B7E6B" w:rsidP="00F05910">
      <w:pPr>
        <w:pStyle w:val="ad"/>
        <w:spacing w:before="0"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«неудовлетворительно» (F) выставляется, если не выполняют</w:t>
      </w:r>
      <w:r>
        <w:rPr>
          <w:rFonts w:ascii="Times New Roman" w:hAnsi="Times New Roman" w:cs="Times New Roman"/>
        </w:rPr>
        <w:t>ся условия для получения оценок «отлично», «хорошо» и «удовлетворительно».</w:t>
      </w:r>
    </w:p>
    <w:p w14:paraId="4D641321" w14:textId="77777777" w:rsidR="00DA6C49" w:rsidRDefault="00DA6C49" w:rsidP="00F05910">
      <w:pPr>
        <w:spacing w:before="0" w:after="0"/>
        <w:rPr>
          <w:rFonts w:ascii="Times New Roman" w:hAnsi="Times New Roman"/>
        </w:rPr>
      </w:pPr>
    </w:p>
    <w:p w14:paraId="133EB441" w14:textId="77777777" w:rsidR="00DA6C49" w:rsidRDefault="003B7E6B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795DE3A" w14:textId="77777777" w:rsidR="00DA6C49" w:rsidRDefault="003B7E6B">
      <w:pPr>
        <w:spacing w:before="0" w:after="0"/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>Темы задач:</w:t>
      </w:r>
    </w:p>
    <w:p w14:paraId="7B7B553F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1. Поряд</w:t>
      </w:r>
      <w:r>
        <w:rPr>
          <w:rFonts w:ascii="Times New Roman" w:hAnsi="Times New Roman"/>
        </w:rPr>
        <w:t>ковые статистики.</w:t>
      </w:r>
    </w:p>
    <w:p w14:paraId="45824D98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2. Доверительные интервалы.</w:t>
      </w:r>
    </w:p>
    <w:p w14:paraId="32E795DD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3. Метод моментов.</w:t>
      </w:r>
    </w:p>
    <w:p w14:paraId="796D0A5C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4. Допустимые, минимаксные и байесовские оценки.</w:t>
      </w:r>
    </w:p>
    <w:p w14:paraId="67336BC6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5. Критерий хи-квадрат.</w:t>
      </w:r>
    </w:p>
    <w:p w14:paraId="3ABA6A9D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6. Линейная регрессия.</w:t>
      </w:r>
    </w:p>
    <w:p w14:paraId="1C98E127" w14:textId="77777777" w:rsidR="00DA6C49" w:rsidRDefault="003B7E6B">
      <w:pPr>
        <w:spacing w:before="0" w:after="0"/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Список вопросов к экзамену:</w:t>
      </w:r>
    </w:p>
    <w:p w14:paraId="30026006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1) Предмет математической статистики и примеры задач.</w:t>
      </w:r>
    </w:p>
    <w:p w14:paraId="662A8B43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2) </w:t>
      </w:r>
      <w:r>
        <w:rPr>
          <w:rFonts w:ascii="Times New Roman" w:eastAsia="Times New Roman" w:hAnsi="Times New Roman"/>
          <w:lang w:eastAsia="ru-RU"/>
        </w:rPr>
        <w:t>Математическая постановка задач статистики: выборка, статистики, задача оценивания, проверка гипотез.</w:t>
      </w:r>
    </w:p>
    <w:p w14:paraId="092D7551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3) Эмпирическая функция распределения. Теорема Гливенко-Кантелли.</w:t>
      </w:r>
    </w:p>
    <w:p w14:paraId="2FFA4E16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4) Выборочные моменты. Требования, предъявляемые к оценкам параметров.</w:t>
      </w:r>
    </w:p>
    <w:p w14:paraId="30927B88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5) </w:t>
      </w:r>
      <w:r>
        <w:rPr>
          <w:rFonts w:ascii="Times New Roman" w:eastAsia="Times New Roman" w:hAnsi="Times New Roman"/>
          <w:lang w:eastAsia="ru-RU"/>
        </w:rPr>
        <w:t>Свойства выборочного среднего и выборочной дисперсии и как оценок   генерального среднего и генеральной дисперсии.</w:t>
      </w:r>
    </w:p>
    <w:p w14:paraId="7E99EC91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6) Порядковые статистики и их распределение (точное и предельное).</w:t>
      </w:r>
    </w:p>
    <w:p w14:paraId="7215608C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7) Предельное распределение выборочных квантилей.</w:t>
      </w:r>
    </w:p>
    <w:p w14:paraId="3925CE06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lastRenderedPageBreak/>
        <w:t>8) Важнейшие распределен</w:t>
      </w:r>
      <w:r>
        <w:rPr>
          <w:rFonts w:ascii="Times New Roman" w:eastAsia="Times New Roman" w:hAnsi="Times New Roman"/>
          <w:lang w:eastAsia="ru-RU"/>
        </w:rPr>
        <w:t>ия, связанные с нормальным законом. Лемма Фишера.</w:t>
      </w:r>
    </w:p>
    <w:p w14:paraId="7A5D9D0F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9) Построение доверительных интервалов для параметров нормального закона.</w:t>
      </w:r>
    </w:p>
    <w:p w14:paraId="745F4354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10) Проверка гипотез о параметрах нормального закона.</w:t>
      </w:r>
    </w:p>
    <w:p w14:paraId="05A6E987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11) Достаточные статистики: определение, теорема факторизации.</w:t>
      </w:r>
    </w:p>
    <w:p w14:paraId="6F5984D5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12) Несмещённое</w:t>
      </w:r>
      <w:r>
        <w:rPr>
          <w:rFonts w:ascii="Times New Roman" w:eastAsia="Times New Roman" w:hAnsi="Times New Roman"/>
          <w:lang w:eastAsia="ru-RU"/>
        </w:rPr>
        <w:t xml:space="preserve"> оценивание с помощью достаточных статистик (в том числе теорема Базу).</w:t>
      </w:r>
    </w:p>
    <w:p w14:paraId="5849C056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13) Постановка задачи теории оценивания. Допустимые, минимаксные, байесовские оценки и простейшие соотношения между ними.</w:t>
      </w:r>
    </w:p>
    <w:p w14:paraId="20647EE2" w14:textId="59D7A55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14) Минимаксность выборочного среднего как оценки </w:t>
      </w:r>
      <w:r>
        <w:rPr>
          <w:rFonts w:ascii="Times New Roman" w:eastAsia="Times New Roman" w:hAnsi="Times New Roman"/>
          <w:lang w:eastAsia="ru-RU"/>
        </w:rPr>
        <w:t>нормального</w:t>
      </w:r>
      <w:r>
        <w:rPr>
          <w:rFonts w:ascii="Times New Roman" w:eastAsia="Times New Roman" w:hAnsi="Times New Roman"/>
          <w:lang w:eastAsia="ru-RU"/>
        </w:rPr>
        <w:t xml:space="preserve"> среднегою</w:t>
      </w:r>
    </w:p>
    <w:p w14:paraId="4A645D32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15) Построение минимаксной оценки для распределения Бернулли.</w:t>
      </w:r>
    </w:p>
    <w:p w14:paraId="075830BE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16) Регулярные статистические эксперименты. Информация Фишера и её свойства.</w:t>
      </w:r>
    </w:p>
    <w:p w14:paraId="5D5299E0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17) Неравенство Рао-Крамера. R-эффективные оценки и их примеры.  Экспонентные семейства.</w:t>
      </w:r>
    </w:p>
    <w:p w14:paraId="44E610B3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18) Метод моменто</w:t>
      </w:r>
      <w:r>
        <w:rPr>
          <w:rFonts w:ascii="Times New Roman" w:eastAsia="Times New Roman" w:hAnsi="Times New Roman"/>
          <w:lang w:eastAsia="ru-RU"/>
        </w:rPr>
        <w:t>в. Примеры его применения. Другие методы оценивания.</w:t>
      </w:r>
    </w:p>
    <w:p w14:paraId="491B7333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19) Метод максимального правдоподобия: определение и примеры применения.</w:t>
      </w:r>
    </w:p>
    <w:p w14:paraId="3D1F5301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20)Асимптотические свойства оценок максимального правдоподобия.</w:t>
      </w:r>
    </w:p>
    <w:p w14:paraId="75C02148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21) Асимптотическое построение доверительных интервалов.</w:t>
      </w:r>
    </w:p>
    <w:p w14:paraId="66C9B1C7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22) Асимп</w:t>
      </w:r>
      <w:r>
        <w:rPr>
          <w:rFonts w:ascii="Times New Roman" w:eastAsia="Times New Roman" w:hAnsi="Times New Roman"/>
          <w:lang w:eastAsia="ru-RU"/>
        </w:rPr>
        <w:t>тотическая эффективность оценок по Фишеру. Пример Ходжеса. Суперэффективность. Понятие робастности.</w:t>
      </w:r>
    </w:p>
    <w:p w14:paraId="62B60B6A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23) Проверка гипотез: постановка задачи и основные определения.</w:t>
      </w:r>
    </w:p>
    <w:p w14:paraId="7CE0BF77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24) Лемма Неймана-Пирсона и ее геометрическая интерпретация.</w:t>
      </w:r>
    </w:p>
    <w:p w14:paraId="551E2FE4" w14:textId="59C5E451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25) Критерий отношения правдопо</w:t>
      </w:r>
      <w:r>
        <w:rPr>
          <w:rFonts w:ascii="Times New Roman" w:eastAsia="Times New Roman" w:hAnsi="Times New Roman"/>
          <w:lang w:eastAsia="ru-RU"/>
        </w:rPr>
        <w:t>добия для сложных гипотез. Критерий</w:t>
      </w:r>
      <w:r w:rsidR="00F05910">
        <w:rPr>
          <w:rFonts w:ascii="Times New Roman" w:eastAsia="Times New Roman" w:hAnsi="Times New Roman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Стьюдента как критерий отношения правдоподобия. Теорема Уилкса</w:t>
      </w:r>
      <w:r>
        <w:rPr>
          <w:rFonts w:ascii="Times New Roman" w:eastAsia="Times New Roman" w:hAnsi="Times New Roman"/>
          <w:lang w:eastAsia="ru-RU"/>
        </w:rPr>
        <w:t>.</w:t>
      </w:r>
    </w:p>
    <w:p w14:paraId="02201AD1" w14:textId="40EECDED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26) Критерий </w:t>
      </w:r>
      <w:r>
        <w:rPr>
          <w:rFonts w:ascii="Times New Roman" w:eastAsia="Times New Roman" w:hAnsi="Times New Roman"/>
          <w:lang w:eastAsia="ru-RU"/>
        </w:rPr>
        <w:t>хи-квадрат для простых гипотез (с выводом предельного распределения)</w:t>
      </w:r>
    </w:p>
    <w:p w14:paraId="24B1875D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27) Критерий хи-квадрат для проверки сложных гипотез о параметрическом с</w:t>
      </w:r>
      <w:r>
        <w:rPr>
          <w:rFonts w:ascii="Times New Roman" w:eastAsia="Times New Roman" w:hAnsi="Times New Roman"/>
          <w:lang w:eastAsia="ru-RU"/>
        </w:rPr>
        <w:t xml:space="preserve">емействе </w:t>
      </w:r>
      <w:proofErr w:type="gramStart"/>
      <w:r>
        <w:rPr>
          <w:rFonts w:ascii="Times New Roman" w:eastAsia="Times New Roman" w:hAnsi="Times New Roman"/>
          <w:lang w:eastAsia="ru-RU"/>
        </w:rPr>
        <w:t>и  как</w:t>
      </w:r>
      <w:proofErr w:type="gramEnd"/>
      <w:r>
        <w:rPr>
          <w:rFonts w:ascii="Times New Roman" w:eastAsia="Times New Roman" w:hAnsi="Times New Roman"/>
          <w:lang w:eastAsia="ru-RU"/>
        </w:rPr>
        <w:t xml:space="preserve"> критерий независимости признаков.</w:t>
      </w:r>
    </w:p>
    <w:p w14:paraId="49A2C08C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28)  Критерии, основанные на эмпирической функции распределения.</w:t>
      </w:r>
    </w:p>
    <w:p w14:paraId="03C18977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29)  Критерий Смирнова для проверки однородности.</w:t>
      </w:r>
    </w:p>
    <w:p w14:paraId="32C33C19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30)  Статистические свойства рангов. Критерий Вилкоксона.</w:t>
      </w:r>
    </w:p>
    <w:p w14:paraId="06E568D2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31) Метод наименьших квадратов дл</w:t>
      </w:r>
      <w:r>
        <w:rPr>
          <w:rFonts w:ascii="Times New Roman" w:eastAsia="Times New Roman" w:hAnsi="Times New Roman"/>
          <w:lang w:eastAsia="ru-RU"/>
        </w:rPr>
        <w:t>я оценки коэффициентов линейной регрессии: построение оценки. Оценка Эйткена.</w:t>
      </w:r>
    </w:p>
    <w:p w14:paraId="29F2FCAF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32) Теорема Гаусса-Маркова.</w:t>
      </w:r>
    </w:p>
    <w:p w14:paraId="69D4887C" w14:textId="77777777" w:rsidR="00DA6C49" w:rsidRDefault="003B7E6B">
      <w:pPr>
        <w:spacing w:before="0" w:after="0"/>
        <w:ind w:firstLine="720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33) Несмещённое оценивание дисперсии шумов.</w:t>
      </w:r>
    </w:p>
    <w:p w14:paraId="1984DEC2" w14:textId="77777777" w:rsidR="00DA6C49" w:rsidRDefault="003B7E6B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34). Нормальная регрессия.</w:t>
      </w:r>
    </w:p>
    <w:p w14:paraId="1962668F" w14:textId="77777777" w:rsidR="00DA6C49" w:rsidRDefault="003B7E6B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обучающимися содержания и </w:t>
      </w:r>
      <w:r>
        <w:rPr>
          <w:rFonts w:ascii="Times New Roman" w:hAnsi="Times New Roman" w:cs="Times New Roman"/>
          <w:b/>
        </w:rPr>
        <w:t>качества учебного процесса</w:t>
      </w:r>
    </w:p>
    <w:p w14:paraId="6F054A9F" w14:textId="17D4E1C0" w:rsidR="00DA6C49" w:rsidRDefault="003B7E6B">
      <w:pPr>
        <w:ind w:firstLine="708"/>
        <w:rPr>
          <w:rFonts w:ascii="Times New Roman" w:eastAsia="Times New Roman" w:hAnsi="Times New Roman" w:cs="Times New Roman"/>
        </w:rPr>
      </w:pPr>
      <w:bookmarkStart w:id="1" w:name="_Hlk24977172"/>
      <w:r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</w:t>
      </w:r>
      <w:r>
        <w:rPr>
          <w:rFonts w:ascii="Times New Roman" w:eastAsia="Times New Roman" w:hAnsi="Times New Roman" w:cs="Times New Roman"/>
        </w:rPr>
        <w:t xml:space="preserve"> осуществляется в установленном в СПбГУ порядке.</w:t>
      </w:r>
      <w:bookmarkEnd w:id="1"/>
    </w:p>
    <w:p w14:paraId="390CAB53" w14:textId="77777777" w:rsidR="00DA6C49" w:rsidRDefault="003B7E6B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61568D8" w14:textId="77777777" w:rsidR="00DA6C49" w:rsidRDefault="003B7E6B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</w:t>
      </w:r>
      <w:r>
        <w:rPr>
          <w:rFonts w:ascii="Times New Roman" w:hAnsi="Times New Roman" w:cs="Times New Roman"/>
          <w:b/>
        </w:rPr>
        <w:t>нных к проведению учебных занятий</w:t>
      </w:r>
    </w:p>
    <w:p w14:paraId="6E63EA34" w14:textId="11735E8A" w:rsidR="00DA6C49" w:rsidRDefault="003B7E6B">
      <w:pPr>
        <w:ind w:firstLine="720"/>
      </w:pPr>
      <w:r>
        <w:rPr>
          <w:rFonts w:ascii="Times New Roman" w:hAnsi="Times New Roman" w:cs="Times New Roman"/>
        </w:rPr>
        <w:t>Базовое образование и/или ученая</w:t>
      </w:r>
      <w:r w:rsidR="00F059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степень</w:t>
      </w:r>
      <w:r w:rsidR="00F059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соответствующая профилю дисциплины.</w:t>
      </w:r>
    </w:p>
    <w:p w14:paraId="0A1CAE87" w14:textId="77777777" w:rsidR="00DA6C49" w:rsidRDefault="003B7E6B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0960183C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468E6933" w14:textId="77777777" w:rsidR="00DA6C49" w:rsidRDefault="003B7E6B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066943B" w14:textId="77777777" w:rsidR="00DA6C49" w:rsidRDefault="003B7E6B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Характеристики аудиторий (помещений, мест) для проведения занятий</w:t>
      </w:r>
    </w:p>
    <w:p w14:paraId="5A5178F1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lastRenderedPageBreak/>
        <w:t xml:space="preserve">Стандартно оборудованная лекционная аудитория. Дисплейный класс. </w:t>
      </w:r>
    </w:p>
    <w:p w14:paraId="0299A9C5" w14:textId="77777777" w:rsidR="00DA6C49" w:rsidRDefault="003B7E6B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</w:t>
      </w:r>
      <w:r>
        <w:rPr>
          <w:rFonts w:ascii="Times New Roman" w:hAnsi="Times New Roman" w:cs="Times New Roman"/>
          <w:b/>
        </w:rPr>
        <w:t>беспечения общего пользования</w:t>
      </w:r>
    </w:p>
    <w:p w14:paraId="5C12937A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ПО. </w:t>
      </w:r>
    </w:p>
    <w:p w14:paraId="4FB08FE8" w14:textId="77777777" w:rsidR="00DA6C49" w:rsidRDefault="003B7E6B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38D86EE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277E3586" w14:textId="77777777" w:rsidR="00DA6C49" w:rsidRDefault="003B7E6B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FD82016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1153ADA2" w14:textId="77777777" w:rsidR="00DA6C49" w:rsidRDefault="003B7E6B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</w:t>
      </w:r>
      <w:r>
        <w:rPr>
          <w:rFonts w:ascii="Times New Roman" w:hAnsi="Times New Roman" w:cs="Times New Roman"/>
          <w:b/>
        </w:rPr>
        <w:t>асходных материалов</w:t>
      </w:r>
    </w:p>
    <w:p w14:paraId="5238D7D2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 xml:space="preserve">Мел для доски. </w:t>
      </w:r>
    </w:p>
    <w:p w14:paraId="69BC876D" w14:textId="77777777" w:rsidR="00DA6C49" w:rsidRDefault="003B7E6B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0A44F45" w14:textId="77777777" w:rsidR="00DA6C49" w:rsidRDefault="003B7E6B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A81C868" w14:textId="11FE9865" w:rsidR="00DA6C49" w:rsidRPr="00F05910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Боровков А.А. Математическая статистика. - М.: Наука, 2007.  + ЭБС «Лань» по подписке СПбГУ: </w:t>
      </w:r>
      <w:hyperlink r:id="rId6" w:anchor="authors" w:history="1">
        <w:r w:rsidRPr="00F05910">
          <w:rPr>
            <w:rStyle w:val="ae"/>
            <w:rFonts w:ascii="Times New Roman" w:hAnsi="Times New Roman" w:cs="Times New Roman"/>
            <w:u w:val="none"/>
          </w:rPr>
          <w:t>https://proxy.library.spbu.ru:2290/book/3810#authors</w:t>
        </w:r>
      </w:hyperlink>
      <w:r w:rsidR="00F05910">
        <w:rPr>
          <w:rStyle w:val="ae"/>
          <w:rFonts w:ascii="Times New Roman" w:hAnsi="Times New Roman" w:cs="Times New Roman"/>
          <w:u w:val="none"/>
        </w:rPr>
        <w:t>.</w:t>
      </w:r>
    </w:p>
    <w:p w14:paraId="1FF21C6B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Ивченко Г.И., Ю.И. Медведев. Математическая статистика. - М., 1992-2014. </w:t>
      </w:r>
    </w:p>
    <w:p w14:paraId="0271EF25" w14:textId="77777777" w:rsidR="00F05910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Ивченко Г.И., Ю.И. Медведев, А.В. Чистяков. Сборник задач по математической статистике. - М.: Высшая школа</w:t>
      </w:r>
      <w:r>
        <w:rPr>
          <w:rFonts w:ascii="Times New Roman" w:hAnsi="Times New Roman" w:cs="Times New Roman"/>
        </w:rPr>
        <w:t xml:space="preserve">, 1989.  </w:t>
      </w:r>
    </w:p>
    <w:p w14:paraId="2639039F" w14:textId="26A0D7CD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059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Бикел П., К.Доксум. Математическая статистика. -  М.: Финансы и статистика, 1983.                                         </w:t>
      </w:r>
    </w:p>
    <w:p w14:paraId="744CC0ED" w14:textId="77777777" w:rsidR="00DA6C49" w:rsidRDefault="003B7E6B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5.  Большев Л.Н., Н.В. Смирнов. Таблицы математической статистики. – М.: Наука, 1983.                        </w:t>
      </w:r>
    </w:p>
    <w:p w14:paraId="3F923FF4" w14:textId="77777777" w:rsidR="00DA6C49" w:rsidRDefault="003B7E6B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8AC5738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Крамер Г. Математические методы статистики. – М.: Мир, 1975.   </w:t>
      </w:r>
    </w:p>
    <w:p w14:paraId="369AE88B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Справочник по прикладной статистике. </w:t>
      </w:r>
      <w:r>
        <w:rPr>
          <w:rFonts w:ascii="Times New Roman" w:hAnsi="Times New Roman" w:cs="Times New Roman"/>
        </w:rPr>
        <w:t xml:space="preserve">Т 1,2. – М.: Финансы и </w:t>
      </w:r>
      <w:r>
        <w:rPr>
          <w:rFonts w:ascii="Times New Roman" w:hAnsi="Times New Roman" w:cs="Times New Roman"/>
        </w:rPr>
        <w:br/>
        <w:t xml:space="preserve">          статистика, 1989.        </w:t>
      </w:r>
    </w:p>
    <w:p w14:paraId="6FD7F73B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Булинский А.В., А.Н. Ширяев. Теория случайных процессов. - М.: Физматлит, 2003.  </w:t>
      </w:r>
    </w:p>
    <w:p w14:paraId="4B34915D" w14:textId="77777777" w:rsidR="00DA6C49" w:rsidRDefault="003B7E6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Леман Э. Проверка статистических гипотез. - М.: Наука, 1979.   </w:t>
      </w:r>
    </w:p>
    <w:p w14:paraId="3AB96B3C" w14:textId="03838EF8" w:rsidR="00DA6C49" w:rsidRDefault="003B7E6B">
      <w:pPr>
        <w:spacing w:before="0" w:after="0"/>
        <w:ind w:firstLine="720"/>
      </w:pPr>
      <w:r>
        <w:rPr>
          <w:rFonts w:ascii="Times New Roman" w:hAnsi="Times New Roman" w:cs="Times New Roman"/>
        </w:rPr>
        <w:t>5. Леман Э. Теория точечного оценивания.</w:t>
      </w:r>
      <w:r w:rsidR="00F0591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М.</w:t>
      </w:r>
      <w:r>
        <w:rPr>
          <w:rFonts w:ascii="Times New Roman" w:hAnsi="Times New Roman" w:cs="Times New Roman"/>
        </w:rPr>
        <w:t xml:space="preserve">: Мир, 1991.   </w:t>
      </w:r>
    </w:p>
    <w:p w14:paraId="7653BD74" w14:textId="77777777" w:rsidR="00DA6C49" w:rsidRDefault="003B7E6B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597F11F" w14:textId="77777777" w:rsidR="00DA6C49" w:rsidRDefault="003B7E6B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3109EDFB" w14:textId="77777777" w:rsidR="00DA6C49" w:rsidRDefault="003B7E6B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4FB871B" w14:textId="69107C1C" w:rsidR="00DA6C49" w:rsidRDefault="003B7E6B">
      <w:pPr>
        <w:ind w:firstLine="720"/>
      </w:pPr>
      <w:r>
        <w:rPr>
          <w:rFonts w:ascii="Times New Roman" w:hAnsi="Times New Roman" w:cs="Times New Roman"/>
        </w:rPr>
        <w:t>Никитин Яков Юрьевич,</w:t>
      </w:r>
      <w:r>
        <w:rPr>
          <w:rFonts w:ascii="Times New Roman" w:hAnsi="Times New Roman" w:cs="Times New Roman"/>
        </w:rPr>
        <w:t xml:space="preserve"> д.ф-</w:t>
      </w:r>
      <w:proofErr w:type="gramStart"/>
      <w:r>
        <w:rPr>
          <w:rFonts w:ascii="Times New Roman" w:hAnsi="Times New Roman" w:cs="Times New Roman"/>
        </w:rPr>
        <w:t>м.н</w:t>
      </w:r>
      <w:proofErr w:type="gramEnd"/>
      <w:r>
        <w:rPr>
          <w:rFonts w:ascii="Times New Roman" w:hAnsi="Times New Roman" w:cs="Times New Roman"/>
        </w:rPr>
        <w:t>, проф. Кафедра теории вероятностей и математической статистики, т. +7 (812) 4284212. y.nikitin@spbu.ru,  (yanikit47@</w:t>
      </w:r>
      <w:r>
        <w:rPr>
          <w:rFonts w:ascii="Times New Roman" w:hAnsi="Times New Roman" w:cs="Times New Roman"/>
        </w:rPr>
        <w:t>mail.ru).</w:t>
      </w:r>
      <w:r>
        <w:rPr>
          <w:rFonts w:ascii="Times New Roman" w:hAnsi="Times New Roman" w:cs="Times New Roman"/>
        </w:rPr>
        <w:br/>
      </w:r>
    </w:p>
    <w:sectPr w:rsidR="00DA6C49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D9407" w14:textId="77777777" w:rsidR="003B7E6B" w:rsidRDefault="003B7E6B">
      <w:pPr>
        <w:spacing w:before="0" w:after="0"/>
      </w:pPr>
      <w:r>
        <w:separator/>
      </w:r>
    </w:p>
  </w:endnote>
  <w:endnote w:type="continuationSeparator" w:id="0">
    <w:p w14:paraId="6F3953D3" w14:textId="77777777" w:rsidR="003B7E6B" w:rsidRDefault="003B7E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EB79E" w14:textId="77777777" w:rsidR="003B7E6B" w:rsidRDefault="003B7E6B">
      <w:pPr>
        <w:spacing w:before="0" w:after="0"/>
      </w:pPr>
      <w:r>
        <w:separator/>
      </w:r>
    </w:p>
  </w:footnote>
  <w:footnote w:type="continuationSeparator" w:id="0">
    <w:p w14:paraId="5E7240E7" w14:textId="77777777" w:rsidR="003B7E6B" w:rsidRDefault="003B7E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D2B08" w14:textId="77777777" w:rsidR="00DA6C49" w:rsidRDefault="00DA6C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C49"/>
    <w:rsid w:val="003B7E6B"/>
    <w:rsid w:val="00DA6C49"/>
    <w:rsid w:val="00F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C8AD"/>
  <w15:docId w15:val="{68C4E93B-2E25-402F-A587-30FACDB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9E"/>
    <w:pPr>
      <w:spacing w:before="120" w:after="120"/>
      <w:jc w:val="both"/>
    </w:pPr>
    <w:rPr>
      <w:rFonts w:ascii="Arial Unicode MS" w:eastAsia="Calibri" w:hAns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aa">
    <w:name w:val="Название объекта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2">
    <w:name w:val="Заголовок 1 Знак2"/>
    <w:link w:val="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3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Текст выноски Знак1"/>
    <w:link w:val="ab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1">
    <w:name w:val="Заголовок 2 Знак1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Нижний колонтитул Знак2"/>
    <w:link w:val="ac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i/>
      <w:iCs/>
      <w:kern w:val="2"/>
      <w:sz w:val="24"/>
      <w:szCs w:val="28"/>
      <w:lang w:eastAsia="ar-SA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24">
    <w:name w:val="Основной текст Знак2"/>
    <w:link w:val="ad"/>
    <w:qFormat/>
  </w:style>
  <w:style w:type="character" w:styleId="ae">
    <w:name w:val="Hyperlink"/>
    <w:rsid w:val="0044099E"/>
    <w:rPr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link w:val="24"/>
    <w:pPr>
      <w:spacing w:after="140" w:line="288" w:lineRule="auto"/>
    </w:pPr>
  </w:style>
  <w:style w:type="paragraph" w:styleId="af">
    <w:name w:val="List"/>
    <w:basedOn w:val="ad"/>
  </w:style>
  <w:style w:type="paragraph" w:styleId="af0">
    <w:name w:val="caption"/>
    <w:basedOn w:val="a"/>
    <w:next w:val="a"/>
    <w:qFormat/>
    <w:pPr>
      <w:suppressLineNumbers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b">
    <w:name w:val="Balloon Text"/>
    <w:basedOn w:val="a"/>
    <w:link w:val="14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uiPriority w:val="99"/>
    <w:rsid w:val="0044099E"/>
  </w:style>
  <w:style w:type="paragraph" w:styleId="ac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paragraph" w:styleId="af2">
    <w:name w:val="footnote text"/>
    <w:basedOn w:val="a"/>
    <w:link w:val="25"/>
    <w:uiPriority w:val="99"/>
    <w:rsid w:val="007962B2"/>
    <w:rPr>
      <w:sz w:val="20"/>
      <w:szCs w:val="20"/>
    </w:rPr>
  </w:style>
  <w:style w:type="paragraph" w:customStyle="1" w:styleId="25">
    <w:name w:val="Текст сноски Знак2"/>
    <w:basedOn w:val="a"/>
    <w:link w:val="af2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">
    <w:name w:val="Без интервала1"/>
    <w:uiPriority w:val="99"/>
    <w:qFormat/>
    <w:rsid w:val="007962B2"/>
    <w:rPr>
      <w:sz w:val="24"/>
    </w:rPr>
  </w:style>
  <w:style w:type="paragraph" w:styleId="af3">
    <w:name w:val="Title"/>
    <w:basedOn w:val="a"/>
    <w:link w:val="af4"/>
    <w:uiPriority w:val="99"/>
    <w:qFormat/>
    <w:rsid w:val="007962B2"/>
    <w:pPr>
      <w:jc w:val="center"/>
    </w:pPr>
    <w:rPr>
      <w:sz w:val="28"/>
      <w:szCs w:val="28"/>
    </w:rPr>
  </w:style>
  <w:style w:type="paragraph" w:styleId="af5">
    <w:name w:val="Body Text Indent"/>
    <w:basedOn w:val="a"/>
    <w:uiPriority w:val="99"/>
    <w:rsid w:val="007962B2"/>
    <w:rPr>
      <w:b/>
      <w:bCs/>
      <w:sz w:val="28"/>
      <w:szCs w:val="28"/>
    </w:rPr>
  </w:style>
  <w:style w:type="paragraph" w:styleId="26">
    <w:name w:val="Body Text Indent 2"/>
    <w:basedOn w:val="a"/>
    <w:uiPriority w:val="99"/>
    <w:qFormat/>
    <w:rsid w:val="007962B2"/>
    <w:pPr>
      <w:spacing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ind w:left="283"/>
    </w:pPr>
    <w:rPr>
      <w:sz w:val="16"/>
      <w:szCs w:val="16"/>
    </w:rPr>
  </w:style>
  <w:style w:type="paragraph" w:customStyle="1" w:styleId="16">
    <w:name w:val="Заголовок1"/>
    <w:basedOn w:val="a"/>
    <w:next w:val="ad"/>
    <w:qFormat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7">
    <w:name w:val="Указатель1"/>
    <w:basedOn w:val="a"/>
    <w:qFormat/>
    <w:pPr>
      <w:suppressLineNumbers/>
    </w:p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18"/>
    <w:qFormat/>
    <w:pPr>
      <w:jc w:val="center"/>
    </w:pPr>
    <w:rPr>
      <w:b/>
      <w:bCs/>
    </w:rPr>
  </w:style>
  <w:style w:type="paragraph" w:customStyle="1" w:styleId="af4">
    <w:name w:val="Заголовок Знак"/>
    <w:basedOn w:val="a"/>
    <w:next w:val="ad"/>
    <w:link w:val="af3"/>
    <w:qFormat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1">
    <w:name w:val="Заголовок 1 Знак1"/>
    <w:basedOn w:val="a"/>
    <w:link w:val="10"/>
    <w:qFormat/>
    <w:pPr>
      <w:suppressLineNumbers/>
    </w:pPr>
  </w:style>
  <w:style w:type="paragraph" w:customStyle="1" w:styleId="18">
    <w:name w:val="Нижний колонтитул Знак1"/>
    <w:basedOn w:val="a"/>
    <w:qFormat/>
    <w:pPr>
      <w:suppressLineNumbers/>
    </w:pPr>
  </w:style>
  <w:style w:type="paragraph" w:customStyle="1" w:styleId="Body">
    <w:name w:val="Body"/>
    <w:qFormat/>
    <w:rsid w:val="0044099E"/>
    <w:rPr>
      <w:rFonts w:ascii="Helvetica" w:eastAsia="Calibri" w:hAnsi="Helvetica" w:cs="Arial Unicode MS"/>
      <w:color w:val="000000"/>
      <w:sz w:val="24"/>
    </w:rPr>
  </w:style>
  <w:style w:type="paragraph" w:customStyle="1" w:styleId="510">
    <w:name w:val="Основной текст (5)1"/>
    <w:qFormat/>
    <w:rsid w:val="0044099E"/>
    <w:pPr>
      <w:shd w:val="clear" w:color="auto" w:fill="FFFFFF"/>
      <w:spacing w:after="240" w:line="278" w:lineRule="exact"/>
    </w:pPr>
    <w:rPr>
      <w:rFonts w:ascii="Calibri" w:eastAsia="Calibri" w:hAnsi="Calibri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qFormat/>
    <w:rsid w:val="0044099E"/>
    <w:rPr>
      <w:rFonts w:ascii="Helvetica" w:eastAsia="Helvetica" w:hAnsi="Helvetica" w:cs="Helvetica"/>
      <w:color w:val="000000"/>
      <w:sz w:val="24"/>
    </w:rPr>
  </w:style>
  <w:style w:type="paragraph" w:customStyle="1" w:styleId="710">
    <w:name w:val="Заголовок 71"/>
    <w:qFormat/>
    <w:rsid w:val="0044099E"/>
    <w:pPr>
      <w:spacing w:before="120" w:after="120"/>
      <w:jc w:val="both"/>
    </w:pPr>
    <w:rPr>
      <w:rFonts w:ascii="Calibri" w:eastAsia="Times New Roman" w:hAnsi="Calibri" w:cs="Arial"/>
      <w:color w:val="000000"/>
      <w:sz w:val="24"/>
      <w:u w:color="000000"/>
    </w:r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xy.library.spbu.ru:2290/book/38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2601</Words>
  <Characters>14831</Characters>
  <Application>Microsoft Office Word</Application>
  <DocSecurity>0</DocSecurity>
  <Lines>123</Lines>
  <Paragraphs>34</Paragraphs>
  <ScaleCrop>false</ScaleCrop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Владимир Николаевич</dc:creator>
  <dc:description/>
  <cp:lastModifiedBy>В.Н. Самусенко</cp:lastModifiedBy>
  <cp:revision>6</cp:revision>
  <dcterms:created xsi:type="dcterms:W3CDTF">2019-12-04T14:31:00Z</dcterms:created>
  <dcterms:modified xsi:type="dcterms:W3CDTF">2020-11-05T15:31:00Z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