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AE5FC8" w:rsidRDefault="00AE5FC8">
      <w:pPr>
        <w:jc w:val="center"/>
      </w:pP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AE5FC8" w:rsidRDefault="00E35F29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AE5FC8" w:rsidRDefault="00F02408">
      <w:pPr>
        <w:jc w:val="center"/>
      </w:pPr>
      <w:r>
        <w:rPr>
          <w:rFonts w:ascii="Times New Roman" w:hAnsi="Times New Roman" w:cs="Times New Roman"/>
        </w:rPr>
        <w:t>Графы и немного алгебры (осн курс), тр 5-8</w:t>
      </w:r>
      <w:r w:rsidR="00E35F29">
        <w:rPr>
          <w:rFonts w:ascii="Times New Roman" w:hAnsi="Times New Roman" w:cs="Times New Roman"/>
        </w:rPr>
        <w:t xml:space="preserve"> сем</w:t>
      </w:r>
    </w:p>
    <w:p w:rsidR="00AE5FC8" w:rsidRPr="00F02408" w:rsidRDefault="00F02408">
      <w:pPr>
        <w:jc w:val="center"/>
        <w:rPr>
          <w:lang w:val="en-US"/>
        </w:rPr>
      </w:pPr>
      <w:r>
        <w:rPr>
          <w:rFonts w:ascii="Times New Roman" w:hAnsi="Times New Roman" w:cs="Times New Roman"/>
          <w:lang w:val="en-US"/>
        </w:rPr>
        <w:t>Graph</w:t>
      </w:r>
      <w:r w:rsidR="00E35F29">
        <w:rPr>
          <w:rFonts w:ascii="Times New Roman" w:hAnsi="Times New Roman" w:cs="Times New Roman"/>
          <w:lang w:val="en-US"/>
        </w:rPr>
        <w:t xml:space="preserve"> and a little of algebra </w:t>
      </w:r>
    </w:p>
    <w:p w:rsidR="00AE5FC8" w:rsidRDefault="00E35F29">
      <w:pPr>
        <w:jc w:val="center"/>
        <w:rPr>
          <w:lang w:val="en-US"/>
        </w:rPr>
      </w:pPr>
      <w:r>
        <w:rPr>
          <w:lang w:val="en-US"/>
        </w:rPr>
        <w:br/>
      </w:r>
    </w:p>
    <w:p w:rsidR="00AE5FC8" w:rsidRPr="00F02408" w:rsidRDefault="00E35F29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F0240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F0240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AE5FC8" w:rsidRPr="00F02408" w:rsidRDefault="00E35F29">
      <w:pPr>
        <w:jc w:val="center"/>
      </w:pPr>
      <w:r w:rsidRPr="00F02408">
        <w:rPr>
          <w:rFonts w:ascii="Times New Roman" w:hAnsi="Times New Roman" w:cs="Times New Roman"/>
          <w:b/>
        </w:rPr>
        <w:t xml:space="preserve"> </w:t>
      </w:r>
    </w:p>
    <w:p w:rsidR="00AE5FC8" w:rsidRDefault="00E35F29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E5FC8" w:rsidRDefault="00AE5FC8"/>
    <w:p w:rsidR="00AE5FC8" w:rsidRDefault="00AE5FC8"/>
    <w:p w:rsidR="00AE5FC8" w:rsidRDefault="00E35F2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AE5FC8" w:rsidRDefault="00E35F29">
      <w:r>
        <w:rPr>
          <w:rFonts w:ascii="Times New Roman" w:hAnsi="Times New Roman" w:cs="Times New Roman"/>
        </w:rPr>
        <w:t xml:space="preserve"> </w:t>
      </w:r>
    </w:p>
    <w:p w:rsidR="00AE5FC8" w:rsidRPr="00707065" w:rsidRDefault="00E35F29">
      <w:pPr>
        <w:jc w:val="right"/>
      </w:pPr>
      <w:r>
        <w:rPr>
          <w:rFonts w:ascii="Times New Roman" w:hAnsi="Times New Roman" w:cs="Times New Roman"/>
        </w:rPr>
        <w:t>Регистраци</w:t>
      </w:r>
      <w:r w:rsidR="00F02408">
        <w:rPr>
          <w:rFonts w:ascii="Times New Roman" w:hAnsi="Times New Roman" w:cs="Times New Roman"/>
        </w:rPr>
        <w:t xml:space="preserve">онный номер рабочей программы: </w:t>
      </w:r>
      <w:r w:rsidR="00F02408" w:rsidRPr="00707065">
        <w:rPr>
          <w:rFonts w:ascii="Times New Roman" w:hAnsi="Times New Roman" w:cs="Times New Roman"/>
        </w:rPr>
        <w:t>051702</w:t>
      </w:r>
    </w:p>
    <w:p w:rsidR="00AE5FC8" w:rsidRDefault="00E35F29">
      <w:r>
        <w:rPr>
          <w:rFonts w:ascii="Times New Roman" w:hAnsi="Times New Roman" w:cs="Times New Roman"/>
        </w:rPr>
        <w:t xml:space="preserve"> </w:t>
      </w:r>
    </w:p>
    <w:p w:rsidR="00AE5FC8" w:rsidRDefault="00E35F2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E5FC8" w:rsidRDefault="00E35F29">
      <w:r>
        <w:br w:type="page"/>
      </w:r>
    </w:p>
    <w:p w:rsidR="00AE5FC8" w:rsidRDefault="00E35F29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 xml:space="preserve">Сообщение сведений о циклических пространствах и пространствах разрезов графов, о </w:t>
      </w:r>
      <w:r w:rsidR="00707065">
        <w:rPr>
          <w:rFonts w:ascii="Times New Roman" w:hAnsi="Times New Roman" w:cs="Times New Roman"/>
        </w:rPr>
        <w:t>многочленах связанных с графами</w:t>
      </w:r>
      <w:r>
        <w:rPr>
          <w:rFonts w:ascii="Times New Roman" w:hAnsi="Times New Roman" w:cs="Times New Roman"/>
        </w:rPr>
        <w:t xml:space="preserve"> для общего развития и изучения смежных дисциплин физико-математического цикла. Усвоение основных идей, понятий и фактов о некоторых алгебраических методах теории графов.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Владение курсами «Дискретная математика» и «Теория графов».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AE5FC8" w:rsidRDefault="00AE5FC8"/>
    <w:p w:rsidR="00AE5FC8" w:rsidRDefault="00E35F29">
      <w:pPr>
        <w:pStyle w:val="a6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циклические пространства графов и многочлены, связанные с графами.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 xml:space="preserve"> </w:t>
      </w:r>
    </w:p>
    <w:p w:rsidR="00AE5FC8" w:rsidRDefault="00AE5FC8"/>
    <w:p w:rsidR="00AE5FC8" w:rsidRDefault="00E3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AE5FC8" w:rsidRDefault="00AE5FC8"/>
    <w:p w:rsidR="00AE5FC8" w:rsidRDefault="00E3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(экзамен) 4 часа.</w:t>
      </w:r>
    </w:p>
    <w:p w:rsidR="00AE5FC8" w:rsidRDefault="00E35F29">
      <w:r>
        <w:br w:type="page"/>
      </w:r>
    </w:p>
    <w:p w:rsidR="00AE5FC8" w:rsidRDefault="00E35F29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AE5FC8" w:rsidRDefault="00E35F2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AE5FC8" w:rsidRDefault="00AE5FC8"/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167" w:type="dxa"/>
        <w:tblInd w:w="-6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13"/>
        <w:gridCol w:w="567"/>
        <w:gridCol w:w="425"/>
        <w:gridCol w:w="567"/>
        <w:gridCol w:w="426"/>
        <w:gridCol w:w="425"/>
        <w:gridCol w:w="425"/>
        <w:gridCol w:w="425"/>
        <w:gridCol w:w="426"/>
        <w:gridCol w:w="567"/>
        <w:gridCol w:w="425"/>
        <w:gridCol w:w="567"/>
        <w:gridCol w:w="425"/>
        <w:gridCol w:w="567"/>
        <w:gridCol w:w="425"/>
        <w:gridCol w:w="567"/>
        <w:gridCol w:w="523"/>
        <w:gridCol w:w="599"/>
        <w:gridCol w:w="403"/>
      </w:tblGrid>
      <w:tr w:rsidR="00AE5FC8" w:rsidTr="00F02408">
        <w:trPr>
          <w:trHeight w:val="315"/>
        </w:trPr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F02408" w:rsidTr="00F02408">
        <w:trPr>
          <w:trHeight w:val="255"/>
        </w:trPr>
        <w:tc>
          <w:tcPr>
            <w:tcW w:w="14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082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02408" w:rsidRDefault="00F02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9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F02408" w:rsidRDefault="00F02408" w:rsidP="00F02408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F02408" w:rsidRDefault="00F02408" w:rsidP="00F02408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0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F02408" w:rsidRDefault="00F02408" w:rsidP="00F02408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F02408" w:rsidTr="00F02408">
        <w:trPr>
          <w:trHeight w:val="2128"/>
        </w:trPr>
        <w:tc>
          <w:tcPr>
            <w:tcW w:w="1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02408" w:rsidRDefault="00F0240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F02408" w:rsidRDefault="00F024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9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02408" w:rsidRDefault="00F02408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02408" w:rsidRDefault="00F02408">
            <w:pPr>
              <w:rPr>
                <w:sz w:val="16"/>
                <w:szCs w:val="16"/>
              </w:rPr>
            </w:pPr>
          </w:p>
        </w:tc>
      </w:tr>
      <w:tr w:rsidR="00AE5FC8" w:rsidTr="00F02408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AE5FC8" w:rsidTr="00F02408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F02408" w:rsidTr="00F02408"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Pr="00F02408" w:rsidRDefault="00E35F2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Семестр 5</w:t>
            </w:r>
            <w:r w:rsidR="00F02408">
              <w:rPr>
                <w:sz w:val="16"/>
                <w:szCs w:val="16"/>
                <w:lang w:val="en-US"/>
              </w:rPr>
              <w:t>-8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02408" w:rsidTr="00F02408"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</w:tr>
      <w:tr w:rsidR="00F02408" w:rsidTr="00F02408"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5FC8" w:rsidRDefault="00AE5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AE5FC8" w:rsidRDefault="00AE5FC8">
      <w:pPr>
        <w:rPr>
          <w:lang w:val="en-US"/>
        </w:rPr>
      </w:pPr>
    </w:p>
    <w:p w:rsidR="00AE5FC8" w:rsidRDefault="00AE5FC8"/>
    <w:p w:rsidR="00AE5FC8" w:rsidRDefault="00AE5FC8"/>
    <w:tbl>
      <w:tblPr>
        <w:tblW w:w="9612" w:type="dxa"/>
        <w:tblInd w:w="-44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1598"/>
        <w:gridCol w:w="1235"/>
        <w:gridCol w:w="1472"/>
        <w:gridCol w:w="1426"/>
        <w:gridCol w:w="1576"/>
        <w:gridCol w:w="1146"/>
        <w:gridCol w:w="1159"/>
      </w:tblGrid>
      <w:tr w:rsidR="00AE5FC8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:rsidR="00AE5FC8" w:rsidRDefault="00E35F2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E5FC8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:rsidR="00AE5FC8" w:rsidRDefault="00F024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E35F29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E5FC8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AE5FC8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AE5FC8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AE5FC8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F02408">
            <w:r>
              <w:rPr>
                <w:sz w:val="20"/>
                <w:szCs w:val="20"/>
              </w:rPr>
              <w:t>Семестр 5-8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AE5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AE5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E35F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AE5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AE5FC8" w:rsidRDefault="00AE5FC8">
            <w:pPr>
              <w:jc w:val="center"/>
              <w:rPr>
                <w:sz w:val="20"/>
                <w:szCs w:val="20"/>
              </w:rPr>
            </w:pPr>
          </w:p>
        </w:tc>
      </w:tr>
    </w:tbl>
    <w:p w:rsidR="00AE5FC8" w:rsidRDefault="00AE5FC8"/>
    <w:p w:rsidR="00AE5FC8" w:rsidRDefault="00AE5FC8"/>
    <w:p w:rsidR="00AE5FC8" w:rsidRDefault="00E35F29">
      <w:r>
        <w:br w:type="page"/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 xml:space="preserve">Период обучения (модуль): </w:t>
      </w:r>
      <w:r w:rsidR="00F02408">
        <w:rPr>
          <w:rFonts w:ascii="Times New Roman" w:hAnsi="Times New Roman" w:cs="Times New Roman"/>
          <w:b/>
        </w:rPr>
        <w:t>Семестр 5-</w:t>
      </w:r>
      <w:r>
        <w:rPr>
          <w:rFonts w:ascii="Times New Roman" w:hAnsi="Times New Roman" w:cs="Times New Roman"/>
          <w:b/>
        </w:rPr>
        <w:t xml:space="preserve">8 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70"/>
        <w:gridCol w:w="1425"/>
      </w:tblGrid>
      <w:tr w:rsidR="00AE5FC8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E5FC8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pStyle w:val="ListParagraph"/>
              <w:spacing w:after="0" w:line="360" w:lineRule="auto"/>
              <w:ind w:left="0"/>
              <w:jc w:val="left"/>
            </w:pPr>
            <w:r>
              <w:rPr>
                <w:rFonts w:ascii="Times New Roman" w:hAnsi="Times New Roman" w:cs="Times New Roman"/>
                <w:szCs w:val="24"/>
              </w:rPr>
              <w:t>Циклическое пространство и пространство разрезов</w:t>
            </w: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E5FC8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E5FC8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r>
              <w:rPr>
                <w:rFonts w:ascii="Times New Roman" w:hAnsi="Times New Roman" w:cs="Times New Roman"/>
              </w:rPr>
              <w:t>Потоки и многочлены</w:t>
            </w: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AE5FC8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AE5FC8">
        <w:trPr>
          <w:trHeight w:val="173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Экстремальная теория графов</w:t>
            </w: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5FC8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FC8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E5FC8">
        <w:trPr>
          <w:trHeight w:val="269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E5FC8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AE5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AE5FC8" w:rsidRDefault="00E35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AE5FC8" w:rsidRDefault="00AE5FC8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AE5FC8" w:rsidRDefault="00E35F29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 xml:space="preserve">Модуль 1: Циклическое пространство и пространство разрезов 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1.  Циклическое пространство и пространство разрезов. Их размерности.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2.  Бонды.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3.  Циклическое пространство трёхсвязного графа.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4. Циклическое пространство и планарность.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5. Циклическое пространство и двойственность.</w:t>
      </w:r>
    </w:p>
    <w:p w:rsidR="00AE5FC8" w:rsidRDefault="00AE5FC8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AE5FC8" w:rsidRDefault="00E35F29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 xml:space="preserve">Модуль 2: Потоки и многочлены 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1. Поток в графе. </w:t>
      </w:r>
      <w:r>
        <w:rPr>
          <w:rFonts w:ascii="Times New Roman" w:hAnsi="Times New Roman" w:cs="Times New Roman"/>
          <w:i/>
          <w:iCs/>
        </w:rPr>
        <w:t>K-</w:t>
      </w:r>
      <w:r>
        <w:rPr>
          <w:rFonts w:ascii="Times New Roman" w:hAnsi="Times New Roman" w:cs="Times New Roman"/>
        </w:rPr>
        <w:t xml:space="preserve">поток и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2. 2,3,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</w:rPr>
        <w:t xml:space="preserve"> и 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потоки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3. Существование 6-потока в графе без мостов.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4. Существование потокового многочлена.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5. 4 и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XZ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6. Двойственность потоков и раскрасок.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7.  Вычисление хроматического многочдена через потоковый.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8. Потоковый многочден и многочден Татта.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9. Значения многочдена Татта: ациклические, сильно связные и Эйлеровы ориентации.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10. Многочлен Татта дуойственного графа.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lastRenderedPageBreak/>
        <w:t>11. Дискриминант графа.</w:t>
      </w:r>
    </w:p>
    <w:p w:rsidR="00AE5FC8" w:rsidRDefault="00E35F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Дискриминант плоской триангуляции.</w:t>
      </w:r>
    </w:p>
    <w:p w:rsidR="00AE5FC8" w:rsidRDefault="00AE5FC8">
      <w:pPr>
        <w:spacing w:line="360" w:lineRule="auto"/>
        <w:rPr>
          <w:rFonts w:ascii="Times New Roman" w:hAnsi="Times New Roman" w:cs="Times New Roman"/>
        </w:rPr>
      </w:pPr>
    </w:p>
    <w:p w:rsidR="00AE5FC8" w:rsidRDefault="00E35F29">
      <w:pPr>
        <w:pStyle w:val="ListParagraph"/>
        <w:spacing w:after="0" w:line="360" w:lineRule="auto"/>
        <w:ind w:left="0"/>
        <w:jc w:val="left"/>
      </w:pPr>
      <w:r>
        <w:rPr>
          <w:rFonts w:ascii="Times New Roman" w:hAnsi="Times New Roman" w:cs="Times New Roman"/>
          <w:b/>
          <w:szCs w:val="24"/>
        </w:rPr>
        <w:t>Модуль 3: Экстремальная теория графов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1.  Графы без полного двудольного подграфа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i/>
          <w:iCs/>
          <w:vertAlign w:val="subscript"/>
        </w:rPr>
        <w:t xml:space="preserve">m,n </w:t>
      </w:r>
      <w:r>
        <w:rPr>
          <w:rFonts w:ascii="Times New Roman" w:hAnsi="Times New Roman" w:cs="Times New Roman"/>
        </w:rPr>
        <w:t>: оценка количества рёбер.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2.  Корни из 1 в F</w:t>
      </w:r>
      <w:r>
        <w:rPr>
          <w:rFonts w:ascii="Times New Roman" w:hAnsi="Times New Roman" w:cs="Times New Roman"/>
          <w:i/>
          <w:iCs/>
          <w:vertAlign w:val="subscript"/>
        </w:rPr>
        <w:t xml:space="preserve">q b </w:t>
      </w:r>
      <w:r>
        <w:rPr>
          <w:rFonts w:ascii="Times New Roman" w:hAnsi="Times New Roman" w:cs="Times New Roman"/>
        </w:rPr>
        <w:t xml:space="preserve">и экстремальная серия графов без </w:t>
      </w:r>
      <w:r>
        <w:rPr>
          <w:rFonts w:ascii="Times New Roman" w:hAnsi="Times New Roman" w:cs="Times New Roman"/>
          <w:i/>
          <w:iCs/>
        </w:rPr>
        <w:t xml:space="preserve">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iCs/>
          <w:vertAlign w:val="subscript"/>
        </w:rPr>
        <w:t>,n+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3.  Сферы в F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vertAlign w:val="superscript"/>
        </w:rPr>
        <w:t xml:space="preserve">3  </w:t>
      </w:r>
      <w:r>
        <w:rPr>
          <w:rFonts w:ascii="Times New Roman" w:hAnsi="Times New Roman" w:cs="Times New Roman"/>
        </w:rPr>
        <w:t xml:space="preserve">и графы без 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i/>
          <w:iCs/>
          <w:vertAlign w:val="subscript"/>
        </w:rPr>
        <w:t>,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  <w:r>
        <w:br w:type="page"/>
      </w:r>
    </w:p>
    <w:p w:rsidR="00AE5FC8" w:rsidRDefault="00E35F29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AE5FC8" w:rsidRDefault="00E35F2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AE5FC8" w:rsidRDefault="00E35F29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AE5FC8" w:rsidRDefault="00AE5FC8"/>
    <w:p w:rsidR="00AE5FC8" w:rsidRDefault="00E35F29">
      <w:r>
        <w:rPr>
          <w:rFonts w:ascii="Times New Roman" w:hAnsi="Times New Roman" w:cs="Times New Roman"/>
        </w:rPr>
        <w:t>Посещение лекций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AE5FC8" w:rsidRDefault="00AE5FC8"/>
    <w:p w:rsidR="00AE5FC8" w:rsidRDefault="00E35F29">
      <w:r>
        <w:rPr>
          <w:rFonts w:ascii="Times New Roman" w:hAnsi="Times New Roman" w:cs="Times New Roman"/>
        </w:rPr>
        <w:t>Основная и дополнительная литература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E5FC8" w:rsidRDefault="00AE5FC8">
      <w:pPr>
        <w:rPr>
          <w:rFonts w:ascii="Times New Roman" w:hAnsi="Times New Roman" w:cs="Times New Roman"/>
          <w:bCs/>
        </w:rPr>
      </w:pPr>
    </w:p>
    <w:p w:rsidR="00AE5FC8" w:rsidRDefault="00E35F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AE5FC8" w:rsidRDefault="00E35F29">
      <w:pPr>
        <w:pStyle w:val="a6"/>
      </w:pPr>
      <w:r>
        <w:rPr>
          <w:rFonts w:ascii="Times New Roman" w:hAnsi="Times New Roman" w:cs="Times New Roman"/>
          <w:bCs/>
        </w:rPr>
        <w:t>Экзамен проводится в устной форме. Билет состоит из трех вопросов. Время подготовки ответа на вопросы билета составляет 60 минут.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Использование конспектов на экзамене возможно в следующей форме: студенты заранее складывают конспекты на специальный стол, к оторому возможно подойти с разрешения преподавателя на кратковременный срок без письменных принадлежностей и заглянуть в конспект, если это необходимо. Использование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Критерии выставления оценок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 Как правило, для   получения оценки «отлично» требуется решить задачу.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AE5FC8" w:rsidRDefault="00E35F29">
      <w:pPr>
        <w:pStyle w:val="a6"/>
      </w:pPr>
      <w:r>
        <w:rPr>
          <w:rFonts w:ascii="Times New Roman" w:hAnsi="Times New Roman" w:cs="Times New Roman"/>
          <w:bCs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AE5FC8" w:rsidRDefault="00AE5FC8"/>
    <w:p w:rsidR="00DA5BD6" w:rsidRDefault="00DA5BD6" w:rsidP="00DA5BD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DA5BD6" w:rsidRDefault="00DA5BD6" w:rsidP="00DA5BD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DA5BD6" w:rsidTr="00DA5BD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D6" w:rsidRDefault="00DA5BD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DA5BD6" w:rsidRDefault="00DA5BD6" w:rsidP="00DA5BD6">
      <w:pPr>
        <w:rPr>
          <w:rFonts w:ascii="Times New Roman" w:eastAsia="Times New Roman" w:hAnsi="Times New Roman" w:cs="Times New Roman"/>
          <w:color w:val="000000"/>
        </w:rPr>
      </w:pPr>
    </w:p>
    <w:p w:rsidR="00DA5BD6" w:rsidRDefault="00DA5BD6">
      <w:bookmarkStart w:id="0" w:name="_GoBack"/>
      <w:bookmarkEnd w:id="0"/>
    </w:p>
    <w:p w:rsidR="00AE5FC8" w:rsidRDefault="00E35F29">
      <w:r>
        <w:rPr>
          <w:rFonts w:ascii="Times New Roman" w:hAnsi="Times New Roman" w:cs="Times New Roman"/>
          <w:b/>
        </w:rPr>
        <w:lastRenderedPageBreak/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E5FC8" w:rsidRDefault="00AE5FC8"/>
    <w:p w:rsidR="00AE5FC8" w:rsidRDefault="00E35F29">
      <w:r>
        <w:rPr>
          <w:rFonts w:ascii="Times New Roman" w:hAnsi="Times New Roman" w:cs="Times New Roman"/>
        </w:rPr>
        <w:t xml:space="preserve">Период обучения (модуль): </w:t>
      </w:r>
      <w:r w:rsidR="00F02408">
        <w:rPr>
          <w:rFonts w:ascii="Times New Roman" w:hAnsi="Times New Roman" w:cs="Times New Roman"/>
          <w:b/>
        </w:rPr>
        <w:t>Семестр 5-8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Список вопросов к экзамену</w:t>
      </w:r>
      <w:r>
        <w:rPr>
          <w:rFonts w:ascii="Times New Roman" w:hAnsi="Times New Roman" w:cs="Times New Roman"/>
        </w:rPr>
        <w:t>:</w:t>
      </w:r>
    </w:p>
    <w:p w:rsidR="00AE5FC8" w:rsidRDefault="00AE5FC8">
      <w:pPr>
        <w:rPr>
          <w:rFonts w:ascii="Times New Roman" w:hAnsi="Times New Roman" w:cs="Times New Roman"/>
        </w:rPr>
      </w:pP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1.  Циклическое пространство и пространство разрезов. Их размерности.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2.  Бонды.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3.  Циклическое пространство трёхсвязного графа.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4. Циклическое пространство и планарность.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5. Циклическое пространство и двойственность.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6. Поток в графе. </w:t>
      </w:r>
      <w:r>
        <w:rPr>
          <w:rFonts w:ascii="Times New Roman" w:hAnsi="Times New Roman" w:cs="Times New Roman"/>
          <w:i/>
          <w:iCs/>
        </w:rPr>
        <w:t>K-</w:t>
      </w:r>
      <w:r>
        <w:rPr>
          <w:rFonts w:ascii="Times New Roman" w:hAnsi="Times New Roman" w:cs="Times New Roman"/>
        </w:rPr>
        <w:t xml:space="preserve">поток и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k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7. 2,3,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</w:rPr>
        <w:t xml:space="preserve"> и 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потоки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8. Существование 6-потока в графе без мостов.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9. Существование потокового многочлена.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10. 4 и 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XZ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потоки.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11. Двойственность потоков и раскрасок.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12.  Вычисление хроматического многочдена через потоковый.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13. Потоковый многочден и многочден Татта.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14. Значения многочдена Татта: ациклические, сильно связные и Эйлеровы ориентации.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15. Многочлен Татта дуойственного графа.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16. Дискриминант графа.</w:t>
      </w:r>
    </w:p>
    <w:p w:rsidR="00AE5FC8" w:rsidRDefault="00E35F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Дискриминант плоской триангуляции.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 xml:space="preserve">18.  Графы без полного двудольного подграфа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i/>
          <w:iCs/>
          <w:vertAlign w:val="subscript"/>
        </w:rPr>
        <w:t xml:space="preserve">m,n </w:t>
      </w:r>
      <w:r>
        <w:rPr>
          <w:rFonts w:ascii="Times New Roman" w:hAnsi="Times New Roman" w:cs="Times New Roman"/>
        </w:rPr>
        <w:t>: оценка количества рёбер.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19.  Корни из 1 в F</w:t>
      </w:r>
      <w:r>
        <w:rPr>
          <w:rFonts w:ascii="Times New Roman" w:hAnsi="Times New Roman" w:cs="Times New Roman"/>
          <w:i/>
          <w:iCs/>
          <w:vertAlign w:val="subscript"/>
        </w:rPr>
        <w:t xml:space="preserve">q b </w:t>
      </w:r>
      <w:r>
        <w:rPr>
          <w:rFonts w:ascii="Times New Roman" w:hAnsi="Times New Roman" w:cs="Times New Roman"/>
        </w:rPr>
        <w:t xml:space="preserve">и экстремальная серия графов без </w:t>
      </w:r>
      <w:r>
        <w:rPr>
          <w:rFonts w:ascii="Times New Roman" w:hAnsi="Times New Roman" w:cs="Times New Roman"/>
          <w:i/>
          <w:iCs/>
        </w:rPr>
        <w:t xml:space="preserve">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iCs/>
          <w:vertAlign w:val="subscript"/>
        </w:rPr>
        <w:t>,n+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 w:rsidR="00AE5FC8" w:rsidRDefault="00E35F29">
      <w:pPr>
        <w:spacing w:line="360" w:lineRule="auto"/>
      </w:pPr>
      <w:r>
        <w:rPr>
          <w:rFonts w:ascii="Times New Roman" w:hAnsi="Times New Roman" w:cs="Times New Roman"/>
        </w:rPr>
        <w:t>20.  Сферы в F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vertAlign w:val="superscript"/>
        </w:rPr>
        <w:t xml:space="preserve">3  </w:t>
      </w:r>
      <w:r>
        <w:rPr>
          <w:rFonts w:ascii="Times New Roman" w:hAnsi="Times New Roman" w:cs="Times New Roman"/>
        </w:rPr>
        <w:t xml:space="preserve">и графы без 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i/>
          <w:iCs/>
          <w:vertAlign w:val="subscript"/>
        </w:rPr>
        <w:t>,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AE5FC8" w:rsidRDefault="00E35F2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>не требуется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>доска для письма мелом или фломастером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AE5FC8" w:rsidRDefault="00AE5FC8"/>
    <w:p w:rsidR="00AE5FC8" w:rsidRDefault="00E35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AE5FC8" w:rsidRDefault="00AE5FC8"/>
    <w:p w:rsidR="00AE5FC8" w:rsidRDefault="00E35F2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r>
        <w:rPr>
          <w:rFonts w:ascii="Times New Roman" w:hAnsi="Times New Roman" w:cs="Times New Roman"/>
        </w:rPr>
        <w:t xml:space="preserve">1. Д.В.Карпров.  </w:t>
      </w:r>
      <w:r>
        <w:rPr>
          <w:rFonts w:ascii="Times New Roman" w:hAnsi="Times New Roman" w:cs="Times New Roman"/>
          <w:shd w:val="clear" w:color="auto" w:fill="FFFFFF"/>
        </w:rPr>
        <w:t>«Теория графов». http://logic.pdmi.ras.ru/~dvk/graphs_dk.pdf</w:t>
      </w:r>
    </w:p>
    <w:p w:rsidR="00AE5FC8" w:rsidRPr="00F02408" w:rsidRDefault="00E35F29">
      <w:pPr>
        <w:pStyle w:val="BodyText"/>
        <w:rPr>
          <w:lang w:val="en-US"/>
        </w:rPr>
      </w:pPr>
      <w:r w:rsidRPr="00F02408">
        <w:rPr>
          <w:rFonts w:ascii="Times New Roman" w:hAnsi="Times New Roman" w:cs="Times New Roman"/>
          <w:lang w:val="en-US"/>
        </w:rPr>
        <w:t xml:space="preserve">2.  </w:t>
      </w:r>
      <w:r w:rsidRPr="00F02408">
        <w:rPr>
          <w:rFonts w:ascii="Times New Roman" w:hAnsi="Times New Roman" w:cs="Times New Roman"/>
          <w:color w:val="000000"/>
          <w:lang w:val="en-US"/>
        </w:rPr>
        <w:t xml:space="preserve"> R.Diestel. «Graph Theory». Springer-Verlag, 2005.</w:t>
      </w:r>
    </w:p>
    <w:p w:rsidR="00AE5FC8" w:rsidRPr="00F02408" w:rsidRDefault="00AE5FC8">
      <w:pPr>
        <w:pStyle w:val="BodyText"/>
        <w:rPr>
          <w:rFonts w:ascii="Times New Roman" w:hAnsi="Times New Roman" w:cs="Times New Roman"/>
          <w:lang w:val="en-US"/>
        </w:rPr>
      </w:pPr>
    </w:p>
    <w:p w:rsidR="00AE5FC8" w:rsidRPr="00F02408" w:rsidRDefault="00AE5FC8">
      <w:pPr>
        <w:rPr>
          <w:lang w:val="en-US"/>
        </w:rPr>
      </w:pPr>
    </w:p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AE5FC8" w:rsidRDefault="00E35F29">
      <w:pPr>
        <w:pStyle w:val="BodyText"/>
      </w:pPr>
      <w:r>
        <w:rPr>
          <w:rFonts w:ascii="Times New Roman" w:hAnsi="Times New Roman" w:cs="Times New Roman"/>
          <w:shd w:val="clear" w:color="auto" w:fill="FFFFFF"/>
        </w:rPr>
        <w:t>1. Ф.Харари. « Теория графов» М, Наука, 1973.</w:t>
      </w:r>
    </w:p>
    <w:p w:rsidR="00AE5FC8" w:rsidRPr="00F02408" w:rsidRDefault="00E35F29">
      <w:pPr>
        <w:rPr>
          <w:rFonts w:ascii="Times New Roman" w:hAnsi="Times New Roman" w:cs="Times New Roman"/>
          <w:lang w:val="en-US"/>
        </w:rPr>
      </w:pPr>
      <w:r w:rsidRPr="00F02408">
        <w:rPr>
          <w:rFonts w:ascii="Times New Roman" w:hAnsi="Times New Roman" w:cs="Times New Roman"/>
          <w:lang w:val="en-US"/>
        </w:rPr>
        <w:t xml:space="preserve">2. </w:t>
      </w:r>
      <w:r w:rsidRPr="00F02408">
        <w:rPr>
          <w:rFonts w:ascii="Times New Roman" w:hAnsi="Times New Roman" w:cs="Times New Roman"/>
          <w:color w:val="000000"/>
          <w:lang w:val="en-US"/>
        </w:rPr>
        <w:t>J.A.Bondy, U.S.R. Murty. «Graph Theory with applications.» North-Holland, New York, 1974.</w:t>
      </w:r>
    </w:p>
    <w:p w:rsidR="00AE5FC8" w:rsidRPr="00F02408" w:rsidRDefault="00AE5FC8">
      <w:pPr>
        <w:rPr>
          <w:rFonts w:ascii="Times New Roman" w:hAnsi="Times New Roman" w:cs="Times New Roman"/>
          <w:lang w:val="en-US"/>
        </w:rPr>
      </w:pPr>
    </w:p>
    <w:p w:rsidR="00AE5FC8" w:rsidRPr="00F02408" w:rsidRDefault="00AE5FC8">
      <w:pPr>
        <w:rPr>
          <w:lang w:val="en-US"/>
        </w:rPr>
      </w:pPr>
    </w:p>
    <w:p w:rsidR="00AE5FC8" w:rsidRDefault="00E35F29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AE5FC8" w:rsidRDefault="00AE5FC8"/>
    <w:p w:rsidR="00AE5FC8" w:rsidRDefault="00E35F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AE5FC8" w:rsidRDefault="00AE5FC8">
      <w:pPr>
        <w:rPr>
          <w:rFonts w:ascii="Times New Roman" w:hAnsi="Times New Roman" w:cs="Times New Roman"/>
          <w:b/>
        </w:rPr>
      </w:pPr>
    </w:p>
    <w:p w:rsidR="00AE5FC8" w:rsidRDefault="00E35F29">
      <w:pPr>
        <w:pStyle w:val="a6"/>
      </w:pPr>
      <w:r w:rsidRPr="00F02408">
        <w:rPr>
          <w:rFonts w:ascii="Times New Roman" w:hAnsi="Times New Roman" w:cs="Times New Roman"/>
          <w:shd w:val="clear" w:color="auto" w:fill="FFFFFF"/>
        </w:rPr>
        <w:t xml:space="preserve">Карпов Дмитрий Валерьевич, доктор физ.-мат. наук, старший научный сотрудник ПОМИ РАН, профессор СПбГУ.  </w:t>
      </w:r>
      <w:r>
        <w:rPr>
          <w:rFonts w:ascii="Times New Roman" w:hAnsi="Times New Roman" w:cs="Times New Roman"/>
          <w:shd w:val="clear" w:color="auto" w:fill="FFFFFF"/>
          <w:lang w:val="en-US"/>
        </w:rPr>
        <w:t>E-mail: dvk0@yandex.ru.</w:t>
      </w:r>
    </w:p>
    <w:p w:rsidR="00AE5FC8" w:rsidRDefault="00AE5FC8"/>
    <w:sectPr w:rsidR="00AE5FC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DD" w:rsidRDefault="000F73DD">
      <w:r>
        <w:separator/>
      </w:r>
    </w:p>
  </w:endnote>
  <w:endnote w:type="continuationSeparator" w:id="0">
    <w:p w:rsidR="000F73DD" w:rsidRDefault="000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DD" w:rsidRDefault="000F73DD">
      <w:r>
        <w:separator/>
      </w:r>
    </w:p>
  </w:footnote>
  <w:footnote w:type="continuationSeparator" w:id="0">
    <w:p w:rsidR="000F73DD" w:rsidRDefault="000F7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FC8" w:rsidRDefault="00AE5F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C8"/>
    <w:rsid w:val="000F73DD"/>
    <w:rsid w:val="0048750D"/>
    <w:rsid w:val="00707065"/>
    <w:rsid w:val="00AE5FC8"/>
    <w:rsid w:val="00DA5BD6"/>
    <w:rsid w:val="00E35F29"/>
    <w:rsid w:val="00F0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E29108-7025-4E3D-BB47-38EDB15E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a6"/>
    <w:link w:val="BodyTextChar1"/>
    <w:qFormat/>
    <w:rPr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qFormat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har1">
    <w:name w:val="Title Char1"/>
    <w:link w:val="Title"/>
    <w:uiPriority w:val="99"/>
    <w:qFormat/>
    <w:rsid w:val="007962B2"/>
    <w:rPr>
      <w:color w:val="00000A"/>
      <w:sz w:val="24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qFormat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a6">
    <w:name w:val="Базовый"/>
    <w:qFormat/>
    <w:pPr>
      <w:tabs>
        <w:tab w:val="left" w:pos="709"/>
      </w:tabs>
      <w:suppressAutoHyphens/>
    </w:pPr>
    <w:rPr>
      <w:rFonts w:ascii="Calibri" w:eastAsia="DejaVu Sans" w:hAnsi="Calibri"/>
      <w:color w:val="00000A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1435</Words>
  <Characters>8181</Characters>
  <Application>Microsoft Office Word</Application>
  <DocSecurity>0</DocSecurity>
  <Lines>68</Lines>
  <Paragraphs>19</Paragraphs>
  <ScaleCrop>false</ScaleCrop>
  <Company>SPBU</Company>
  <LinksUpToDate>false</LinksUpToDate>
  <CharactersWithSpaces>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Татьяна Владимировна</dc:creator>
  <dc:description/>
  <cp:lastModifiedBy>HP Inc.</cp:lastModifiedBy>
  <cp:revision>70</cp:revision>
  <dcterms:created xsi:type="dcterms:W3CDTF">2016-10-17T10:45:00Z</dcterms:created>
  <dcterms:modified xsi:type="dcterms:W3CDTF">2020-09-26T13:54:00Z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