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E54074" w:rsidRDefault="00E54074">
      <w:pPr>
        <w:jc w:val="center"/>
      </w:pP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E54074" w:rsidRDefault="007D2395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E54074" w:rsidRPr="00252AEC" w:rsidRDefault="00252AEC">
      <w:pPr>
        <w:jc w:val="center"/>
      </w:pPr>
      <w:r>
        <w:rPr>
          <w:rFonts w:ascii="Times New Roman" w:hAnsi="Times New Roman" w:cs="Times New Roman"/>
        </w:rPr>
        <w:t>Сложность доказательств (семинар), тр 5</w:t>
      </w:r>
      <w:r w:rsidR="00E17D74"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</w:rPr>
        <w:t xml:space="preserve"> сем</w:t>
      </w:r>
    </w:p>
    <w:p w:rsidR="00E54074" w:rsidRPr="00252AEC" w:rsidRDefault="00252AEC">
      <w:pPr>
        <w:jc w:val="center"/>
      </w:pPr>
      <w:r>
        <w:rPr>
          <w:rFonts w:ascii="Times New Roman" w:hAnsi="Times New Roman" w:cs="Times New Roman"/>
          <w:lang w:val="en-US"/>
        </w:rPr>
        <w:t>Proof</w:t>
      </w:r>
      <w:r w:rsidRPr="00252A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Complexity</w:t>
      </w:r>
      <w:r w:rsidRPr="00252AE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Seminar</w:t>
      </w:r>
      <w:r w:rsidRPr="00252AEC">
        <w:rPr>
          <w:rFonts w:ascii="Times New Roman" w:hAnsi="Times New Roman" w:cs="Times New Roman"/>
        </w:rPr>
        <w:t>)</w:t>
      </w:r>
    </w:p>
    <w:p w:rsidR="00E54074" w:rsidRPr="00252AEC" w:rsidRDefault="007D2395">
      <w:pPr>
        <w:jc w:val="center"/>
      </w:pPr>
      <w:r w:rsidRPr="00252AEC">
        <w:br/>
      </w:r>
    </w:p>
    <w:p w:rsidR="00E54074" w:rsidRPr="00252AEC" w:rsidRDefault="007D2395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252AE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252AEC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E54074" w:rsidRPr="00252AEC" w:rsidRDefault="007D2395">
      <w:pPr>
        <w:jc w:val="center"/>
      </w:pPr>
      <w:r w:rsidRPr="00252AEC">
        <w:rPr>
          <w:rFonts w:ascii="Times New Roman" w:hAnsi="Times New Roman" w:cs="Times New Roman"/>
          <w:b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54074" w:rsidRDefault="00E54074"/>
    <w:p w:rsidR="00E54074" w:rsidRDefault="00E54074"/>
    <w:p w:rsidR="00E54074" w:rsidRPr="008E3027" w:rsidRDefault="007D2395">
      <w:pPr>
        <w:jc w:val="right"/>
      </w:pPr>
      <w:r>
        <w:rPr>
          <w:rFonts w:ascii="Times New Roman" w:hAnsi="Times New Roman" w:cs="Times New Roman"/>
        </w:rPr>
        <w:t>Труд</w:t>
      </w:r>
      <w:r w:rsidR="008E3027">
        <w:rPr>
          <w:rFonts w:ascii="Times New Roman" w:hAnsi="Times New Roman" w:cs="Times New Roman"/>
        </w:rPr>
        <w:t>оемкость в зачетных единицах: 2</w:t>
      </w:r>
    </w:p>
    <w:p w:rsidR="00E54074" w:rsidRDefault="007D2395">
      <w:r>
        <w:rPr>
          <w:rFonts w:ascii="Times New Roman" w:hAnsi="Times New Roman" w:cs="Times New Roman"/>
        </w:rPr>
        <w:t xml:space="preserve"> </w:t>
      </w:r>
    </w:p>
    <w:p w:rsidR="00E54074" w:rsidRPr="00E17D74" w:rsidRDefault="007D2395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252AEC">
        <w:rPr>
          <w:rFonts w:ascii="Times New Roman" w:hAnsi="Times New Roman" w:cs="Times New Roman"/>
        </w:rPr>
        <w:t xml:space="preserve"> номер рабочей программы: 0</w:t>
      </w:r>
      <w:r w:rsidR="00252AEC" w:rsidRPr="00E17D74">
        <w:rPr>
          <w:rFonts w:ascii="Times New Roman" w:hAnsi="Times New Roman" w:cs="Times New Roman"/>
        </w:rPr>
        <w:t>53558</w:t>
      </w:r>
    </w:p>
    <w:p w:rsidR="00E54074" w:rsidRDefault="007D2395">
      <w:r>
        <w:rPr>
          <w:rFonts w:ascii="Times New Roman" w:hAnsi="Times New Roman" w:cs="Times New Roman"/>
        </w:rPr>
        <w:t xml:space="preserve"> </w:t>
      </w:r>
    </w:p>
    <w:p w:rsidR="00E54074" w:rsidRDefault="007D2395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54074" w:rsidRDefault="007D2395">
      <w:r>
        <w:br w:type="page"/>
      </w:r>
    </w:p>
    <w:p w:rsidR="00E54074" w:rsidRDefault="007D2395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E54074" w:rsidRDefault="00E54074"/>
    <w:p w:rsidR="00AF2835" w:rsidRPr="00AF2835" w:rsidRDefault="007D2395" w:rsidP="00143131">
      <w:pPr>
        <w:pStyle w:val="ListParagraph"/>
        <w:numPr>
          <w:ilvl w:val="0"/>
          <w:numId w:val="1"/>
        </w:numPr>
      </w:pPr>
      <w:r w:rsidRPr="00143131">
        <w:rPr>
          <w:rFonts w:ascii="Times New Roman" w:hAnsi="Times New Roman" w:cs="Times New Roman"/>
          <w:b/>
        </w:rPr>
        <w:t>Цели и задачи учебных занятий</w:t>
      </w:r>
      <w:r w:rsidR="00143131">
        <w:rPr>
          <w:rFonts w:ascii="Times New Roman" w:hAnsi="Times New Roman" w:cs="Times New Roman"/>
          <w:b/>
        </w:rPr>
        <w:t xml:space="preserve"> </w:t>
      </w:r>
    </w:p>
    <w:p w:rsidR="00AF2835" w:rsidRPr="00AF2835" w:rsidRDefault="00AF2835" w:rsidP="00AF2835">
      <w:pPr>
        <w:pStyle w:val="ListParagraph"/>
      </w:pPr>
    </w:p>
    <w:p w:rsidR="00E54074" w:rsidRDefault="000D7189">
      <w:pPr>
        <w:rPr>
          <w:rFonts w:ascii="Times New Roman" w:hAnsi="Times New Roman"/>
        </w:rPr>
      </w:pPr>
      <w:r>
        <w:rPr>
          <w:rFonts w:ascii="Times New Roman" w:hAnsi="Times New Roman"/>
        </w:rPr>
        <w:t>Сообщение сведений о системах доказательств и оценках сложности. Усвоение основных идей, понятий и фактов теории сложности доказательств.</w:t>
      </w:r>
    </w:p>
    <w:p w:rsidR="000D7189" w:rsidRDefault="000D7189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AF2835" w:rsidRDefault="00AF2835">
      <w:pPr>
        <w:rPr>
          <w:rFonts w:ascii="Times New Roman" w:hAnsi="Times New Roman" w:cs="Times New Roman"/>
          <w:b/>
        </w:rPr>
      </w:pPr>
    </w:p>
    <w:p w:rsidR="00E54074" w:rsidRDefault="00834A82">
      <w:r>
        <w:rPr>
          <w:rFonts w:ascii="Times New Roman" w:hAnsi="Times New Roman" w:cs="Times New Roman"/>
        </w:rPr>
        <w:t>Владение курсом «Теоретическая информатика</w:t>
      </w:r>
      <w:r w:rsidR="005B78FB">
        <w:rPr>
          <w:rFonts w:ascii="Times New Roman" w:hAnsi="Times New Roman" w:cs="Times New Roman"/>
        </w:rPr>
        <w:t>»</w:t>
      </w:r>
      <w:r w:rsidR="00AF2835">
        <w:rPr>
          <w:rFonts w:ascii="Times New Roman" w:hAnsi="Times New Roman" w:cs="Times New Roman"/>
        </w:rPr>
        <w:t>.</w:t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642A2E" w:rsidRDefault="00642A2E">
      <w:pPr>
        <w:rPr>
          <w:rFonts w:ascii="Times New Roman" w:hAnsi="Times New Roman" w:cs="Times New Roman"/>
          <w:b/>
        </w:rPr>
      </w:pPr>
    </w:p>
    <w:p w:rsidR="006F1B84" w:rsidRDefault="006F1B84" w:rsidP="006F1B84">
      <w:pPr>
        <w:rPr>
          <w:rFonts w:ascii="Times New Roman" w:hAnsi="Times New Roman"/>
        </w:rPr>
      </w:pPr>
      <w:r>
        <w:rPr>
          <w:rFonts w:ascii="Times New Roman" w:hAnsi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разделов: системы доказательств, системы Фреге, нижние оценки для систем доказательств.</w:t>
      </w:r>
    </w:p>
    <w:p w:rsidR="00E54074" w:rsidRDefault="00E54074"/>
    <w:p w:rsidR="00E54074" w:rsidRDefault="007D2395">
      <w:pPr>
        <w:rPr>
          <w:b/>
        </w:rPr>
      </w:pPr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:rsidR="004C4209" w:rsidRDefault="004C4209">
      <w:pPr>
        <w:rPr>
          <w:b/>
        </w:rPr>
      </w:pPr>
    </w:p>
    <w:p w:rsidR="004C4209" w:rsidRDefault="00A80AEF">
      <w:r>
        <w:rPr>
          <w:rFonts w:ascii="Times New Roman" w:hAnsi="Times New Roman" w:cs="Times New Roman"/>
        </w:rPr>
        <w:t>практические занятия 30 часов</w:t>
      </w:r>
      <w:r w:rsidR="00CA3AFF">
        <w:rPr>
          <w:rFonts w:ascii="Times New Roman" w:hAnsi="Times New Roman" w:cs="Times New Roman"/>
        </w:rPr>
        <w:t>, промежуточная аттестация (зачет) 2 часа</w:t>
      </w:r>
    </w:p>
    <w:p w:rsidR="00E54074" w:rsidRDefault="00E54074"/>
    <w:p w:rsidR="00E54074" w:rsidRDefault="007D2395">
      <w:r>
        <w:br w:type="page"/>
      </w:r>
    </w:p>
    <w:p w:rsidR="00E54074" w:rsidRDefault="007D2395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54074" w:rsidRDefault="007D2395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E54074" w:rsidRDefault="00E54074"/>
    <w:p w:rsidR="00E54074" w:rsidRDefault="00E54074"/>
    <w:p w:rsidR="00E54074" w:rsidRDefault="007D2395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C6140" w:rsidRPr="005E1F77" w:rsidTr="005C614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E1F77" w:rsidRDefault="007D2395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5C6140" w:rsidRPr="00552C40" w:rsidTr="005C614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552C40" w:rsidRDefault="007D2395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C6140" w:rsidRPr="00552C40" w:rsidTr="005C614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2B7191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1D24DE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C6140" w:rsidRDefault="007D2395" w:rsidP="005C614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5C6140" w:rsidRPr="00552C40" w:rsidRDefault="007D2395" w:rsidP="005C6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</w:tr>
      <w:tr w:rsidR="00E5407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5407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E540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4" w:rsidRDefault="00901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5C6140" w:rsidRPr="00552C40" w:rsidRDefault="00901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E17D74">
              <w:rPr>
                <w:sz w:val="16"/>
                <w:szCs w:val="16"/>
              </w:rPr>
              <w:t>-8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F41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FB46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540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F41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</w:tr>
      <w:tr w:rsidR="00E540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D23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7F41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FB46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5C61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9018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140" w:rsidRPr="00552C40" w:rsidRDefault="00FB46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5C6140" w:rsidRPr="00B21255" w:rsidRDefault="005C6140">
      <w:pPr>
        <w:rPr>
          <w:lang w:val="en-US"/>
        </w:rPr>
      </w:pPr>
    </w:p>
    <w:p w:rsidR="00E54074" w:rsidRDefault="00E54074"/>
    <w:p w:rsidR="00E54074" w:rsidRDefault="00E54074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5C6140" w:rsidRPr="00370C5A" w:rsidTr="005C6140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C6140" w:rsidRPr="00474C4B" w:rsidRDefault="007D239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C6140" w:rsidRPr="006E2282" w:rsidTr="005C6140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C1E53" w:rsidRDefault="007D2395" w:rsidP="005C614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C6140" w:rsidRPr="006E2282" w:rsidTr="005C6140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140" w:rsidRPr="00474C4B" w:rsidRDefault="005C614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7D2395" w:rsidP="005C614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5407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5407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6140" w:rsidRPr="00474C4B" w:rsidRDefault="007D2395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E5407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6140" w:rsidRPr="00474C4B" w:rsidRDefault="00901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  <w:r w:rsidR="00E17D74">
              <w:rPr>
                <w:sz w:val="20"/>
                <w:szCs w:val="20"/>
              </w:rPr>
              <w:t>-8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 w:rsidP="00B31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5C6140" w:rsidRPr="00474C4B" w:rsidRDefault="007D2395" w:rsidP="00B31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5C6140" w:rsidRPr="00474C4B" w:rsidRDefault="005C6140">
            <w:pPr>
              <w:jc w:val="center"/>
              <w:rPr>
                <w:sz w:val="20"/>
                <w:szCs w:val="20"/>
              </w:rPr>
            </w:pPr>
          </w:p>
        </w:tc>
      </w:tr>
    </w:tbl>
    <w:p w:rsidR="005C6140" w:rsidRPr="00143131" w:rsidRDefault="005C6140"/>
    <w:p w:rsidR="00E54074" w:rsidRDefault="00E54074"/>
    <w:p w:rsidR="00E54074" w:rsidRDefault="007D2395">
      <w:r>
        <w:br w:type="page"/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20606" w:rsidRDefault="00020606">
      <w:pPr>
        <w:rPr>
          <w:rFonts w:ascii="Times New Roman" w:hAnsi="Times New Roman" w:cs="Times New Roman"/>
          <w:b/>
        </w:rPr>
      </w:pPr>
    </w:p>
    <w:p w:rsidR="00020606" w:rsidRDefault="00020606" w:rsidP="00020606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DB48A6">
        <w:rPr>
          <w:rFonts w:ascii="Times New Roman" w:hAnsi="Times New Roman" w:cs="Times New Roman"/>
          <w:b/>
        </w:rPr>
        <w:t>Семестр 5</w:t>
      </w:r>
      <w:r w:rsidR="00E17D74">
        <w:rPr>
          <w:rFonts w:ascii="Times New Roman" w:hAnsi="Times New Roman" w:cs="Times New Roman"/>
          <w:b/>
        </w:rPr>
        <w:t>-8</w:t>
      </w:r>
    </w:p>
    <w:p w:rsidR="00020606" w:rsidRPr="0027369A" w:rsidRDefault="00020606" w:rsidP="00020606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20606" w:rsidRPr="0027369A" w:rsidTr="005C6140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ED1B46" w:rsidRPr="0027369A" w:rsidTr="005C6140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D1B46" w:rsidRPr="0027369A" w:rsidRDefault="00ED1B46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D1B46" w:rsidRDefault="00ED1B46" w:rsidP="00CC1ABE">
            <w:pPr>
              <w:spacing w:before="1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Системы доказательств. Системы Фреге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1B46" w:rsidRPr="0027369A" w:rsidRDefault="00ED1B46" w:rsidP="005C6140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1B46" w:rsidRPr="0027369A" w:rsidRDefault="00ED1B46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606" w:rsidRPr="0027369A" w:rsidTr="005C6140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7F412B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ED1B46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20606" w:rsidRPr="0027369A" w:rsidTr="005C6140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0606" w:rsidRPr="0027369A" w:rsidTr="005C6140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0606" w:rsidRPr="0027369A" w:rsidRDefault="00020606" w:rsidP="005C6140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0606" w:rsidRPr="0027369A" w:rsidRDefault="00ED1B46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91A0A" w:rsidRPr="0027369A" w:rsidTr="003856E6">
        <w:trPr>
          <w:trHeight w:val="172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ED1B46" w:rsidP="00191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Нижние оценки для систем доказательств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1A0A" w:rsidRPr="0027369A" w:rsidTr="003856E6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ED1B46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91A0A" w:rsidRPr="0027369A" w:rsidTr="003856E6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1A0A" w:rsidRPr="0027369A" w:rsidTr="005C6140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1A0A" w:rsidRPr="0027369A" w:rsidRDefault="00191A0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1A0A" w:rsidRPr="0027369A" w:rsidRDefault="00ED1B46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0187A" w:rsidRPr="0027369A" w:rsidTr="001B6DFB">
        <w:trPr>
          <w:trHeight w:val="276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187A" w:rsidRPr="00ED1B46" w:rsidRDefault="00ED1B46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187A" w:rsidRPr="0027369A" w:rsidRDefault="0090187A" w:rsidP="005C6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87A" w:rsidRPr="0027369A" w:rsidRDefault="0090187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87A" w:rsidRDefault="0090187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0187A" w:rsidRPr="0027369A" w:rsidTr="001B6DFB">
        <w:trPr>
          <w:trHeight w:val="276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87A" w:rsidRDefault="0090187A" w:rsidP="005C614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87A" w:rsidRDefault="0090187A" w:rsidP="005C6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87A" w:rsidRDefault="0090187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  <w:r>
              <w:rPr>
                <w:rFonts w:ascii="Times New Roman" w:hAnsi="Times New Roman" w:cs="Times New Roman"/>
              </w:rPr>
              <w:br/>
              <w:t>(с.р.)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87A" w:rsidRDefault="0090187A" w:rsidP="005C6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020606" w:rsidRDefault="00020606">
      <w:pPr>
        <w:rPr>
          <w:lang w:val="en-US"/>
        </w:rPr>
      </w:pPr>
    </w:p>
    <w:p w:rsidR="00DD659A" w:rsidRDefault="0019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Раздел 1.</w:t>
      </w:r>
      <w:r w:rsidR="00ED1B46">
        <w:rPr>
          <w:rFonts w:ascii="Times New Roman" w:hAnsi="Times New Roman" w:cs="Times New Roman"/>
        </w:rPr>
        <w:t xml:space="preserve"> Системы доказательств. Системы Фреге</w:t>
      </w:r>
    </w:p>
    <w:p w:rsid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Моделирование систем доказательств влечёт сводимость NP-пар. </w:t>
      </w:r>
    </w:p>
    <w:p w:rsid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«Контрпример» к обратной импликации.</w:t>
      </w:r>
    </w:p>
    <w:p w:rsid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Интерполяционная NP-пара, достаточное условие эквивалентности канонической NP-паре.</w:t>
      </w:r>
    </w:p>
    <w:p w:rsid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Оптимальные полуалгоритмы и p-оптимальные системы (два доказательства).</w:t>
      </w:r>
    </w:p>
    <w:p w:rsid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Короткое доказательство принципа Дирихле в системах с правилом расширения</w:t>
      </w:r>
    </w:p>
    <w:p w:rsidR="00A65976" w:rsidRDefault="00A65976" w:rsidP="00A65976">
      <w:pPr>
        <w:pStyle w:val="ListParagraph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и в системе секущих плоскостей.</w:t>
      </w:r>
    </w:p>
    <w:p w:rsid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Эквивалентность разных систем Фреге.</w:t>
      </w:r>
    </w:p>
    <w:p w:rsidR="00191A0A" w:rsidRPr="00A65976" w:rsidRDefault="00A65976" w:rsidP="00A65976">
      <w:pPr>
        <w:pStyle w:val="ListParagraph"/>
        <w:numPr>
          <w:ilvl w:val="0"/>
          <w:numId w:val="24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 секущих плоскостей в системах Фреге.</w:t>
      </w:r>
    </w:p>
    <w:p w:rsidR="00191A0A" w:rsidRDefault="00191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Раздел 2.</w:t>
      </w:r>
      <w:r w:rsidR="00794786">
        <w:rPr>
          <w:rFonts w:ascii="Times New Roman" w:hAnsi="Times New Roman" w:cs="Times New Roman"/>
        </w:rPr>
        <w:t xml:space="preserve"> Нижние оценки для систем доказательств</w:t>
      </w:r>
    </w:p>
    <w:p w:rsidR="00333056" w:rsidRDefault="00333056">
      <w:pPr>
        <w:rPr>
          <w:rFonts w:ascii="Times New Roman" w:hAnsi="Times New Roman" w:cs="Times New Roman"/>
        </w:rPr>
      </w:pP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системы секущих плоскостей.</w:t>
      </w: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метода резолюций (цейтинские формулы).</w:t>
      </w: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метода резолюций (принцип Дирихле).</w:t>
      </w: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Доказательство корректности метода резолюций и Res(2) в Res(2).</w:t>
      </w: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корректности метода резолюций в методе резолюций        (и системы секущих плоскостей в системе секущих плоскостей).</w:t>
      </w: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полиномиального исчисления.</w:t>
      </w:r>
    </w:p>
    <w:p w:rsid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Верхние оценки на вывод цейтинских формул в полуалгебраических системах высокой степени и R(CP). </w:t>
      </w:r>
    </w:p>
    <w:p w:rsidR="00A65976" w:rsidRPr="00A65976" w:rsidRDefault="00A65976" w:rsidP="00A65976">
      <w:pPr>
        <w:pStyle w:val="ListParagraph"/>
        <w:numPr>
          <w:ilvl w:val="0"/>
          <w:numId w:val="25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Сведение нижней оценки для семантических систем, основанных на неравенствах, к оценке коммуникационной сложности.</w:t>
      </w:r>
    </w:p>
    <w:p w:rsidR="00E54074" w:rsidRDefault="007D2395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E54074" w:rsidRDefault="007D2395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E54074" w:rsidRDefault="007D2395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54074" w:rsidRDefault="00E54074"/>
    <w:p w:rsidR="00FE1F2D" w:rsidRDefault="00FE1F2D">
      <w:r w:rsidRPr="0027369A">
        <w:rPr>
          <w:rFonts w:ascii="Times New Roman" w:hAnsi="Times New Roman" w:cs="Times New Roman"/>
        </w:rPr>
        <w:t>Посещен</w:t>
      </w:r>
      <w:r w:rsidR="00246656">
        <w:rPr>
          <w:rFonts w:ascii="Times New Roman" w:hAnsi="Times New Roman" w:cs="Times New Roman"/>
        </w:rPr>
        <w:t>ие семинарских занятий</w:t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FE1F2D" w:rsidRDefault="00FE1F2D"/>
    <w:p w:rsidR="00E54074" w:rsidRDefault="00FE1F2D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E54074" w:rsidRDefault="00E54074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3A5847" w:rsidRDefault="003A5847"/>
    <w:p w:rsidR="003718A0" w:rsidRDefault="007F412B" w:rsidP="007F4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Зачет проводи</w:t>
      </w:r>
      <w:r w:rsidR="0068022E">
        <w:rPr>
          <w:rFonts w:ascii="Times New Roman" w:hAnsi="Times New Roman" w:cs="Times New Roman"/>
          <w:bCs/>
        </w:rPr>
        <w:t xml:space="preserve">тся в устной форме. </w:t>
      </w:r>
      <w:r>
        <w:rPr>
          <w:rFonts w:ascii="Times New Roman" w:hAnsi="Times New Roman" w:cs="Times New Roman"/>
          <w:bCs/>
        </w:rPr>
        <w:t>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68022E" w:rsidRDefault="003718A0" w:rsidP="007F4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 w:rsidR="007D1340">
        <w:rPr>
          <w:rFonts w:ascii="Times New Roman" w:hAnsi="Times New Roman" w:cs="Times New Roman"/>
        </w:rPr>
        <w:br/>
      </w:r>
      <w:r w:rsidR="007D1340">
        <w:rPr>
          <w:rFonts w:ascii="Times New Roman" w:hAnsi="Times New Roman" w:cs="Times New Roman"/>
        </w:rPr>
        <w:br/>
        <w:t xml:space="preserve">Оценка «зачтено» ставится за связное </w:t>
      </w:r>
      <w:r w:rsidR="00CF2234">
        <w:rPr>
          <w:rFonts w:ascii="Times New Roman" w:hAnsi="Times New Roman" w:cs="Times New Roman"/>
        </w:rPr>
        <w:t xml:space="preserve">и математически корректное </w:t>
      </w:r>
      <w:r w:rsidR="007D1340">
        <w:rPr>
          <w:rFonts w:ascii="Times New Roman" w:hAnsi="Times New Roman" w:cs="Times New Roman"/>
        </w:rPr>
        <w:t>изложение материала доклада</w:t>
      </w:r>
      <w:r w:rsidR="00C26C54">
        <w:rPr>
          <w:rFonts w:ascii="Times New Roman" w:hAnsi="Times New Roman" w:cs="Times New Roman"/>
        </w:rPr>
        <w:t xml:space="preserve"> (при пересдаче –</w:t>
      </w:r>
      <w:r>
        <w:rPr>
          <w:rFonts w:ascii="Times New Roman" w:hAnsi="Times New Roman" w:cs="Times New Roman"/>
        </w:rPr>
        <w:t xml:space="preserve"> в письменной форме)</w:t>
      </w:r>
      <w:r w:rsidR="007D1340">
        <w:rPr>
          <w:rFonts w:ascii="Times New Roman" w:hAnsi="Times New Roman" w:cs="Times New Roman"/>
        </w:rPr>
        <w:t>, знание основных вопросов по каждой теме.</w:t>
      </w:r>
      <w:r w:rsidR="007D1340">
        <w:rPr>
          <w:rFonts w:ascii="Times New Roman" w:hAnsi="Times New Roman" w:cs="Times New Roman"/>
        </w:rPr>
        <w:br/>
      </w:r>
      <w:r w:rsidR="007D1340">
        <w:rPr>
          <w:rFonts w:ascii="Times New Roman" w:hAnsi="Times New Roman" w:cs="Times New Roman"/>
        </w:rPr>
        <w:br/>
        <w:t xml:space="preserve">Оценка «не зачтено» </w:t>
      </w:r>
      <w:r w:rsidR="007D1340" w:rsidRPr="0027369A">
        <w:rPr>
          <w:rFonts w:ascii="Times New Roman" w:hAnsi="Times New Roman" w:cs="Times New Roman"/>
        </w:rPr>
        <w:t>выставляется, если не выполн</w:t>
      </w:r>
      <w:r w:rsidR="007D1340">
        <w:rPr>
          <w:rFonts w:ascii="Times New Roman" w:hAnsi="Times New Roman" w:cs="Times New Roman"/>
        </w:rPr>
        <w:t>яется условие для получения оценки «зачтено</w:t>
      </w:r>
      <w:r w:rsidR="007D1340" w:rsidRPr="0027369A">
        <w:rPr>
          <w:rFonts w:ascii="Times New Roman" w:hAnsi="Times New Roman" w:cs="Times New Roman"/>
        </w:rPr>
        <w:t>».</w:t>
      </w:r>
    </w:p>
    <w:p w:rsidR="00E54074" w:rsidRDefault="00E54074"/>
    <w:p w:rsidR="00031761" w:rsidRDefault="00031761" w:rsidP="00031761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031761" w:rsidRDefault="00031761" w:rsidP="00031761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031761" w:rsidTr="0003176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761" w:rsidRDefault="0003176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031761" w:rsidRDefault="00031761" w:rsidP="00031761">
      <w:pPr>
        <w:rPr>
          <w:rFonts w:ascii="Times New Roman" w:eastAsia="Times New Roman" w:hAnsi="Times New Roman" w:cs="Times New Roman"/>
          <w:color w:val="000000"/>
        </w:rPr>
      </w:pPr>
    </w:p>
    <w:p w:rsidR="00031761" w:rsidRDefault="00031761">
      <w:bookmarkStart w:id="0" w:name="_GoBack"/>
      <w:bookmarkEnd w:id="0"/>
    </w:p>
    <w:p w:rsidR="00E54074" w:rsidRDefault="007D2395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E54074" w:rsidRDefault="00E54074"/>
    <w:p w:rsidR="00E81D25" w:rsidRDefault="00E81D25" w:rsidP="00E81D25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7F412B">
        <w:rPr>
          <w:rFonts w:ascii="Times New Roman" w:hAnsi="Times New Roman" w:cs="Times New Roman"/>
          <w:b/>
        </w:rPr>
        <w:t>Семестр 5</w:t>
      </w:r>
      <w:r w:rsidR="00E17D74">
        <w:rPr>
          <w:rFonts w:ascii="Times New Roman" w:hAnsi="Times New Roman" w:cs="Times New Roman"/>
          <w:b/>
        </w:rPr>
        <w:t>-8</w:t>
      </w:r>
    </w:p>
    <w:p w:rsidR="00E81D25" w:rsidRDefault="00E81D25" w:rsidP="00E81D25">
      <w:pPr>
        <w:rPr>
          <w:rFonts w:ascii="Times New Roman" w:hAnsi="Times New Roman" w:cs="Times New Roman"/>
          <w:b/>
        </w:rPr>
      </w:pPr>
    </w:p>
    <w:p w:rsidR="00E81D25" w:rsidRPr="00206996" w:rsidRDefault="00E81D25" w:rsidP="00E81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Темы </w:t>
      </w:r>
      <w:r w:rsidR="007F412B">
        <w:rPr>
          <w:rFonts w:ascii="Times New Roman" w:hAnsi="Times New Roman" w:cs="Times New Roman"/>
          <w:b/>
        </w:rPr>
        <w:t>докладов на семинаре</w:t>
      </w:r>
      <w:r w:rsidRPr="00206996">
        <w:rPr>
          <w:rFonts w:ascii="Times New Roman" w:hAnsi="Times New Roman" w:cs="Times New Roman"/>
        </w:rPr>
        <w:t>:</w:t>
      </w:r>
    </w:p>
    <w:p w:rsidR="00E81D25" w:rsidRPr="00206996" w:rsidRDefault="00E81D25" w:rsidP="00E81D25">
      <w:pPr>
        <w:rPr>
          <w:rFonts w:ascii="Times New Roman" w:hAnsi="Times New Roman" w:cs="Times New Roman"/>
        </w:rPr>
      </w:pP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Моделирование систем доказательств влечёт сводимость NP-пар. 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«Контрпример» к обратной импликации.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Интерполяционная NP-пара, достаточное условие эквивалентности канонической NP-паре.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Оптимальные полуалгоритмы и p-оптимальные системы (два доказательства).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Короткое доказательство принципа Дирихле в системах с правилом расширения</w:t>
      </w:r>
    </w:p>
    <w:p w:rsidR="00A65976" w:rsidRDefault="00A65976" w:rsidP="00A65976">
      <w:pPr>
        <w:pStyle w:val="ListParagraph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и в системе секущих плоскостей.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Эквивалентность разных систем Фреге.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 секущих плоскостей в системах Фреге.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системы секущих плоскостей.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метода резолюций (цейтинские формулы).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метода резолюций (принцип Дирихле).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Доказательство корректности метода резолюций и Res(2) в Res(2).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корректности метода резолюций в методе резолюций        (и системы секущих плоскостей в системе секущих плоскостей).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Нижняя оценка для полиномиального исчисления.</w:t>
      </w:r>
    </w:p>
    <w:p w:rsid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Верхние оценки на вывод цейтинских формул в полуалгебраических системах высокой степени и R(CP). </w:t>
      </w:r>
    </w:p>
    <w:p w:rsidR="00E81D25" w:rsidRPr="00A65976" w:rsidRDefault="00A65976" w:rsidP="00A65976">
      <w:pPr>
        <w:pStyle w:val="ListParagraph"/>
        <w:numPr>
          <w:ilvl w:val="0"/>
          <w:numId w:val="26"/>
        </w:numPr>
        <w:suppressAutoHyphens/>
        <w:spacing w:before="120" w:after="120" w:line="276" w:lineRule="auto"/>
        <w:contextualSpacing w:val="0"/>
        <w:jc w:val="both"/>
        <w:rPr>
          <w:rFonts w:ascii="Times New Roman" w:hAnsi="Times New Roman"/>
        </w:rPr>
      </w:pPr>
      <w:r w:rsidRPr="00A65976">
        <w:rPr>
          <w:rFonts w:ascii="Times New Roman" w:hAnsi="Times New Roman"/>
        </w:rPr>
        <w:t>Сведение нижней оценки для семантических систем, основанных на неравенствах, к оценке коммуникационной сложности.</w:t>
      </w:r>
    </w:p>
    <w:p w:rsidR="00E54074" w:rsidRDefault="007D2395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E54074" w:rsidRDefault="007D2395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54074" w:rsidRDefault="007D2395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54074" w:rsidRDefault="00E54074"/>
    <w:p w:rsidR="006B488C" w:rsidRDefault="008750AA" w:rsidP="006B488C">
      <w:r>
        <w:rPr>
          <w:rFonts w:ascii="Times New Roman" w:hAnsi="Times New Roman" w:cs="Times New Roman"/>
        </w:rPr>
        <w:t>К проведению семинаров</w:t>
      </w:r>
      <w:r w:rsidR="006B488C" w:rsidRPr="0027369A">
        <w:rPr>
          <w:rFonts w:ascii="Times New Roman" w:hAnsi="Times New Roman" w:cs="Times New Roman"/>
        </w:rPr>
        <w:t xml:space="preserve">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6B488C" w:rsidRDefault="006B488C"/>
    <w:p w:rsidR="00E54074" w:rsidRDefault="007D2395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E54074" w:rsidRDefault="00E54074"/>
    <w:p w:rsidR="00D835B9" w:rsidRPr="001E62F3" w:rsidRDefault="00D835B9" w:rsidP="00D835B9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D835B9" w:rsidRDefault="00D835B9"/>
    <w:p w:rsidR="00E54074" w:rsidRDefault="007D2395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E54074" w:rsidRDefault="007D2395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54074" w:rsidRDefault="00E54074"/>
    <w:p w:rsidR="00B1133F" w:rsidRDefault="00B1133F" w:rsidP="00B1133F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B1133F" w:rsidRDefault="00B1133F"/>
    <w:p w:rsidR="00E54074" w:rsidRDefault="007D2395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54074" w:rsidRDefault="00E54074"/>
    <w:p w:rsidR="002570BB" w:rsidRPr="001E62F3" w:rsidRDefault="002570BB" w:rsidP="002570B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:rsidR="002570BB" w:rsidRDefault="002570BB"/>
    <w:p w:rsidR="00E54074" w:rsidRDefault="007D2395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54074" w:rsidRDefault="00E54074"/>
    <w:p w:rsidR="002570BB" w:rsidRPr="001E62F3" w:rsidRDefault="002570BB" w:rsidP="002570B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2570BB" w:rsidRDefault="002570BB"/>
    <w:p w:rsidR="00E54074" w:rsidRDefault="007D2395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54074" w:rsidRDefault="00E54074"/>
    <w:p w:rsidR="002570BB" w:rsidRPr="001E62F3" w:rsidRDefault="002570BB" w:rsidP="002570BB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2570BB" w:rsidRDefault="002570BB"/>
    <w:p w:rsidR="00E54074" w:rsidRDefault="007D2395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54074" w:rsidRDefault="00E54074"/>
    <w:p w:rsidR="00FD0484" w:rsidRPr="001E62F3" w:rsidRDefault="00FD0484" w:rsidP="00FD0484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FD0484" w:rsidRDefault="00FD0484"/>
    <w:p w:rsidR="00E54074" w:rsidRDefault="007D2395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E54074" w:rsidRDefault="007D239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A92B33" w:rsidRDefault="00A92B33">
      <w:pPr>
        <w:rPr>
          <w:rFonts w:ascii="Times New Roman" w:hAnsi="Times New Roman" w:cs="Times New Roman"/>
          <w:b/>
          <w:lang w:val="en-US"/>
        </w:rPr>
      </w:pPr>
    </w:p>
    <w:p w:rsidR="005D0F06" w:rsidRDefault="005D0F06" w:rsidP="005D0F06">
      <w:pPr>
        <w:pStyle w:val="TextBody"/>
        <w:numPr>
          <w:ilvl w:val="0"/>
          <w:numId w:val="27"/>
        </w:numPr>
        <w:rPr>
          <w:rFonts w:ascii="Lucida Sans;Verdana;Arial;sans-" w:hAnsi="Lucida Sans;Verdana;Arial;sans-"/>
          <w:color w:val="000000"/>
        </w:rPr>
      </w:pPr>
      <w:r w:rsidRPr="004510A2">
        <w:rPr>
          <w:rFonts w:ascii="Lucida Sans;Verdana;Arial;sans-" w:hAnsi="Lucida Sans;Verdana;Arial;sans-"/>
          <w:color w:val="000000"/>
          <w:lang w:val="en-US"/>
        </w:rPr>
        <w:t xml:space="preserve">A. Urquhart. The complexity of propositional proofs. </w:t>
      </w:r>
      <w:r>
        <w:rPr>
          <w:rFonts w:ascii="Lucida Sans;Verdana;Arial;sans-" w:hAnsi="Lucida Sans;Verdana;Arial;sans-"/>
          <w:color w:val="000000"/>
        </w:rPr>
        <w:t>Доступно с http://www.math.ucla.edu/~asl/bsl/0104/0104-003.ps</w:t>
      </w:r>
    </w:p>
    <w:p w:rsidR="005D0F06" w:rsidRDefault="005D0F06" w:rsidP="005D0F06">
      <w:pPr>
        <w:pStyle w:val="TextBody"/>
        <w:numPr>
          <w:ilvl w:val="0"/>
          <w:numId w:val="27"/>
        </w:numPr>
        <w:rPr>
          <w:rFonts w:ascii="Lucida Sans;Verdana;Arial;sans-" w:hAnsi="Lucida Sans;Verdana;Arial;sans-"/>
          <w:color w:val="000000"/>
        </w:rPr>
      </w:pPr>
      <w:r w:rsidRPr="004510A2">
        <w:rPr>
          <w:rFonts w:ascii="Lucida Sans;Verdana;Arial;sans-" w:hAnsi="Lucida Sans;Verdana;Arial;sans-"/>
          <w:color w:val="000000"/>
          <w:lang w:val="en-US"/>
        </w:rPr>
        <w:t xml:space="preserve">P. Pudlak. On the complexity of propositional calculus. </w:t>
      </w:r>
      <w:r>
        <w:rPr>
          <w:rFonts w:ascii="Lucida Sans;Verdana;Arial;sans-" w:hAnsi="Lucida Sans;Verdana;Arial;sans-"/>
          <w:color w:val="000000"/>
        </w:rPr>
        <w:t>Доступно с http://www.math.cas.cz/~pudlak/oncompl.ps</w:t>
      </w:r>
    </w:p>
    <w:p w:rsidR="005D0F06" w:rsidRDefault="005D0F06" w:rsidP="005D0F06">
      <w:pPr>
        <w:rPr>
          <w:color w:val="000000"/>
        </w:rPr>
      </w:pPr>
    </w:p>
    <w:p w:rsidR="00E54074" w:rsidRPr="00DB28A5" w:rsidRDefault="007D2395" w:rsidP="00DB28A5">
      <w:pPr>
        <w:spacing w:after="120"/>
        <w:jc w:val="both"/>
        <w:rPr>
          <w:rFonts w:ascii="Times New Roman" w:hAnsi="Times New Roman" w:cs="Times New Roman"/>
          <w:b/>
        </w:rPr>
      </w:pPr>
      <w:r w:rsidRPr="00DB28A5">
        <w:rPr>
          <w:rFonts w:ascii="Times New Roman" w:hAnsi="Times New Roman" w:cs="Times New Roman"/>
          <w:b/>
        </w:rPr>
        <w:t>3.4.2</w:t>
      </w:r>
      <w:r w:rsidRPr="00DB28A5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115879" w:rsidRPr="00115879" w:rsidRDefault="00115879"/>
    <w:p w:rsidR="00E54074" w:rsidRDefault="007D2395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54074" w:rsidRDefault="00E54074"/>
    <w:p w:rsidR="005D0F06" w:rsidRPr="004510A2" w:rsidRDefault="005D0F06" w:rsidP="005D0F06">
      <w:pPr>
        <w:numPr>
          <w:ilvl w:val="0"/>
          <w:numId w:val="28"/>
        </w:numPr>
        <w:suppressAutoHyphens/>
        <w:rPr>
          <w:rFonts w:ascii="Times New Roman" w:hAnsi="Times New Roman"/>
          <w:lang w:val="en-US"/>
        </w:rPr>
      </w:pPr>
      <w:r w:rsidRPr="004510A2">
        <w:rPr>
          <w:rFonts w:ascii="Times New Roman" w:hAnsi="Times New Roman"/>
          <w:lang w:val="en-US"/>
        </w:rPr>
        <w:t>A. Atserias, M. L. Bonet. On the Automatizability of Resolution and Related Propositional Proof Systems, Information and Computation, 189(2), pages 182-201, 2004.</w:t>
      </w:r>
    </w:p>
    <w:p w:rsidR="005D0F06" w:rsidRPr="004510A2" w:rsidRDefault="005D0F06" w:rsidP="005D0F06">
      <w:pPr>
        <w:numPr>
          <w:ilvl w:val="0"/>
          <w:numId w:val="28"/>
        </w:numPr>
        <w:suppressAutoHyphens/>
        <w:rPr>
          <w:rFonts w:ascii="Times New Roman" w:hAnsi="Times New Roman"/>
        </w:rPr>
      </w:pPr>
      <w:r w:rsidRPr="004510A2">
        <w:rPr>
          <w:rFonts w:ascii="Times New Roman" w:hAnsi="Times New Roman"/>
          <w:lang w:val="en-US"/>
        </w:rPr>
        <w:t xml:space="preserve">P. Pudlák, Lower bounds for resolution and cutting planes proofs and monotone computations, J. of Symb. </w:t>
      </w:r>
      <w:r w:rsidRPr="004510A2">
        <w:rPr>
          <w:rFonts w:ascii="Times New Roman" w:hAnsi="Times New Roman"/>
        </w:rPr>
        <w:t>Logic 62(3), 1997, pp.981-998.</w:t>
      </w:r>
    </w:p>
    <w:p w:rsidR="005D0F06" w:rsidRPr="004510A2" w:rsidRDefault="005D0F06" w:rsidP="005D0F06">
      <w:pPr>
        <w:numPr>
          <w:ilvl w:val="0"/>
          <w:numId w:val="28"/>
        </w:numPr>
        <w:suppressAutoHyphens/>
        <w:rPr>
          <w:rFonts w:ascii="Times New Roman" w:hAnsi="Times New Roman"/>
        </w:rPr>
      </w:pPr>
      <w:r w:rsidRPr="004510A2">
        <w:rPr>
          <w:rFonts w:ascii="Times New Roman" w:hAnsi="Times New Roman"/>
          <w:lang w:val="en-US"/>
        </w:rPr>
        <w:t xml:space="preserve">A. Goerdt, Cutting Plane versus Frege proof systems, Proc. </w:t>
      </w:r>
      <w:r w:rsidRPr="004510A2">
        <w:rPr>
          <w:rFonts w:ascii="Times New Roman" w:hAnsi="Times New Roman"/>
        </w:rPr>
        <w:t>CSL'90, LNCS 533, 1990.</w:t>
      </w:r>
    </w:p>
    <w:p w:rsidR="005D0F06" w:rsidRPr="004510A2" w:rsidRDefault="005D0F06" w:rsidP="005D0F06">
      <w:pPr>
        <w:numPr>
          <w:ilvl w:val="0"/>
          <w:numId w:val="28"/>
        </w:numPr>
        <w:suppressAutoHyphens/>
        <w:rPr>
          <w:rFonts w:ascii="Times New Roman" w:hAnsi="Times New Roman"/>
        </w:rPr>
      </w:pPr>
      <w:r w:rsidRPr="004510A2">
        <w:rPr>
          <w:rFonts w:ascii="Times New Roman" w:hAnsi="Times New Roman"/>
          <w:lang w:val="en-US"/>
        </w:rPr>
        <w:t xml:space="preserve">E. Ben-Sasson, A. Wigderson, Short Proofs are Narrow - Resolution made Simple. </w:t>
      </w:r>
      <w:r w:rsidRPr="004510A2">
        <w:rPr>
          <w:rFonts w:ascii="Times New Roman" w:hAnsi="Times New Roman"/>
        </w:rPr>
        <w:t>Journal of the ACM 48(2), 2001.</w:t>
      </w:r>
    </w:p>
    <w:p w:rsidR="005D0F06" w:rsidRPr="004510A2" w:rsidRDefault="005D0F06" w:rsidP="005D0F06">
      <w:pPr>
        <w:rPr>
          <w:rFonts w:ascii="Times New Roman" w:hAnsi="Times New Roman"/>
        </w:rPr>
      </w:pPr>
    </w:p>
    <w:p w:rsidR="0029492A" w:rsidRDefault="0029492A"/>
    <w:p w:rsidR="00E54074" w:rsidRDefault="007D23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9F1E5D" w:rsidRDefault="009F1E5D"/>
    <w:p w:rsidR="005D0F06" w:rsidRPr="004510A2" w:rsidRDefault="005D0F06" w:rsidP="005D0F06">
      <w:pPr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Гирш Эдуард Алексеевич, доктор физ.-мат. наук, ведущий научный сотрудник ПОМИ РАН, </w:t>
      </w:r>
      <w:r>
        <w:rPr>
          <w:rFonts w:ascii="Times New Roman" w:hAnsi="Times New Roman"/>
          <w:shd w:val="clear" w:color="auto" w:fill="FFFFFF"/>
          <w:lang w:val="en-US"/>
        </w:rPr>
        <w:t>edward</w:t>
      </w:r>
      <w:r w:rsidRPr="004510A2"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>a</w:t>
      </w:r>
      <w:r w:rsidRPr="004510A2"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>hirsch</w:t>
      </w:r>
      <w:r>
        <w:rPr>
          <w:rFonts w:ascii="Times New Roman" w:hAnsi="Times New Roman"/>
          <w:shd w:val="clear" w:color="auto" w:fill="FFFFFF"/>
        </w:rPr>
        <w:t>@</w:t>
      </w:r>
      <w:r>
        <w:rPr>
          <w:rFonts w:ascii="Times New Roman" w:hAnsi="Times New Roman"/>
          <w:shd w:val="clear" w:color="auto" w:fill="FFFFFF"/>
          <w:lang w:val="en-US"/>
        </w:rPr>
        <w:t>gmail</w:t>
      </w:r>
      <w:r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>com</w:t>
      </w:r>
    </w:p>
    <w:p w:rsidR="005D0F06" w:rsidRDefault="005D0F06" w:rsidP="005D0F06"/>
    <w:p w:rsidR="00E54074" w:rsidRPr="00B5464E" w:rsidRDefault="00E54074" w:rsidP="009F1E5D"/>
    <w:sectPr w:rsidR="00E54074" w:rsidRPr="00B5464E" w:rsidSect="005C6140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7D7" w:rsidRDefault="00D747D7">
      <w:r>
        <w:separator/>
      </w:r>
    </w:p>
  </w:endnote>
  <w:endnote w:type="continuationSeparator" w:id="0">
    <w:p w:rsidR="00D747D7" w:rsidRDefault="00D7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ucida Sans;Verdana;Arial;sans-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7D7" w:rsidRDefault="00D747D7">
      <w:r>
        <w:separator/>
      </w:r>
    </w:p>
  </w:footnote>
  <w:footnote w:type="continuationSeparator" w:id="0">
    <w:p w:rsidR="00D747D7" w:rsidRDefault="00D74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40" w:rsidRDefault="005C61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140" w:rsidRDefault="005C614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5C6140" w:rsidRDefault="005C614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6140" w:rsidRDefault="005C61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5E6B"/>
    <w:multiLevelType w:val="hybridMultilevel"/>
    <w:tmpl w:val="9A00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33ED"/>
    <w:multiLevelType w:val="hybridMultilevel"/>
    <w:tmpl w:val="87E2639A"/>
    <w:lvl w:ilvl="0" w:tplc="A19438F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5106"/>
    <w:multiLevelType w:val="hybridMultilevel"/>
    <w:tmpl w:val="AC2A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04E9"/>
    <w:multiLevelType w:val="hybridMultilevel"/>
    <w:tmpl w:val="CF383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9491B"/>
    <w:multiLevelType w:val="hybridMultilevel"/>
    <w:tmpl w:val="11FC3CAC"/>
    <w:lvl w:ilvl="0" w:tplc="6550191E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E05A2"/>
    <w:multiLevelType w:val="multilevel"/>
    <w:tmpl w:val="8B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F455102"/>
    <w:multiLevelType w:val="hybridMultilevel"/>
    <w:tmpl w:val="2CAC4B84"/>
    <w:lvl w:ilvl="0" w:tplc="88F465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B71AE"/>
    <w:multiLevelType w:val="hybridMultilevel"/>
    <w:tmpl w:val="70141622"/>
    <w:lvl w:ilvl="0" w:tplc="06B6B0F6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31B0"/>
    <w:multiLevelType w:val="hybridMultilevel"/>
    <w:tmpl w:val="2AAEDC0C"/>
    <w:lvl w:ilvl="0" w:tplc="20362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31816"/>
    <w:multiLevelType w:val="hybridMultilevel"/>
    <w:tmpl w:val="276A52D6"/>
    <w:lvl w:ilvl="0" w:tplc="5D027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B710A3"/>
    <w:multiLevelType w:val="hybridMultilevel"/>
    <w:tmpl w:val="119C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2607A"/>
    <w:multiLevelType w:val="hybridMultilevel"/>
    <w:tmpl w:val="76A8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15759"/>
    <w:multiLevelType w:val="hybridMultilevel"/>
    <w:tmpl w:val="0F9AF8D8"/>
    <w:lvl w:ilvl="0" w:tplc="652839D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4099"/>
    <w:multiLevelType w:val="hybridMultilevel"/>
    <w:tmpl w:val="4544C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07F4C"/>
    <w:multiLevelType w:val="hybridMultilevel"/>
    <w:tmpl w:val="96D4BFDA"/>
    <w:lvl w:ilvl="0" w:tplc="7E32B6A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712CC"/>
    <w:multiLevelType w:val="hybridMultilevel"/>
    <w:tmpl w:val="7D6CFB98"/>
    <w:lvl w:ilvl="0" w:tplc="12D6FC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C6204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B398C"/>
    <w:multiLevelType w:val="hybridMultilevel"/>
    <w:tmpl w:val="02549152"/>
    <w:lvl w:ilvl="0" w:tplc="E39C60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A76C4"/>
    <w:multiLevelType w:val="multilevel"/>
    <w:tmpl w:val="04B4E2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1617BC"/>
    <w:multiLevelType w:val="hybridMultilevel"/>
    <w:tmpl w:val="40824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5658A"/>
    <w:multiLevelType w:val="hybridMultilevel"/>
    <w:tmpl w:val="8258D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56230"/>
    <w:multiLevelType w:val="hybridMultilevel"/>
    <w:tmpl w:val="AC2A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B46C1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B061B"/>
    <w:multiLevelType w:val="hybridMultilevel"/>
    <w:tmpl w:val="734A543A"/>
    <w:lvl w:ilvl="0" w:tplc="723866FE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515AA"/>
    <w:multiLevelType w:val="hybridMultilevel"/>
    <w:tmpl w:val="8A8A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56ACA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D60E0"/>
    <w:multiLevelType w:val="hybridMultilevel"/>
    <w:tmpl w:val="FDC64EFC"/>
    <w:lvl w:ilvl="0" w:tplc="694262D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D7F39"/>
    <w:multiLevelType w:val="multilevel"/>
    <w:tmpl w:val="FC4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8"/>
  </w:num>
  <w:num w:numId="2">
    <w:abstractNumId w:val="21"/>
  </w:num>
  <w:num w:numId="3">
    <w:abstractNumId w:val="9"/>
  </w:num>
  <w:num w:numId="4">
    <w:abstractNumId w:val="2"/>
  </w:num>
  <w:num w:numId="5">
    <w:abstractNumId w:val="1"/>
  </w:num>
  <w:num w:numId="6">
    <w:abstractNumId w:val="23"/>
  </w:num>
  <w:num w:numId="7">
    <w:abstractNumId w:val="7"/>
  </w:num>
  <w:num w:numId="8">
    <w:abstractNumId w:val="4"/>
  </w:num>
  <w:num w:numId="9">
    <w:abstractNumId w:val="14"/>
  </w:num>
  <w:num w:numId="10">
    <w:abstractNumId w:val="26"/>
  </w:num>
  <w:num w:numId="11">
    <w:abstractNumId w:val="12"/>
  </w:num>
  <w:num w:numId="12">
    <w:abstractNumId w:val="17"/>
  </w:num>
  <w:num w:numId="13">
    <w:abstractNumId w:val="20"/>
  </w:num>
  <w:num w:numId="14">
    <w:abstractNumId w:val="13"/>
  </w:num>
  <w:num w:numId="15">
    <w:abstractNumId w:val="10"/>
  </w:num>
  <w:num w:numId="16">
    <w:abstractNumId w:val="24"/>
  </w:num>
  <w:num w:numId="17">
    <w:abstractNumId w:val="3"/>
  </w:num>
  <w:num w:numId="18">
    <w:abstractNumId w:val="15"/>
  </w:num>
  <w:num w:numId="19">
    <w:abstractNumId w:val="0"/>
  </w:num>
  <w:num w:numId="20">
    <w:abstractNumId w:val="8"/>
  </w:num>
  <w:num w:numId="21">
    <w:abstractNumId w:val="11"/>
  </w:num>
  <w:num w:numId="22">
    <w:abstractNumId w:val="19"/>
  </w:num>
  <w:num w:numId="23">
    <w:abstractNumId w:val="6"/>
  </w:num>
  <w:num w:numId="24">
    <w:abstractNumId w:val="25"/>
  </w:num>
  <w:num w:numId="25">
    <w:abstractNumId w:val="22"/>
  </w:num>
  <w:num w:numId="26">
    <w:abstractNumId w:val="16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0101"/>
    <w:rsid w:val="00011555"/>
    <w:rsid w:val="000127DE"/>
    <w:rsid w:val="00015C84"/>
    <w:rsid w:val="00017B27"/>
    <w:rsid w:val="00020606"/>
    <w:rsid w:val="000207DE"/>
    <w:rsid w:val="0002654B"/>
    <w:rsid w:val="0003081E"/>
    <w:rsid w:val="00031761"/>
    <w:rsid w:val="00041CA2"/>
    <w:rsid w:val="000442EB"/>
    <w:rsid w:val="00090580"/>
    <w:rsid w:val="00093D5D"/>
    <w:rsid w:val="000D248F"/>
    <w:rsid w:val="000D7189"/>
    <w:rsid w:val="000D73AB"/>
    <w:rsid w:val="000F5A2E"/>
    <w:rsid w:val="00107020"/>
    <w:rsid w:val="0011385C"/>
    <w:rsid w:val="00115879"/>
    <w:rsid w:val="0011680C"/>
    <w:rsid w:val="0012775C"/>
    <w:rsid w:val="00131D30"/>
    <w:rsid w:val="001344C5"/>
    <w:rsid w:val="001368AE"/>
    <w:rsid w:val="00140A16"/>
    <w:rsid w:val="00141E5D"/>
    <w:rsid w:val="00143131"/>
    <w:rsid w:val="00152176"/>
    <w:rsid w:val="00167E45"/>
    <w:rsid w:val="00172FDC"/>
    <w:rsid w:val="0018156D"/>
    <w:rsid w:val="00182F93"/>
    <w:rsid w:val="00184BC4"/>
    <w:rsid w:val="001915A3"/>
    <w:rsid w:val="00191A0A"/>
    <w:rsid w:val="001D168A"/>
    <w:rsid w:val="001D5B3A"/>
    <w:rsid w:val="001E0795"/>
    <w:rsid w:val="001F1FF9"/>
    <w:rsid w:val="00217F62"/>
    <w:rsid w:val="00241786"/>
    <w:rsid w:val="00246656"/>
    <w:rsid w:val="00252AEC"/>
    <w:rsid w:val="002570BB"/>
    <w:rsid w:val="002571EE"/>
    <w:rsid w:val="002605EE"/>
    <w:rsid w:val="00260EDE"/>
    <w:rsid w:val="0029492A"/>
    <w:rsid w:val="002C7A59"/>
    <w:rsid w:val="002D2AA3"/>
    <w:rsid w:val="002F170B"/>
    <w:rsid w:val="00301F9F"/>
    <w:rsid w:val="003166FB"/>
    <w:rsid w:val="00324D2B"/>
    <w:rsid w:val="00327079"/>
    <w:rsid w:val="00330631"/>
    <w:rsid w:val="00333056"/>
    <w:rsid w:val="00350DD6"/>
    <w:rsid w:val="003718A0"/>
    <w:rsid w:val="00380B73"/>
    <w:rsid w:val="00383254"/>
    <w:rsid w:val="00384081"/>
    <w:rsid w:val="00385852"/>
    <w:rsid w:val="003A5847"/>
    <w:rsid w:val="003B34F2"/>
    <w:rsid w:val="003C0BE2"/>
    <w:rsid w:val="003C357A"/>
    <w:rsid w:val="003F0796"/>
    <w:rsid w:val="003F1AF9"/>
    <w:rsid w:val="003F69B2"/>
    <w:rsid w:val="00400904"/>
    <w:rsid w:val="00404610"/>
    <w:rsid w:val="00405910"/>
    <w:rsid w:val="00407B80"/>
    <w:rsid w:val="00414D49"/>
    <w:rsid w:val="0042225F"/>
    <w:rsid w:val="00423457"/>
    <w:rsid w:val="00427CFC"/>
    <w:rsid w:val="00432448"/>
    <w:rsid w:val="00463857"/>
    <w:rsid w:val="0047266A"/>
    <w:rsid w:val="00473B80"/>
    <w:rsid w:val="00473BC0"/>
    <w:rsid w:val="00482255"/>
    <w:rsid w:val="00485AAC"/>
    <w:rsid w:val="004B0E75"/>
    <w:rsid w:val="004C4209"/>
    <w:rsid w:val="004D3446"/>
    <w:rsid w:val="005247A3"/>
    <w:rsid w:val="00554456"/>
    <w:rsid w:val="00561D4E"/>
    <w:rsid w:val="00581883"/>
    <w:rsid w:val="00593CA2"/>
    <w:rsid w:val="00596DF9"/>
    <w:rsid w:val="005A09AE"/>
    <w:rsid w:val="005A267A"/>
    <w:rsid w:val="005A61D6"/>
    <w:rsid w:val="005B78FB"/>
    <w:rsid w:val="005C3B16"/>
    <w:rsid w:val="005C6140"/>
    <w:rsid w:val="005D0F06"/>
    <w:rsid w:val="005F240C"/>
    <w:rsid w:val="0061244D"/>
    <w:rsid w:val="00625C6D"/>
    <w:rsid w:val="0063647C"/>
    <w:rsid w:val="00640002"/>
    <w:rsid w:val="00642A2E"/>
    <w:rsid w:val="00647BD3"/>
    <w:rsid w:val="006619E9"/>
    <w:rsid w:val="00672E82"/>
    <w:rsid w:val="0068022E"/>
    <w:rsid w:val="006A5348"/>
    <w:rsid w:val="006B488C"/>
    <w:rsid w:val="006F1B84"/>
    <w:rsid w:val="006F23FC"/>
    <w:rsid w:val="0070431A"/>
    <w:rsid w:val="00706F6B"/>
    <w:rsid w:val="00736275"/>
    <w:rsid w:val="00737BF2"/>
    <w:rsid w:val="0075635B"/>
    <w:rsid w:val="00766270"/>
    <w:rsid w:val="00772076"/>
    <w:rsid w:val="00782BB5"/>
    <w:rsid w:val="00792718"/>
    <w:rsid w:val="00794786"/>
    <w:rsid w:val="007C2CD3"/>
    <w:rsid w:val="007D1340"/>
    <w:rsid w:val="007D2395"/>
    <w:rsid w:val="007E2C71"/>
    <w:rsid w:val="007E7F64"/>
    <w:rsid w:val="007F412B"/>
    <w:rsid w:val="0080485D"/>
    <w:rsid w:val="008110B1"/>
    <w:rsid w:val="0083168E"/>
    <w:rsid w:val="00834A82"/>
    <w:rsid w:val="008542D4"/>
    <w:rsid w:val="008555D3"/>
    <w:rsid w:val="00871B2B"/>
    <w:rsid w:val="0087367D"/>
    <w:rsid w:val="008750AA"/>
    <w:rsid w:val="00893822"/>
    <w:rsid w:val="00897B72"/>
    <w:rsid w:val="008A2FDC"/>
    <w:rsid w:val="008C15F0"/>
    <w:rsid w:val="008E3027"/>
    <w:rsid w:val="0090187A"/>
    <w:rsid w:val="009078DD"/>
    <w:rsid w:val="00920F51"/>
    <w:rsid w:val="009537DC"/>
    <w:rsid w:val="00975DF0"/>
    <w:rsid w:val="00993CE1"/>
    <w:rsid w:val="009E3879"/>
    <w:rsid w:val="009E5FFA"/>
    <w:rsid w:val="009F1E5D"/>
    <w:rsid w:val="00A10F8F"/>
    <w:rsid w:val="00A2307D"/>
    <w:rsid w:val="00A273A8"/>
    <w:rsid w:val="00A30847"/>
    <w:rsid w:val="00A343FA"/>
    <w:rsid w:val="00A42D33"/>
    <w:rsid w:val="00A56884"/>
    <w:rsid w:val="00A633DC"/>
    <w:rsid w:val="00A65976"/>
    <w:rsid w:val="00A70646"/>
    <w:rsid w:val="00A74496"/>
    <w:rsid w:val="00A80AEF"/>
    <w:rsid w:val="00A906D8"/>
    <w:rsid w:val="00A92B33"/>
    <w:rsid w:val="00AA61CA"/>
    <w:rsid w:val="00AA6CCB"/>
    <w:rsid w:val="00AB075D"/>
    <w:rsid w:val="00AB32D2"/>
    <w:rsid w:val="00AB5A74"/>
    <w:rsid w:val="00AC2B4B"/>
    <w:rsid w:val="00AC7C26"/>
    <w:rsid w:val="00AE3C26"/>
    <w:rsid w:val="00AF249C"/>
    <w:rsid w:val="00AF2835"/>
    <w:rsid w:val="00B0463C"/>
    <w:rsid w:val="00B1133F"/>
    <w:rsid w:val="00B31512"/>
    <w:rsid w:val="00B318C3"/>
    <w:rsid w:val="00B46EC7"/>
    <w:rsid w:val="00B51D5A"/>
    <w:rsid w:val="00B539D7"/>
    <w:rsid w:val="00B53EE0"/>
    <w:rsid w:val="00B5464E"/>
    <w:rsid w:val="00B6096B"/>
    <w:rsid w:val="00BF2769"/>
    <w:rsid w:val="00BF5679"/>
    <w:rsid w:val="00C26C54"/>
    <w:rsid w:val="00C377D6"/>
    <w:rsid w:val="00C43953"/>
    <w:rsid w:val="00C50550"/>
    <w:rsid w:val="00C55154"/>
    <w:rsid w:val="00C57F1F"/>
    <w:rsid w:val="00C6371F"/>
    <w:rsid w:val="00C713EE"/>
    <w:rsid w:val="00C92526"/>
    <w:rsid w:val="00CA1314"/>
    <w:rsid w:val="00CA1338"/>
    <w:rsid w:val="00CA318E"/>
    <w:rsid w:val="00CA3AFF"/>
    <w:rsid w:val="00CB3327"/>
    <w:rsid w:val="00CB539F"/>
    <w:rsid w:val="00CC6BAF"/>
    <w:rsid w:val="00CD76A5"/>
    <w:rsid w:val="00CE06CF"/>
    <w:rsid w:val="00CE15D3"/>
    <w:rsid w:val="00CF0F88"/>
    <w:rsid w:val="00CF2234"/>
    <w:rsid w:val="00D14AB3"/>
    <w:rsid w:val="00D32411"/>
    <w:rsid w:val="00D33D5E"/>
    <w:rsid w:val="00D45D96"/>
    <w:rsid w:val="00D60EBD"/>
    <w:rsid w:val="00D747D7"/>
    <w:rsid w:val="00D835B9"/>
    <w:rsid w:val="00D94A0B"/>
    <w:rsid w:val="00DB28A5"/>
    <w:rsid w:val="00DB48A6"/>
    <w:rsid w:val="00DD659A"/>
    <w:rsid w:val="00DF6089"/>
    <w:rsid w:val="00E0201C"/>
    <w:rsid w:val="00E17D74"/>
    <w:rsid w:val="00E54074"/>
    <w:rsid w:val="00E65635"/>
    <w:rsid w:val="00E71BB7"/>
    <w:rsid w:val="00E725E4"/>
    <w:rsid w:val="00E81D25"/>
    <w:rsid w:val="00E87A11"/>
    <w:rsid w:val="00EB4969"/>
    <w:rsid w:val="00EC25DC"/>
    <w:rsid w:val="00ED1B46"/>
    <w:rsid w:val="00ED3BCE"/>
    <w:rsid w:val="00ED50AB"/>
    <w:rsid w:val="00EE3C5F"/>
    <w:rsid w:val="00EF2030"/>
    <w:rsid w:val="00EF4717"/>
    <w:rsid w:val="00F071AE"/>
    <w:rsid w:val="00F10C74"/>
    <w:rsid w:val="00F1150F"/>
    <w:rsid w:val="00F1219B"/>
    <w:rsid w:val="00F33210"/>
    <w:rsid w:val="00F44146"/>
    <w:rsid w:val="00F46958"/>
    <w:rsid w:val="00F479E7"/>
    <w:rsid w:val="00F514A2"/>
    <w:rsid w:val="00F85E92"/>
    <w:rsid w:val="00F91A7E"/>
    <w:rsid w:val="00F93128"/>
    <w:rsid w:val="00FA06F1"/>
    <w:rsid w:val="00FB288D"/>
    <w:rsid w:val="00FB46D9"/>
    <w:rsid w:val="00FB656F"/>
    <w:rsid w:val="00FC5073"/>
    <w:rsid w:val="00FC693D"/>
    <w:rsid w:val="00FD0484"/>
    <w:rsid w:val="00FD54E7"/>
    <w:rsid w:val="00FE1F2D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51D98-E56B-4253-984D-5EAD5119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143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3D5E"/>
  </w:style>
  <w:style w:type="paragraph" w:customStyle="1" w:styleId="TextBody">
    <w:name w:val="Text Body"/>
    <w:basedOn w:val="Normal"/>
    <w:uiPriority w:val="99"/>
    <w:rsid w:val="005D0F06"/>
    <w:pPr>
      <w:suppressAutoHyphens/>
      <w:spacing w:after="140" w:line="288" w:lineRule="auto"/>
    </w:pPr>
    <w:rPr>
      <w:rFonts w:ascii="Calibri" w:eastAsia="Droid Sans Fallback" w:hAnsi="Calibri" w:cs="Times New Roman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12</cp:revision>
  <dcterms:created xsi:type="dcterms:W3CDTF">2016-11-30T13:48:00Z</dcterms:created>
  <dcterms:modified xsi:type="dcterms:W3CDTF">2020-09-26T14:07:00Z</dcterms:modified>
</cp:coreProperties>
</file>