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8A47E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B47BF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CC3949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13B14E1B" w14:textId="77777777" w:rsidTr="00900EA0">
        <w:tc>
          <w:tcPr>
            <w:tcW w:w="5387" w:type="dxa"/>
          </w:tcPr>
          <w:p w14:paraId="5DBE899F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1B28C60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69C02320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0B108454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140E0F25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7A67ADCB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833D27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23CDFD7A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1F1FC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D2106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899CD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13746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23E31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89566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83B5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9C89C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1C525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4BFF4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2E84F797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1B30C0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A07DF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CD2D9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1AAB3" w14:textId="3018D191" w:rsidR="00F56216" w:rsidRDefault="00F56216" w:rsidP="00F56216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</w:rPr>
      </w:pPr>
      <w:r w:rsidRPr="00F26043">
        <w:rPr>
          <w:rFonts w:ascii="TimesNewRomanPSMT" w:hAnsi="TimesNewRomanPSMT" w:cs="TimesNewRomanPSMT"/>
          <w:sz w:val="24"/>
          <w:szCs w:val="24"/>
        </w:rPr>
        <w:t xml:space="preserve">Производственная практика </w:t>
      </w:r>
      <w:r w:rsidR="0066340D" w:rsidRPr="0066340D">
        <w:rPr>
          <w:rFonts w:cs="TimesNewRomanPSMT"/>
          <w:sz w:val="24"/>
          <w:szCs w:val="24"/>
        </w:rPr>
        <w:t>1</w:t>
      </w:r>
      <w:r w:rsidR="00124095">
        <w:rPr>
          <w:rFonts w:ascii="TimesNewRomanPSMT" w:hAnsi="TimesNewRomanPSMT" w:cs="TimesNewRomanPSMT"/>
          <w:sz w:val="24"/>
          <w:szCs w:val="24"/>
        </w:rPr>
        <w:br/>
      </w:r>
      <w:r w:rsidR="00351567">
        <w:rPr>
          <w:rFonts w:ascii="TimesNewRomanPSMT" w:hAnsi="TimesNewRomanPSMT" w:cs="TimesNewRomanPSMT"/>
          <w:sz w:val="24"/>
          <w:szCs w:val="24"/>
        </w:rPr>
        <w:t>(НИР</w:t>
      </w:r>
      <w:r w:rsidRPr="00F26043">
        <w:rPr>
          <w:rFonts w:ascii="TimesNewRomanPSMT" w:hAnsi="TimesNewRomanPSMT" w:cs="TimesNewRomanPSMT"/>
          <w:sz w:val="24"/>
          <w:szCs w:val="24"/>
        </w:rPr>
        <w:t>)</w:t>
      </w:r>
    </w:p>
    <w:p w14:paraId="50EE3CAA" w14:textId="77777777" w:rsidR="00F56216" w:rsidRPr="00F26043" w:rsidRDefault="00F56216" w:rsidP="00F56216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</w:rPr>
      </w:pPr>
    </w:p>
    <w:p w14:paraId="5E9A22F8" w14:textId="77777777" w:rsidR="00F56216" w:rsidRPr="00124095" w:rsidRDefault="00F56216" w:rsidP="00F56216">
      <w:pPr>
        <w:jc w:val="center"/>
        <w:rPr>
          <w:sz w:val="20"/>
          <w:szCs w:val="20"/>
          <w:lang w:val="en-US"/>
        </w:rPr>
      </w:pPr>
      <w:r w:rsidRPr="00124095">
        <w:rPr>
          <w:rFonts w:ascii="TimesNewRomanPSMT" w:hAnsi="TimesNewRomanPSMT" w:cs="TimesNewRomanPSMT"/>
          <w:sz w:val="24"/>
          <w:szCs w:val="24"/>
          <w:lang w:val="en-US"/>
        </w:rPr>
        <w:t>Internship (Research Project)</w:t>
      </w:r>
    </w:p>
    <w:p w14:paraId="5A3C5C6F" w14:textId="77777777" w:rsidR="003B335F" w:rsidRPr="00124095" w:rsidRDefault="003B335F" w:rsidP="005B5B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2EE15" w14:textId="77777777" w:rsidR="003B335F" w:rsidRPr="00124095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95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63647AB6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C48537" w14:textId="77777777" w:rsidR="003B335F" w:rsidRPr="00124095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75471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AF3524" w14:textId="77777777" w:rsidR="00C471E2" w:rsidRPr="00124095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Язык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32F11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B96617F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27208D" w14:textId="77777777" w:rsidR="00F56216" w:rsidRPr="00B32F11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F188BC7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7BB720DD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3B74BABE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082CD9A0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3BA5975B" w14:textId="77777777" w:rsidR="00C471E2" w:rsidRPr="00B32F11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B32F11">
        <w:rPr>
          <w:rFonts w:ascii="Times New Roman" w:hAnsi="Times New Roman" w:cs="Times New Roman"/>
          <w:sz w:val="24"/>
          <w:szCs w:val="24"/>
        </w:rPr>
        <w:t xml:space="preserve"> _</w:t>
      </w:r>
      <w:r w:rsidR="0066340D" w:rsidRPr="0066340D">
        <w:rPr>
          <w:rFonts w:ascii="Times New Roman" w:hAnsi="Times New Roman" w:cs="Times New Roman"/>
          <w:sz w:val="24"/>
          <w:szCs w:val="24"/>
        </w:rPr>
        <w:t>14</w:t>
      </w:r>
      <w:r w:rsidR="003B335F" w:rsidRPr="00B32F11">
        <w:rPr>
          <w:rFonts w:ascii="Times New Roman" w:hAnsi="Times New Roman" w:cs="Times New Roman"/>
          <w:sz w:val="24"/>
          <w:szCs w:val="24"/>
        </w:rPr>
        <w:t>_____</w:t>
      </w:r>
    </w:p>
    <w:p w14:paraId="5AAC5BCB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214A5D81" w14:textId="77777777" w:rsidR="00C471E2" w:rsidRPr="002A3FF5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2A3FF5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66340D" w:rsidRPr="002A3FF5">
        <w:rPr>
          <w:rFonts w:ascii="Times New Roman" w:hAnsi="Times New Roman" w:cs="Times New Roman"/>
        </w:rPr>
        <w:t>064883</w:t>
      </w:r>
    </w:p>
    <w:p w14:paraId="3CF1E0C6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648EDA3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56D15AA8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388FD412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00C785BE" w14:textId="77777777" w:rsidR="00D353FF" w:rsidRPr="00913049" w:rsidRDefault="0066340D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049">
        <w:rPr>
          <w:rFonts w:ascii="Times New Roman" w:hAnsi="Times New Roman" w:cs="Times New Roman"/>
          <w:sz w:val="24"/>
          <w:szCs w:val="24"/>
        </w:rPr>
        <w:t>2020</w:t>
      </w:r>
    </w:p>
    <w:p w14:paraId="01627D47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3A6CC990" w14:textId="77777777" w:rsidR="00D13C21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7A7D6433" w14:textId="77777777" w:rsidR="00124095" w:rsidRPr="00124095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79E3AD" w14:textId="43212FDA" w:rsidR="00F56216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Производственная практика </w:t>
      </w:r>
      <w:r w:rsidR="0066340D" w:rsidRPr="00F26043">
        <w:rPr>
          <w:rFonts w:ascii="TimesNewRomanPSMT" w:hAnsi="TimesNewRomanPSMT" w:cs="TimesNewRomanPSMT"/>
          <w:sz w:val="24"/>
          <w:szCs w:val="24"/>
        </w:rPr>
        <w:t>(научно-исследовательская работа)</w:t>
      </w:r>
      <w:r w:rsidR="0066340D" w:rsidRPr="0066340D">
        <w:rPr>
          <w:rFonts w:cs="TimesNewRomanPSMT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представляет собой комплекс знаний умений и навыков, позволяющих сформировать компетенции, необходимые для подготовки обучающегося к будущей самостоятельной работе по</w:t>
      </w:r>
      <w:r w:rsidR="008B135B">
        <w:rPr>
          <w:rFonts w:ascii="Times New Roman" w:hAnsi="Times New Roman" w:cs="Times New Roman"/>
          <w:sz w:val="24"/>
          <w:szCs w:val="24"/>
        </w:rPr>
        <w:t>с</w:t>
      </w:r>
      <w:r w:rsidRPr="00124095">
        <w:rPr>
          <w:rFonts w:ascii="Times New Roman" w:hAnsi="Times New Roman" w:cs="Times New Roman"/>
          <w:sz w:val="24"/>
          <w:szCs w:val="24"/>
        </w:rPr>
        <w:t>ле окончания обучения.</w:t>
      </w:r>
    </w:p>
    <w:p w14:paraId="5A203418" w14:textId="77777777" w:rsidR="00124095" w:rsidRPr="00124095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4CA2071" w14:textId="6B35A718" w:rsidR="009C303F" w:rsidRPr="009C303F" w:rsidRDefault="009C303F" w:rsidP="009C303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303F">
        <w:rPr>
          <w:rFonts w:ascii="TimesNewRomanPSMT" w:hAnsi="TimesNewRomanPSMT" w:cs="TimesNewRomanPSMT"/>
          <w:sz w:val="24"/>
          <w:szCs w:val="24"/>
          <w:lang w:val="en-US"/>
        </w:rPr>
        <w:t xml:space="preserve">Internship (Research Project) </w:t>
      </w:r>
      <w:r w:rsidRPr="009C30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 and skills that allow the students to form the competencies necessary to prepare for future independent work in the field after graduation.</w:t>
      </w:r>
    </w:p>
    <w:p w14:paraId="39CAFA0F" w14:textId="77777777" w:rsidR="0029345A" w:rsidRPr="00124095" w:rsidRDefault="0029345A" w:rsidP="001240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7D616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6B0CCC27" w14:textId="77777777" w:rsidR="00880F15" w:rsidRPr="00124095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0DCEA" w14:textId="77777777" w:rsidR="005B24C3" w:rsidRPr="00124095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7FACF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DD66E" w14:textId="77777777" w:rsid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Calibri" w:hAnsi="Calibri" w:cs="Calibri"/>
          <w:sz w:val="24"/>
          <w:szCs w:val="24"/>
        </w:rPr>
        <w:t>‒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40A7FDEC" w14:textId="77777777" w:rsidR="00F56216" w:rsidRP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7C516E9" w14:textId="77777777" w:rsidR="00F56216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2F0CA9C2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4B66" w14:textId="77777777" w:rsidR="00124095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2E4C51" w14:textId="77777777" w:rsidR="00C3424E" w:rsidRPr="00124095" w:rsidRDefault="00F5621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Учебная       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   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   </w:t>
      </w:r>
      <w:r w:rsidR="00124095">
        <w:rPr>
          <w:rFonts w:ascii="Times New Roman" w:hAnsi="Times New Roman" w:cs="Times New Roman"/>
          <w:sz w:val="24"/>
          <w:szCs w:val="24"/>
        </w:rPr>
        <w:t xml:space="preserve">    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Times New Roman" w:hAnsi="Times New Roman" w:cs="Times New Roman"/>
          <w:sz w:val="24"/>
          <w:szCs w:val="24"/>
        </w:rPr>
        <w:t xml:space="preserve">  </w:t>
      </w: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 Производственная </w:t>
      </w:r>
    </w:p>
    <w:p w14:paraId="1532851D" w14:textId="77777777" w:rsidR="00C3424E" w:rsidRPr="00124095" w:rsidRDefault="0066340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 Научно-исследовательская практика      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F1F3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C3424E" w:rsidRPr="00124095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95A2A" w14:textId="77777777" w:rsidR="002F075C" w:rsidRPr="00124095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2374D2AE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31362" w14:textId="77777777" w:rsidR="005B24C3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7DCB7CF3" w14:textId="77777777" w:rsidR="00F426FB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02857B21" w14:textId="77777777" w:rsidR="005B24C3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55D15669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124095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5AECE78A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4D7B9178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124095">
        <w:rPr>
          <w:rFonts w:ascii="Times New Roman" w:hAnsi="Times New Roman" w:cs="Times New Roman"/>
          <w:sz w:val="24"/>
          <w:szCs w:val="24"/>
        </w:rPr>
        <w:t>групп</w:t>
      </w:r>
      <w:r w:rsidR="00C3424E" w:rsidRPr="00124095">
        <w:rPr>
          <w:rFonts w:ascii="Times New Roman" w:hAnsi="Times New Roman" w:cs="Times New Roman"/>
          <w:sz w:val="24"/>
          <w:szCs w:val="24"/>
        </w:rPr>
        <w:t>е</w:t>
      </w:r>
    </w:p>
    <w:p w14:paraId="1888777F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D00E1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F784FC" w14:textId="77777777" w:rsidR="00BC126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124095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4AB5C22A" w14:textId="77777777" w:rsidR="00BC1260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124095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39E6A099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BD12A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5D843251" w14:textId="77777777" w:rsidR="00F426FB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124095">
        <w:rPr>
          <w:rFonts w:ascii="Times New Roman" w:hAnsi="Times New Roman" w:cs="Times New Roman"/>
          <w:sz w:val="24"/>
          <w:szCs w:val="24"/>
        </w:rPr>
        <w:t>:</w:t>
      </w:r>
    </w:p>
    <w:p w14:paraId="338B2325" w14:textId="77777777" w:rsidR="008F051A" w:rsidRPr="00124095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>
        <w:rPr>
          <w:rFonts w:ascii="Times New Roman" w:hAnsi="Times New Roman" w:cs="Times New Roman"/>
          <w:sz w:val="24"/>
          <w:szCs w:val="24"/>
        </w:rPr>
        <w:t>К</w:t>
      </w:r>
      <w:r w:rsidR="008F051A" w:rsidRPr="00124095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124095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7BD0147C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</w:t>
      </w:r>
      <w:r w:rsidRPr="00124095">
        <w:rPr>
          <w:rFonts w:ascii="Times New Roman" w:hAnsi="Times New Roman" w:cs="Times New Roman"/>
          <w:sz w:val="24"/>
          <w:szCs w:val="24"/>
        </w:rPr>
        <w:t>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ED546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6638E4ED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lastRenderedPageBreak/>
        <w:t>□ Научный парк СПбГУ</w:t>
      </w:r>
    </w:p>
    <w:p w14:paraId="2FB333BC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08D492C2" w14:textId="77777777" w:rsidR="00F426FB" w:rsidRPr="00124095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5E0EDFB0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______</w:t>
      </w:r>
      <w:r w:rsidR="00BC1260" w:rsidRPr="00124095">
        <w:rPr>
          <w:rFonts w:ascii="Times New Roman" w:hAnsi="Times New Roman" w:cs="Times New Roman"/>
          <w:sz w:val="24"/>
          <w:szCs w:val="24"/>
        </w:rPr>
        <w:t>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83A27" w14:textId="77777777" w:rsidR="00F426FB" w:rsidRPr="00124095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7FCBD47D" w14:textId="77777777" w:rsidR="00800230" w:rsidRPr="00124095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49A3B605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ACC56" w14:textId="77777777" w:rsidR="002933BF" w:rsidRPr="00124095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DD602" w14:textId="77777777" w:rsidR="00E446E1" w:rsidRPr="00124095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124095">
        <w:rPr>
          <w:rFonts w:ascii="Times New Roman" w:hAnsi="Times New Roman" w:cs="Times New Roman"/>
          <w:sz w:val="24"/>
          <w:szCs w:val="24"/>
        </w:rPr>
        <w:t>: _</w:t>
      </w:r>
      <w:r w:rsidR="00EF178C" w:rsidRPr="00124095">
        <w:rPr>
          <w:rFonts w:ascii="Times New Roman" w:hAnsi="Times New Roman" w:cs="Times New Roman"/>
          <w:sz w:val="24"/>
          <w:szCs w:val="24"/>
        </w:rPr>
        <w:t>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4697F19A" w14:textId="77777777" w:rsidR="006F1F36" w:rsidRPr="00124095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124095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124095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4E1C89EB" w14:textId="77777777" w:rsidR="001D47CF" w:rsidRPr="00124095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124095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124095">
        <w:rPr>
          <w:rFonts w:ascii="Times New Roman" w:hAnsi="Times New Roman" w:cs="Times New Roman"/>
          <w:sz w:val="24"/>
          <w:szCs w:val="24"/>
        </w:rPr>
        <w:t>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37E3E892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DE79B" w14:textId="77777777" w:rsidR="00124095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568AF27C" w14:textId="77777777" w:rsidR="00EF178C" w:rsidRPr="00124095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124095">
        <w:rPr>
          <w:rFonts w:ascii="Times New Roman" w:hAnsi="Times New Roman" w:cs="Times New Roman"/>
          <w:sz w:val="24"/>
          <w:szCs w:val="24"/>
        </w:rPr>
        <w:t>)</w:t>
      </w:r>
    </w:p>
    <w:p w14:paraId="2B855C56" w14:textId="77777777" w:rsidR="00EF178C" w:rsidRPr="00124095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124095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124095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36340830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AF514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8B95C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55BBE7FF" w14:textId="77777777" w:rsidR="0060135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60135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124095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24BFF8DB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3BAAD84" w14:textId="77777777" w:rsidR="00F426FB" w:rsidRPr="00124095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124095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9F977D" w14:textId="77777777" w:rsidR="009F21FA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14:paraId="14837E0A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70121" w14:textId="77777777" w:rsidR="00800230" w:rsidRPr="00124095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124095">
        <w:rPr>
          <w:rFonts w:ascii="Times New Roman" w:hAnsi="Times New Roman" w:cs="Times New Roman"/>
          <w:b/>
          <w:sz w:val="24"/>
          <w:szCs w:val="24"/>
        </w:rPr>
        <w:t>5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124095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3D430B02" w14:textId="77777777" w:rsidR="008703B6" w:rsidRPr="00124095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124095">
        <w:rPr>
          <w:rFonts w:ascii="Times New Roman" w:hAnsi="Times New Roman" w:cs="Times New Roman"/>
          <w:sz w:val="24"/>
          <w:szCs w:val="24"/>
        </w:rPr>
        <w:t>Н</w:t>
      </w:r>
      <w:r w:rsidR="004A0165" w:rsidRPr="00124095">
        <w:rPr>
          <w:rFonts w:ascii="Times New Roman" w:hAnsi="Times New Roman" w:cs="Times New Roman"/>
          <w:sz w:val="24"/>
          <w:szCs w:val="24"/>
        </w:rPr>
        <w:t>ет</w:t>
      </w:r>
      <w:r w:rsidR="004A0165" w:rsidRPr="00124095">
        <w:rPr>
          <w:rFonts w:ascii="Times New Roman" w:hAnsi="Times New Roman" w:cs="Times New Roman"/>
          <w:i/>
          <w:sz w:val="24"/>
          <w:szCs w:val="24"/>
        </w:rPr>
        <w:t>__</w:t>
      </w: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124095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500A1229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77ED8" w14:textId="77777777" w:rsidR="00880F15" w:rsidRPr="00124095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124095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7679F709" w14:textId="77777777" w:rsidR="00FC495C" w:rsidRPr="00124095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124095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40071AEA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06C94" w14:textId="77777777" w:rsidR="00880F15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6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1240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3F3854B" w14:textId="00A4C0D5" w:rsidR="00D8773E" w:rsidRPr="00124095" w:rsidRDefault="000D6EB6" w:rsidP="00B24AFA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04D5E6C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124095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532C1659" w14:textId="77777777" w:rsidR="000D6EB6" w:rsidRPr="00124095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5D62284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19AF09E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6B1A9C0E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1C270" w14:textId="77777777" w:rsidR="00D13C21" w:rsidRPr="00124095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7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4DED3E8B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853E14" w14:textId="77777777" w:rsidR="00F6759D" w:rsidRPr="00124095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0FAB481B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F9E82F" w14:textId="77777777" w:rsidR="00D13C21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664D2BA3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00E1" w14:textId="77777777" w:rsidR="00F6759D" w:rsidRPr="00124095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124095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647E8A75" w14:textId="77777777" w:rsidR="005A3E9E" w:rsidRPr="00124095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298B9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43F9D277" w14:textId="77777777" w:rsidR="00880F15" w:rsidRPr="00124095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BF03A" w14:textId="77777777" w:rsidR="00F94F76" w:rsidRPr="00124095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0BC878" w14:textId="77777777" w:rsidR="00D76C18" w:rsidRPr="00124095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1696EA" w14:textId="77777777" w:rsidR="00EC1E79" w:rsidRPr="00124095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8311A" w14:textId="31B401D6" w:rsidR="0029345A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B73686" w14:textId="77777777" w:rsidR="00351567" w:rsidRPr="00124095" w:rsidRDefault="0035156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07EB9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A6C9A" w14:textId="77777777" w:rsidR="00AB5F00" w:rsidRPr="00124095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124095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124095" w14:paraId="79141DC1" w14:textId="77777777" w:rsidTr="00124095">
        <w:tc>
          <w:tcPr>
            <w:tcW w:w="4528" w:type="dxa"/>
            <w:vAlign w:val="center"/>
          </w:tcPr>
          <w:p w14:paraId="02E53148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2DA048C3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124095" w14:paraId="7E7A1475" w14:textId="77777777" w:rsidTr="00124095">
        <w:tc>
          <w:tcPr>
            <w:tcW w:w="4528" w:type="dxa"/>
            <w:vAlign w:val="center"/>
          </w:tcPr>
          <w:p w14:paraId="13C67FCF" w14:textId="77777777" w:rsidR="00F57520" w:rsidRPr="00124095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4121E411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4C373F09" w14:textId="77777777" w:rsidR="00AB5F00" w:rsidRPr="00B25CF6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5CF6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B25C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B5F00" w:rsidRPr="00124095" w14:paraId="60931D70" w14:textId="77777777" w:rsidTr="00124095">
        <w:tc>
          <w:tcPr>
            <w:tcW w:w="4528" w:type="dxa"/>
            <w:vAlign w:val="center"/>
          </w:tcPr>
          <w:p w14:paraId="2C6FC4B1" w14:textId="21043396" w:rsidR="00EC1E79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393BB784" w14:textId="42FC1B5E" w:rsidR="00351567" w:rsidRDefault="00351567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CB2CBE0" w14:textId="52442B56" w:rsidR="00351567" w:rsidRDefault="00351567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C3F6FB7" w14:textId="48AD816B" w:rsidR="00351567" w:rsidRDefault="00351567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34AB9B7" w14:textId="77777777" w:rsidR="00351567" w:rsidRPr="00124095" w:rsidRDefault="00351567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6D97B43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419CC9B6" w14:textId="029009DA" w:rsidR="00AB5F00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CF6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14:paraId="6AD6B2A8" w14:textId="77777777" w:rsidR="00B25CF6" w:rsidRPr="00B25CF6" w:rsidRDefault="00B25CF6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AA5AF" w14:textId="36F324F5" w:rsidR="00351567" w:rsidRPr="00B25CF6" w:rsidRDefault="00351567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CF6">
              <w:rPr>
                <w:rFonts w:ascii="Times New Roman" w:hAnsi="Times New Roman" w:cs="Times New Roman"/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</w:tc>
      </w:tr>
    </w:tbl>
    <w:p w14:paraId="06DD3D10" w14:textId="77777777" w:rsidR="00DC0E8C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C4D73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42F48" w14:textId="77777777" w:rsidR="00C471E2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7A86DCC2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22CFE535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8D6EE" w14:textId="77777777" w:rsidR="00C471E2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124095">
        <w:rPr>
          <w:rFonts w:ascii="Times New Roman" w:hAnsi="Times New Roman" w:cs="Times New Roman"/>
          <w:sz w:val="24"/>
          <w:szCs w:val="24"/>
        </w:rPr>
        <w:t>бъ</w:t>
      </w:r>
      <w:r w:rsidR="006F52AD" w:rsidRPr="00124095">
        <w:rPr>
          <w:rFonts w:ascii="Times New Roman" w:hAnsi="Times New Roman" w:cs="Times New Roman"/>
          <w:sz w:val="24"/>
          <w:szCs w:val="24"/>
        </w:rPr>
        <w:t>е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124095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124095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E7A368A" w14:textId="77777777" w:rsidR="00F90CD7" w:rsidRPr="00124095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8B09F3" w14:textId="090C2218" w:rsidR="00674730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124095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124095">
        <w:rPr>
          <w:rFonts w:ascii="Times New Roman" w:hAnsi="Times New Roman" w:cs="Times New Roman"/>
          <w:sz w:val="24"/>
          <w:szCs w:val="24"/>
        </w:rPr>
        <w:t>о</w:t>
      </w:r>
      <w:r w:rsidR="00674730" w:rsidRPr="00124095">
        <w:rPr>
          <w:rFonts w:ascii="Times New Roman" w:hAnsi="Times New Roman" w:cs="Times New Roman"/>
          <w:sz w:val="24"/>
          <w:szCs w:val="24"/>
        </w:rPr>
        <w:t>м план</w:t>
      </w:r>
      <w:r w:rsidRPr="00124095">
        <w:rPr>
          <w:rFonts w:ascii="Times New Roman" w:hAnsi="Times New Roman" w:cs="Times New Roman"/>
          <w:sz w:val="24"/>
          <w:szCs w:val="24"/>
        </w:rPr>
        <w:t>е</w:t>
      </w:r>
      <w:r w:rsidR="002933BF" w:rsidRPr="00124095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184B149" w14:textId="4A920AB2" w:rsidR="00DC59CD" w:rsidRDefault="00DC59CD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12BF3" w14:textId="2AEFE896" w:rsidR="00DC59CD" w:rsidRDefault="00DC59CD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73" w14:textId="71982C52" w:rsidR="00DC59CD" w:rsidRDefault="00DC59CD" w:rsidP="00DC59CD"/>
    <w:p w14:paraId="75E93ECC" w14:textId="101AFF70" w:rsidR="00DC59CD" w:rsidRDefault="00DC59CD" w:rsidP="00DC59CD"/>
    <w:p w14:paraId="76C631BE" w14:textId="77777777" w:rsidR="00DC59CD" w:rsidRDefault="00DC59CD" w:rsidP="00DC59CD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C59CD" w:rsidRPr="003D4BF9" w14:paraId="592B3620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F9FE" w14:textId="77777777" w:rsidR="00DC59CD" w:rsidRPr="003D4BF9" w:rsidRDefault="00DC59CD" w:rsidP="00710296">
            <w:pPr>
              <w:jc w:val="center"/>
            </w:pPr>
            <w:r w:rsidRPr="003D4BF9">
              <w:lastRenderedPageBreak/>
              <w:t xml:space="preserve">Трудоёмкость, объёмы учебной работы и наполняемость групп обучающихся </w:t>
            </w:r>
          </w:p>
        </w:tc>
      </w:tr>
      <w:tr w:rsidR="00DC59CD" w:rsidRPr="003D4BF9" w14:paraId="20280A41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C853F2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549617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2C6041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757188" w14:textId="77777777" w:rsidR="00DC59CD" w:rsidRPr="003D4BF9" w:rsidRDefault="00DC59CD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491590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7114D97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DDA70D9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DC59CD" w:rsidRPr="003D4BF9" w14:paraId="5799EC24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15C9" w14:textId="77777777" w:rsidR="00DC59CD" w:rsidRPr="003D4BF9" w:rsidRDefault="00DC59CD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36A66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99690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DDA59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8E6EC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3BEDE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239B0D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003F87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91F6FB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BCEC5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C310A1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61E0A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F463A5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9FB03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0A392BB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4FDD2F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E520A6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227292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799224F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7D47" w14:textId="77777777" w:rsidR="00DC59CD" w:rsidRPr="003D4BF9" w:rsidRDefault="00DC59CD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0881" w14:textId="77777777" w:rsidR="00DC59CD" w:rsidRPr="003D4BF9" w:rsidRDefault="00DC59CD" w:rsidP="00710296">
            <w:pPr>
              <w:rPr>
                <w:sz w:val="16"/>
                <w:szCs w:val="16"/>
              </w:rPr>
            </w:pPr>
          </w:p>
        </w:tc>
      </w:tr>
      <w:tr w:rsidR="00DC59CD" w:rsidRPr="003D4BF9" w14:paraId="28A4524F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1285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DC59CD" w:rsidRPr="003D4BF9" w14:paraId="7FE56A0F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59F2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DC59CD" w:rsidRPr="003D4BF9" w14:paraId="2CE09295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B6CA" w14:textId="118F2CFB" w:rsidR="00DC59CD" w:rsidRPr="003D4BF9" w:rsidRDefault="00DC59CD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B283F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A997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DE23F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D3CEF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7A9EA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E510B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077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211A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C15D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E178A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A0BCF" w14:textId="42F19BE3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3D5A6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805CA" w14:textId="4869B839" w:rsidR="00DC59CD" w:rsidRPr="00330C16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2F0F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34B16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4618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96B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3D4BF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C613" w14:textId="61D635C8" w:rsidR="00DC59CD" w:rsidRPr="00B850F4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DC59CD" w:rsidRPr="003D4BF9" w14:paraId="5C1D0F17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2323" w14:textId="77777777" w:rsidR="00DC59CD" w:rsidRPr="003D4BF9" w:rsidRDefault="00DC59CD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4DAB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798FD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4FB14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0E795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13D9C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55487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88421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1AB99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0DC9B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FFDA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303FF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D1125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7AB8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C5A3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EF48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8EB56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36E8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351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DC59CD" w:rsidRPr="003D4BF9" w14:paraId="7F612B18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C27D" w14:textId="77777777" w:rsidR="00DC59CD" w:rsidRPr="003D4BF9" w:rsidRDefault="00DC59CD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A2D25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2C852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BD08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88C2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D2E2E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15AED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A032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B1FA" w14:textId="77777777" w:rsidR="00DC59CD" w:rsidRPr="006F4BE6" w:rsidRDefault="00DC59CD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68503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9789D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058B" w14:textId="013B1D49" w:rsidR="00DC59CD" w:rsidRPr="003D4BF9" w:rsidRDefault="00DC59CD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24530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53C45" w14:textId="67AA1676" w:rsidR="00DC59CD" w:rsidRPr="00E568D0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615C9" w14:textId="77777777" w:rsidR="00DC59CD" w:rsidRPr="00E568D0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E7717" w14:textId="77777777" w:rsidR="00DC59CD" w:rsidRPr="00DE358C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B9A9B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6D957" w14:textId="77777777" w:rsidR="00DC59CD" w:rsidRPr="003D4BF9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BED0" w14:textId="58753D6E" w:rsidR="00DC59CD" w:rsidRPr="000220FC" w:rsidRDefault="00DC59CD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</w:tbl>
    <w:p w14:paraId="4DBF2989" w14:textId="77777777" w:rsidR="00DC59CD" w:rsidRPr="00B21255" w:rsidRDefault="00DC59CD" w:rsidP="00DC59CD">
      <w:pPr>
        <w:rPr>
          <w:lang w:val="en-US"/>
        </w:rPr>
      </w:pPr>
    </w:p>
    <w:p w14:paraId="39A94350" w14:textId="77777777" w:rsidR="00DC59CD" w:rsidRDefault="00DC59CD" w:rsidP="00DC59CD"/>
    <w:p w14:paraId="2D882609" w14:textId="77777777" w:rsidR="00DC59CD" w:rsidRDefault="00DC59CD" w:rsidP="00DC59CD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C59CD" w:rsidRPr="003D4BF9" w14:paraId="271BB3BA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B27F62B" w14:textId="77777777" w:rsidR="00DC59CD" w:rsidRPr="003D4BF9" w:rsidRDefault="00DC59CD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C59CD" w:rsidRPr="003D4BF9" w14:paraId="6E37EA55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CCAB3D2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761638B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E34A6D6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F12354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21E52136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C59CD" w:rsidRPr="003D4BF9" w14:paraId="28D59668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25B749" w14:textId="77777777" w:rsidR="00DC59CD" w:rsidRPr="003D4BF9" w:rsidRDefault="00DC59CD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F567D4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9CF0AF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CA13B0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61FD90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494C41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FF07A8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DC59CD" w:rsidRPr="003D4BF9" w14:paraId="52394E6A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4F7D1D3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DC59CD" w:rsidRPr="003D4BF9" w14:paraId="471DDC7B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820C46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DC59CD" w:rsidRPr="003D4BF9" w14:paraId="0E3B7CB3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A028AF" w14:textId="539B9AC0" w:rsidR="00DC59CD" w:rsidRPr="003D4BF9" w:rsidRDefault="00DC59CD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459ECA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E95D5B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AF722E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BC2DF1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3B7196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8144DC" w14:textId="77777777" w:rsidR="00DC59CD" w:rsidRPr="003D4BF9" w:rsidRDefault="00DC59CD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2B8B2A" w14:textId="77777777" w:rsidR="00DC59CD" w:rsidRDefault="00DC59CD" w:rsidP="00DC59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A9E21" w14:textId="77777777" w:rsidR="00DC59CD" w:rsidRPr="00124095" w:rsidRDefault="00DC59CD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9837F" w14:textId="77777777" w:rsidR="00674730" w:rsidRPr="00124095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67F44" w14:textId="77777777" w:rsidR="001058F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5A4D55B4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29085" w14:textId="2612C447" w:rsidR="00144CC2" w:rsidRPr="00124095" w:rsidRDefault="00144CC2" w:rsidP="00144C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3486187"/>
      <w:r w:rsidRPr="000E2B15">
        <w:rPr>
          <w:rFonts w:ascii="Times New Roman" w:hAnsi="Times New Roman" w:cs="Times New Roman"/>
          <w:sz w:val="24"/>
          <w:szCs w:val="24"/>
        </w:rPr>
        <w:t>Выполнение научных исследовани</w:t>
      </w:r>
      <w:r w:rsidR="00EE364F" w:rsidRPr="000E2B15">
        <w:rPr>
          <w:rFonts w:ascii="Times New Roman" w:hAnsi="Times New Roman" w:cs="Times New Roman"/>
          <w:sz w:val="24"/>
          <w:szCs w:val="24"/>
        </w:rPr>
        <w:t>й</w:t>
      </w:r>
      <w:r w:rsidRPr="000E2B15">
        <w:rPr>
          <w:rFonts w:ascii="Times New Roman" w:hAnsi="Times New Roman" w:cs="Times New Roman"/>
          <w:sz w:val="24"/>
          <w:szCs w:val="24"/>
        </w:rPr>
        <w:t xml:space="preserve"> на выбранную тему и подготовка отчета, в котором отражено владение выбранной темой, составленного, например, в виде научного обзора или описания выполненного научного исследования.</w:t>
      </w:r>
    </w:p>
    <w:bookmarkEnd w:id="0"/>
    <w:p w14:paraId="4C328347" w14:textId="77777777" w:rsidR="00297059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30DE3" w14:textId="77777777" w:rsidR="00124095" w:rsidRDefault="0012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8A82A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81FEA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1B6D0085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3FB99DBF" w14:textId="77777777" w:rsidR="00297059" w:rsidRPr="00124095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124095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4EE58CE7" w14:textId="77777777" w:rsidR="00297059" w:rsidRPr="00124095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124095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575B5A46" w14:textId="77777777" w:rsidR="00305893" w:rsidRPr="00124095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12409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66A31FE5" w14:textId="77777777" w:rsidR="00297059" w:rsidRPr="00124095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124095">
        <w:rPr>
          <w:rFonts w:ascii="Times New Roman" w:hAnsi="Times New Roman" w:cs="Times New Roman"/>
          <w:sz w:val="24"/>
          <w:szCs w:val="24"/>
        </w:rPr>
        <w:t>…</w:t>
      </w:r>
    </w:p>
    <w:p w14:paraId="1B0B86AF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AB008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124095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7A7FEF2E" w14:textId="77777777" w:rsidR="00297059" w:rsidRPr="00124095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297059" w:rsidRPr="00124095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124095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1907B478" w14:textId="77777777" w:rsidR="00850A7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323B4" w14:textId="77777777" w:rsidR="00C471E2" w:rsidRPr="00124095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24095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br/>
      </w:r>
    </w:p>
    <w:p w14:paraId="289D8E81" w14:textId="77777777" w:rsidR="000A6559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</w:t>
      </w:r>
      <w:r w:rsidRPr="00124095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3F70A3BC" w14:textId="77777777" w:rsidR="00850A7F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5F4637F7" w14:textId="77777777" w:rsidR="00F33083" w:rsidRPr="00124095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DE250" w14:textId="77777777" w:rsidR="00850A7F" w:rsidRPr="00124095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2.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124095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124095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123FD9E7" w14:textId="77777777" w:rsidR="0070475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697274B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B40C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138239DE" w14:textId="77777777" w:rsidR="00887476" w:rsidRPr="0088747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887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05F2A603" w14:textId="77777777" w:rsidR="0088747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D76295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124095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09EDCF64" w14:textId="77777777" w:rsidR="0004383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0339D9F7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B99C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6F9B0444" w14:textId="220EE003" w:rsidR="00E13471" w:rsidRPr="00530E86" w:rsidRDefault="00E13471" w:rsidP="00E13471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0E2B15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2"/>
    <w:p w14:paraId="12E68DA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45B31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3ABB2A6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BB3E6" w14:textId="0C3CC88E" w:rsidR="000E2B15" w:rsidRDefault="002077BE" w:rsidP="00250567">
      <w:pPr>
        <w:jc w:val="both"/>
      </w:pPr>
      <w:r w:rsidRPr="000E2B15">
        <w:rPr>
          <w:rFonts w:ascii="Times New Roman" w:hAnsi="Times New Roman" w:cs="Times New Roman"/>
          <w:sz w:val="24"/>
          <w:szCs w:val="24"/>
        </w:rPr>
        <w:t>В отчете должны содержаться такие разделы как титульный лист</w:t>
      </w:r>
      <w:r w:rsidR="00B24AFA" w:rsidRPr="000E2B15">
        <w:rPr>
          <w:rFonts w:ascii="Times New Roman" w:hAnsi="Times New Roman" w:cs="Times New Roman"/>
          <w:sz w:val="24"/>
          <w:szCs w:val="24"/>
        </w:rPr>
        <w:t xml:space="preserve"> </w:t>
      </w:r>
      <w:r w:rsidRPr="000E2B15">
        <w:rPr>
          <w:rFonts w:ascii="Times New Roman" w:hAnsi="Times New Roman" w:cs="Times New Roman"/>
          <w:sz w:val="24"/>
          <w:szCs w:val="24"/>
        </w:rPr>
        <w:t xml:space="preserve">,основные результаты практики,   список использованных литературных источников и информационных материалов. Отчет должен отражать </w:t>
      </w:r>
      <w:r w:rsidR="009A70EF" w:rsidRPr="000E2B15">
        <w:rPr>
          <w:rFonts w:ascii="Times New Roman" w:hAnsi="Times New Roman" w:cs="Times New Roman"/>
          <w:sz w:val="24"/>
          <w:szCs w:val="24"/>
        </w:rPr>
        <w:t>владение</w:t>
      </w:r>
      <w:r w:rsidRPr="000E2B15">
        <w:rPr>
          <w:rFonts w:ascii="Times New Roman" w:hAnsi="Times New Roman" w:cs="Times New Roman"/>
          <w:sz w:val="24"/>
          <w:szCs w:val="24"/>
        </w:rPr>
        <w:t xml:space="preserve"> выбранной темой</w:t>
      </w:r>
      <w:r w:rsidR="007A463D" w:rsidRPr="000E2B15">
        <w:rPr>
          <w:rFonts w:ascii="Times New Roman" w:hAnsi="Times New Roman" w:cs="Times New Roman"/>
          <w:sz w:val="24"/>
          <w:szCs w:val="24"/>
        </w:rPr>
        <w:t xml:space="preserve"> и быть составленным</w:t>
      </w:r>
      <w:r w:rsidRPr="000E2B15">
        <w:rPr>
          <w:rFonts w:ascii="Times New Roman" w:hAnsi="Times New Roman" w:cs="Times New Roman"/>
          <w:sz w:val="24"/>
          <w:szCs w:val="24"/>
        </w:rPr>
        <w:t xml:space="preserve">, например, в виде научного обзора или отчета по результатам проводимых научных исследований. </w:t>
      </w:r>
      <w:r w:rsidR="000E2B15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0E2B15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0E2B15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</w:t>
      </w:r>
    </w:p>
    <w:p w14:paraId="6C115026" w14:textId="518777CA" w:rsidR="000E2B15" w:rsidRDefault="000E2B15" w:rsidP="000E2B15">
      <w:pPr>
        <w:pStyle w:val="afe"/>
        <w:jc w:val="both"/>
      </w:pPr>
      <w:r>
        <w:lastRenderedPageBreak/>
        <w:t xml:space="preserve">При выполнении всех требований к форме и содержанию отчета ставится </w:t>
      </w:r>
      <w:r w:rsidR="00DC59CD">
        <w:t xml:space="preserve">зачет </w:t>
      </w:r>
      <w:r>
        <w:t>«</w:t>
      </w:r>
      <w:r>
        <w:rPr>
          <w:color w:val="000000"/>
        </w:rPr>
        <w:t>A</w:t>
      </w:r>
      <w:r>
        <w:t>».</w:t>
      </w:r>
    </w:p>
    <w:p w14:paraId="6F3CBA96" w14:textId="381703B3" w:rsidR="000E2B15" w:rsidRDefault="00DC59CD" w:rsidP="000E2B15">
      <w:pPr>
        <w:pStyle w:val="afe"/>
        <w:jc w:val="both"/>
      </w:pPr>
      <w:r>
        <w:rPr>
          <w:color w:val="000000"/>
        </w:rPr>
        <w:t xml:space="preserve">Зачет </w:t>
      </w:r>
      <w:r w:rsidR="000E2B15">
        <w:rPr>
          <w:color w:val="000000"/>
        </w:rPr>
        <w:t>B – требования к </w:t>
      </w:r>
      <w:r w:rsidR="000E2B15">
        <w:t>содержанию отчета</w:t>
      </w:r>
      <w:r w:rsidR="000E2B15">
        <w:rPr>
          <w:color w:val="000000"/>
        </w:rPr>
        <w:t> выполнены, оформление отчета содержит небольшие погрешности.</w:t>
      </w:r>
    </w:p>
    <w:p w14:paraId="07CF0535" w14:textId="45FDC58A" w:rsidR="000E2B15" w:rsidRDefault="00DC59CD" w:rsidP="000E2B15">
      <w:pPr>
        <w:pStyle w:val="afe"/>
        <w:jc w:val="both"/>
      </w:pPr>
      <w:r>
        <w:rPr>
          <w:color w:val="000000"/>
        </w:rPr>
        <w:t xml:space="preserve">Зачет </w:t>
      </w:r>
      <w:r w:rsidR="000E2B15">
        <w:rPr>
          <w:color w:val="000000"/>
        </w:rPr>
        <w:t>C – требования к </w:t>
      </w:r>
      <w:r w:rsidR="000E2B15">
        <w:t>содержанию, в основном, выполнены,</w:t>
      </w:r>
      <w:r w:rsidR="000E2B15">
        <w:rPr>
          <w:color w:val="000000"/>
        </w:rPr>
        <w:t> оформление отчета содержит небольшие погрешности.</w:t>
      </w:r>
    </w:p>
    <w:p w14:paraId="2C076758" w14:textId="48A92E73" w:rsidR="000E2B15" w:rsidRDefault="00DC59CD" w:rsidP="000E2B15">
      <w:pPr>
        <w:pStyle w:val="afe"/>
        <w:jc w:val="both"/>
      </w:pPr>
      <w:r>
        <w:rPr>
          <w:color w:val="000000"/>
        </w:rPr>
        <w:t xml:space="preserve">Зачет </w:t>
      </w:r>
      <w:r w:rsidR="000E2B15">
        <w:rPr>
          <w:color w:val="000000"/>
          <w:lang w:val="en-US"/>
        </w:rPr>
        <w:t>D</w:t>
      </w:r>
      <w:r w:rsidR="000E2B15">
        <w:rPr>
          <w:color w:val="000000"/>
        </w:rPr>
        <w:t xml:space="preserve"> – </w:t>
      </w:r>
      <w:r w:rsidR="000E2B15">
        <w:t>содержание отчета</w:t>
      </w:r>
      <w:r w:rsidR="000E2B15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33147170" w14:textId="203FBF12" w:rsidR="000E2B15" w:rsidRDefault="00DC59CD" w:rsidP="000E2B15">
      <w:pPr>
        <w:pStyle w:val="afe"/>
        <w:jc w:val="both"/>
      </w:pPr>
      <w:r>
        <w:rPr>
          <w:color w:val="000000"/>
        </w:rPr>
        <w:t xml:space="preserve">Зачет </w:t>
      </w:r>
      <w:r w:rsidR="000E2B15">
        <w:rPr>
          <w:color w:val="000000"/>
        </w:rPr>
        <w:t xml:space="preserve">E – </w:t>
      </w:r>
      <w:r w:rsidR="000E2B15">
        <w:t>содержание отчета</w:t>
      </w:r>
      <w:r w:rsidR="000E2B15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4F87DC21" w14:textId="29066D16" w:rsidR="00B25CF6" w:rsidRPr="00B25CF6" w:rsidRDefault="00DC59CD" w:rsidP="000E2B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0E2B15" w:rsidRPr="00B25CF6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</w:t>
      </w:r>
    </w:p>
    <w:p w14:paraId="303E881D" w14:textId="4990B54B" w:rsidR="00F90CD7" w:rsidRPr="00124095" w:rsidRDefault="000E2B15" w:rsidP="000E2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</w:p>
    <w:p w14:paraId="69F89294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124095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001C3400" w14:textId="77777777" w:rsidR="00B001FC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55039D9E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2AA65" w14:textId="77777777" w:rsidR="006F1F36" w:rsidRPr="00124095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750F8715" w14:textId="043B0183" w:rsidR="00601350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633DCAB1" w14:textId="124B1979" w:rsidR="00B24AFA" w:rsidRPr="00124095" w:rsidRDefault="00B24AFA" w:rsidP="00B24A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24095">
        <w:rPr>
          <w:rFonts w:ascii="Times New Roman" w:hAnsi="Times New Roman" w:cs="Times New Roman"/>
          <w:sz w:val="24"/>
          <w:szCs w:val="24"/>
        </w:rPr>
        <w:t>. Введение</w:t>
      </w:r>
    </w:p>
    <w:p w14:paraId="6FBE18C7" w14:textId="021A8ACE" w:rsidR="00601350" w:rsidRPr="00124095" w:rsidRDefault="00B24AFA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124095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4DDC1E06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1078BA67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0293BC51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78AC1A0F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7D7098D9" w14:textId="77777777" w:rsidR="00704756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124095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63A4C739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BC26E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7DDEBEF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12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124095" w14:paraId="59C6D4DA" w14:textId="77777777" w:rsidTr="005B6B6B">
        <w:tc>
          <w:tcPr>
            <w:tcW w:w="4785" w:type="dxa"/>
          </w:tcPr>
          <w:p w14:paraId="654FFA3E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1240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1240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483FFC82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124095" w14:paraId="2A50D7E2" w14:textId="77777777" w:rsidTr="005B6B6B">
        <w:tc>
          <w:tcPr>
            <w:tcW w:w="4785" w:type="dxa"/>
          </w:tcPr>
          <w:p w14:paraId="3BE08FEE" w14:textId="77777777" w:rsidR="005B6B6B" w:rsidRPr="00124095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1240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30FE640B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22BB79CE" w14:textId="77777777" w:rsidTr="005B6B6B">
        <w:tc>
          <w:tcPr>
            <w:tcW w:w="4785" w:type="dxa"/>
          </w:tcPr>
          <w:p w14:paraId="7A76C36D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393433FE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50DFE92D" w14:textId="77777777" w:rsidTr="005B6B6B">
        <w:tc>
          <w:tcPr>
            <w:tcW w:w="4785" w:type="dxa"/>
          </w:tcPr>
          <w:p w14:paraId="0D3CA835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6B0DC0F5" w14:textId="77777777" w:rsidR="00A70215" w:rsidRPr="00124095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124095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09B070B1" w14:textId="77777777" w:rsidR="002F18D3" w:rsidRPr="00124095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124095" w14:paraId="4D8A8036" w14:textId="77777777" w:rsidTr="005B6B6B">
        <w:tc>
          <w:tcPr>
            <w:tcW w:w="4785" w:type="dxa"/>
          </w:tcPr>
          <w:p w14:paraId="39014A00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41D2C2DD" w14:textId="77777777" w:rsidR="00A70215" w:rsidRPr="00124095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124095" w14:paraId="678AA59D" w14:textId="77777777" w:rsidTr="005B6B6B">
        <w:tc>
          <w:tcPr>
            <w:tcW w:w="4785" w:type="dxa"/>
          </w:tcPr>
          <w:p w14:paraId="55657A72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311757A8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124095" w14:paraId="2E0D4718" w14:textId="77777777" w:rsidTr="005B6B6B">
        <w:tc>
          <w:tcPr>
            <w:tcW w:w="4785" w:type="dxa"/>
          </w:tcPr>
          <w:p w14:paraId="4D007337" w14:textId="77777777" w:rsidR="005B6B6B" w:rsidRPr="00124095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12409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ем/договором)</w:t>
            </w:r>
          </w:p>
        </w:tc>
        <w:tc>
          <w:tcPr>
            <w:tcW w:w="4821" w:type="dxa"/>
          </w:tcPr>
          <w:p w14:paraId="2550F680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6FD30BDA" w14:textId="77777777" w:rsidTr="005B6B6B">
        <w:tc>
          <w:tcPr>
            <w:tcW w:w="4785" w:type="dxa"/>
          </w:tcPr>
          <w:p w14:paraId="4E6D3F35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42CA8EBF" w14:textId="25618224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19989E7B" w14:textId="77777777" w:rsidTr="006F1F36">
        <w:tc>
          <w:tcPr>
            <w:tcW w:w="4785" w:type="dxa"/>
          </w:tcPr>
          <w:p w14:paraId="0E7A9B91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10AEB669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18EBB555" w14:textId="77777777" w:rsidTr="005B6B6B">
        <w:tc>
          <w:tcPr>
            <w:tcW w:w="4785" w:type="dxa"/>
          </w:tcPr>
          <w:p w14:paraId="0F04A157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3FAE331D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983088" w14:textId="77777777" w:rsidR="00390DDC" w:rsidRPr="00124095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5A8AA327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13A1EF87" w14:textId="77777777" w:rsidR="008E19ED" w:rsidRPr="00124095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124095">
        <w:rPr>
          <w:rFonts w:ascii="Times New Roman" w:hAnsi="Times New Roman" w:cs="Times New Roman"/>
          <w:sz w:val="24"/>
          <w:szCs w:val="24"/>
        </w:rPr>
        <w:t>◙</w:t>
      </w:r>
      <w:r w:rsidRPr="00124095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466ED826" w14:textId="77777777" w:rsidR="002D6D79" w:rsidRPr="00124095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124095" w14:paraId="5E2C886F" w14:textId="77777777" w:rsidTr="006F1F36">
        <w:tc>
          <w:tcPr>
            <w:tcW w:w="4785" w:type="dxa"/>
          </w:tcPr>
          <w:p w14:paraId="2566F5EF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79F59A47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124095" w14:paraId="1F0080D0" w14:textId="77777777" w:rsidTr="006F1F36">
        <w:tc>
          <w:tcPr>
            <w:tcW w:w="4785" w:type="dxa"/>
          </w:tcPr>
          <w:p w14:paraId="6D7AE0DD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1E11769F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4B41287C" w14:textId="77777777" w:rsidTr="006F1F36">
        <w:tc>
          <w:tcPr>
            <w:tcW w:w="4785" w:type="dxa"/>
          </w:tcPr>
          <w:p w14:paraId="715A773D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369D4A89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2AF0043F" w14:textId="77777777" w:rsidTr="006F1F36">
        <w:tc>
          <w:tcPr>
            <w:tcW w:w="4785" w:type="dxa"/>
          </w:tcPr>
          <w:p w14:paraId="1DBAF829" w14:textId="77777777" w:rsidR="009409E2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28CF11F1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124095" w14:paraId="70D5AA90" w14:textId="77777777" w:rsidTr="006F1F36">
        <w:tc>
          <w:tcPr>
            <w:tcW w:w="4785" w:type="dxa"/>
          </w:tcPr>
          <w:p w14:paraId="54DFB97B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25DB804C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124095" w14:paraId="510B937D" w14:textId="77777777" w:rsidTr="006F1F36">
        <w:tc>
          <w:tcPr>
            <w:tcW w:w="4785" w:type="dxa"/>
          </w:tcPr>
          <w:p w14:paraId="4FFD570A" w14:textId="77777777" w:rsidR="008703B6" w:rsidRPr="00124095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4500F6DF" w14:textId="77777777" w:rsidR="008703B6" w:rsidRPr="00124095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61161" w14:textId="77777777" w:rsidR="00390DDC" w:rsidRPr="00124095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59075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5033804A" w14:textId="77777777" w:rsidR="00B001FC" w:rsidRPr="00124095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CD8207" w14:textId="77777777" w:rsidR="00EC1E79" w:rsidRPr="00124095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124095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01023D02" w14:textId="77777777" w:rsidR="00B001FC" w:rsidRPr="0088747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4DEB2FDF" w14:textId="77777777" w:rsidR="00B001FC" w:rsidRPr="0088747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8560E" w14:textId="77777777" w:rsidR="00B001FC" w:rsidRPr="00124095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124095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124095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124095">
        <w:rPr>
          <w:rFonts w:ascii="Times New Roman" w:hAnsi="Times New Roman" w:cs="Times New Roman"/>
          <w:sz w:val="24"/>
          <w:szCs w:val="24"/>
        </w:rPr>
        <w:t>. с</w:t>
      </w:r>
      <w:r w:rsidRPr="00124095">
        <w:rPr>
          <w:rFonts w:ascii="Times New Roman" w:hAnsi="Times New Roman" w:cs="Times New Roman"/>
          <w:sz w:val="24"/>
          <w:szCs w:val="24"/>
        </w:rPr>
        <w:t>редств</w:t>
      </w:r>
    </w:p>
    <w:p w14:paraId="392A2670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157E1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0336019F" w14:textId="77777777" w:rsidR="004B799A" w:rsidRPr="00FE4028" w:rsidRDefault="004B799A" w:rsidP="004B799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719FD386" w14:textId="49E8D023" w:rsidR="00C471E2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30C7EAB" w14:textId="426275B1" w:rsidR="004B799A" w:rsidRPr="00FE4028" w:rsidRDefault="004B799A" w:rsidP="004B799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72825A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p w14:paraId="39FFA990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8C9DD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4E0E0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46CA40" w14:textId="77777777" w:rsidR="004B799A" w:rsidRPr="00124095" w:rsidRDefault="004B799A" w:rsidP="004B799A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1FCDFA4C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7F0A7" w14:textId="77777777" w:rsidR="00C471E2" w:rsidRPr="00124095" w:rsidRDefault="00AC4381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>,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 w:rsidRPr="00124095">
        <w:rPr>
          <w:rFonts w:ascii="Times New Roman" w:hAnsi="Times New Roman" w:cs="Times New Roman"/>
          <w:b/>
          <w:sz w:val="24"/>
          <w:szCs w:val="24"/>
        </w:rPr>
        <w:t>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24095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 xml:space="preserve">указать перечень </w:t>
      </w:r>
      <w:r w:rsidR="00800230" w:rsidRPr="00124095">
        <w:rPr>
          <w:rFonts w:ascii="Times New Roman" w:hAnsi="Times New Roman" w:cs="Times New Roman"/>
          <w:i/>
          <w:sz w:val="24"/>
          <w:szCs w:val="24"/>
        </w:rPr>
        <w:t>расходных материалов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7A8159B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1941B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B9D83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> 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Горького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 xml:space="preserve"> СПбГУ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2CC66BEE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53274BEC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25987AFF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4F71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2AFB94D8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1089E070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CCC21" w14:textId="3DA2C4E7" w:rsidR="002A3FF5" w:rsidRDefault="002A3FF5" w:rsidP="002A3FF5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2868B5A6" w14:textId="77777777" w:rsidR="002A3FF5" w:rsidRPr="00A36460" w:rsidRDefault="002A3FF5" w:rsidP="002A3FF5">
      <w:pPr>
        <w:rPr>
          <w:rFonts w:ascii="Times New Roman" w:hAnsi="Times New Roman" w:cs="Times New Roman"/>
          <w:b/>
          <w:sz w:val="24"/>
          <w:szCs w:val="24"/>
        </w:rPr>
      </w:pPr>
    </w:p>
    <w:bookmarkEnd w:id="3"/>
    <w:p w14:paraId="74089498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08397DA3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209597C8" w14:textId="77777777" w:rsidR="00186E39" w:rsidRDefault="00186E39" w:rsidP="00186E39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5EC84A9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7DAA194A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1991A2E" w14:textId="77777777" w:rsidR="00186E39" w:rsidRDefault="00186E39" w:rsidP="00186E39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98E1892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0B518C49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527F7308" w14:textId="77777777" w:rsidR="00186E39" w:rsidRDefault="00186E39" w:rsidP="00186E39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E6CE1AE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321AC001" w14:textId="77777777" w:rsidR="00186E39" w:rsidRDefault="00186E39" w:rsidP="00186E39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4744C080" w14:textId="77777777" w:rsidR="00186E39" w:rsidRDefault="00186E39" w:rsidP="00186E39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3399DC0C" w14:textId="77777777" w:rsidR="00186E39" w:rsidRPr="00A00928" w:rsidRDefault="00186E39" w:rsidP="00186E39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309B8144" w14:textId="77777777" w:rsidR="00186E39" w:rsidRPr="00A00928" w:rsidRDefault="00186E39" w:rsidP="00186E39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58BADD6D" w14:textId="77777777" w:rsidR="00186E39" w:rsidRDefault="00186E39" w:rsidP="00186E39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13CD82A1" w14:textId="77777777" w:rsidR="00186E39" w:rsidRPr="00667621" w:rsidRDefault="00186E39" w:rsidP="00186E39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4E1920C5" w14:textId="77777777" w:rsidR="00186E39" w:rsidRPr="00667621" w:rsidRDefault="00186E39" w:rsidP="00186E39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350B0DF1" w14:textId="77777777" w:rsidR="00186E39" w:rsidRPr="00347CC8" w:rsidRDefault="00186E39" w:rsidP="00186E39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3EA94E53" w14:textId="77777777" w:rsidR="004B799A" w:rsidRPr="00186E39" w:rsidRDefault="004B799A" w:rsidP="004B79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GoBack"/>
      <w:bookmarkEnd w:id="4"/>
    </w:p>
    <w:p w14:paraId="5A7D54F2" w14:textId="77777777" w:rsidR="00DB0DB0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24095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>)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1530A281" w14:textId="77777777" w:rsidR="00086B03" w:rsidRPr="00124095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124095" w14:paraId="651425A3" w14:textId="77777777" w:rsidTr="00887476">
        <w:tc>
          <w:tcPr>
            <w:tcW w:w="2266" w:type="dxa"/>
          </w:tcPr>
          <w:p w14:paraId="05D6F97F" w14:textId="77777777" w:rsidR="00086B03" w:rsidRPr="002A3FF5" w:rsidRDefault="00086B03" w:rsidP="002A3F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3FF5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840" w:type="dxa"/>
          </w:tcPr>
          <w:p w14:paraId="232E2D51" w14:textId="77777777" w:rsidR="00086B03" w:rsidRPr="002A3FF5" w:rsidRDefault="00086B03" w:rsidP="002A3F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3FF5">
              <w:rPr>
                <w:rFonts w:ascii="Times New Roman" w:hAnsi="Times New Roman" w:cs="Times New Roman"/>
                <w:b/>
              </w:rPr>
              <w:t>звание</w:t>
            </w:r>
          </w:p>
        </w:tc>
        <w:tc>
          <w:tcPr>
            <w:tcW w:w="1843" w:type="dxa"/>
          </w:tcPr>
          <w:p w14:paraId="3D8D4E66" w14:textId="77777777" w:rsidR="00086B03" w:rsidRPr="002A3FF5" w:rsidRDefault="006A1E93" w:rsidP="002A3F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3FF5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11" w:type="dxa"/>
          </w:tcPr>
          <w:p w14:paraId="71056DF4" w14:textId="77777777" w:rsidR="00086B03" w:rsidRPr="002A3FF5" w:rsidRDefault="006A1E93" w:rsidP="002A3F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3FF5"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  <w:p w14:paraId="78580DBE" w14:textId="77777777" w:rsidR="00887476" w:rsidRPr="002A3FF5" w:rsidRDefault="00887476" w:rsidP="002A3F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6B03" w:rsidRPr="00124095" w14:paraId="26E1FBCA" w14:textId="77777777" w:rsidTr="00887476">
        <w:tc>
          <w:tcPr>
            <w:tcW w:w="2266" w:type="dxa"/>
          </w:tcPr>
          <w:p w14:paraId="50F4C28B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58D830A7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78CF4E8E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4405A043" w14:textId="77777777" w:rsidR="00086B03" w:rsidRPr="00124095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124095" w14:paraId="30325612" w14:textId="77777777" w:rsidTr="00887476">
        <w:tc>
          <w:tcPr>
            <w:tcW w:w="2266" w:type="dxa"/>
          </w:tcPr>
          <w:p w14:paraId="468538DE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840" w:type="dxa"/>
          </w:tcPr>
          <w:p w14:paraId="7FE3773C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546229CA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54EA00ED" w14:textId="77777777" w:rsidR="006A1E93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124095" w14:paraId="1027BB2B" w14:textId="77777777" w:rsidTr="00887476">
        <w:tc>
          <w:tcPr>
            <w:tcW w:w="2266" w:type="dxa"/>
          </w:tcPr>
          <w:p w14:paraId="161CBF71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Голяндина Н Э</w:t>
            </w:r>
          </w:p>
        </w:tc>
        <w:tc>
          <w:tcPr>
            <w:tcW w:w="1840" w:type="dxa"/>
          </w:tcPr>
          <w:p w14:paraId="67E90FCA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730FABFF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3B4639E4" w14:textId="77777777" w:rsidR="00010251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FA136E" w:rsidRPr="00124095" w14:paraId="7F262EA7" w14:textId="77777777" w:rsidTr="008F79E2">
        <w:tc>
          <w:tcPr>
            <w:tcW w:w="2266" w:type="dxa"/>
          </w:tcPr>
          <w:p w14:paraId="7C81AE3F" w14:textId="77777777" w:rsidR="00FA136E" w:rsidRPr="00530E86" w:rsidRDefault="00FA136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Н.В.</w:t>
            </w:r>
          </w:p>
        </w:tc>
        <w:tc>
          <w:tcPr>
            <w:tcW w:w="1840" w:type="dxa"/>
          </w:tcPr>
          <w:p w14:paraId="16069482" w14:textId="77777777" w:rsidR="00FA136E" w:rsidRPr="00530E86" w:rsidRDefault="00FA136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157C0F2E" w14:textId="77777777" w:rsidR="00FA136E" w:rsidRPr="00530E86" w:rsidRDefault="00FA136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535F03EB" w14:textId="77777777" w:rsidR="00FA136E" w:rsidRPr="00124095" w:rsidRDefault="00FA136E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tr w:rsidR="00913049" w:rsidRPr="00124095" w14:paraId="4B4D8BAD" w14:textId="77777777" w:rsidTr="00913049">
        <w:tc>
          <w:tcPr>
            <w:tcW w:w="2266" w:type="dxa"/>
          </w:tcPr>
          <w:p w14:paraId="2F12A2CA" w14:textId="77777777" w:rsidR="00913049" w:rsidRDefault="0091304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  <w:p w14:paraId="6F07B32A" w14:textId="42A78128" w:rsidR="002A3FF5" w:rsidRPr="00124095" w:rsidRDefault="002A3FF5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5714460" w14:textId="77777777" w:rsidR="00913049" w:rsidRPr="00124095" w:rsidRDefault="0091304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3558E2EE" w14:textId="77777777" w:rsidR="00913049" w:rsidRPr="00124095" w:rsidRDefault="0091304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2E0685F3" w14:textId="77777777" w:rsidR="00913049" w:rsidRPr="00124095" w:rsidRDefault="00913049" w:rsidP="009E3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5F442434" w14:textId="77777777" w:rsidR="00086B03" w:rsidRPr="00124095" w:rsidRDefault="00086B03" w:rsidP="00124095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81502" w14:textId="77777777" w:rsidR="0048202B" w:rsidRDefault="0048202B">
      <w:r>
        <w:separator/>
      </w:r>
    </w:p>
  </w:endnote>
  <w:endnote w:type="continuationSeparator" w:id="0">
    <w:p w14:paraId="7556867A" w14:textId="77777777" w:rsidR="0048202B" w:rsidRDefault="004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94405" w14:textId="77777777" w:rsidR="0048202B" w:rsidRDefault="0048202B">
      <w:r>
        <w:separator/>
      </w:r>
    </w:p>
  </w:footnote>
  <w:footnote w:type="continuationSeparator" w:id="0">
    <w:p w14:paraId="782BBEAF" w14:textId="77777777" w:rsidR="0048202B" w:rsidRDefault="0048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51CFA02" w14:textId="77777777" w:rsidR="006F1F36" w:rsidRPr="005B24C3" w:rsidRDefault="0017526E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6E39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808"/>
    <w:rsid w:val="00010251"/>
    <w:rsid w:val="00014AC3"/>
    <w:rsid w:val="000179A6"/>
    <w:rsid w:val="00022B8E"/>
    <w:rsid w:val="0002657B"/>
    <w:rsid w:val="00043836"/>
    <w:rsid w:val="000467BC"/>
    <w:rsid w:val="00046825"/>
    <w:rsid w:val="0007576E"/>
    <w:rsid w:val="00077533"/>
    <w:rsid w:val="00086B03"/>
    <w:rsid w:val="000A6559"/>
    <w:rsid w:val="000B725E"/>
    <w:rsid w:val="000C64AA"/>
    <w:rsid w:val="000D6EB6"/>
    <w:rsid w:val="000E0D3F"/>
    <w:rsid w:val="000E2B15"/>
    <w:rsid w:val="001058FF"/>
    <w:rsid w:val="00122931"/>
    <w:rsid w:val="00124095"/>
    <w:rsid w:val="001268A2"/>
    <w:rsid w:val="00134CA1"/>
    <w:rsid w:val="001448D5"/>
    <w:rsid w:val="00144CC2"/>
    <w:rsid w:val="0016330C"/>
    <w:rsid w:val="0017526E"/>
    <w:rsid w:val="00186E39"/>
    <w:rsid w:val="00187B2D"/>
    <w:rsid w:val="001915A3"/>
    <w:rsid w:val="00192372"/>
    <w:rsid w:val="001954A5"/>
    <w:rsid w:val="001B6859"/>
    <w:rsid w:val="001C4448"/>
    <w:rsid w:val="001D47CF"/>
    <w:rsid w:val="001D55FA"/>
    <w:rsid w:val="001E2258"/>
    <w:rsid w:val="001F1FEE"/>
    <w:rsid w:val="00203FC7"/>
    <w:rsid w:val="002077BE"/>
    <w:rsid w:val="0021005F"/>
    <w:rsid w:val="00217F62"/>
    <w:rsid w:val="00245CB9"/>
    <w:rsid w:val="00250567"/>
    <w:rsid w:val="0025183B"/>
    <w:rsid w:val="00252196"/>
    <w:rsid w:val="002702FB"/>
    <w:rsid w:val="002763CA"/>
    <w:rsid w:val="00285460"/>
    <w:rsid w:val="00292FE0"/>
    <w:rsid w:val="002933BF"/>
    <w:rsid w:val="0029345A"/>
    <w:rsid w:val="00297059"/>
    <w:rsid w:val="002A3FF5"/>
    <w:rsid w:val="002A74D5"/>
    <w:rsid w:val="002B073E"/>
    <w:rsid w:val="002D6D79"/>
    <w:rsid w:val="002D78B2"/>
    <w:rsid w:val="002F075C"/>
    <w:rsid w:val="002F18D3"/>
    <w:rsid w:val="00301F54"/>
    <w:rsid w:val="00305893"/>
    <w:rsid w:val="00331659"/>
    <w:rsid w:val="00334977"/>
    <w:rsid w:val="00351567"/>
    <w:rsid w:val="003660E8"/>
    <w:rsid w:val="0039018D"/>
    <w:rsid w:val="00390DDC"/>
    <w:rsid w:val="003A03C1"/>
    <w:rsid w:val="003B335F"/>
    <w:rsid w:val="003B5226"/>
    <w:rsid w:val="003D3AEA"/>
    <w:rsid w:val="003F1248"/>
    <w:rsid w:val="00414FC1"/>
    <w:rsid w:val="004415D6"/>
    <w:rsid w:val="0045385C"/>
    <w:rsid w:val="00461970"/>
    <w:rsid w:val="00471415"/>
    <w:rsid w:val="0048202B"/>
    <w:rsid w:val="00490951"/>
    <w:rsid w:val="00494F0D"/>
    <w:rsid w:val="004A0165"/>
    <w:rsid w:val="004A6FCA"/>
    <w:rsid w:val="004B4031"/>
    <w:rsid w:val="004B799A"/>
    <w:rsid w:val="004D0DE9"/>
    <w:rsid w:val="004E081F"/>
    <w:rsid w:val="004F7333"/>
    <w:rsid w:val="00505A1C"/>
    <w:rsid w:val="00510EE6"/>
    <w:rsid w:val="0054022E"/>
    <w:rsid w:val="00586AF3"/>
    <w:rsid w:val="005940C9"/>
    <w:rsid w:val="005951F2"/>
    <w:rsid w:val="005A2057"/>
    <w:rsid w:val="005A3E9E"/>
    <w:rsid w:val="005A58FE"/>
    <w:rsid w:val="005B24C3"/>
    <w:rsid w:val="005B2C53"/>
    <w:rsid w:val="005B50D1"/>
    <w:rsid w:val="005B5B77"/>
    <w:rsid w:val="005B6B6B"/>
    <w:rsid w:val="005B77E1"/>
    <w:rsid w:val="005C20BF"/>
    <w:rsid w:val="005C6FA9"/>
    <w:rsid w:val="005D3E88"/>
    <w:rsid w:val="005D56E9"/>
    <w:rsid w:val="005E1240"/>
    <w:rsid w:val="005F59AC"/>
    <w:rsid w:val="00601350"/>
    <w:rsid w:val="00617231"/>
    <w:rsid w:val="0062474C"/>
    <w:rsid w:val="00654775"/>
    <w:rsid w:val="0066340D"/>
    <w:rsid w:val="00671461"/>
    <w:rsid w:val="006742AE"/>
    <w:rsid w:val="00674730"/>
    <w:rsid w:val="006A1E93"/>
    <w:rsid w:val="006C2864"/>
    <w:rsid w:val="006D24EB"/>
    <w:rsid w:val="006D76AE"/>
    <w:rsid w:val="006E2362"/>
    <w:rsid w:val="006F1F36"/>
    <w:rsid w:val="006F52AD"/>
    <w:rsid w:val="00704756"/>
    <w:rsid w:val="00742710"/>
    <w:rsid w:val="00772F1D"/>
    <w:rsid w:val="007774C1"/>
    <w:rsid w:val="0078539C"/>
    <w:rsid w:val="00787C4E"/>
    <w:rsid w:val="00792334"/>
    <w:rsid w:val="007A463D"/>
    <w:rsid w:val="007B298B"/>
    <w:rsid w:val="007B7FFD"/>
    <w:rsid w:val="007D59B1"/>
    <w:rsid w:val="007D760B"/>
    <w:rsid w:val="007E5052"/>
    <w:rsid w:val="00800230"/>
    <w:rsid w:val="00811326"/>
    <w:rsid w:val="00827D53"/>
    <w:rsid w:val="00841FEB"/>
    <w:rsid w:val="00850A7F"/>
    <w:rsid w:val="00853012"/>
    <w:rsid w:val="008703B6"/>
    <w:rsid w:val="00872CBE"/>
    <w:rsid w:val="00872E70"/>
    <w:rsid w:val="00880F15"/>
    <w:rsid w:val="00883483"/>
    <w:rsid w:val="00887476"/>
    <w:rsid w:val="008942B9"/>
    <w:rsid w:val="008B135B"/>
    <w:rsid w:val="008B2BA4"/>
    <w:rsid w:val="008B4C29"/>
    <w:rsid w:val="008E19ED"/>
    <w:rsid w:val="008E4B9D"/>
    <w:rsid w:val="008F051A"/>
    <w:rsid w:val="00900EA0"/>
    <w:rsid w:val="009075EC"/>
    <w:rsid w:val="009076CB"/>
    <w:rsid w:val="00913049"/>
    <w:rsid w:val="009155A5"/>
    <w:rsid w:val="00917B14"/>
    <w:rsid w:val="00923755"/>
    <w:rsid w:val="009409E2"/>
    <w:rsid w:val="009674EA"/>
    <w:rsid w:val="009718F3"/>
    <w:rsid w:val="009A2138"/>
    <w:rsid w:val="009A270A"/>
    <w:rsid w:val="009A3BE8"/>
    <w:rsid w:val="009A6CD3"/>
    <w:rsid w:val="009A70EF"/>
    <w:rsid w:val="009C303F"/>
    <w:rsid w:val="009E4E32"/>
    <w:rsid w:val="009E78BF"/>
    <w:rsid w:val="009F1B61"/>
    <w:rsid w:val="009F21FA"/>
    <w:rsid w:val="009F2C05"/>
    <w:rsid w:val="00A0206B"/>
    <w:rsid w:val="00A151A2"/>
    <w:rsid w:val="00A16178"/>
    <w:rsid w:val="00A2183C"/>
    <w:rsid w:val="00A23A61"/>
    <w:rsid w:val="00A25251"/>
    <w:rsid w:val="00A32118"/>
    <w:rsid w:val="00A348C6"/>
    <w:rsid w:val="00A43007"/>
    <w:rsid w:val="00A51FCB"/>
    <w:rsid w:val="00A53599"/>
    <w:rsid w:val="00A70215"/>
    <w:rsid w:val="00A76217"/>
    <w:rsid w:val="00A906D8"/>
    <w:rsid w:val="00AA2BDF"/>
    <w:rsid w:val="00AB5A74"/>
    <w:rsid w:val="00AB5AE3"/>
    <w:rsid w:val="00AB5F00"/>
    <w:rsid w:val="00AB7A05"/>
    <w:rsid w:val="00AC4381"/>
    <w:rsid w:val="00AC5474"/>
    <w:rsid w:val="00AD19D7"/>
    <w:rsid w:val="00AD59B8"/>
    <w:rsid w:val="00AF63F6"/>
    <w:rsid w:val="00B001FC"/>
    <w:rsid w:val="00B17787"/>
    <w:rsid w:val="00B20576"/>
    <w:rsid w:val="00B24AFA"/>
    <w:rsid w:val="00B25CF6"/>
    <w:rsid w:val="00B275AA"/>
    <w:rsid w:val="00B32F11"/>
    <w:rsid w:val="00B51FAE"/>
    <w:rsid w:val="00B65561"/>
    <w:rsid w:val="00B66819"/>
    <w:rsid w:val="00B7509A"/>
    <w:rsid w:val="00B7583D"/>
    <w:rsid w:val="00B75CCD"/>
    <w:rsid w:val="00B75F64"/>
    <w:rsid w:val="00B84555"/>
    <w:rsid w:val="00B944A3"/>
    <w:rsid w:val="00BB6747"/>
    <w:rsid w:val="00BB708A"/>
    <w:rsid w:val="00BC1260"/>
    <w:rsid w:val="00C03E44"/>
    <w:rsid w:val="00C243DD"/>
    <w:rsid w:val="00C2538C"/>
    <w:rsid w:val="00C314B5"/>
    <w:rsid w:val="00C3424E"/>
    <w:rsid w:val="00C40E0A"/>
    <w:rsid w:val="00C471E2"/>
    <w:rsid w:val="00C54D7A"/>
    <w:rsid w:val="00C63E00"/>
    <w:rsid w:val="00CA4FD2"/>
    <w:rsid w:val="00D1033C"/>
    <w:rsid w:val="00D13C21"/>
    <w:rsid w:val="00D178F0"/>
    <w:rsid w:val="00D200F2"/>
    <w:rsid w:val="00D230D9"/>
    <w:rsid w:val="00D25346"/>
    <w:rsid w:val="00D353FF"/>
    <w:rsid w:val="00D36D68"/>
    <w:rsid w:val="00D63802"/>
    <w:rsid w:val="00D757D4"/>
    <w:rsid w:val="00D76033"/>
    <w:rsid w:val="00D76C18"/>
    <w:rsid w:val="00D8773E"/>
    <w:rsid w:val="00D87A57"/>
    <w:rsid w:val="00D87FE4"/>
    <w:rsid w:val="00DA30FF"/>
    <w:rsid w:val="00DB0DB0"/>
    <w:rsid w:val="00DC0E8C"/>
    <w:rsid w:val="00DC4651"/>
    <w:rsid w:val="00DC59CD"/>
    <w:rsid w:val="00DD0B52"/>
    <w:rsid w:val="00DE0C07"/>
    <w:rsid w:val="00DE517D"/>
    <w:rsid w:val="00DF0142"/>
    <w:rsid w:val="00E06E05"/>
    <w:rsid w:val="00E1182A"/>
    <w:rsid w:val="00E12D79"/>
    <w:rsid w:val="00E13471"/>
    <w:rsid w:val="00E14AD1"/>
    <w:rsid w:val="00E446E1"/>
    <w:rsid w:val="00E447D4"/>
    <w:rsid w:val="00E57A78"/>
    <w:rsid w:val="00E87590"/>
    <w:rsid w:val="00E9111F"/>
    <w:rsid w:val="00EA0B97"/>
    <w:rsid w:val="00EC1E79"/>
    <w:rsid w:val="00EE364F"/>
    <w:rsid w:val="00EF178C"/>
    <w:rsid w:val="00F050D8"/>
    <w:rsid w:val="00F06EA3"/>
    <w:rsid w:val="00F071AE"/>
    <w:rsid w:val="00F116FB"/>
    <w:rsid w:val="00F243BB"/>
    <w:rsid w:val="00F308FB"/>
    <w:rsid w:val="00F33083"/>
    <w:rsid w:val="00F3704B"/>
    <w:rsid w:val="00F426FB"/>
    <w:rsid w:val="00F56216"/>
    <w:rsid w:val="00F57520"/>
    <w:rsid w:val="00F6759D"/>
    <w:rsid w:val="00F730F6"/>
    <w:rsid w:val="00F90CD7"/>
    <w:rsid w:val="00F94F76"/>
    <w:rsid w:val="00FA136E"/>
    <w:rsid w:val="00FA3B86"/>
    <w:rsid w:val="00FC495C"/>
    <w:rsid w:val="00FD6A0C"/>
    <w:rsid w:val="00FE3C73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F1B6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99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styleId="afe">
    <w:name w:val="Normal (Web)"/>
    <w:basedOn w:val="a"/>
    <w:uiPriority w:val="99"/>
    <w:semiHidden/>
    <w:unhideWhenUsed/>
    <w:rsid w:val="005B2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Plain Text"/>
    <w:basedOn w:val="a"/>
    <w:link w:val="aff0"/>
    <w:uiPriority w:val="99"/>
    <w:unhideWhenUsed/>
    <w:rsid w:val="00186E39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186E39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18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306C3-1F5E-4866-AFC6-655A177A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5</cp:revision>
  <cp:lastPrinted>2017-06-01T09:40:00Z</cp:lastPrinted>
  <dcterms:created xsi:type="dcterms:W3CDTF">2021-03-16T21:38:00Z</dcterms:created>
  <dcterms:modified xsi:type="dcterms:W3CDTF">2021-03-29T12:24:00Z</dcterms:modified>
</cp:coreProperties>
</file>