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webSettings.xml" ContentType="application/vnd.openxmlformats-officedocument.wordprocessingml.webSetting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>
  <w:body>
    <w:tbl>
      <w:tblPr>
        <w:tblStyle w:val="TableStyle0"/>
        <w:tblW w:w="0" w:type="auto"/>
        <w:tblLayout w:type="autofit"/>
        <w:tblCellMar>
          <w:left w:w="108" w:type="dxa"/>
          <w:right w:w="108" w:type="dxa"/>
        </w:tblCellMar>
        <w:tblLook w:val="04A0"/>
      </w:tblPr>
      <w:tblGrid>
        <w:gridCol w:w="643"/>
        <w:gridCol w:w="2349"/>
        <w:gridCol w:w="1772"/>
        <w:gridCol w:w="1076"/>
        <w:gridCol w:w="1404"/>
        <w:gridCol w:w="1129"/>
        <w:gridCol w:w="630"/>
        <w:gridCol w:w="315"/>
        <w:gridCol w:w="315"/>
        <w:gridCol w:w="1063"/>
        <w:gridCol w:w="945"/>
      </w:tblGrid>
      <w:tr>
        <w:trPr>
          <w:trHeight w:val="60" w:hRule="atLeast"/>
        </w:trPr>
        <w:tc>
          <w:tcPr>
            <w:tcW w:w="10696" w:type="dxa"/>
            <w:vMerge w:val="restart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Федеральное государственное автономное образовательное </w:t>
              <w:br/>
              <w:t>
учреждение высшего образования </w:t>
              <w:br/>
              <w:t>
«Московский физико-технический институт </w:t>
              <w:br/>
              <w:t>
(национальный исследовательский университет)»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vMerge w:val="continue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vMerge w:val="continue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vMerge w:val="continue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848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478" w:type="dxa"/>
            <w:gridSpan w:val="4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УТВЕРЖДЕНО</w:t>
            </w:r>
          </w:p>
        </w:tc>
        <w:tc>
          <w:tcPr>
            <w:tcW w:w="315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793" w:type="dxa"/>
            <w:vMerge w:val="restart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Директор физтех-школы прикладной математики и информатики</w:t>
            </w: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793" w:type="dxa"/>
            <w:vMerge w:val="continue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3478" w:type="dxa"/>
            <w:gridSpan w:val="4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А.М. Райгородский</w:t>
            </w:r>
          </w:p>
        </w:tc>
        <w:tc>
          <w:tcPr>
            <w:tcW w:w="315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7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3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Рабочая программа дисциплины (модуля)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по дисциплине: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Natural Language Processing/Обработка естественного языка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по направлению: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Прикладная математика и информатика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профиль подготовки:</w:t>
            </w:r>
          </w:p>
        </w:tc>
        <w:tc>
          <w:tcPr>
            <w:tcW w:w="2349" w:type="dxa"/>
            <w:tcBorders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Modern State of Artificial Intelligence/Современные методы искусственного интеллекта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Физтех-школа Прикладной Математики и Информатики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8649" w:type="dxa"/>
            <w:gridSpan w:val="9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кафедра дискретной математики</w:t>
            </w: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курс: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квалификация: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магистр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1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Семестр, формы промежуточной аттестации: 3 (осенний) - Экзамен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Аудиторных часов: 75 всего, в том числе: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3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лекции: 45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3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семинары: 30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30" w:type="dxa"/>
            <w:gridSpan w:val="5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лабораторные занятия: 0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Самостоятельная работа: 75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2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Подготовка к экзамену: 30 час.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Всего часов: 180, всего зач. ед.: 4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5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Программу составил: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Р.Г. Нейчев, профессор</w:t>
            </w:r>
          </w:p>
        </w:tc>
        <w:tc>
          <w:tcPr>
            <w:tcW w:w="945" w:type="dxa"/>
            <w:shd w:val="clear" w:color="FFFFFF" w:fill="auto"/>
            <w:textDirection w:val="lrTb"/>
            <w:vAlign w:val="top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2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8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11641" w:type="dxa"/>
            <w:gridSpan w:val="11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Программа обсуждена на заседании кафедры дискретной математики 05.03.2020</w:t>
            </w:r>
          </w:p>
        </w:tc>
      </w:tr>
      <w:tr>
        <w:trPr>
          <w:trHeight w:val="22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</w:tr>
      <w:tr>
        <w:trPr>
          <w:trHeight w:val="15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890" w:type="dxa"/>
            <w:gridSpan w:val="2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5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p>
        <w:r>
          <w:br w:type="page"/>
        </w:r>
      </w:p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Аннотация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Современные подходы в различных областях искусственного интеллекта основаны на методах глубокого обучения (например, в компьютерном зрении, обработке естественного языка, обучении с подкреплением и т. Д.). Глубокие нейронные архитектуры демонстрируют большой потенциал и обещают даже лучшие результаты, поэтому сейчас определенно самое лучшее. время исследовать эту область.</w:t>
            </w:r>
          </w:p>
        </w:tc>
        <w:tc>
          <w:tcPr>
            <w:tcW w:w="945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</w:tr>
      <w:tr>
        <w:trPr/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</w:tr>
      <w:tr>
        <w:trPr/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 этом курсе мы начнем с основ и быстро погрузимся в последние результаты в области обработки естественного языка, уделяя особое внимание новым подходам и прикладным методам. Этот курс имеет тенденцию развивать как практические навыки, так и теоретическую базу, чтобы предоставить студентам глубокие теоретические знания и способность работать самостоятельно над проектами НЛП.</w:t>
            </w:r>
          </w:p>
        </w:tc>
        <w:tc>
          <w:tcPr>
            <w:tcW w:w="945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1. Цели и задачи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Цель дисциплины</w:t>
            </w: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● Познакомьтесь с классическими и новыми техниками в области НЛП.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● Получите практический опыт решения задач обработки естественного языка.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● Развивать навыки применения моделей НЛП к реальным данным.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6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Задачи дисциплины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●Постановка задачи обработки естественного языка и возможность разработать общий конвейер решения.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● Выберите подходящий подход и модель для конкретной проблемы.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● Существенный опыт работы с фреймворком PyTorch и Python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2. Перечень формируемых компетенций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Освоение дисциплины направлено на формирование следующих компетенций: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Код и наименование компетенции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Индикаторы достижения компетенции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 Способен решать актуальные задачи фундаментальной и прикладной математики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ОПК-1.2 Способен обобщать и критически оценивать опыт и результаты научных исследований в области профессиональной деятельности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ПК-1 Готов к включению в профессиональное сообщество; способен проводить под научным руководством локальные исследования на основе существующих методов в конкретной области профессиональной деятельности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ПК-1.2 Умеет решать научные задачи с пониманием существующих подходов к верификации моделей программного обеспечения в связи с поставленной целью и в соответствии с выбранной методикой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ПК-2 Понимает и способен применить в научно-исследовательской и прикладной деятельности современный математический аппарат и алгоритмы, основные законы естествознания, современные языки программирования и программное обеспечение; операционные системы и сетевые технологии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ПК-2.1 Знает основы научно-исследовательской деятельности в области информационно-коммуникационных технологий, владеет знанием основ философии и методологии науки; знанием методов научных исследований и навыками их проведения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3. Перечень планируемых результатов обучения по дисциплине (модулю)</w:t>
            </w: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 результате освоения дисциплины обучающиеся должны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знать:</w:t>
            </w: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постановку задач морфологического, синтаксического анализа;</w:t>
              <w:br/>
              <w:t>
- методы решения этих задач.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уметь: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формулировать задачи классификации текстов, предложений или их элементов для выделения структурированной информации;</w:t>
              <w:br/>
              <w:t>
- реализовывать подходящий алгоритм классификации текстов;</w:t>
              <w:br/>
              <w:t>
- решать задачи выделения ключевых слов и определения тональности.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владеть: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основными программными системами для выделения скрытых тем и снижения размерности векторных моделей.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4. Содержание дисциплины (модуля), структурированное по темам (разделам) с указанием отведенного на них количества академических часов и видов учебных занятий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4.1. Разделы дисциплины (модуля) и трудоемкости по видам учебных занятий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single" w:sz="10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30" w:hRule="atLeast"/>
        </w:trPr>
        <w:tc>
          <w:tcPr>
            <w:tcW w:w="643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№</w:t>
            </w:r>
          </w:p>
        </w:tc>
        <w:tc>
          <w:tcPr>
            <w:tcW w:w="4121" w:type="dxa"/>
            <w:vMerge w:val="restart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Тема (раздел) дисциплины</w:t>
            </w:r>
          </w:p>
        </w:tc>
        <w:tc>
          <w:tcPr>
            <w:tcW w:w="5932" w:type="dxa"/>
            <w:gridSpan w:val="7"/>
            <w:tcBorders>
              <w:top w:val="single" w:sz="10" w:space="0" w:color="auto"/>
              <w:left w:val="single" w:sz="5" w:space="0" w:color="auto"/>
              <w:bottom w:val="non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Трудоемкость по видам учебных занятий, включая самостоятельную работу, час.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30" w:hRule="atLeast"/>
        </w:trPr>
        <w:tc>
          <w:tcPr>
            <w:tcW w:w="643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4121" w:type="dxa"/>
            <w:vMerge w:val="continue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Лекции</w:t>
            </w:r>
          </w:p>
        </w:tc>
        <w:tc>
          <w:tcPr>
            <w:tcW w:w="1404" w:type="dxa"/>
            <w:vMerge w:val="restart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2"/>
                <w:szCs w:val="22"/>
                <w:color w:val="000000"/>
              </w:rPr>
            </w:pPr>
            <w:r>
              <w:rPr>
                <w:rFonts w:ascii="Times New Roman" w:hAnsi="Times New Roman"/>
                <w:sz w:val="22"/>
                <w:szCs w:val="22"/>
                <w:color w:val="000000"/>
              </w:rPr>
              <w:t>Семинары</w:t>
            </w:r>
          </w:p>
        </w:tc>
        <w:tc>
          <w:tcPr>
            <w:tcW w:w="2074" w:type="dxa"/>
            <w:vMerge w:val="restart"/>
            <w:gridSpan w:val="3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Лаборат. работы</w:t>
            </w:r>
          </w:p>
        </w:tc>
        <w:tc>
          <w:tcPr>
            <w:tcW w:w="1378" w:type="dxa"/>
            <w:vMerge w:val="restart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Самост. работа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570" w:hRule="atLeast"/>
        </w:trPr>
        <w:tc>
          <w:tcPr>
            <w:tcW w:w="643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4121" w:type="dxa"/>
            <w:vMerge w:val="continue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vMerge w:val="continue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2"/>
                <w:szCs w:val="22"/>
                <w:color w:val="000000"/>
              </w:rPr>
            </w:pPr>
          </w:p>
        </w:tc>
        <w:tc>
          <w:tcPr>
            <w:tcW w:w="2074" w:type="dxa"/>
            <w:vMerge w:val="continue"/>
            <w:gridSpan w:val="3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vMerge w:val="continue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Классические подходы к векторизации текста: BoW, TF-IDF.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15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Взрыв в глубоких нейронных сетях.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15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Поиск луча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15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Внимание к архитектуре кодер-декодер.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15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</w:t>
            </w:r>
          </w:p>
        </w:tc>
        <w:tc>
          <w:tcPr>
            <w:tcW w:w="4121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Обзор семейства GPT.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15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42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Итого часов</w:t>
            </w:r>
          </w:p>
        </w:tc>
        <w:tc>
          <w:tcPr>
            <w:tcW w:w="1076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45</w:t>
            </w:r>
          </w:p>
        </w:tc>
        <w:tc>
          <w:tcPr>
            <w:tcW w:w="1404" w:type="dxa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30</w:t>
            </w:r>
          </w:p>
        </w:tc>
        <w:tc>
          <w:tcPr>
            <w:tcW w:w="207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378" w:type="dxa"/>
            <w:gridSpan w:val="2"/>
            <w:tcBorders>
              <w:top w:val="single" w:sz="5" w:space="0" w:color="auto"/>
              <w:left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75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75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10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Подготовка к экзамену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30 час.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945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10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Общая трудоёмкость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10" w:space="0" w:color="auto"/>
              <w:right w:val="singl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180 час., 4 зач.ед.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single" w:sz="10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4.2. </w:t>
            </w: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Содержание дисциплины (модуля), структурированное по темам (разделам)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Семестр: 3 (Осенний)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Классические подходы к векторизации текста: BoW, TF-IDF.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Текстовые сочетания   Вложения слов; word2vec и GLoVe  языковые модели подход seq2seq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Взрыв в глубоких нейронных сетях.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 Сверточные нейронные сети в НЛП. CNN для обработки текста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Машинный перевод и нейронный машинный перевод.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 Поиск луча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Измерение качества сгенерированного текста. BLEU / Оценка недоумения.  Механизм внимания. Механизм самовнимания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 Внимание к архитектуре кодер-декодер.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Обзор архитектуры трансформатора.  Предварительная подготовка по НЛП.  Контекстные вложения. ELMo. Обзор BERT.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5. Обзор семейства GPT.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Системы ответов на вопросы и знания. Двунаправленный поток внимания (BiDAF) Анализ настроений POS-теги, парсинг зависимостей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Тематическое моделирование (PLSA. LDA)    Техники RL в НЛП. Обучение самокритичной последовательности.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5. Описание материально-технической базы, необходимой для осуществления образовательного процесса по дисциплине (модулю)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b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Стандартная аудитория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6.Перечень рекомендуемой литературы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963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Основная литература</w:t>
            </w: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Машинное обучение [Текст]/Х. Бринк, Дж. Ричардс, М. Феверолф, Real-World Machine Learning, -СПб., Питер, 2017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Python и машинное обучение [Текст] = Python Machine Learning : крайне необходимое издание по новейшей предсказательной аналитике для более глубокого понимания методологии машинного обучения / С. Рашка; пер. с англ. А. В. Логунова .— М. : ДМК Пресс, 2017 .— 418 с.: ил. - Предм. указ.: с. 408-417. - 200 экз. - ISBN 978-5-97060-409-0 (в пер.) .— Полный текст (Доступ из сети МФТИ / Удаленный доступ).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963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525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Дополнительная литература</w:t>
            </w: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Математические основы машинного обучения и прогнозирования [Текст] / В. В. Вьюгин ; Моск. физ.-техн. ин-т (гос. ун-т), Лаб. структурных методов анализа данных в предсказательном моделировании (ПреМоЛаб), Ин-т проблем передачи информации им. А. А. Харкевича РАН - М.МЦНМО,2013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7. Перечень ресурсов информационно-телекоммуникационной сети "Интернет", необходимых для освоения дисциплины (модуля)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http://dm.fizteh.ru/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8.  Перечень информационных технологий, используемых при осуществлении образовательного процесса по дисциплине (модулю), включая перечень необходимого программного обеспечения и информационных справочных систем (при необходимости)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b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Мультимедийные технологии можно использовать на лекциях и практических занятиях, в том числе на презентациях.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3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9. Методические указания для обучающихся по освоению дисциплины (модуля)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>
              <w:left w:w="630" w:type="dxa"/>
            </w:tcMar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Студент, изучающий дисциплину, должен с одной стороны, овладеть общим понятийным аппаратом, а с другой стороны, должен научиться применять теоретические знания на практике.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 результате изучения дисциплины студент должен знать основные определения, понятия, аксиомы.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Успешное освоение курса требует напряжённой самостоятельной работы студента. В программе курса приведено минимально необходимое время для работы студента над темой. Самостоятельная работа включает в себя: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– чтение и конспектирование рекомендованной литературы;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– проработку учебного материала (по учебной и научной литературе), подготовку ответов на вопросы, предназначенных для самостоятельного изучения, доказательство отдельных утверждений, свойств;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– подготовку к дифференцированному зачету.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Руководство и контроль за самостоятельной работой студента осуществляется в форме индивидуальных консультаций.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Важно добиться понимания изучаемого материала, а не механического его запоминания. При затруднении изучения отдельных тем, вопросов, следует обращаться за консультациями к лектору.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p>
        <w:r>
          <w:br w:type="page"/>
        </w:r>
      </w:p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053" w:type="dxa"/>
            <w:gridSpan w:val="9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ПРИЛОЖЕНИЕ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19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53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23" w:type="dxa"/>
            <w:gridSpan w:val="4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630" w:type="dxa"/>
            <w:tcBorders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315" w:type="dxa"/>
            <w:tcBorders>
              <w:bottom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31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tcBorders>
              <w:top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righ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405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ОЦЕНОЧНЫЕ МАТЕРИАЛЫ ПО ДИСЦИПЛИНЕ (МОДУЛЮ)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7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3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по направлению: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Прикладная математика и информатика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профиль подготовки:</w:t>
            </w:r>
          </w:p>
        </w:tc>
        <w:tc>
          <w:tcPr>
            <w:tcW w:w="2349" w:type="dxa"/>
            <w:tcBorders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Modern State of Artificial Intelligence/Современные методы искусственного интеллекта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Физтех-школа Прикладной Математики и Информатики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кафедра дискретной математики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курс:</w:t>
            </w:r>
          </w:p>
        </w:tc>
        <w:tc>
          <w:tcPr>
            <w:tcW w:w="53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u w:val="single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u w:val="single"/>
                <w:color w:val="000000"/>
              </w:rPr>
              <w:t>2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4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квалификация:</w:t>
            </w:r>
          </w:p>
        </w:tc>
        <w:tc>
          <w:tcPr>
            <w:tcW w:w="5381" w:type="dxa"/>
            <w:gridSpan w:val="4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магистр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1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Семестр, формы промежуточной аттестации: 3 (осенний) - Экзамен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1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/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Разработчик:</w:t>
            </w:r>
          </w:p>
        </w:tc>
        <w:tc>
          <w:tcPr>
            <w:tcW w:w="7704" w:type="dxa"/>
            <w:gridSpan w:val="8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top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Р.Г. Нейчев, профессор</w:t>
            </w:r>
          </w:p>
        </w:tc>
        <w:tc>
          <w:tcPr>
            <w:tcW w:w="945" w:type="dxa"/>
            <w:shd w:val="clear" w:color="FFFFFF" w:fill="auto"/>
            <w:textDirection w:val="lrTb"/>
            <w:vAlign w:val="top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22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p>
        <w:r>
          <w:br w:type="page"/>
        </w:r>
      </w:p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1. Компетенции, формируемые в процессе изучения дисциплины</w:t>
              <w:br/>
              <w:t>
</w:t>
              <w:br/>
              <w:t>
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Код и наименование компетенции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Индикаторы достижения компетенции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wordWrap w:val="0"/>
              <w:jc w:val="center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 Способен решать актуальные задачи фундаментальной и прикладной математики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ОПК-1.2 Способен обобщать и критически оценивать опыт и результаты научных исследований в области профессиональной деятельности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ПК-1 Готов к включению в профессиональное сообщество; способен проводить под научным руководством локальные исследования на основе существующих методов в конкретной области профессиональной деятельности 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ПК-1.2 Умеет решать научные задачи с пониманием существующих подходов к верификации моделей программного обеспечения в связи с поставленной целью и в соответствии с выбранной методикой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4764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tcMar>
              <w:left w:w="0" w:type="dxa"/>
            </w:tcMar>
            <w:textDirection w:val="lrTb"/>
            <w:vAlign w:val="center"/>
          </w:tcPr>
          <w:p>
            <w:pPr>
              <w:wordWrap w:val="1"/>
              <w:jc w:val="left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ПК-2 Понимает и способен применить в научно-исследовательской и прикладной деятельности современный математический аппарат и алгоритмы, основные законы естествознания, современные языки программирования и программное обеспечение; операционные системы и сетевые технологии</w:t>
            </w:r>
          </w:p>
        </w:tc>
        <w:tc>
          <w:tcPr>
            <w:tcW w:w="5932" w:type="dxa"/>
            <w:gridSpan w:val="7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tcMar/>
            <w:textDirection w:val="lrTb"/>
            <w:vAlign w:val="top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ПК-2.1 Знает основы научно-исследовательской деятельности в области информационно-коммуникационных технологий, владеет знанием основ философии и методологии науки; знанием методов научных исследований и навыками их проведения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left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15" w:hRule="atLeast"/>
        </w:trPr>
        <w:tc>
          <w:tcPr>
            <w:tcW w:w="8373" w:type="dxa"/>
            <w:gridSpan w:val="6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2. Показатели оценивания компетенций</w:t>
            </w: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Calibri" w:hAnsi="Calibri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 результате изучения дисциплины «Natural Language Processing/Обработка естественного языка» обучающийся должен: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знать:</w:t>
            </w: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постановку задач морфологического, синтаксического анализа;</w:t>
              <w:br/>
              <w:t>
- методы решения этих задач.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уметь:</w:t>
            </w: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формулировать задачи классификации текстов, предложений или их элементов для выделения структурированной информации;</w:t>
              <w:br/>
              <w:t>
- реализовывать подходящий алгоритм классификации текстов;</w:t>
              <w:br/>
              <w:t>
- решать задачи выделения ключевых слов и определения тональности.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300" w:hRule="atLeast"/>
        </w:trPr>
        <w:tc>
          <w:tcPr>
            <w:tcW w:w="2992" w:type="dxa"/>
            <w:gridSpan w:val="2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владеть:</w:t>
            </w:r>
          </w:p>
        </w:tc>
        <w:tc>
          <w:tcPr>
            <w:tcW w:w="1772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76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404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129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260" w:type="dxa"/>
            <w:gridSpan w:val="3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106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0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- основными программными системами для выделения скрытых тем и снижения размерности векторных моделей.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  <w:bottom w:val="none" w:sz="5" w:space="0" w:color="auto"/>
              <w:righ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b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color w:val="000000"/>
              </w:rPr>
              <w:t>3. Перечень типовых (примерных) вопросов, заданий, тем для подготовки к текущему контролю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Представления слов: основные подходы (BoW, TF-iDF).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Вложения слов (word2vec: линейность, скип-грамма, отрицательная выборка, ключевые идеи)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 RNN в обработке текста. Контекст, память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 CNN в обработке текста. Отношение к подходу n-грамматики.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5. Механизм внимания.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6. Механизм самовнимания.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7. Контекстуализированные вложения.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8. Архитектура преобразователя: основные детали структуры кодировщика и декодера.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9. Архитектура BERT. Основные идеи (маскировка, предварительное обучение по многим задачам)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10. Метрики машинного перевода, функции качества.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11. Предварительная подготовка по проблемам НЛП.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12. Предвзятость при формировании языка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13. Вопросно-ответные системы: ключевые понятия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14. Подход к обучению самокритичной последовательности.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extDirection w:val="lrTb"/>
            <w:vAlign w:val="bottom"/>
          </w:tcPr>
          <w:p>
            <w:pPr>
              <w:wordWrap w:val="1"/>
              <w:jc w:val="lef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4. Перечень типовых (примерных) вопросов и тем для проведения промежуточной аттестации обучающихся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Вопросы к экзамену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Докажите, что если m, n - два взаимно простых целых числа разной четности, то числа m2 - n2 и 2mn также взаимно просты.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Напишите и докажите общую формулу для количества различных представлений данного целого числа n в виде суммы двух квадратов. (Представители, которые не получены друг от друга путем изменения знаков и порядка слов, считаются разными.)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3. На основе полученной формулы выведите нижнюю границу максимального числа равных расстояний между заданными n точками на плоскости, используя правильную прямоугольную решетку.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4. Постройте правильный пятиугольник с помощью циркуля и линейки.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5. Постройте правильный 15-угольник, используя циркуль и линейку.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6. Вам дается один сегмент. Требуется построить с помощью циркуля и линейки отрезок длины x, удовлетворяющий уравнению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7. Основываясь на предыдущем задании, докажите, что правильный семиугольник нельзя построить с помощью циркуля и линейки.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8. Докажите, что трисекция угла невозможна.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9. Опишите все возможные комбинации количества черных и белых шаров в урне для голосования, чтобы при случайном вылове двух шаров в выборке без возврата, вероятность вылова двух белых шаров составляла точно 0,5.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10. Рассмотрим соотношение сторон a, b, c треугольника, в котором треугольник с вершинами в основании биссектрис равнобедренный. Предполагая, что стороны, сходящиеся на стороне c большого треугольника, равны, сведем это соотношение к следующему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11. Далее мы рассматриваем куб, определяемый первым из трех уравнений (отказ от требования, чтобы a, b, c были сторонами треугольника). Покажите, что полученный куб неразложим, то есть определяющий его многочлен не учитывается.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12. В дополнение к этому, покажите, что наш куб неособен, то есть на его проективизации нет ни одной точки, в которой каждое направление касалось бы (или того же самого, в котором все три первые частные производные многочлена, определяющего его, вырождаются. ).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Примеры экзаменационных билетов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Билет №1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Напишите и докажите общую формулу для количества различных представлений данного целого числа n в виде суммы двух квадратов.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Докажите, что трисекция угла невозможна.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Билет №2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1. Рассмотрим соотношение сторон a, b, c треугольника, в котором треугольник с вершинами в основании биссектрис равнобедренный.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2. Опишите всевозможные комбинации чисел черных и белых шаров в урне для голосования так, чтобы, если два шара случайно выловлены в выборке и не вернулись, вероятность вылова двух белых шаров была ровно 0,5.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8373" w:type="dxa"/>
            <w:gridSpan w:val="6"/>
            <w:shd w:val="clear" w:color="FFFFFF" w:fill="auto"/>
            <w:textDirection w:val="lrTb"/>
            <w:vAlign w:val="bottom"/>
          </w:tcPr>
          <w:p>
            <w:pPr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Критерии оценивания</w:t>
            </w: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«отлично (10)» выставляется студенту, который проявил всестороннее, систематическое и глубокое знание материала образовательной программы, самостоятельно выполнил все задачи, предусмотренные программой, глубоко изучил основную и дополнительную литературу, рекомендованную программой. , активно работает в классе и понимает основные научные концепции по изучаемой дисциплине, проявил творческий подход и научный подход в понимании и представлении материала образовательной программы, ответ на который характеризуется использованием богатых и адекватных терминов, а также последовательным и логичным изложение материала;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«отлично (9)» дается студенту, который продемонстрировал всестороннее систематическое знание материала образовательной программы, самостоятельно выполнил все задачи, предусмотренные программой, глубоко усвоил основную литературу и знаком с рекомендуемой дополнительной литературой. по программе, активно проработал на занятиях, показал системность знаний по дисциплине, достаточную для дальнейшего изучения, а также умение самостоятельно расширять ее, ответ которой отличается точностью используемых терминов, а изложение материала в нем последовательное и логичное;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«отлично (8)» выставляется студенту, который проявил полное знание материала образовательной программы, не допускает существенных неточностей в своем ответе, самостоятельно выполнил все задания, предусмотренные программой, изучил основную литературу, рекомендованную учебной программой. программа, активно проработанная на занятиях, показала системность его знаний по дисциплине, достаточных для дальнейшего изучения, а также способность самостоятельно их расширять;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«хорошо (7)» выставляется студенту, который проявил достаточно полное знание материала образовательной программы, не допускает существенных неточностей в ответе, самостоятельно выполнил все задания, предусмотренные программой, изучил основную рекомендованную литературу по программе, активно работал на занятиях, проявил системность своих знаний по дисциплине, достаточных для дальнейшего изучения, а также способность самостоятельно их усиливать;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«хорошо (6)» выставляется студенту, который проявил достаточно полное знание материала образовательной программы, не допускает существенных неточностей в своем ответе, самостоятельно выполнил основные задачи, предусмотренные программой, изучил основную литературу. рекомендован программой, показал систематичность своих знаний по дисциплине, достаточную для дальнейшего изучения;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«хорошо (5)» дается студенту, продемонстрировавшему знание материала основной образовательной программы в объеме, необходимом для дальнейшего обучения и будущей работы по профессии, который, не проявляя достаточной активности на уроках, тем не менее самостоятельно выполнял овладел основными задачами, предусмотренными программой, освоил основную литературу, рекомендованную программой, допустил ошибки в их выполнении и ответе во время тестирования, но имеет необходимые знания для исправления этих ошибок самостоятельно;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«удовлетворительно (4)» дается студенту, обнаружившему знание материала основной образовательной программы в объеме, необходимом для дальнейшего обучения и будущей работы по профессии, который, не проявляя достаточной активности на уроках, тем не менее самостоятельно выполнял выполнил основные задачи, предусмотренные программой, изучил основную литературу, но допустил ошибки в их выполнении и в своем ответе во время теста, но имеет необходимые знания для исправления этих ошибок под руководством преподавателя;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«удовлетворительно (3)» выставляется обучающемуся, проявившему знание материала основной образовательной программы в объеме, необходимом для дальнейшего обучения и будущей работы по профессии, не проявившего активности на занятиях, самостоятельно выполнившего основные задания, предусмотренные законодательством. программа, но допускающая ошибки в их выполнении и в ответе во время теста, но обладающая необходимыми знаниями для устранения под руководством преподавателя наиболее существенных ошибок;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«неудовлетворительно (2)» дается студенту, который показал пробелы в знаниях или недостаток знаний по значительной части материала основной образовательной программы, не выполнил самостоятельно основные задачи, требуемые программой, допустил принципиальные ошибки в выполнение предусмотренных программой задач, не имеющего возможности продолжить учебу или начать профессиональную деятельность без дополнительной подготовки по данной дисциплине;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Оценка «неудовлетворительно (1)» ставится студенту при отсутствии ответа (отказ от ответа), либо когда представленный ответ совсем не соответствует сути вопросов, содержащихся в задании.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shd w:val="clear" w:color="FFFFFF" w:fill="auto"/>
            <w:textDirection w:val="lrTb"/>
            <w:vAlign w:val="bottom"/>
          </w:tcPr>
          <w:p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5. Методические материалы, определяющие процедуры оценивания знаний, умений, навыков и (или) опыта деятельности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64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34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772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76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404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129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260" w:type="dxa"/>
            <w:gridSpan w:val="3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1063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  <w:tr>
        <w:trPr>
          <w:trHeight w:val="60" w:hRule="atLeast"/>
        </w:trPr>
        <w:tc>
          <w:tcPr>
            <w:tcW w:w="10696" w:type="dxa"/>
            <w:gridSpan w:val="10"/>
            <w:tcBorders>
              <w:top w:val="none" w:sz="5" w:space="0" w:color="auto"/>
              <w:left w:val="none" w:sz="5" w:space="0" w:color="auto"/>
            </w:tcBorders>
            <w:shd w:val="clear" w:color="FFFFFF" w:fill="auto"/>
            <w:tcMar/>
            <w:textDirection w:val="lrTb"/>
            <w:vAlign w:val="bottom"/>
          </w:tcPr>
          <w:p>
            <w:pPr>
              <w:wordWrap w:val="1"/>
              <w:jc w:val="both"/>
              <w:rPr>
                <w:rFonts w:ascii="Times New Roman" w:hAnsi="Times New Roman"/>
                <w:sz w:val="24"/>
                <w:szCs w:val="24"/>
                <w:color w:val="000000"/>
              </w:rPr>
            </w:pPr>
            <w:r>
              <w:rPr>
                <w:rFonts w:ascii="Times New Roman" w:hAnsi="Times New Roman"/>
                <w:sz w:val="24"/>
                <w:szCs w:val="24"/>
                <w:color w:val="000000"/>
              </w:rPr>
              <w:t>Во время экзамена студенту разрешается использовать программу дисциплины.</w:t>
            </w:r>
          </w:p>
        </w:tc>
        <w:tc>
          <w:tcPr>
            <w:tcW w:w="945" w:type="dxa"/>
            <w:shd w:val="clear" w:color="FFFFFF" w:fill="auto"/>
            <w:textDirection w:val="lrTb"/>
            <w:vAlign w:val="bottom"/>
          </w:tcPr>
          <w:p>
            <w:pPr>
              <w:rPr>
                <w:rFonts w:ascii="Arial" w:hAnsi="Arial"/>
                <w:sz w:val="24"/>
                <w:szCs w:val="24"/>
              </w:rPr>
            </w:pPr>
          </w:p>
        </w:tc>
      </w:tr>
    </w:tbl>
    <w:sectPr>
      <w:pgSz w:w="11907" w:h="16839" w:orient="portrait"/>
      <w:pgMar w:top="283" w:right="567" w:bottom="283" w:left="567"/>
    </w:sectPr>
  </w:body>
</w:document>
</file>

<file path=word/settings.xml><?xml version="1.0" encoding="utf-8"?>
<w:settings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view w:val="web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style w:type="table" w:styleId="TableStyle0">
    <w:name w:val="TableStyle0"/>
    <w:pPr>
      <w:spacing w:after="0" w:line="240" w:lineRule="auto"/>
    </w:pPr>
    <w:rPr>
      <w:rFonts w:ascii="Arial" w:hAnsi="Arial"/>
      <w:sz w:val="16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settings" Target="settings.xml"/>
	<Relationship Id="rId8" Type="http://schemas.openxmlformats.org/officeDocument/2006/relationships/header" Target="header1.xml"/>
	<Relationship Id="rId9" Type="http://schemas.openxmlformats.org/officeDocument/2006/relationships/footer" Target="footer1.xml"/>
	<Relationship Id="rId10" Type="http://schemas.openxmlformats.org/officeDocument/2006/relationships/header" Target="header2.xml"/>
	<Relationship Id="rId11" Type="http://schemas.openxmlformats.org/officeDocument/2006/relationships/footer" Target="footer2.xml"/>
</Relationships>
</file>