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7eaa09e8cb34437e"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ИНТЕЛЛЕКТУАЛЬНЫХ КИБЕРНЕТИЧЕСКИХ СИСТЕМ</w:t>
      </w:r>
    </w:p>
    <w:p w:rsidR="00010244" w:rsidP="00010244" w:rsidRDefault="00010244">
      <w:pPr>
        <w:jc w:val="center"/>
      </w:pPr>
      <w:r>
        <w:rPr/>
        <w:t>КАФЕДРА КОМПЬЮТЕРНЫХ СИСТЕМ И ТЕХНОЛОГИЙ</w:t>
      </w:r>
    </w:p>
    <w:p w:rsidR="00010244" w:rsidP="00010244" w:rsidRDefault="00010244">
      <w:pPr>
        <w:jc w:val="center"/>
      </w:pPr>
    </w:p>
    <w:p w:rsidR="00010244" w:rsidP="00010244" w:rsidRDefault="00010244">
      <w:pPr>
        <w:jc w:val="right"/>
      </w:pPr>
      <w:r w:rsidRPr="00010244">
        <w:t>ОДОБРЕНО УМС ИИКС</w:t>
      </w:r>
      <w:r w:rsidRPr="00010244">
        <w:br/>
        <w:t/>
      </w:r>
      <w:r w:rsidRPr="00010244">
        <w:br/>
        <w:t>Протокол № УМС-575/08-1 </w:t>
      </w:r>
      <w:r w:rsidRPr="00010244">
        <w:br/>
        <w:t/>
      </w:r>
      <w:r w:rsidRPr="00010244">
        <w:br/>
        <w:t>от 28.08.2020 г.</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ЗАЩИТА ИНФОРМАЦИИ (ДОПОЛНИТЕЛЬНЫЕ ГЛАВЫ)</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09.03.01 Информатика и вычислительная техника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bl>
    <w:p w:rsidR="0019056A" w:rsidRDefault="0019056A"/>
    <w:p w:rsidRPr="00305144" w:rsidR="00F66786" w:rsidP="00305144" w:rsidRDefault="00F66786">
      <w:pPr>
        <w:pStyle w:val="aa"/>
      </w:pPr>
      <w:r w:rsidRPr="00305144">
        <w:br w:type="page"/>
        <w:t>АННОТАЦИЯ</w:t>
      </w:r>
    </w:p>
    <w:p>
      <w:pPr>
        <w:pStyle w:val="a8"/>
      </w:pPr>
      <w:r>
        <w:rPr/>
        <w:t>Дисциплина посвящена изучению дополнительных глав по курсу Защита информации, предусмотрено изучение семи учебных тем. </w:t>
      </w:r>
    </w:p>
    <w:p>
      <w:pPr>
        <w:pStyle w:val="a8"/>
      </w:pPr>
      <w:r>
        <w:rPr/>
        <w:t>Отмечается важность и сложность противодействия информационно-психологическому воздействию, атакам на компьютерные системы без использования технических средств. Рассматриваются методы защиты информации (ЗИ) от случайных деструктивных воздействий. Подробно рассматриваются методы защиты от активного противника, способного менять состояние атакуемой системы. Изучаются основы теории конечных полей, основы эллиптической криптографии.</w:t>
      </w:r>
    </w:p>
    <w:p w:rsidR="005151A7" w:rsidP="005151A7" w:rsidRDefault="00246A65">
      <w:pPr>
        <w:pStyle w:val="ac"/>
      </w:pPr>
      <w:r>
        <w:t>1.</w:t>
      </w:r>
      <w:r w:rsidRPr="00246A65">
        <w:tab/>
      </w:r>
      <w:r w:rsidR="005151A7">
        <w:t>ЦЕЛИ И ЗАДАЧИ ОСВОЕНИЯ УЧЕБНОЙ ДИСЦИПЛИНЫ</w:t>
      </w:r>
    </w:p>
    <w:p>
      <w:pPr>
        <w:pStyle w:val="a8"/>
      </w:pPr>
      <w:r>
        <w:rPr/>
        <w:t>Целью дисциплины «Защита информации (дополнительные главы)» является формирование у студентов знаний и представлений о методах защиты информации (ЗИ) от случайных деструктивных воздействий, о методах контролепригодного проектирования цифровой аппаратуры, методах защиты информации, пересылаемой по каналам связи, о стохастических методах ЗИ, а также о математических основах криптологии.</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Дисциплина «Защита информации (дополнительные главы)» относится к вариативным дисциплинам профессионального цикла направления 09.03.01. Приобретенные знания позволят студентам в своей будущей профессиональной деятельности безопасно использовать ключевые IT-технологии цифровой экономики. </w:t>
      </w:r>
    </w:p>
    <w:p>
      <w:pPr>
        <w:pStyle w:val="a8"/>
      </w:pPr>
      <w:r>
        <w:rPr/>
        <w:t>С точки зрения организации учебного процесса дисциплина связана со следующими дисциплинами ООП бакалавра, предусмотренными учебным планом:</w:t>
      </w:r>
    </w:p>
    <w:p>
      <w:pPr>
        <w:pStyle w:val="a8"/>
      </w:pPr>
      <w:r>
        <w:rPr/>
        <w:t> "Защита информации";</w:t>
      </w:r>
    </w:p>
    <w:p>
      <w:pPr>
        <w:pStyle w:val="a8"/>
      </w:pPr>
      <w:r>
        <w:rPr/>
        <w:t> "Схемотехника ЭВМ";</w:t>
      </w:r>
    </w:p>
    <w:p>
      <w:pPr>
        <w:pStyle w:val="a8"/>
      </w:pPr>
      <w:r>
        <w:rPr/>
        <w:t> "Низкоуровневое программирование";</w:t>
      </w:r>
    </w:p>
    <w:p>
      <w:pPr>
        <w:pStyle w:val="a8"/>
      </w:pPr>
      <w:r>
        <w:rPr/>
        <w:t> "Программирование на языке высокого уровня".</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и(или)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bl>
    <w:p>
      <w:pPr>
        <w:pStyle w:val="a8"/>
      </w:pPr>
      <w:r>
        <w:rPr/>
        <w:t> </w:t>
      </w:r>
    </w:p>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КИ</w:t>
            </w:r>
          </w:p>
        </w:tc>
        <w:tc>
          <w:tcPr>
            <w:tcW w:w="9164" w:type="dxa"/>
          </w:tcPr>
          <w:p>
            <w:r>
              <w:rPr/>
              <w:t>Контроль по итогам</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8E1541" w:rsidP="008E1541" w:rsidRDefault="008E1541"/>
    <w:p w:rsidR="00A63548" w:rsidP="00A63548" w:rsidRDefault="00A63548">
      <w:pPr>
        <w:pStyle w:val="ac"/>
      </w:pPr>
      <w:r>
        <w:t>5.</w:t>
      </w:r>
      <w:r>
        <w:tab/>
        <w:t>ОБРАЗОВАТЕЛЬНЫЕ ТЕХНОЛОГИИ</w:t>
      </w:r>
    </w:p>
    <w:p>
      <w:pPr>
        <w:pStyle w:val="a8"/>
      </w:pPr>
      <w:r>
        <w:rPr/>
        <w:t>При изучении тем дисциплины «Защита информации (дополнительные главы)» используются различные образовательные технологии – во время аудиторных занятий читаются лекции с использованием ПК и мультимедийного проектора. Самостоятельная работа студентов предполагает участие преподавателей, осуществляющих чтение лекций, ведение практических занятий по данной дисциплине (консультации, помощь в написании тестов и т.д.) и индивидуальную работу студента в библиотеке и компьютерном классе. </w:t>
      </w:r>
    </w:p>
    <w:p>
      <w:pPr>
        <w:pStyle w:val="a8"/>
      </w:pPr>
      <w:r>
        <w:rPr/>
        <w:t> Методы обучения, применяемые при освоении дисциплины, способствуют закреп-лению и углублению знаний, овладению умениями и получению навыков в предметной области. Содержание учебного плана диктует выбор методов обучения:</w:t>
      </w:r>
    </w:p>
    <w:p>
      <w:pPr>
        <w:pStyle w:val="a8"/>
      </w:pPr>
      <w:r>
        <w:rPr/>
        <w:t> информационно-развивающие – объяснение, демонстрация, решение задач, само-стоятельная работа с рекомендуемой литературой;</w:t>
      </w:r>
    </w:p>
    <w:p>
      <w:pPr>
        <w:pStyle w:val="a8"/>
      </w:pPr>
      <w:r>
        <w:rPr/>
        <w:t> проблемно-поисковые и исследовательские – самостоятельная проработка предла-гаемых или самостоятельно формулируемых вопросов предметной области.</w:t>
      </w:r>
    </w:p>
    <w:p>
      <w:pPr>
        <w:pStyle w:val="a8"/>
      </w:pPr>
      <w:r>
        <w:rPr/>
        <w:t> использование методологии сильного мышления при разрешении технических противоречий, возникающих при решении задач ЗИ;</w:t>
      </w:r>
    </w:p>
    <w:p>
      <w:pPr>
        <w:pStyle w:val="a8"/>
      </w:pPr>
      <w:r>
        <w:rPr/>
        <w:t> проверка остаточных знаний и тестирование.</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И20 Криптографические методы защиты информации в компьютерных системах и сетях : учебное пособие для вузов, Москва: НИЯУ МИФИ, 2012</w:t>
      </w:r>
    </w:p>
    <w:p>
      <w:r>
        <w:t>2. ЭИ Ч-45 Применение искусственных нейронных сетей и системы остаточных классов в криптографии : учебное пособие, Москва: Физматлит, 2012</w:t>
      </w:r>
    </w:p>
    <w:p>
      <w:r>
        <w:t>3. ЭИ Р17 Разрушающие программные воздействия : учебно-методическое пособие для вузов, ред. М. А. Иванов, Москва: НИЯУ МИФИ, 2011</w:t>
      </w:r>
    </w:p>
    <w:p w:rsidR="005300F8" w:rsidP="005300F8" w:rsidRDefault="005300F8"/>
    <w:p w:rsidR="005300F8" w:rsidP="005300F8" w:rsidRDefault="005300F8">
      <w:r>
        <w:t>ДОПОЛНИТЕЛЬНАЯ ЛИТЕРАТУРА:</w:t>
      </w:r>
    </w:p>
    <w:p>
      <w:r>
        <w:t>1. 004 Р17 Разрушающие программные воздействия : учебно-методическое пособие для вузов, А. Б. Вавренюк [и др.], Москва: НИЯУ МИФИ, 2011</w:t>
      </w:r>
    </w:p>
    <w:p>
      <w:r>
        <w:t>2. 004 П64 Поточные шифры : , А.В.Асосков [и др.], М.: Кудиц-образ, 2003</w:t>
      </w:r>
    </w:p>
    <w:p>
      <w:r>
        <w:t>3. 004 Ш76 Секреты и ложь : Безопасность данных в цифровом мире, Б. Шнайер, М.и др.: Питер, 2003</w:t>
      </w:r>
    </w:p>
    <w:p>
      <w:r>
        <w:t>4. 004 Г82 Цифровая стеганография : , В. Г. Грибунин, И. Н. Оков, И. В. Туринцев, М.: Солон-Пресс, 2002</w:t>
      </w:r>
    </w:p>
    <w:p>
      <w:r>
        <w:t>5. 0 М24 Современная криптография : теория и практика, В. Мао, Москва [и др.]: Вильямс, 2005</w:t>
      </w:r>
    </w:p>
    <w:p>
      <w:r>
        <w:t>6. 004 И20 Криптографические методы защиты информации в компьютерных системах и сетях : учебное пособие для вузов, М. А. Иванов, И. В. Чугунков ; ред. : М. А. Иванов, Москва: НИЯУ МИФИ, 2012</w:t>
      </w:r>
    </w:p>
    <w:p>
      <w:r>
        <w:t>7. 004 И20 Теория, применение и оценка качества генераторов псевдослучайных последовательностей : , М.А. Иванов, И.В. Чугунков, Москва: Кудиц-образ, 2003</w:t>
      </w:r>
    </w:p>
    <w:p>
      <w:r>
        <w:t>8. 0 В24 Введение в криптографию : Новые математические дисциплины, Под ред. В.В. Ященко, СПб и др.: МЦНМО; Питер, 2001</w:t>
      </w:r>
    </w:p>
    <w:p>
      <w:r>
        <w:t>9. 519 С13 Введение в алгебраические коды : учебное пособие, Ю. Л. Сагалович, Москва: ИППИ, 2010</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https://online.mephi.ru/</w:t>
      </w:r>
    </w:p>
    <w:p>
      <w:r>
        <w:t>http://library.mephi.ru/</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sidR="00A63548" w:rsidP="005300F8" w:rsidRDefault="005300F8">
      <w:pPr>
        <w:pStyle w:val="ac"/>
      </w:pPr>
      <w:r w:rsidRPr="005300F8">
        <w:t>9.</w:t>
      </w:r>
      <w:r w:rsidRPr="005300F8">
        <w:tab/>
        <w:t>УЧЕБНО-МЕТОДИЧЕСКИЕ РЕКОМЕНДАЦИИ ДЛЯ СТУДЕНТОВ</w:t>
      </w:r>
    </w:p>
    <w:p>
      <w:pPr>
        <w:pStyle w:val="a8"/>
      </w:pPr>
      <w:r>
        <w:rPr/>
        <w:t>Приведены в приложении</w:t>
      </w:r>
    </w:p>
    <w:p>
      <w:r>
        <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Иванов Михаил Александрович, д.т.н., профессор</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C604AA" w:rsidP="00C604AA" w:rsidRDefault="007065DD">
      <w:pPr>
        <w:pStyle w:val="a8"/>
        <w:ind w:firstLine="0"/>
        <w:rPr>
          <w:lang w:val="en-US"/>
        </w:rPr>
      </w:pPr>
      <w:r>
        <w:t>Рецензент(ы):</w:t>
      </w:r>
      <w:proofErr w:type="gramStart"/>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rsidR="007065DD" w:rsidTr="00915CF4">
        <w:trPr>
          <w:trHeight w:val="1134"/>
        </w:trPr>
        <w:tc>
          <w:tcPr>
            <w:tcW w:w="250" w:type="dxa"/>
          </w:tcPr>
          <w:p w:rsidR="007065DD" w:rsidP="008C196C" w:rsidRDefault="007065DD">
            <w:pPr>
              <w:pStyle w:val="a8"/>
              <w:ind w:firstLine="0"/>
            </w:pPr>
          </w:p>
        </w:tc>
        <w:tc>
          <w:tcPr>
            <w:tcW w:w="5670" w:type="dxa"/>
          </w:tcPr>
          <w:p w:rsidR="007065DD" w:rsidP="006C6685" w:rsidRDefault="007065DD">
            <w:pPr>
              <w:pStyle w:val="a8"/>
              <w:ind w:firstLine="0"/>
            </w:pPr>
            <w:proofErr w:type="spellStart"/>
            <w:r>
              <w:t>Чугунков И.В.</w:t>
            </w:r>
          </w:p>
        </w:tc>
        <w:tc>
          <w:tcPr>
            <w:tcW w:w="4217" w:type="dxa"/>
          </w:tcPr>
          <w:p w:rsidRPr="00C604AA" w:rsidR="007065DD" w:rsidP="008C196C" w:rsidRDefault="007065DD">
            <w:pPr>
              <w:pStyle w:val="a8"/>
              <w:ind w:firstLine="0"/>
              <w:jc w:val="center"/>
              <w:rPr>
                <w:sz w:val="20"/>
                <w:szCs w:val="20"/>
                <w:u w:val="single"/>
              </w:rPr>
            </w:pPr>
            <w:r>
              <w:t/>
            </w:r>
          </w:p>
          <w:p w:rsidRPr="00C604AA" w:rsidR="007065DD" w:rsidP="008C196C" w:rsidRDefault="007065DD">
            <w:pPr>
              <w:pStyle w:val="a8"/>
              <w:ind w:firstLine="0"/>
              <w:jc w:val="center"/>
              <w:rPr>
                <w:sz w:val="20"/>
                <w:szCs w:val="20"/>
              </w:rPr>
            </w:pPr>
            <w:r w:rsidRPr="00C604AA">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