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734b2ba54714d5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КРИПТОГРАФИЧЕСКИЕ МЕТОДЫ ЗАЩИТЫ ИНФОРМАЦИИ</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3-5</w:t>
            </w:r>
          </w:p>
        </w:tc>
        <w:tc>
          <w:tcPr>
            <w:tcW w:w="957" w:type="dxa"/>
          </w:tcPr>
          <w:p w:rsidR="00F66786" w:rsidRDefault="00F66786">
            <w:r>
              <w:rPr/>
              <w:t>108-180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16</w:t>
            </w:r>
          </w:p>
        </w:tc>
        <w:tc>
          <w:tcPr>
            <w:tcW w:w="957" w:type="dxa"/>
          </w:tcPr>
          <w:p w:rsidR="00F66786" w:rsidRDefault="00F66786">
            <w:r>
              <w:rPr/>
              <w:t>24-96</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3-5</w:t>
            </w:r>
          </w:p>
        </w:tc>
        <w:tc>
          <w:tcPr>
            <w:tcW w:w="957" w:type="dxa"/>
          </w:tcPr>
          <w:p w:rsidR="00F66786" w:rsidRDefault="00F66786">
            <w:r>
              <w:rPr/>
              <w:t>108-180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16</w:t>
            </w:r>
          </w:p>
        </w:tc>
        <w:tc>
          <w:tcPr>
            <w:tcW w:w="957" w:type="dxa"/>
          </w:tcPr>
          <w:p w:rsidR="00F66786" w:rsidRDefault="00F66786">
            <w:r>
              <w:rPr/>
              <w:t>24-96</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принципов построения защищенных компьютерных систем, в том числе критически важных (ядерная энергетика, оборона, космос) компьютерных систем.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являются изучение принципов построения защищенных компьютерных систем, в том числе критически важных (ядерная энергетика, оборона, космос) компьютерных систем.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Защита информации относится к базовой части рабочего учебного плана.</w:t>
      </w:r>
    </w:p>
    <w:p>
      <w:pPr>
        <w:pStyle w:val="a8"/>
      </w:pPr>
      <w:r>
        <w:rPr/>
        <w:t>Для успешного освоения дисциплины Защита информации необходимы компетенции, формируемые в результате освоения следующих дисциплин:</w:t>
      </w:r>
    </w:p>
    <w:p>
      <w:pPr>
        <w:pStyle w:val="a8"/>
      </w:pPr>
      <w:r>
        <w:rPr/>
        <w:t>ЭВМ и периферийные устройства</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Защита информации от умышленных деструктивных воздействий</w:t>
            </w:r>
          </w:p>
        </w:tc>
        <w:tc>
          <w:tcPr>
            <w:tcW w:w="754" w:type="dxa"/>
          </w:tcPr>
          <w:p>
            <w:pPr>
              <w:pStyle w:val="a8"/>
              <w:ind w:firstLine="0"/>
            </w:pPr>
            <w:r>
              <w:rPr/>
              <w:t>1-8</w:t>
            </w:r>
          </w:p>
        </w:tc>
        <w:tc>
          <w:tcPr>
            <w:tcW w:w="1046" w:type="dxa"/>
          </w:tcPr>
          <w:p>
            <w:pPr>
              <w:pStyle w:val="a8"/>
              <w:ind w:firstLine="0"/>
            </w:pPr>
            <w:r>
              <w:rPr/>
              <w:t>16/0/8</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Защита информации от случайных деструктивных воздействий</w:t>
            </w:r>
          </w:p>
        </w:tc>
        <w:tc>
          <w:tcPr>
            <w:tcW w:w="754" w:type="dxa"/>
          </w:tcPr>
          <w:p>
            <w:pPr>
              <w:pStyle w:val="a8"/>
              <w:ind w:firstLine="0"/>
            </w:pPr>
            <w:r>
              <w:rPr/>
              <w:t>9-16</w:t>
            </w:r>
          </w:p>
        </w:tc>
        <w:tc>
          <w:tcPr>
            <w:tcW w:w="1046" w:type="dxa"/>
          </w:tcPr>
          <w:p>
            <w:pPr>
              <w:pStyle w:val="a8"/>
              <w:ind w:firstLine="0"/>
            </w:pPr>
            <w:r>
              <w:rPr/>
              <w:t>16/0/8</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32/0/16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0</w:t>
            </w:r>
          </w:p>
        </w:tc>
        <w:tc>
          <w:tcPr>
            <w:tcW w:w="815" w:type="dxa"/>
          </w:tcPr>
          <w:p>
            <w:r>
              <w:rPr/>
              <w:t>16</w:t>
            </w:r>
          </w:p>
        </w:tc>
      </w:tr>
      <w:tr>
        <w:tc>
          <w:tcPr>
            <w:tcW w:w="973" w:type="dxa"/>
          </w:tcPr>
          <w:p>
            <w:r>
              <w:rPr>
                <w:b/>
              </w:rPr>
              <w:t>1-8</w:t>
            </w:r>
          </w:p>
        </w:tc>
        <w:tc>
          <w:tcPr>
            <w:tcW w:w="6365" w:type="dxa"/>
          </w:tcPr>
          <w:p>
            <w:r>
              <w:rPr>
                <w:b/>
              </w:rPr>
              <w:t>Защита информации от умышленных деструктивных воздействий</w:t>
            </w:r>
          </w:p>
        </w:tc>
        <w:tc>
          <w:tcPr>
            <w:tcW w:w="850" w:type="dxa"/>
          </w:tcPr>
          <w:p>
            <w:r>
              <w:rPr/>
              <w:t>16</w:t>
            </w:r>
          </w:p>
        </w:tc>
        <w:tc>
          <w:tcPr>
            <w:tcW w:w="1134" w:type="dxa"/>
          </w:tcPr>
          <w:p>
            <w:r>
              <w:rPr/>
              <w:t>0</w:t>
            </w:r>
          </w:p>
        </w:tc>
        <w:tc>
          <w:tcPr>
            <w:tcW w:w="815" w:type="dxa"/>
          </w:tcPr>
          <w:p>
            <w:r>
              <w:rPr/>
              <w:t>8</w:t>
            </w:r>
          </w:p>
        </w:tc>
      </w:tr>
      <w:tr>
        <w:tc>
          <w:p>
            <w:r>
              <w:rPr/>
              <w:t>1</w:t>
            </w:r>
          </w:p>
          <w:tcPr>
            <w:vMerge w:val="restart"/>
            <w:tcW w:w="973" w:type="dxa"/>
          </w:tcPr>
        </w:tc>
        <w:tc>
          <w:p>
            <w:r>
              <w:rPr/>
              <w:t>Компьютерные системы (КС) как объекты защиты информации. Методы и средства защиты информации от случайных и преднаме-ренных деструктивных воздействий. Требования к эффективной системе обеспечения безопасности информации (ОБИ).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t>Введение в криптологию. Основные термины и определения. Криптографическое преобразование информации. Классификация шифров. Требования к качественному шифру. Требования к каче-ственной хеш-функции.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t>Криптосистемы с секретным ключом. ГОСТ 28147-89. Американ-ский стандарт криптозащиты AES-128. Поточные шифры A5, RC4.</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t>Криптосистемы с открытым ключом. Криптосистема RSA. Ранцевая криптосистема.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6 - 8</w:t>
            </w:r>
          </w:p>
          <w:tcPr>
            <w:vMerge w:val="restart"/>
            <w:tcW w:w="973" w:type="dxa"/>
          </w:tcPr>
        </w:tc>
        <w:tc>
          <w:p>
            <w:r>
              <w:rPr/>
              <w:t>Криптографические протоколы. Протокол выработки общего сек-ретного ключа. Протоколы электронной цифровой подписи. Про-токолы аутентификации удаленных абонентов. Протоколы доказа-тельства с нулевым разглашением знаний. Протоколы разделения секрета.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Защита информации от случайных деструктивных воздействий</w:t>
            </w:r>
          </w:p>
        </w:tc>
        <w:tc>
          <w:tcPr>
            <w:tcW w:w="850" w:type="dxa"/>
          </w:tcPr>
          <w:p>
            <w:r>
              <w:rPr/>
              <w:t>16</w:t>
            </w:r>
          </w:p>
        </w:tc>
        <w:tc>
          <w:tcPr>
            <w:tcW w:w="1134" w:type="dxa"/>
          </w:tcPr>
          <w:p>
            <w:r>
              <w:rPr/>
              <w:t>0</w:t>
            </w:r>
          </w:p>
        </w:tc>
        <w:tc>
          <w:tcPr>
            <w:tcW w:w="815" w:type="dxa"/>
          </w:tcPr>
          <w:p>
            <w:r>
              <w:rPr/>
              <w:t>8</w:t>
            </w:r>
          </w:p>
        </w:tc>
      </w:tr>
      <w:tr>
        <w:tc>
          <w:p>
            <w:r>
              <w:rPr/>
              <w:t>9</w:t>
            </w:r>
          </w:p>
          <w:tcPr>
            <w:vMerge w:val="restart"/>
            <w:tcW w:w="973" w:type="dxa"/>
          </w:tcPr>
        </w:tc>
        <w:tc>
          <w:p>
            <w:r>
              <w:rPr/>
              <w:t>Цифровые деньги. Структура централизованной платежной систе-мы. Жизненный цикл цифровой купюры.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10 - 11</w:t>
            </w:r>
          </w:p>
          <w:tcPr>
            <w:vMerge w:val="restart"/>
            <w:tcW w:w="973" w:type="dxa"/>
          </w:tcPr>
        </w:tc>
        <w:tc>
          <w:p>
            <w:r>
              <w:rPr/>
              <w:t>Стохастические методы защиты информации. Теория, применение и оценка качества генераторов псевдослучайных чисел (ГПСЧ). Внесение неопределенности в работу средств и объектов защиты. Функции ГПСЧ и хеш-генераторов в системах ОБИ.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t>Разрушающие программные воздействия (РПВ). Структура ком-плекса программных средств антивирусной защиты. Методы анти-вирусной защиты.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t>Контроль целостности информации. CRC-коды. Криптографиче-ские методы контроля целостности информации.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14 - 16</w:t>
            </w:r>
          </w:p>
          <w:tcPr>
            <w:vMerge w:val="restart"/>
            <w:tcW w:w="973" w:type="dxa"/>
          </w:tcPr>
        </w:tc>
        <w:tc>
          <w:p>
            <w:r>
              <w:rPr/>
              <w:t>Разграничение доступа. Организация парольных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
            </w:r>
          </w:p>
        </w:tc>
        <w:tc>
          <w:tcPr>
            <w:tcW w:w="9164" w:type="dxa"/>
          </w:tcPr>
          <w:p>
            <w:r>
              <w:rPr/>
              <w:t>ПЕРЕЧЕНЬ ЛАБОРАТОРНЫХ РАБОТ
</w:t>
            </w:r>
            <w:r>
              <w:br/>
            </w:r>
            <w:r>
              <w:rPr/>
              <w:t>
</w:t>
            </w:r>
            <w:r>
              <w:br/>
            </w:r>
            <w:r>
              <w:rPr/>
              <w:t>Работа 1. Криптоанализ шифра "Усложненная перестановка по таблице".
</w:t>
            </w:r>
            <w:r>
              <w:br/>
            </w:r>
            <w:r>
              <w:rPr/>
              <w:t>Работа 2. Протоколы электронной цифровой подписи.
</w:t>
            </w:r>
            <w:r>
              <w:br/>
            </w:r>
            <w:r>
              <w:rPr/>
              <w:t>Работа 3. Российский стандарт криптозащиты ГОСТ 28147-89.
</w:t>
            </w:r>
            <w:r>
              <w:br/>
            </w:r>
            <w:r>
              <w:rPr/>
              <w:t>Работа 4. Американский стандарт криптозащиты AES.
</w:t>
            </w:r>
            <w:r>
              <w:br/>
            </w:r>
            <w:r>
              <w:rPr/>
              <w:t/>
            </w:r>
          </w:p>
        </w:tc>
      </w:tr>
      <w:tr>
        <w:tc>
          <w:tcPr>
            <w:tcW w:w="973" w:type="dxa"/>
          </w:tcPr>
          <w:p>
            <w:r>
              <w:rPr/>
              <w:t>4 - 5</w:t>
            </w:r>
          </w:p>
        </w:tc>
        <w:tc>
          <w:tcPr>
            <w:tcW w:w="9164" w:type="dxa"/>
          </w:tcPr>
          <w:p>
            <w:r>
              <w:rPr/>
              <w:t>Работа 1. Криптоанализ шифра "Усложненная перестановка по таблице".</w:t>
            </w:r>
          </w:p>
        </w:tc>
      </w:tr>
      <w:tr>
        <w:tc>
          <w:tcPr>
            <w:tcW w:w="973" w:type="dxa"/>
          </w:tcPr>
          <w:p>
            <w:r>
              <w:rPr/>
              <w:t>5 - 7</w:t>
            </w:r>
          </w:p>
        </w:tc>
        <w:tc>
          <w:tcPr>
            <w:tcW w:w="9164" w:type="dxa"/>
          </w:tcPr>
          <w:p>
            <w:r>
              <w:rPr/>
              <w:t>Работа 2. Протоколы электронной цифровой подписи.</w:t>
            </w:r>
          </w:p>
        </w:tc>
      </w:tr>
      <w:tr>
        <w:tc>
          <w:tcPr>
            <w:tcW w:w="973" w:type="dxa"/>
          </w:tcPr>
          <w:p>
            <w:r>
              <w:rPr/>
              <w:t>8 - 9</w:t>
            </w:r>
          </w:p>
        </w:tc>
        <w:tc>
          <w:tcPr>
            <w:tcW w:w="9164" w:type="dxa"/>
          </w:tcPr>
          <w:p>
            <w:r>
              <w:rPr/>
              <w:t>Работа 3. Российский стандарт криптозащиты ГОСТ 28147-89.</w:t>
            </w:r>
          </w:p>
        </w:tc>
      </w:tr>
      <w:tr>
        <w:tc>
          <w:tcPr>
            <w:tcW w:w="973" w:type="dxa"/>
          </w:tcPr>
          <w:p>
            <w:r>
              <w:rPr/>
              <w:t>10 - 11</w:t>
            </w:r>
          </w:p>
        </w:tc>
        <w:tc>
          <w:tcPr>
            <w:tcW w:w="9164" w:type="dxa"/>
          </w:tcPr>
          <w:p>
            <w:r>
              <w:rPr/>
              <w:t>Работа 4. Американский стандарт криптозащиты AES.</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И20 Криптографические методы защиты информации в компьютерных системах и сетях : учебное пособие для вузов, Москва: НИЯУ МИФИ, 2012</w:t>
      </w:r>
    </w:p>
    <w:p>
      <w:r>
        <w:t>2. ЭИ Ч-45 Применение искусственных нейронных сетей и системы остаточных классов в криптографии : учебное пособие, Москва: Физматлит, 2012</w:t>
      </w:r>
    </w:p>
    <w:p>
      <w:r>
        <w:t>3. ЭИ Р17 Разрушающие программные воздействия : учебно-методическое пособие для вузов, ред. М. А. Иванов, Москва: НИЯУ МИФИ, 2011</w:t>
      </w:r>
    </w:p>
    <w:p w:rsidR="005300F8" w:rsidP="005300F8" w:rsidRDefault="005300F8"/>
    <w:p w:rsidR="005300F8" w:rsidP="005300F8" w:rsidRDefault="005300F8">
      <w:r>
        <w:t>ДОПОЛНИТЕЛЬНАЯ ЛИТЕРАТУРА:</w:t>
      </w:r>
    </w:p>
    <w:p>
      <w:r>
        <w:t>1. 004 Р17 Разрушающие программные воздействия : учебно-методическое пособие для вузов, А. Б. Вавренюк [и др.], Москва: НИЯУ МИФИ, 2011</w:t>
      </w:r>
    </w:p>
    <w:p>
      <w:r>
        <w:t>2. 004 П64 Поточные шифры : , А.В.Асосков [и др.], М.: Кудиц-образ, 2003</w:t>
      </w:r>
    </w:p>
    <w:p>
      <w:r>
        <w:t>3. 004 Ш76 Секреты и ложь : Безопасность данных в цифровом мире, Б. Шнайер, М.и др.: Питер, 2003</w:t>
      </w:r>
    </w:p>
    <w:p>
      <w:r>
        <w:t>4. 004 Г82 Цифровая стеганография : , В. Г. Грибунин, И. Н. Оков, И. В. Туринцев, М.: Солон-Пресс, 2002</w:t>
      </w:r>
    </w:p>
    <w:p>
      <w:r>
        <w:t>5. 0 М24 Современная криптография : теория и практика, В. Мао, Москва [и др.]: Вильямс, 2005</w:t>
      </w:r>
    </w:p>
    <w:p>
      <w:r>
        <w:t>6. 004 И20 Криптографические методы защиты информации в компьютерных системах и сетях : учебное пособие для вузов, М. А. Иванов, И. В. Чугунков ; ред. : М. А. Иванов, Москва: НИЯУ МИФИ, 2012</w:t>
      </w:r>
    </w:p>
    <w:p>
      <w:r>
        <w:t>7. 004 И20 Теория, применение и оценка качества генераторов псевдослучайных последовательностей : , М.А. Иванов, И.В. Чугунков, Москва: Кудиц-образ, 2003</w:t>
      </w:r>
    </w:p>
    <w:p>
      <w:r>
        <w:t>8. 0 В24 Введение в криптографию : Новые математические дисциплины, Под ред. В.В. Ященко, СПб и др.: МЦНМО; Питер, 2001</w:t>
      </w:r>
    </w:p>
    <w:p>
      <w:r>
        <w:t>9. 519 С13 Введение в алгебраические коды : учебное пособие, Ю. Л. Сагалович, Москва: ИППИ, 2010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Иванов Михаил Александрович, д.т.н.,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