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cedc21e235b644e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ОРГАНИЗАЦИЯ ЭВМ И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6</w:t>
            </w:r>
          </w:p>
        </w:tc>
        <w:tc>
          <w:tcPr>
            <w:tcW w:w="957" w:type="dxa"/>
          </w:tcPr>
          <w:p w:rsidR="00F66786" w:rsidRDefault="00F66786">
            <w:r>
              <w:rPr/>
              <w:t>7</w:t>
            </w:r>
          </w:p>
        </w:tc>
        <w:tc>
          <w:tcPr>
            <w:tcW w:w="957" w:type="dxa"/>
          </w:tcPr>
          <w:p w:rsidR="00F66786" w:rsidRDefault="00F66786">
            <w:r>
              <w:rPr/>
              <w:t>252</w:t>
            </w:r>
          </w:p>
        </w:tc>
        <w:tc>
          <w:tcPr>
            <w:tcW w:w="957" w:type="dxa"/>
          </w:tcPr>
          <w:p w:rsidR="00F66786" w:rsidRDefault="00F66786">
            <w:r>
              <w:rPr/>
              <w:t>45</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63</w:t>
            </w:r>
          </w:p>
        </w:tc>
        <w:tc>
          <w:tcPr>
            <w:tcW w:w="957" w:type="dxa"/>
          </w:tcPr>
          <w:p w:rsidR="00F66786" w:rsidRDefault="00F66786">
            <w:r>
              <w:rPr/>
              <w:t>30</w:t>
            </w:r>
          </w:p>
        </w:tc>
        <w:tc>
          <w:tcPr>
            <w:tcW w:w="957" w:type="dxa"/>
          </w:tcPr>
          <w:p w:rsidR="00F66786" w:rsidRDefault="00F66786">
            <w:r>
              <w:rPr/>
              <w:t> Э  КП</w:t>
            </w:r>
          </w:p>
        </w:tc>
      </w:tr>
      <w:tr w:rsidR="00F66786" w:rsidTr="00F66786">
        <w:trPr>
          <w:trHeight w:val="552"/>
        </w:trPr>
        <w:tc>
          <w:tcPr>
            <w:tcW w:w="957" w:type="dxa"/>
          </w:tcPr>
          <w:p w:rsidR="00F66786" w:rsidRDefault="00F66786">
            <w:r>
              <w:rPr/>
              <w:t>Итого</w:t>
            </w:r>
          </w:p>
        </w:tc>
        <w:tc>
          <w:tcPr>
            <w:tcW w:w="957" w:type="dxa"/>
          </w:tcPr>
          <w:p w:rsidR="00F66786" w:rsidRDefault="00F66786">
            <w:r>
              <w:rPr/>
              <w:t>7</w:t>
            </w:r>
          </w:p>
        </w:tc>
        <w:tc>
          <w:tcPr>
            <w:tcW w:w="957" w:type="dxa"/>
          </w:tcPr>
          <w:p w:rsidR="00F66786" w:rsidRDefault="00F66786">
            <w:r>
              <w:rPr/>
              <w:t>252</w:t>
            </w:r>
          </w:p>
        </w:tc>
        <w:tc>
          <w:tcPr>
            <w:tcW w:w="957" w:type="dxa"/>
          </w:tcPr>
          <w:p w:rsidR="00F66786" w:rsidRDefault="00F66786">
            <w:r>
              <w:rPr/>
              <w:t>45</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63</w:t>
            </w:r>
          </w:p>
        </w:tc>
        <w:tc>
          <w:tcPr>
            <w:tcW w:w="957" w:type="dxa"/>
          </w:tcPr>
          <w:p w:rsidR="00F66786" w:rsidRDefault="00F66786">
            <w:r>
              <w:rPr/>
              <w:t>30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тенденций развития структуры и организации работы процессоров и памяти современных ЭВМ, персональных компьютеров и вычислительных систем, а также методы и средства повышения быстродействия и эффективности функционирования процессоров и систем памяти.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являются изучение тенденций развития структуры и организации работы процессоров и памяти современных ЭВМ, персональных компьютеров и вычислительных систем, а также методы и средства повышения быстродействия и эффективности функционирования процессоров и систем памяти.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Организация ЭВМ и систем относится к вариативной части рабочего учебного плана.</w:t>
      </w:r>
    </w:p>
    <w:p>
      <w:pPr>
        <w:pStyle w:val="a8"/>
      </w:pPr>
      <w:r>
        <w:rPr/>
        <w:t>Для успешного освоения дисциплины Организация ЭВМ и систем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Электротехника, электроника и схемотехника (электротехника)</w:t>
      </w:r>
    </w:p>
    <w:p>
      <w:pPr>
        <w:pStyle w:val="a8"/>
      </w:pPr>
      <w:r>
        <w:rPr/>
        <w:t>Электротехника, электроника и схемотехника (электроника)</w:t>
      </w:r>
    </w:p>
    <w:p>
      <w:pPr>
        <w:pStyle w:val="a8"/>
      </w:pPr>
      <w:r>
        <w:rPr/>
        <w:t>Электротехника, электроника и схемотехника (схемотехника)</w:t>
      </w:r>
    </w:p>
    <w:p>
      <w:pPr>
        <w:pStyle w:val="a8"/>
      </w:pPr>
      <w:r>
        <w:rPr/>
        <w:t>Изучение дисициплины Организация ЭВМ и систем необходимо для успешного освоения следующих дисциплин:</w:t>
      </w:r>
    </w:p>
    <w:p>
      <w:pPr>
        <w:pStyle w:val="a8"/>
      </w:pPr>
      <w:r>
        <w:rPr/>
        <w:t>Организация научных исследований (аппаратное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Арифметико-логическое устройство</w:t>
            </w:r>
          </w:p>
        </w:tc>
        <w:tc>
          <w:tcPr>
            <w:tcW w:w="754" w:type="dxa"/>
          </w:tcPr>
          <w:p>
            <w:pPr>
              <w:pStyle w:val="a8"/>
              <w:ind w:firstLine="0"/>
            </w:pPr>
            <w:r>
              <w:rPr/>
              <w:t>1-8</w:t>
            </w:r>
          </w:p>
        </w:tc>
        <w:tc>
          <w:tcPr>
            <w:tcW w:w="1046" w:type="dxa"/>
          </w:tcPr>
          <w:p>
            <w:pPr>
              <w:pStyle w:val="a8"/>
              <w:ind w:firstLine="0"/>
            </w:pPr>
            <w:r>
              <w:rPr/>
              <w:t>24/16/16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Процессор</w:t>
            </w:r>
          </w:p>
        </w:tc>
        <w:tc>
          <w:tcPr>
            <w:tcW w:w="754" w:type="dxa"/>
          </w:tcPr>
          <w:p>
            <w:pPr>
              <w:pStyle w:val="a8"/>
              <w:ind w:firstLine="0"/>
            </w:pPr>
            <w:r>
              <w:rPr/>
              <w:t>9-15</w:t>
            </w:r>
          </w:p>
        </w:tc>
        <w:tc>
          <w:tcPr>
            <w:tcW w:w="1046" w:type="dxa"/>
          </w:tcPr>
          <w:p>
            <w:pPr>
              <w:pStyle w:val="a8"/>
              <w:ind w:firstLine="0"/>
            </w:pPr>
            <w:r>
              <w:rPr/>
              <w:t>21/14/14</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6 Семестр</w:t>
            </w:r>
          </w:p>
        </w:tc>
        <w:tc>
          <w:tcPr>
            <w:tcW w:w="754" w:type="dxa"/>
          </w:tcPr>
          <w:p>
            <w:pPr>
              <w:pStyle w:val="a8"/>
              <w:ind w:firstLine="0"/>
            </w:pPr>
            <w:r>
              <w:rPr/>
              <w:t/>
            </w:r>
          </w:p>
        </w:tc>
        <w:tc>
          <w:tcPr>
            <w:tcW w:w="1046" w:type="dxa"/>
          </w:tcPr>
          <w:p>
            <w:pPr>
              <w:pStyle w:val="a8"/>
              <w:ind w:firstLine="0"/>
            </w:pPr>
            <w:r>
              <w:rPr/>
              <w:t>45/30/30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КП</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r>
        <w:tc>
          <w:tcPr>
            <w:tcW w:w="973" w:type="dxa"/>
          </w:tcPr>
          <w:p>
            <w:r>
              <w:rPr/>
              <w:t>КП</w:t>
            </w:r>
          </w:p>
        </w:tc>
        <w:tc>
          <w:tcPr>
            <w:tcW w:w="9164" w:type="dxa"/>
          </w:tcPr>
          <w:p>
            <w:r>
              <w:rPr/>
              <w:t>Курсовой проект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6 Семестр</w:t>
            </w:r>
          </w:p>
        </w:tc>
        <w:tc>
          <w:tcPr>
            <w:tcW w:w="850" w:type="dxa"/>
          </w:tcPr>
          <w:p>
            <w:r>
              <w:rPr/>
              <w:t>45</w:t>
            </w:r>
          </w:p>
        </w:tc>
        <w:tc>
          <w:tcPr>
            <w:tcW w:w="1134" w:type="dxa"/>
          </w:tcPr>
          <w:p>
            <w:r>
              <w:rPr/>
              <w:t>30</w:t>
            </w:r>
          </w:p>
        </w:tc>
        <w:tc>
          <w:tcPr>
            <w:tcW w:w="815" w:type="dxa"/>
          </w:tcPr>
          <w:p>
            <w:r>
              <w:rPr/>
              <w:t>30</w:t>
            </w:r>
          </w:p>
        </w:tc>
      </w:tr>
      <w:tr>
        <w:tc>
          <w:tcPr>
            <w:tcW w:w="973" w:type="dxa"/>
          </w:tcPr>
          <w:p>
            <w:r>
              <w:rPr>
                <w:b/>
              </w:rPr>
              <w:t>1-8</w:t>
            </w:r>
          </w:p>
        </w:tc>
        <w:tc>
          <w:tcPr>
            <w:tcW w:w="6365" w:type="dxa"/>
          </w:tcPr>
          <w:p>
            <w:r>
              <w:rPr>
                <w:b/>
              </w:rPr>
              <w:t>Арифметико-логическое устройство</w:t>
            </w:r>
          </w:p>
        </w:tc>
        <w:tc>
          <w:tcPr>
            <w:tcW w:w="850" w:type="dxa"/>
          </w:tcPr>
          <w:p>
            <w:r>
              <w:rPr/>
              <w:t>24</w:t>
            </w:r>
          </w:p>
        </w:tc>
        <w:tc>
          <w:tcPr>
            <w:tcW w:w="1134" w:type="dxa"/>
          </w:tcPr>
          <w:p>
            <w:r>
              <w:rPr/>
              <w:t>16</w:t>
            </w:r>
          </w:p>
        </w:tc>
        <w:tc>
          <w:tcPr>
            <w:tcW w:w="815" w:type="dxa"/>
          </w:tcPr>
          <w:p>
            <w:r>
              <w:rPr/>
              <w:t>16</w:t>
            </w:r>
          </w:p>
        </w:tc>
      </w:tr>
      <w:tr>
        <w:tc>
          <w:p>
            <w:r>
              <w:rPr/>
              <w:t>1 - 8</w:t>
            </w:r>
          </w:p>
          <w:tcPr>
            <w:vMerge w:val="restart"/>
            <w:tcW w:w="973" w:type="dxa"/>
          </w:tcPr>
        </w:tc>
        <w:tc>
          <w:p>
            <w:r>
              <w:rPr>
                <w:b/>
              </w:rPr>
              <w:t>Тема 1. Введение</w:t>
            </w:r>
            <w:r>
              <w:br/>
            </w:r>
            <w:r>
              <w:rPr/>
              <w:t>Место и назначение центрального процессора (ЦП) и памяти в структуре ЭВМ. Функциональная схема ЦП, назначение и взаимодействие устройств, расширение функциональных возможностей за счет аппаратной реализации ряда функций, выполняемых ранее операционной системой.
</w:t>
            </w:r>
            <w:r>
              <w:br/>
            </w:r>
            <w:r>
              <w:rPr/>
              <w:t>Основные характеристики ЦП: система команд и форматы данных, способы адресации, наличие и организация работы регистровой и КЭШ-памяти, быстродействие ЦП. Два основных направления развития архитектуры ЦП: СISC- и RISC-архитектуры, системы команд подобных архитектур и их влияние на характеристики ЦП.</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24</w:t>
            </w:r>
          </w:p>
        </w:tc>
        <w:tc>
          <w:p>
            <w:r>
              <w:rPr/>
              <w:t>16</w:t>
            </w:r>
          </w:p>
        </w:tc>
        <w:tc>
          <w:p>
            <w:r>
              <w:rPr/>
              <w:t>16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Процессор</w:t>
            </w:r>
          </w:p>
        </w:tc>
        <w:tc>
          <w:tcPr>
            <w:tcW w:w="850" w:type="dxa"/>
          </w:tcPr>
          <w:p>
            <w:r>
              <w:rPr/>
              <w:t>21</w:t>
            </w:r>
          </w:p>
        </w:tc>
        <w:tc>
          <w:tcPr>
            <w:tcW w:w="1134" w:type="dxa"/>
          </w:tcPr>
          <w:p>
            <w:r>
              <w:rPr/>
              <w:t>14</w:t>
            </w:r>
          </w:p>
        </w:tc>
        <w:tc>
          <w:tcPr>
            <w:tcW w:w="815" w:type="dxa"/>
          </w:tcPr>
          <w:p>
            <w:r>
              <w:rPr/>
              <w:t>14</w:t>
            </w:r>
          </w:p>
        </w:tc>
      </w:tr>
      <w:tr>
        <w:tc>
          <w:p>
            <w:r>
              <w:rPr/>
              <w:t>9</w:t>
            </w:r>
          </w:p>
          <w:tcPr>
            <w:vMerge w:val="restart"/>
            <w:tcW w:w="973" w:type="dxa"/>
          </w:tcPr>
        </w:tc>
        <w:tc>
          <w:p>
            <w:r>
              <w:rPr>
                <w:b/>
              </w:rPr>
              <w:t>Тема 2. Устройства управления</w:t>
            </w:r>
            <w:r>
              <w:br/>
            </w:r>
            <w:r>
              <w:rPr/>
              <w:t>Принципы организации, структура и функционирование устройств управления и их аппаратная реализация. Децентрализация управления. 
</w:t>
            </w:r>
            <w:r>
              <w:br/>
            </w:r>
            <w:r>
              <w:rPr/>
              <w:t>Устройства управления с "жесткой логикой", особенности аппаратной реализации УУ с "жесткой логикой". Области применения, достоинства и недостатки.
</w:t>
            </w:r>
            <w:r>
              <w:br/>
            </w:r>
            <w:r>
              <w:rPr/>
              <w:t>Микропрограммное управление. Основные определения, структура микрокоманды, назначение полей. Кодирование микрокоманд: горизонтальное, вертикальное, многофазовое, изменение длительности. Адресация микрокоманд: принудительная, естественная, организация циклов, условные переходы, начальный адрес. Организация памяти микропрограмм, методы минимизации памяти. Пути повышения быстродействия микропрограммного управления.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Тема 3. Временная организация работы ЦП</w:t>
            </w:r>
            <w:r>
              <w:br/>
            </w:r>
            <w:r>
              <w:rPr/>
              <w:t>Стандартный цикл команды: составляющие этапы, их характеристика, выполнение линейных команд, прерываний и переходов. 
</w:t>
            </w:r>
            <w:r>
              <w:br/>
            </w:r>
            <w:r>
              <w:rPr/>
              <w:t>Совмещение операций: параллелизм и конвейеризация. Организация конвейера для очереди команд. Три класса конфликтов: структурные, по данным, по управлению. Способы минимизации конфликтов. Предсказание переходов.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Тема 4. Организация операционных устройств</w:t>
            </w:r>
            <w:r>
              <w:br/>
            </w:r>
            <w:r>
              <w:rPr/>
              <w:t>Структуры операционных устройств: с жесткой структурой (закрепленным набором микроопераций), с магистральной структурой (общим набором микроопераций).
</w:t>
            </w:r>
            <w:r>
              <w:br/>
            </w:r>
            <w:r>
              <w:rPr/>
              <w:t>Архитектура системы команд, классификация. Аккумуляторная, регистровая и стековая архитектуры. Пример эффективности процедуры безадресной обработки информации.
</w:t>
            </w:r>
            <w:r>
              <w:br/>
            </w:r>
            <w:r>
              <w:rPr/>
              <w:t>Типы и форматы операндов. Типы и форматы команд, разрядность полей команды, адресность команд. Способы и механизмы адресации: прямая, регистровая, косвенная, относительная, базовая, индексная, страничная. Эффективность различных видов адресации, критерии выбора системы и форматов команд. 
</w:t>
            </w:r>
            <w:r>
              <w:br/>
            </w:r>
            <w:r>
              <w:rPr/>
              <w:t>Методы и средства ускорения умножения: логические и аппаратные. Умножение на несколько разрядов одновременно. Умножение в двухрядовом коде, пример и схема реализации. Матричная схема умножения. Конвейеризация параллельных умножителей. Оценка временных параметров работы схем умножения.
</w:t>
            </w:r>
            <w:r>
              <w:br/>
            </w:r>
            <w:r>
              <w:rPr/>
              <w:t>Операционные устройства с плавающей запятой, "распаковка" чисел, нормализация мантиссы и "упаковка" результата. Конвейеризация на примере сложения чисел с плавающей запятой.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Тема 5. Запоминающие устройства и организация работы систем памяти ЦП</w:t>
            </w:r>
            <w:r>
              <w:br/>
            </w:r>
            <w:r>
              <w:rPr/>
              <w:t>Многоуровневая организация (иерархия) памяти ЦП. Типы памяти, используемые в ЦП, их основные технические характеристики и организация работы в процессе обмена информацией. Основная память: элементная база, блочная организация, расслоение памяти, многопортовая память. Основные структуры памяти: 2D, 3D, 2DM
</w:t>
            </w:r>
            <w:r>
              <w:br/>
            </w:r>
            <w:r>
              <w:rPr/>
              <w:t>Методы и средства повышения быстродействия внутренней памяти ЦП: развитие регистровой памяти, буферной типа FIFO, стековой типа LIFO. Примеры системы команд в ЦП со стековым ЗУ. 
</w:t>
            </w:r>
            <w:r>
              <w:br/>
            </w:r>
            <w:r>
              <w:rPr/>
              <w:t>Оперативные запоминающие устройства: статические и динамические запоминающие элементы, внешняя организация, организация выходных каскадов, временные параметры и диаграммы режимов работы. Мультиплексирование адреса, страничный режим работы. Методы и средства организация регенерации информации. 
</w:t>
            </w:r>
            <w:r>
              <w:br/>
            </w:r>
            <w:r>
              <w:rPr/>
              <w:t>Схема динамического ЗУ. Способы повышения скорости считывания информации DRAM. Асинхронные DRAM: FPM, EDO, BEDO, MDRAM и др. Синхронные DRAM: SDRAM, DDR, RDRAM, DRDRAM и др. Пакетный режим, внутренние банки памяти. Пропускная способность памяти, цикл доступа, латентность, тайминг. Проектирование модуля памяти оперативного ЗУ, расчет временных параметров модуля памяти.
</w:t>
            </w:r>
            <w:r>
              <w:br/>
            </w:r>
            <w:r>
              <w:rPr/>
              <w:t>Ассоциативная память: функциональная схема, режимы работы, области применения. Двухуровневая память ЦП. Кэш-память и организация ее работы, процедура формирования адреса Кэш-памяти. Три типа структур Кэш-памяти, их реализация и организация работы: прямого отображения, полностью ассоциативные, множественно-ассоциативные. Стратегии записи и замещения информации в заполненном КЭШ. Оценка эффективности использования Кэш-памяти первого и второго уровней. 
</w:t>
            </w:r>
            <w:r>
              <w:br/>
            </w:r>
            <w:r>
              <w:rPr/>
              <w:t>Постоянные запоминающие устройства, классификация, программирование, импульсное питание. Флэш-память, несимметричная блочная структура. Файловая Флэш-память, СтратаФлэш (StrataFlash).
</w:t>
            </w:r>
            <w:r>
              <w:br/>
            </w:r>
            <w:r>
              <w:rPr/>
              <w:t>Методы распределения памяти. Динамическое распределение памяти. Понятие виртуальной памяти. Страничная организация памяти. Страничное, сегментное и странично-сегментное распределение, формирование адресов. Свопинг. Организация защиты памяти: метод граничных регистров, метод ключей.
</w:t>
            </w:r>
            <w:r>
              <w:br/>
            </w:r>
            <w:r>
              <w:rPr/>
              <w:t>Особенности технического диагностирования ЗУ. Виды диагностирования. Типы отказов. Обнаружение и исправление ошибок. Формирование контрольных разрядов. Код Хэмминга. Тестовое диагностирование. Примеры тестов.
</w:t>
            </w:r>
            <w:r>
              <w:br/>
            </w:r>
            <w:r>
              <w:rPr/>
              <w:t>Методы и средства повышения производительности памяти. Тенденция развития полупроводниковых ЗУ и систем памяти.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13 - 15</w:t>
            </w:r>
          </w:p>
          <w:tcPr>
            <w:vMerge w:val="restart"/>
            <w:tcW w:w="973" w:type="dxa"/>
          </w:tcPr>
        </w:tc>
        <w:tc>
          <w:p>
            <w:r>
              <w:rPr>
                <w:b/>
              </w:rPr>
              <w:t>Тема 6. Основные направления в архитектуре процессоров и систем</w:t>
            </w:r>
            <w:r>
              <w:br/>
            </w:r>
            <w:r>
              <w:rPr/>
              <w:t>Основные тенденции развития процессоров – архитектуры с полным (СISC) и сокращенным (RISC) набором команд: основные черты, характеристики, преимущества и недостатки.
</w:t>
            </w:r>
            <w:r>
              <w:br/>
            </w:r>
            <w:r>
              <w:rPr/>
              <w:t>Конвейеризация вычислений: конвейер с регистрами, конвейер с буферной памятью. Суперконвейерные процессоры, временная диаграмма.
</w:t>
            </w:r>
            <w:r>
              <w:br/>
            </w:r>
            <w:r>
              <w:rPr/>
              <w:t>Архитектура суперскалярного процессора, множественность специализированных исполнительных блоков и конвейеров. Особенности аппаратной реализации суперскалярных процессоров.
</w:t>
            </w:r>
            <w:r>
              <w:br/>
            </w:r>
            <w:r>
              <w:rPr/>
              <w:t>Параллелизм – основа высокопроизводительных вычислений. Уровни параллелизма. Классификация параллельных вычислительных систем.
</w:t>
            </w:r>
            <w:r>
              <w:br/>
            </w:r>
            <w:r>
              <w:rPr/>
              <w:t>Организация памяти вычислительных систем: системы с общей и распределенной памятью. Мультипроцессорная когерентность Кэш-памяти, аппаратные способы решения проблемы когерентности. Протокол согласованности MESI.
</w:t>
            </w:r>
            <w:r>
              <w:br/>
            </w:r>
            <w:r>
              <w:rPr/>
              <w:t>Организация многомашинных и многопроцессорных вычислительных систем. Топология сети межсоединений, стратегии синхронизации, коммутации и управления.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9</w:t>
            </w:r>
          </w:p>
        </w:tc>
        <w:tc>
          <w:p>
            <w:r>
              <w:rPr/>
              <w:t>6</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
            </w:r>
          </w:p>
        </w:tc>
        <w:tc>
          <w:tcPr>
            <w:tcW w:w="9164" w:type="dxa"/>
          </w:tcPr>
          <w:p>
            <w:r>
              <w:rPr/>
              <w:t>Проектирование процессора с заданной усеченной системой команд</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
            </w:r>
          </w:p>
        </w:tc>
        <w:tc>
          <w:tcPr>
            <w:tcW w:w="9164" w:type="dxa"/>
          </w:tcPr>
          <w:p>
            <w:r>
              <w:rPr>
                <w:b/>
              </w:rPr>
              <w:t>Арифметико-логическое устройство</w:t>
            </w:r>
            <w:r>
              <w:br/>
            </w:r>
            <w:r>
              <w:rPr/>
              <w:t>1. Разработка тестов для проверки правильности работы БО.
</w:t>
            </w:r>
            <w:r>
              <w:br/>
            </w:r>
            <w:r>
              <w:rPr/>
              <w:t>2. Разработка схемы и проведение эксперимента для БО.
</w:t>
            </w:r>
            <w:r>
              <w:br/>
            </w:r>
            <w:r>
              <w:rPr/>
              <w:t>3. Выбор и обоснование системы управления и синхронизации процессора.
</w:t>
            </w:r>
            <w:r>
              <w:br/>
            </w:r>
            <w:r>
              <w:rPr/>
              <w:t>4. Разработка схемы местного устройства управления (МУУ) с жесткой логикой
</w:t>
            </w:r>
            <w:r>
              <w:br/>
            </w:r>
            <w:r>
              <w:rPr/>
              <w:t>5. Проектирование узлов МУУ в заданном элементном базисе.
</w:t>
            </w:r>
            <w:r>
              <w:br/>
            </w:r>
            <w:r>
              <w:rPr/>
              <w:t>6. Разработка схемы эксперимента и тестирование АЛУ.</w:t>
            </w:r>
          </w:p>
        </w:tc>
      </w:tr>
      <w:tr>
        <w:tc>
          <w:tcPr>
            <w:tcW w:w="973" w:type="dxa"/>
          </w:tcPr>
          <w:p>
            <w:r>
              <w:rPr/>
              <w:t/>
            </w:r>
          </w:p>
        </w:tc>
        <w:tc>
          <w:tcPr>
            <w:tcW w:w="9164" w:type="dxa"/>
          </w:tcPr>
          <w:p>
            <w:r>
              <w:rPr>
                <w:b/>
              </w:rPr>
              <w:t>Процессор</w:t>
            </w:r>
            <w:r>
              <w:br/>
            </w:r>
            <w:r>
              <w:rPr/>
              <w:t>7. Разработка функциональной схемы БУК.
</w:t>
            </w:r>
            <w:r>
              <w:br/>
            </w:r>
            <w:r>
              <w:rPr/>
              <w:t>8. Проектирование узлов БУК в заданном элементном базисе
</w:t>
            </w:r>
            <w:r>
              <w:br/>
            </w:r>
            <w:r>
              <w:rPr/>
              <w:t>9. Разработка тестов и моделирование БУК
</w:t>
            </w:r>
            <w:r>
              <w:br/>
            </w:r>
            <w:r>
              <w:rPr/>
              <w:t>10. Разработка функциональной схемы микропрограммного БМК.
</w:t>
            </w:r>
            <w:r>
              <w:br/>
            </w:r>
            <w:r>
              <w:rPr/>
              <w:t>11. Проектирование узлов БМК в заданном элементном базисе.
</w:t>
            </w:r>
            <w:r>
              <w:br/>
            </w:r>
            <w:r>
              <w:rPr/>
              <w:t>12. Расчет временных параметров и оценка быстродействия ЦП.</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М 91 Информационные технологии проектирования радиоэлектронных средств : учебное пособие, Санкт-Петербург: Лань, 2018</w:t>
      </w:r>
    </w:p>
    <w:p>
      <w:r>
        <w:t>2. ЭИ С 56 Информационные технологии: теоретические основы : учебное пособие, Санкт-Петербург: Лань, 2017</w:t>
      </w:r>
    </w:p>
    <w:p>
      <w:r>
        <w:t>3. ЭИ Н 48 Проектирование оборудования предприятий строительной индустрии : учебное пособие, Санкт-Петербург: Лань, 2018</w:t>
      </w:r>
    </w:p>
    <w:p>
      <w:r>
        <w:t>4. 004 Г95 Основы теории и организации ЭВМ : учебное пособие для вузов, В. В. Гуров, В. О. Чуканов, Москва: Бином. Лаборатория знаний, 2012</w:t>
      </w:r>
    </w:p>
    <w:p w:rsidR="005300F8" w:rsidP="005300F8" w:rsidRDefault="005300F8"/>
    <w:p w:rsidR="005300F8" w:rsidP="005300F8" w:rsidRDefault="005300F8">
      <w:r>
        <w:t>ДОПОЛНИТЕЛЬНАЯ ЛИТЕРАТУРА:</w:t>
      </w:r>
    </w:p>
    <w:p>
      <w:r>
        <w:t>1. 004 О-66 Организация ЭВМ и систем : учебник для вузов, Москва [и др.]: Питер, 2011</w:t>
      </w:r>
    </w:p>
    <w:p>
      <w:r>
        <w:t>2. ЭИ У59 Универсальный лабораторный стенд. Инструментальные средства проектирования и отладки : учебное пособие, , Москва: МИФИ, 2009</w:t>
      </w:r>
    </w:p>
    <w:p>
      <w:r>
        <w:t>3. 004 К56 Введение в инструментальные средства проектирования и отладки цифровых устройств на ПЛИС : учебно- методическое пособие, Б. Н. Ковригин, М.: МИФИ, 2006</w:t>
      </w:r>
    </w:p>
    <w:p>
      <w:r>
        <w:t>4. 004 Г95 Синтез комбинационных схем в примерах и решениях : Учеб. пособие, В. В. Гуров, Москва: МИФИ, 2001</w:t>
      </w:r>
    </w:p>
    <w:p>
      <w:r>
        <w:t>5. 004 С87 Структура и организация вычислительного процесса в ЭВМ : , В. В. Гуров [et al.], М.: МИФИ, 2003</w:t>
      </w:r>
    </w:p>
    <w:p>
      <w:r>
        <w:t>6. 004 П79 Проектирование процессора ЭВМ : учеб. пособие, В. И. Зуев [и др.] ; ред. : Б. Н. Ковригин, Москва: МИФИ, 2006</w:t>
      </w:r>
    </w:p>
    <w:p>
      <w:r>
        <w:t>7. 004 Г95 Основы организации вычислительных машин : , В.В. Гуров, М.: МИФИ, 2004</w:t>
      </w:r>
    </w:p>
    <w:p>
      <w:r>
        <w:t>8. 681.3 К12 Электронные вычислительные машины и системы : Учеб. пособие для вузов, Каган Б.М., М.: Энергоатомиздат, 1991</w:t>
      </w:r>
    </w:p>
    <w:p>
      <w:r>
        <w:t>9.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
        <w:t>10. 004 С81 Структурная организация и архитектура компьютерных систем : Проектирование и производительность, Столлингс У., М.и др.: Вильямс, 2002</w:t>
      </w:r>
    </w:p>
    <w:p>
      <w:r>
        <w:t>11. 621.38 У27 Цифровая схемотехника : Учеб. пособие для вузов, Угрюмов Е.П., СПб и др.: БХВ-Петербург, 2004</w:t>
      </w:r>
    </w:p>
    <w:p>
      <w:r>
        <w:t>12. 004 Х18 Организация ЭВМ : , Хамахер К.,Вранешич З.,Заки С., М.и др.: BHV;Питер, 2003</w:t>
      </w:r>
    </w:p>
    <w:p>
      <w:r>
        <w:t>13. 004 Т18 Архитектура компьютера : , Э. Таненбаум, Москва [и др.]: Питер, 2013</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Ядыкин Игорь Михайлович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Ёхин М.Н.</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