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74b71c9d7f743f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ОСНОВЫ РОБОТОТЕХНИКИ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99-116</w:t>
            </w:r>
          </w:p>
        </w:tc>
        <w:tc>
          <w:tcPr>
            <w:tcW w:w="957" w:type="dxa"/>
          </w:tcPr>
          <w:p w:rsidR="00F66786" w:rsidRDefault="00F66786">
            <w:r>
              <w:rPr/>
              <w:t>0-8</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99-116</w:t>
            </w:r>
          </w:p>
        </w:tc>
        <w:tc>
          <w:tcPr>
            <w:tcW w:w="957" w:type="dxa"/>
          </w:tcPr>
          <w:p w:rsidR="00F66786" w:rsidRDefault="00F66786">
            <w:r>
              <w:rPr/>
              <w:t>0-8</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принципов построения  робототехнических систем.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являются изучение принципов построения  робототехнических систем.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Основы робототехники относится к вариативной части рабочего учебного плана.</w:t>
      </w:r>
    </w:p>
    <w:p>
      <w:pPr>
        <w:pStyle w:val="a8"/>
      </w:pPr>
      <w:r>
        <w:rPr/>
        <w:t>Для успешного освоения дисциплины Основы робототехники необходимы компетенции, формируемые в результате освоения следующих дисциплин:</w:t>
      </w:r>
    </w:p>
    <w:p>
      <w:pPr>
        <w:pStyle w:val="a8"/>
      </w:pPr>
      <w:r>
        <w:rPr/>
        <w:t>Информатика (основы программирования)</w:t>
      </w:r>
    </w:p>
    <w:p>
      <w:pPr>
        <w:pStyle w:val="a8"/>
      </w:pPr>
      <w:r>
        <w:rPr/>
        <w:t>ЭВМ и периферийные устройства</w:t>
      </w:r>
    </w:p>
    <w:p>
      <w:pPr>
        <w:pStyle w:val="a8"/>
      </w:pPr>
      <w:r>
        <w:rPr/>
        <w:t>Программирование (алгоритмы и структуры данных)</w:t>
      </w:r>
    </w:p>
    <w:p>
      <w:pPr>
        <w:pStyle w:val="a8"/>
      </w:pPr>
      <w:r>
        <w:rPr/>
        <w:t>Программирование (объектно-ориентированное программирование)</w:t>
      </w:r>
    </w:p>
    <w:p>
      <w:pPr>
        <w:pStyle w:val="a8"/>
      </w:pPr>
      <w:r>
        <w:rPr/>
        <w:t>Операционные системы</w:t>
      </w:r>
    </w:p>
    <w:p>
      <w:pPr>
        <w:pStyle w:val="a8"/>
      </w:pPr>
      <w:r>
        <w:rPr/>
        <w:t>Электротехника, электроника и схемотехника (схемотехника)</w:t>
      </w:r>
    </w:p>
    <w:p>
      <w:pPr>
        <w:pStyle w:val="a8"/>
      </w:pPr>
      <w:r>
        <w:rPr/>
        <w:t>Сети и телекоммуникации</w:t>
      </w:r>
    </w:p>
    <w:p>
      <w:pPr>
        <w:pStyle w:val="a8"/>
      </w:pPr>
      <w:r>
        <w:rPr/>
        <w:t>Изучение дисициплины Основы робототехники необходимо для успешного освоения следующих дисциплин:</w:t>
      </w:r>
    </w:p>
    <w:p>
      <w:pPr>
        <w:pStyle w:val="a8"/>
      </w:pPr>
      <w:r>
        <w:rPr/>
        <w:t>Организация научных исследований (аппаратное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ПК-1.1 - Способность разрабатывать требования и в соответствии с ними аппаратные и программные компоненты защищенных вычислительных систем</w:t>
            </w:r>
            <w:r>
              <w:br/>
            </w:r>
            <w:r>
              <w:rPr/>
              <w:t/>
            </w:r>
            <w:r>
              <w:br/>
            </w:r>
            <w:r>
              <w:rPr>
                <w:i/>
              </w:rPr>
              <w:t>Основание:</w:t>
            </w:r>
            <w:r>
              <w:br/>
            </w:r>
            <w:r>
              <w:rPr/>
              <w:t>Профессиональный стандарт: 06.003</w:t>
            </w:r>
          </w:p>
        </w:tc>
        <w:tc>
          <w:tcPr>
            <w:tcW w:w="5000" w:type="dxa"/>
          </w:tcPr>
          <w:tcPr/>
          <w:p>
            <w:pPr/>
            <w:r>
              <w:rPr/>
              <w:t>З-ПК-1.1 - Современные требования к аппаратным и программным компонентам защищенных вычислительных систем;</w:t>
            </w:r>
            <w:r>
              <w:br/>
            </w:r>
            <w:r>
              <w:rPr/>
              <w:t>У-ПК-1.1 - Разрабатывать требования к защищенным вычислительным системам;</w:t>
            </w:r>
            <w:r>
              <w:br/>
            </w:r>
            <w:r>
              <w:rPr/>
              <w:t>В-ПК-1.1 - Навыками разработки требований и в соответствии с ними аппаратных и программных компонентов защищенных вычислительных систем</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r>
        <w:tc>
          <w:tcPr>
            <w:tcW w:w="5000" w:type="dxa"/>
          </w:tcPr>
          <w:tcPr>
            <w:hMerge w:val="restart"/>
          </w:tcPr>
          <w:p>
            <w:pPr>
              <w:jc w:val="center"/>
            </w:pPr>
            <w:r>
              <w:rPr/>
              <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
            </w:r>
          </w:p>
        </w:tc>
        <w:tc>
          <w:tcPr>
            <w:tcW w:w="5000" w:type="dxa"/>
          </w:tcPr>
          <w:tcPr/>
          <w:p>
            <w:pPr/>
            <w:r>
              <w:rPr/>
              <w:t/>
            </w:r>
          </w:p>
        </w:tc>
        <w:tc>
          <w:tcPr>
            <w:tcW w:w="5000" w:type="dxa"/>
          </w:tcPr>
          <w:tcPr/>
          <w:p>
            <w:pPr/>
            <w:r>
              <w:rPr/>
              <w:t>ПК-3 - Способен разрабатывать модели и компоненты аппаратно-программных комплексов и баз данных, используя современные инструментальные средства и технологии</w:t>
            </w:r>
            <w:r>
              <w:br/>
            </w:r>
            <w:r>
              <w:rPr/>
              <w:t/>
            </w:r>
            <w:r>
              <w:br/>
            </w:r>
            <w:r>
              <w:rPr>
                <w:i/>
              </w:rPr>
              <w:t>Основание:</w:t>
            </w:r>
            <w:r>
              <w:br/>
            </w:r>
            <w:r>
              <w:rPr/>
              <w:t/>
            </w:r>
          </w:p>
        </w:tc>
        <w:tc>
          <w:tcPr>
            <w:tcW w:w="5000" w:type="dxa"/>
          </w:tcPr>
          <w:tcPr/>
          <w:p>
            <w:pPr/>
            <w:r>
              <w:rPr/>
              <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Программные системы для моделирования МРК</w:t>
            </w:r>
          </w:p>
        </w:tc>
        <w:tc>
          <w:tcPr>
            <w:tcW w:w="754" w:type="dxa"/>
          </w:tcPr>
          <w:p>
            <w:pPr>
              <w:pStyle w:val="a8"/>
              <w:ind w:firstLine="0"/>
            </w:pPr>
            <w:r>
              <w:rPr/>
              <w:t>1-8</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Разработка программной модели МРК</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Программные системы для моделирования МРК</w:t>
            </w:r>
          </w:p>
        </w:tc>
        <w:tc>
          <w:tcPr>
            <w:tcW w:w="850" w:type="dxa"/>
          </w:tcPr>
          <w:p>
            <w:r>
              <w:rPr/>
              <w:t>16</w:t>
            </w:r>
          </w:p>
        </w:tc>
        <w:tc>
          <w:tcPr>
            <w:tcW w:w="1134" w:type="dxa"/>
          </w:tcPr>
          <w:p>
            <w:r>
              <w:rPr/>
              <w:t>0</w:t>
            </w:r>
          </w:p>
        </w:tc>
        <w:tc>
          <w:tcPr>
            <w:tcW w:w="815" w:type="dxa"/>
          </w:tcPr>
          <w:p>
            <w:r>
              <w:rPr/>
              <w:t>16</w:t>
            </w:r>
          </w:p>
        </w:tc>
      </w:tr>
      <w:tr>
        <w:tc>
          <w:p>
            <w:r>
              <w:rPr/>
              <w:t>1</w:t>
            </w:r>
          </w:p>
          <w:tcPr>
            <w:vMerge w:val="restart"/>
            <w:tcW w:w="973" w:type="dxa"/>
          </w:tcPr>
        </w:tc>
        <w:tc>
          <w:p>
            <w:r>
              <w:rPr>
                <w:b/>
              </w:rPr>
              <w:t>Тема 1. Три компоненты модели робототехнического устройства</w:t>
            </w:r>
            <w:r>
              <w:br/>
            </w:r>
            <w:r>
              <w:rPr/>
              <w:t>Терминология. Организация и порядок  изучения курса.  О лабораторном практикуме. Связь курса с профилирующими курсами кафедры. Способы представления робота как модели. Связь робота с моделируемой окружающей средой.Цель создания моделей робототехнических устройств.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 2. Физическое моделирование. Физические свойства модели</w:t>
            </w:r>
            <w:r>
              <w:br/>
            </w:r>
            <w:r>
              <w:rPr/>
              <w:t>Понятие физической характеристики робототехнического устройства. Определение необходимой степени достоверности модели. Построение набора физических характеристик для моделирования различных 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Тема 3. Физическое моделирование. Представление физических характеристик в Unity</w:t>
            </w:r>
            <w:r>
              <w:br/>
            </w:r>
            <w:r>
              <w:rPr/>
              <w:t>Объекты, представляющие физические характеристики объектов в Unity. Присвоение характеристик объекту. Работа с объектами физических характеристик Transform, RigidBody, Collider. Определение базисного набора объектов-описателей физических характеристик, доказательство достаточности выбранного базиса. Связь и различие объектов Meshи Collider. Представление устройств различной формы. Определение точек соприкосновения. Обучение методам приложения силы к моделируемым физическим объектам. Динамическое изменение параметров моделируемого робототехнического устройства.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Тема 4. Моделирование восприятия. Общая информация</w:t>
            </w:r>
            <w:r>
              <w:br/>
            </w:r>
            <w:r>
              <w:rPr/>
              <w:t>Обоснование необходимости получения информации о внешнем мире. Каналы восприятия (перцепции) робототехнического устройства. Математический аппарат взаимодействия робототехнического устройства с окружающим миром.Внесение погрешностей. Возможные результаты обработки роботом полученной информации: действия, знания, команды.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Тема 5. Моделирование восприятия. Связь с моделируемой окружающей средой</w:t>
            </w:r>
            <w:r>
              <w:br/>
            </w:r>
            <w:r>
              <w:rPr/>
              <w:t>Типы воспринимаемой информации. Подходы к интерпретации получаемой информации, знакомство с моделями машинного обучения и теорией обработки сигналов. Математическая модель нейронных сетей, каскадных классификаторов. Расчет трудоемкости методов машинного обучения. Алгоритмы обработки сигналов. Прямое и обратное преобразование Фурье. Алгоритм быстрого дискретного преобразования Фурье.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6. Моделирование восприятия. Моделирование датчиков</w:t>
            </w:r>
            <w:r>
              <w:br/>
            </w:r>
            <w:r>
              <w:rPr/>
              <w:t>Понятие датчика робототехнического устройства. Методы Unityдля реализации перцепции робототехнического устройства. Метод RayCast. Работа с объектом Cameraкак источником визуальной информации об окружающем мире. Обработка получаемых данных с датчиков. Реализация на языке C# произвольного датчика. Добавление произвольного датчика к физической модели робота.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7. Моделирование восприятия. Компьютерное зрение</w:t>
            </w:r>
            <w:r>
              <w:br/>
            </w:r>
            <w:r>
              <w:rPr/>
              <w:t>Алгоритмы нахождения ключевых точек. Выделение границ. Трудоемкость вычислений. Принятие решения о целесообразности обработки изображения средствами бортового компьютера робототехнического устройства. Архитектура обработки перцептивной информации в облаке на примере задач обработки изображений. Использование OpenCVдля нахождения объектов с заранее известными оптическими характеристиками в виртуальной среде.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Разработка программной модели МРК</w:t>
            </w:r>
          </w:p>
        </w:tc>
        <w:tc>
          <w:tcPr>
            <w:tcW w:w="850" w:type="dxa"/>
          </w:tcPr>
          <w:p>
            <w:r>
              <w:rPr/>
              <w:t>16</w:t>
            </w:r>
          </w:p>
        </w:tc>
        <w:tc>
          <w:tcPr>
            <w:tcW w:w="1134" w:type="dxa"/>
          </w:tcPr>
          <w:p>
            <w:r>
              <w:rPr/>
              <w:t>0</w:t>
            </w:r>
          </w:p>
        </w:tc>
        <w:tc>
          <w:tcPr>
            <w:tcW w:w="815" w:type="dxa"/>
          </w:tcPr>
          <w:p>
            <w:r>
              <w:rPr/>
              <w:t>16</w:t>
            </w:r>
          </w:p>
        </w:tc>
      </w:tr>
      <w:tr>
        <w:tc>
          <w:p>
            <w:r>
              <w:rPr/>
              <w:t>9</w:t>
            </w:r>
          </w:p>
          <w:tcPr>
            <w:vMerge w:val="restart"/>
            <w:tcW w:w="973" w:type="dxa"/>
          </w:tcPr>
        </w:tc>
        <w:tc>
          <w:p>
            <w:r>
              <w:rPr>
                <w:b/>
              </w:rPr>
              <w:t>Тема 8. Интеллектуальное моделирование. Введение в теорию принятия решений</w:t>
            </w:r>
            <w:r>
              <w:br/>
            </w:r>
            <w:r>
              <w:rPr/>
              <w:t>Общие сведения из теории принятия решений. Терминология. Знакомство с Байесовскими сетями. Решение типовых задач принятия решения мобильным роботом. Постановка и решение задачи нахождения пути в трехмерном пространстве. Работа на практике с моделями представления информации в виде графов.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Тема 9. Интеллектуальное моделирование. Анализ информации</w:t>
            </w:r>
            <w:r>
              <w:br/>
            </w:r>
            <w:r>
              <w:rPr/>
              <w:t>Извлечение полезной информации из данных, получаемых с датчиков. Классификация получаемой информации. Принятие решений на основе извлеченной информации. Детерминированные модели. Нечеткая логика. Применение математического аппарата нечеткой логики на практике.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10. Интеллектуальное моделирование. Коммуникация</w:t>
            </w:r>
            <w:r>
              <w:br/>
            </w:r>
            <w:r>
              <w:rPr/>
              <w:t>Принятие решений о необходимости взаимодействия с моделируемыми объектами или оператором. Способы коммуникации робототехнического устройства. Ограничения возможностей взаимодействия с оператором, с другим устройством. Реализация коммуникационных возможностей в моделируемой среде. Механизм триггеров.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Тема 11. Управление физической моделью робота</w:t>
            </w:r>
            <w:r>
              <w:br/>
            </w:r>
            <w:r>
              <w:rPr/>
              <w:t>Классификация типов управления. Человеко-машинное взаимодействие, знакомство с архитектурами для взаимодействия человека с группой роботов.Прямое и косвенное управление. Способы передачи команд моделируемому робототехническому устройству. Создание интерфейса управления в Unity. Использование сторонних программ для управления моделью. Изменение характеристик окружающей среды, реакция на них робототехнического устройства.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Тема 12. Кроссплатформенные возможности Unity</w:t>
            </w:r>
            <w:r>
              <w:br/>
            </w:r>
            <w:r>
              <w:rPr/>
              <w:t>Создание кроссплатформенных моделей. Распределение функционала модели на несколько вычислительных платформ. Сборка написанного на C# кода под Windows, Linux, Android. Отличия. Подпись пакета. Взаимодействие со сторонними программами, библиотеками. Построение взаимодействия модели с программой, написанной на произвольном языке программирования.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16</w:t>
            </w:r>
          </w:p>
          <w:tcPr>
            <w:vMerge w:val="restart"/>
            <w:tcW w:w="973" w:type="dxa"/>
          </w:tcPr>
        </w:tc>
        <w:tc>
          <w:p>
            <w:r>
              <w:rPr>
                <w:b/>
              </w:rPr>
              <w:t>Тема13. Методы оптимизации продолжительных вычислений в Unity</w:t>
            </w:r>
            <w:r>
              <w:br/>
            </w:r>
            <w:r>
              <w:rPr/>
              <w:t>Покадровые вычисления. Понятия кадра в Unity. Идеология «вычисления по необходимости». Повтор основ лямбда-исчисления. Отложенные вычисления. Внекадровые вычисления. Реализация корутин на языке программирования C# для платформы .NET. Кроссплатформенная реализация корутин, различия. Оценка повышения производительности в количестве кадров в секунду.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ПК-1.1</w:t>
            </w:r>
          </w:p>
          <w:tcPr>
            <w:vMerge w:val="restart"/>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ПК-3</w:t>
            </w:r>
          </w:p>
          <w:tcPr>
            <w:vMerge w:val="restart"/>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В 21 Модели и способы взаимодействия пользователя с киберфизическим интеллектуальным пространством : монография, Санкт-Петербург: Лань, 2019</w:t>
      </w:r>
    </w:p>
    <w:p>
      <w:r>
        <w:t>2. ЭИ С 21 Обучение с подкреплением : , Москва: Лаборатория знаний"" (ранее ""БИНОМ. Лаборатория знаний", 2014</w:t>
      </w:r>
    </w:p>
    <w:p>
      <w:r>
        <w:t>3. ЭИ С 50 Управление техническими системами : учебное пособие, Санкт-Петербург: Лань, 2020</w:t>
      </w:r>
    </w:p>
    <w:p w:rsidR="005300F8" w:rsidP="005300F8" w:rsidRDefault="005300F8"/>
    <w:p w:rsidR="005300F8" w:rsidP="005300F8" w:rsidRDefault="005300F8">
      <w:r>
        <w:t>ДОПОЛНИТЕЛЬНАЯ ЛИТЕРАТУРА:</w:t>
      </w:r>
    </w:p>
    <w:p>
      <w:r>
        <w:t>1. 519 М54 Методы системного анализа и примеры применения : учебное пособие для вузов, Москва: МФТИ, 2011</w:t>
      </w:r>
    </w:p>
    <w:p>
      <w:r>
        <w:t>2. 004 К72 Искусственный интеллект и робототехника : , Б. В. Костров, В. Н. Ручкин, В. А. Фулин, Москва: Диалог-МИФИ, 2008</w:t>
      </w:r>
    </w:p>
    <w:p>
      <w:r>
        <w:t>3. 004 О-74 Методы искусственного интеллекта : , Г. С. Осипов, Москва: Физматлит, 2011</w:t>
      </w:r>
    </w:p>
    <w:p>
      <w:r>
        <w:t>4. 004 Ф79 Компьютерное зрение : современный подход, Д. Форсайт, Ж. Понс, М. [и др.]: Вильямс, 2004</w:t>
      </w:r>
    </w:p>
    <w:p>
      <w:r>
        <w:t>5. 004 И73 Интеллектуальные роботы : учебное пособие для вузов, И. А. Каляев [и др.], Москва: Машиностроение, 2007</w:t>
      </w:r>
    </w:p>
    <w:p>
      <w:r>
        <w:t>6. 621.8 К17 Модели и алгоритмы коллективного управления в группах роботов  : , И. А. Каляев, А. Р. Гайдук, С. Г. Капустин, Москва: Физматлит, 2009</w:t>
      </w:r>
    </w:p>
    <w:p>
      <w:r>
        <w:t>7. 004 Р24 Искусственный интеллект : современный подход, С. Рассел, П. Норвиг, М. [и др.]: Вильямс, 2006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Даньшин Вадим Владимирович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Чепин Е.В.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