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FD6EEB" w:rsidRDefault="00DD3257">
      <w:r w:rsidRPr="00FD6EEB">
        <w:rPr>
          <w:rFonts w:ascii="Times New Roman" w:hAnsi="Times New Roman" w:cs="Times New Roman"/>
          <w:b/>
        </w:rPr>
        <w:lastRenderedPageBreak/>
        <w:t>Раздел 1.</w:t>
      </w:r>
      <w:r w:rsidRPr="00FD6EEB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06BEA6C" w14:textId="77777777" w:rsidR="00E71930" w:rsidRPr="00FD6EEB" w:rsidRDefault="00E71930"/>
    <w:p w14:paraId="270D2E24" w14:textId="77777777" w:rsidR="00E71930" w:rsidRPr="00FD6EEB" w:rsidRDefault="00DD3257">
      <w:r w:rsidRPr="00FD6EEB">
        <w:rPr>
          <w:rFonts w:ascii="Times New Roman" w:hAnsi="Times New Roman" w:cs="Times New Roman"/>
          <w:b/>
        </w:rPr>
        <w:t>1.1.</w:t>
      </w:r>
      <w:r w:rsidRPr="00FD6EEB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FAFED0D" w14:textId="5A384634" w:rsidR="00384317" w:rsidRDefault="00DD3257" w:rsidP="00FD6EE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FD6EEB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FD6EEB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FD6EEB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FD6EEB">
      <w:pPr>
        <w:pStyle w:val="af3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FD6EEB" w:rsidRDefault="00DD3257">
      <w:r w:rsidRPr="00FD6EEB">
        <w:rPr>
          <w:rFonts w:ascii="Times New Roman" w:hAnsi="Times New Roman" w:cs="Times New Roman"/>
          <w:b/>
        </w:rPr>
        <w:t>1.2.</w:t>
      </w:r>
      <w:r w:rsidRPr="00FD6EEB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FD6EEB" w:rsidRDefault="00DD3257">
      <w:r w:rsidRPr="00FD6EEB">
        <w:rPr>
          <w:rFonts w:ascii="Times New Roman" w:hAnsi="Times New Roman" w:cs="Times New Roman"/>
          <w:b/>
        </w:rPr>
        <w:t>1.3.</w:t>
      </w:r>
      <w:r w:rsidRPr="00FD6EEB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55C24E94" w14:textId="77777777" w:rsidR="00D452E3" w:rsidRDefault="00DD3257" w:rsidP="00FD6EE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FD6EEB">
      <w:pPr>
        <w:pStyle w:val="af3"/>
        <w:numPr>
          <w:ilvl w:val="0"/>
          <w:numId w:val="16"/>
        </w:numPr>
        <w:ind w:left="0" w:firstLine="720"/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FD6EEB">
      <w:pPr>
        <w:pStyle w:val="af3"/>
        <w:numPr>
          <w:ilvl w:val="0"/>
          <w:numId w:val="16"/>
        </w:numPr>
        <w:ind w:left="0" w:firstLine="720"/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FD6EEB">
      <w:pPr>
        <w:pStyle w:val="af3"/>
        <w:numPr>
          <w:ilvl w:val="0"/>
          <w:numId w:val="16"/>
        </w:numPr>
        <w:ind w:left="0" w:firstLine="720"/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FD6EEB">
      <w:pPr>
        <w:pStyle w:val="af3"/>
        <w:numPr>
          <w:ilvl w:val="0"/>
          <w:numId w:val="16"/>
        </w:numPr>
        <w:ind w:left="0" w:firstLine="720"/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FD6EEB">
      <w:pPr>
        <w:pStyle w:val="af3"/>
        <w:numPr>
          <w:ilvl w:val="0"/>
          <w:numId w:val="16"/>
        </w:numPr>
        <w:ind w:left="0" w:firstLine="720"/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FD6EEB">
      <w:pPr>
        <w:pStyle w:val="af3"/>
        <w:numPr>
          <w:ilvl w:val="0"/>
          <w:numId w:val="16"/>
        </w:numPr>
        <w:ind w:left="0" w:firstLine="720"/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 w:rsidP="00FD6EEB">
      <w:pPr>
        <w:ind w:firstLine="720"/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инсталировать и сопровожать программное обеспеченение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lastRenderedPageBreak/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FD6EEB">
      <w:pPr>
        <w:pStyle w:val="af3"/>
        <w:numPr>
          <w:ilvl w:val="0"/>
          <w:numId w:val="28"/>
        </w:numPr>
        <w:ind w:left="0" w:firstLine="720"/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FD6EEB" w:rsidRDefault="00DD3257">
      <w:pPr>
        <w:rPr>
          <w:rFonts w:ascii="Times New Roman" w:hAnsi="Times New Roman" w:cs="Times New Roman"/>
        </w:rPr>
      </w:pPr>
      <w:r w:rsidRPr="00FD6EEB">
        <w:rPr>
          <w:rFonts w:ascii="Times New Roman" w:hAnsi="Times New Roman" w:cs="Times New Roman"/>
          <w:b/>
        </w:rPr>
        <w:t>1.4.</w:t>
      </w:r>
      <w:r w:rsidRPr="00FD6EEB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FD6EEB" w:rsidRDefault="00DD3257">
      <w:r w:rsidRPr="00FD6EEB">
        <w:rPr>
          <w:rFonts w:ascii="Times New Roman" w:hAnsi="Times New Roman" w:cs="Times New Roman"/>
          <w:b/>
        </w:rPr>
        <w:lastRenderedPageBreak/>
        <w:t>Раздел 2.</w:t>
      </w:r>
      <w:r w:rsidRPr="00FD6EEB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3F89E2D" w14:textId="77777777" w:rsidR="00E71930" w:rsidRPr="00FD6EEB" w:rsidRDefault="00DD3257" w:rsidP="00384317">
      <w:pPr>
        <w:spacing w:before="240"/>
      </w:pPr>
      <w:r w:rsidRPr="00FD6EEB">
        <w:rPr>
          <w:rFonts w:ascii="Times New Roman" w:hAnsi="Times New Roman" w:cs="Times New Roman"/>
          <w:b/>
        </w:rPr>
        <w:t>2.1.</w:t>
      </w:r>
      <w:r w:rsidRPr="00FD6EEB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3D8E502" w14:textId="77777777" w:rsidR="00E71930" w:rsidRPr="00FD6EEB" w:rsidRDefault="00E71930"/>
    <w:p w14:paraId="12D67491" w14:textId="77777777" w:rsidR="00E71930" w:rsidRDefault="00DD3257">
      <w:r w:rsidRPr="00FD6EEB"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896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870"/>
      </w:tblGrid>
      <w:tr w:rsidR="00FA3F93" w:rsidRPr="00370C5A" w14:paraId="223B3FC8" w14:textId="77777777" w:rsidTr="00FD6EEB">
        <w:trPr>
          <w:trHeight w:val="50"/>
        </w:trPr>
        <w:tc>
          <w:tcPr>
            <w:tcW w:w="9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FD6EEB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 w:rsidTr="00FD6EEB">
        <w:tc>
          <w:tcPr>
            <w:tcW w:w="9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 w:rsidTr="00FD6EEB">
        <w:tc>
          <w:tcPr>
            <w:tcW w:w="9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FD6EE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301E9374" w14:textId="364E9632" w:rsidR="00E71930" w:rsidRPr="00FD6EEB" w:rsidRDefault="00DD3257">
      <w:r>
        <w:br w:type="page"/>
      </w: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E4C5E4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p w14:paraId="0688B1D8" w14:textId="77777777" w:rsidR="00FD6EEB" w:rsidRDefault="00FD6EEB" w:rsidP="00D915F4">
      <w:pPr>
        <w:jc w:val="both"/>
        <w:rPr>
          <w:rFonts w:ascii="Times New Roman" w:hAnsi="Times New Roman" w:cs="Times New Roman"/>
          <w:color w:val="000000"/>
        </w:rPr>
      </w:pP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B02C6" w:rsidRPr="002633BA" w14:paraId="3AE4B69E" w14:textId="77777777" w:rsidTr="00027BC4">
        <w:trPr>
          <w:trHeight w:val="375"/>
        </w:trPr>
        <w:tc>
          <w:tcPr>
            <w:tcW w:w="690" w:type="dxa"/>
            <w:vMerge/>
            <w:vAlign w:val="center"/>
          </w:tcPr>
          <w:p w14:paraId="46ED624F" w14:textId="77777777" w:rsidR="007B02C6" w:rsidRDefault="007B02C6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BE158B4" w14:textId="77777777" w:rsidR="007B02C6" w:rsidRDefault="007B02C6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F14A95D" w14:textId="7EBC5CF1" w:rsidR="007B02C6" w:rsidRDefault="007B02C6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46B22290" w14:textId="7DF6EDA6" w:rsidR="007B02C6" w:rsidRDefault="007B02C6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6F41430D" w:rsidR="00027BC4" w:rsidRPr="005D65C7" w:rsidRDefault="007B02C6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B02C6" w:rsidRPr="002633BA" w14:paraId="19CC2954" w14:textId="77777777" w:rsidTr="007B02C6">
        <w:trPr>
          <w:trHeight w:val="423"/>
        </w:trPr>
        <w:tc>
          <w:tcPr>
            <w:tcW w:w="8242" w:type="dxa"/>
            <w:gridSpan w:val="3"/>
            <w:vAlign w:val="center"/>
          </w:tcPr>
          <w:p w14:paraId="541AA862" w14:textId="079C2E8D" w:rsidR="007B02C6" w:rsidRPr="007B02C6" w:rsidRDefault="007B02C6" w:rsidP="007B02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2C6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17" w:type="dxa"/>
            <w:vAlign w:val="center"/>
          </w:tcPr>
          <w:p w14:paraId="1DBA93FE" w14:textId="7B4BD44A" w:rsidR="007B02C6" w:rsidRPr="007B02C6" w:rsidRDefault="007B02C6" w:rsidP="007B02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7B02C6">
      <w:pPr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7B02C6">
      <w:pPr>
        <w:numPr>
          <w:ilvl w:val="0"/>
          <w:numId w:val="18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7B02C6">
      <w:pPr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7B02C6">
      <w:pPr>
        <w:pStyle w:val="af3"/>
        <w:numPr>
          <w:ilvl w:val="0"/>
          <w:numId w:val="19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7B02C6">
      <w:pPr>
        <w:pStyle w:val="af3"/>
        <w:ind w:left="0"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84524B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7B02C6">
      <w:pPr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7B02C6">
      <w:pPr>
        <w:numPr>
          <w:ilvl w:val="0"/>
          <w:numId w:val="7"/>
        </w:numPr>
        <w:tabs>
          <w:tab w:val="num" w:pos="567"/>
        </w:tabs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7B02C6">
      <w:pPr>
        <w:numPr>
          <w:ilvl w:val="0"/>
          <w:numId w:val="7"/>
        </w:numPr>
        <w:tabs>
          <w:tab w:val="num" w:pos="567"/>
        </w:tabs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7B02C6">
      <w:pPr>
        <w:numPr>
          <w:ilvl w:val="0"/>
          <w:numId w:val="7"/>
        </w:numPr>
        <w:tabs>
          <w:tab w:val="num" w:pos="567"/>
        </w:tabs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7B02C6">
      <w:pPr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7B02C6">
      <w:pPr>
        <w:pStyle w:val="af3"/>
        <w:numPr>
          <w:ilvl w:val="0"/>
          <w:numId w:val="20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7B02C6">
      <w:pPr>
        <w:pStyle w:val="af3"/>
        <w:numPr>
          <w:ilvl w:val="0"/>
          <w:numId w:val="20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7B02C6">
      <w:pPr>
        <w:pStyle w:val="af3"/>
        <w:numPr>
          <w:ilvl w:val="0"/>
          <w:numId w:val="20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7B02C6">
      <w:pPr>
        <w:pStyle w:val="af3"/>
        <w:numPr>
          <w:ilvl w:val="0"/>
          <w:numId w:val="20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7B02C6">
      <w:pPr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7B02C6">
      <w:pPr>
        <w:pStyle w:val="af3"/>
        <w:numPr>
          <w:ilvl w:val="0"/>
          <w:numId w:val="21"/>
        </w:numPr>
        <w:ind w:left="0" w:firstLine="720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7B02C6">
      <w:pPr>
        <w:snapToGri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7B02C6">
      <w:pPr>
        <w:pStyle w:val="af3"/>
        <w:numPr>
          <w:ilvl w:val="0"/>
          <w:numId w:val="10"/>
        </w:numPr>
        <w:tabs>
          <w:tab w:val="num" w:pos="567"/>
        </w:tabs>
        <w:snapToGrid w:val="0"/>
        <w:ind w:left="0"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7B02C6">
      <w:pPr>
        <w:pStyle w:val="af3"/>
        <w:snapToGrid w:val="0"/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7B02C6">
      <w:pPr>
        <w:pStyle w:val="af3"/>
        <w:numPr>
          <w:ilvl w:val="0"/>
          <w:numId w:val="10"/>
        </w:numPr>
        <w:tabs>
          <w:tab w:val="num" w:pos="567"/>
        </w:tabs>
        <w:snapToGrid w:val="0"/>
        <w:ind w:left="0" w:firstLine="720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lastRenderedPageBreak/>
        <w:t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7B02C6">
      <w:pPr>
        <w:pStyle w:val="af3"/>
        <w:numPr>
          <w:ilvl w:val="0"/>
          <w:numId w:val="10"/>
        </w:numPr>
        <w:tabs>
          <w:tab w:val="num" w:pos="567"/>
        </w:tabs>
        <w:snapToGrid w:val="0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7B02C6">
      <w:pPr>
        <w:snapToGrid w:val="0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7B02C6">
      <w:pPr>
        <w:pStyle w:val="af3"/>
        <w:numPr>
          <w:ilvl w:val="0"/>
          <w:numId w:val="11"/>
        </w:numPr>
        <w:tabs>
          <w:tab w:val="num" w:pos="567"/>
        </w:tabs>
        <w:snapToGrid w:val="0"/>
        <w:ind w:left="0"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7B02C6">
      <w:pPr>
        <w:pStyle w:val="af3"/>
        <w:snapToGrid w:val="0"/>
        <w:ind w:left="0" w:firstLine="720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7B02C6">
      <w:pPr>
        <w:pStyle w:val="af3"/>
        <w:numPr>
          <w:ilvl w:val="0"/>
          <w:numId w:val="11"/>
        </w:numPr>
        <w:tabs>
          <w:tab w:val="num" w:pos="567"/>
        </w:tabs>
        <w:snapToGrid w:val="0"/>
        <w:ind w:left="0" w:firstLine="720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7B02C6">
      <w:pPr>
        <w:snapToGri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7B02C6">
      <w:pPr>
        <w:pStyle w:val="af3"/>
        <w:numPr>
          <w:ilvl w:val="1"/>
          <w:numId w:val="11"/>
        </w:numPr>
        <w:snapToGrid w:val="0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 w:rsidP="007B02C6">
      <w:pPr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B02C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B02C6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EB1953D" w14:textId="77777777" w:rsidR="007B02C6" w:rsidRPr="007B02C6" w:rsidRDefault="007B02C6">
      <w:pPr>
        <w:rPr>
          <w:rFonts w:ascii="Times New Roman" w:hAnsi="Times New Roman" w:cs="Times New Roman"/>
          <w:b/>
        </w:rPr>
      </w:pPr>
    </w:p>
    <w:p w14:paraId="6B914CF7" w14:textId="4FAD8419" w:rsidR="00E71930" w:rsidRPr="007B02C6" w:rsidRDefault="00DD3257">
      <w:pPr>
        <w:rPr>
          <w:rFonts w:ascii="Times New Roman" w:hAnsi="Times New Roman" w:cs="Times New Roman"/>
        </w:rPr>
      </w:pPr>
      <w:r w:rsidRPr="007B02C6">
        <w:rPr>
          <w:rFonts w:ascii="Times New Roman" w:hAnsi="Times New Roman" w:cs="Times New Roman"/>
          <w:b/>
        </w:rPr>
        <w:t>3.1.</w:t>
      </w:r>
      <w:r w:rsidRPr="007B02C6">
        <w:rPr>
          <w:rFonts w:ascii="Times New Roman" w:hAnsi="Times New Roman" w:cs="Times New Roman"/>
          <w:b/>
        </w:rPr>
        <w:tab/>
        <w:t>Методическое обеспечение</w:t>
      </w:r>
    </w:p>
    <w:p w14:paraId="44E25809" w14:textId="77777777" w:rsidR="007B02C6" w:rsidRPr="007B02C6" w:rsidRDefault="007B02C6">
      <w:pPr>
        <w:rPr>
          <w:rFonts w:ascii="Times New Roman" w:hAnsi="Times New Roman" w:cs="Times New Roman"/>
          <w:b/>
        </w:rPr>
      </w:pPr>
    </w:p>
    <w:p w14:paraId="40429D16" w14:textId="0DB71D0E" w:rsidR="00E71930" w:rsidRPr="007624B6" w:rsidRDefault="00DD3257">
      <w:pPr>
        <w:rPr>
          <w:rFonts w:ascii="Times New Roman" w:hAnsi="Times New Roman" w:cs="Times New Roman"/>
        </w:rPr>
      </w:pPr>
      <w:r w:rsidRPr="007B02C6">
        <w:rPr>
          <w:rFonts w:ascii="Times New Roman" w:hAnsi="Times New Roman" w:cs="Times New Roman"/>
          <w:b/>
        </w:rPr>
        <w:t>3.1.1</w:t>
      </w:r>
      <w:r w:rsidRPr="007B02C6">
        <w:rPr>
          <w:rFonts w:ascii="Times New Roman" w:hAnsi="Times New Roman" w:cs="Times New Roman"/>
          <w:b/>
        </w:rPr>
        <w:tab/>
        <w:t>Методические</w:t>
      </w:r>
      <w:r w:rsidRPr="007624B6">
        <w:rPr>
          <w:rFonts w:ascii="Times New Roman" w:hAnsi="Times New Roman" w:cs="Times New Roman"/>
          <w:b/>
        </w:rPr>
        <w:t xml:space="preserve">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244DC70" w14:textId="77777777" w:rsidR="007B02C6" w:rsidRDefault="007B02C6" w:rsidP="00213ADA">
      <w:pPr>
        <w:rPr>
          <w:rFonts w:ascii="Times New Roman" w:hAnsi="Times New Roman" w:cs="Times New Roman"/>
          <w:b/>
          <w:i/>
          <w:iCs/>
        </w:rPr>
      </w:pPr>
    </w:p>
    <w:p w14:paraId="34CC4A4F" w14:textId="33F7BE1B" w:rsidR="00213ADA" w:rsidRPr="000675AA" w:rsidRDefault="00213ADA" w:rsidP="007B02C6">
      <w:pPr>
        <w:jc w:val="both"/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lastRenderedPageBreak/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</w:t>
      </w:r>
      <w:r w:rsidR="00C915EB">
        <w:rPr>
          <w:rFonts w:ascii="Times New Roman" w:hAnsi="Times New Roman" w:cs="Times New Roman"/>
          <w:bCs/>
        </w:rPr>
        <w:lastRenderedPageBreak/>
        <w:t xml:space="preserve">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EE099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5566C9F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00BBD31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участвовать в разработке технической документации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490750D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31CDB9C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ПКА-1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2CDE2D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ПКП-1</w:t>
      </w:r>
      <w:r>
        <w:rPr>
          <w:rFonts w:ascii="Times New Roman" w:hAnsi="Times New Roman" w:cs="Times New Roman"/>
          <w:bCs/>
        </w:rPr>
        <w:t xml:space="preserve"> —</w:t>
      </w:r>
      <w:r w:rsidRPr="005D25C8">
        <w:rPr>
          <w:rFonts w:ascii="Times New Roman" w:hAnsi="Times New Roman" w:cs="Times New Roman"/>
          <w:bCs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6486C166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ПКП-2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7B6DD6C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2D7BE7D3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289DEBD0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lastRenderedPageBreak/>
        <w:t>ПКП-6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4DF757B1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ПКП-8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УКБ-3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7B02C6">
      <w:pPr>
        <w:ind w:right="-132"/>
        <w:jc w:val="center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84524B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Диаграммы составных структур, коопераций, временные диаграммы.</w:t>
      </w:r>
    </w:p>
    <w:p w14:paraId="7B96D3F4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r w:rsidR="00384317" w:rsidRPr="007624B6">
        <w:rPr>
          <w:rFonts w:ascii="Times New Roman" w:hAnsi="Times New Roman" w:cs="Times New Roman"/>
          <w:lang w:val="en-US"/>
        </w:rPr>
        <w:t>SysML</w:t>
      </w:r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</w:t>
      </w:r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 xml:space="preserve">Антипаттерны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</w:t>
      </w:r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B2B8B8" w14:textId="2C5AAA00" w:rsidR="00512A76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lastRenderedPageBreak/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7624B6" w:rsidRDefault="008254A6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09821D7A" w:rsidR="00CA45F4" w:rsidRDefault="00993291" w:rsidP="008D1C75">
      <w:pPr>
        <w:numPr>
          <w:ilvl w:val="0"/>
          <w:numId w:val="3"/>
        </w:numPr>
        <w:ind w:left="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312428">
        <w:rPr>
          <w:rFonts w:ascii="Times New Roman" w:hAnsi="Times New Roman" w:cs="Times New Roman"/>
          <w:bCs/>
        </w:rPr>
        <w:t xml:space="preserve">ОПК-4, </w:t>
      </w:r>
      <w:r>
        <w:rPr>
          <w:rFonts w:ascii="Times New Roman" w:hAnsi="Times New Roman" w:cs="Times New Roman"/>
          <w:bCs/>
        </w:rPr>
        <w:t xml:space="preserve">ПКА-1, </w:t>
      </w:r>
      <w:r w:rsidRPr="00DA1466">
        <w:rPr>
          <w:rFonts w:ascii="Times New Roman" w:hAnsi="Times New Roman" w:cs="Times New Roman"/>
          <w:bCs/>
        </w:rPr>
        <w:t>УКБ-3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8D1C75">
      <w:pPr>
        <w:ind w:right="-132"/>
        <w:jc w:val="center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8D1C75">
      <w:pPr>
        <w:spacing w:after="240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2ED63289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4933BDE7" w14:textId="54BA6395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8D1C75">
      <w:pPr>
        <w:pStyle w:val="af3"/>
        <w:numPr>
          <w:ilvl w:val="0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8D1C75">
      <w:pPr>
        <w:pStyle w:val="af3"/>
        <w:numPr>
          <w:ilvl w:val="1"/>
          <w:numId w:val="35"/>
        </w:numPr>
        <w:spacing w:after="240"/>
        <w:ind w:left="0"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8D1C75">
      <w:pPr>
        <w:spacing w:after="240"/>
        <w:ind w:firstLine="72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74A15E35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 xml:space="preserve">ый анализ </w:t>
      </w:r>
      <w:r w:rsidR="005D25C8">
        <w:rPr>
          <w:rFonts w:ascii="Times New Roman" w:hAnsi="Times New Roman" w:cs="Times New Roman"/>
        </w:rPr>
        <w:lastRenderedPageBreak/>
        <w:t>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8D1C75">
      <w:pPr>
        <w:ind w:right="-132"/>
        <w:jc w:val="center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7B02C6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1</w:t>
      </w:r>
      <w:r w:rsidR="00FE6BFF" w:rsidRPr="00DA1466">
        <w:rPr>
          <w:rFonts w:ascii="Times New Roman" w:hAnsi="Times New Roman" w:cs="Times New Roman"/>
          <w:bCs/>
        </w:rPr>
        <w:t xml:space="preserve">,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3,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4,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5, ПКП-1, ПКП-2, ПКП-4, ПКП-5, ПКП-6, ПКП-8.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умение выполнить грамотную декомпозицию предметной области, </w:t>
      </w:r>
      <w:r>
        <w:rPr>
          <w:rFonts w:ascii="Times New Roman" w:hAnsi="Times New Roman" w:cs="Times New Roman"/>
        </w:rPr>
        <w:lastRenderedPageBreak/>
        <w:t>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7B02C6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7B02C6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7B02C6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7B02C6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lastRenderedPageBreak/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7B02C6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7B02C6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r w:rsidR="00B218EF">
        <w:rPr>
          <w:rFonts w:ascii="Times New Roman" w:hAnsi="Times New Roman" w:cs="Times New Roman"/>
          <w:bCs/>
          <w:lang w:val="en-US"/>
        </w:rPr>
        <w:t>BitBucket</w:t>
      </w:r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>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модульного тестирования, код грамотно оформлен и не содержит очевидных ошибок и антипаттернов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Default="00887F35">
      <w:pPr>
        <w:rPr>
          <w:rFonts w:ascii="Times New Roman" w:hAnsi="Times New Roman" w:cs="Times New Roman"/>
        </w:rPr>
      </w:pPr>
    </w:p>
    <w:p w14:paraId="00A1783F" w14:textId="77777777" w:rsidR="00E71930" w:rsidRPr="008D1C75" w:rsidRDefault="00DD3257">
      <w:pPr>
        <w:rPr>
          <w:rFonts w:ascii="Times New Roman" w:hAnsi="Times New Roman" w:cs="Times New Roman"/>
        </w:rPr>
      </w:pPr>
      <w:r w:rsidRPr="008D1C75">
        <w:rPr>
          <w:rFonts w:ascii="Times New Roman" w:hAnsi="Times New Roman" w:cs="Times New Roman"/>
          <w:b/>
        </w:rPr>
        <w:t>3.2.</w:t>
      </w:r>
      <w:r w:rsidRPr="008D1C75">
        <w:rPr>
          <w:rFonts w:ascii="Times New Roman" w:hAnsi="Times New Roman" w:cs="Times New Roman"/>
          <w:b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8D1C75" w:rsidRDefault="00DD3257" w:rsidP="00384317">
      <w:pPr>
        <w:spacing w:before="240"/>
        <w:rPr>
          <w:rFonts w:ascii="Times New Roman" w:hAnsi="Times New Roman" w:cs="Times New Roman"/>
        </w:rPr>
      </w:pPr>
      <w:r w:rsidRPr="008D1C75">
        <w:rPr>
          <w:rFonts w:ascii="Times New Roman" w:hAnsi="Times New Roman" w:cs="Times New Roman"/>
          <w:b/>
        </w:rPr>
        <w:t>3.3.</w:t>
      </w:r>
      <w:r w:rsidRPr="008D1C75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5853D2FB" w:rsidR="00D650CC" w:rsidRPr="008D1C75" w:rsidRDefault="008D1C75" w:rsidP="008D1C75">
      <w:pPr>
        <w:pStyle w:val="af3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8D1C75">
        <w:rPr>
          <w:rFonts w:ascii="Times New Roman" w:hAnsi="Times New Roman" w:cs="Times New Roman"/>
          <w:lang w:val="en-US"/>
        </w:rPr>
        <w:t xml:space="preserve"> </w:t>
      </w:r>
      <w:r w:rsidR="00D650CC" w:rsidRPr="00D650CC">
        <w:rPr>
          <w:rFonts w:ascii="Times New Roman" w:hAnsi="Times New Roman" w:cs="Times New Roman"/>
          <w:lang w:val="en-US"/>
        </w:rPr>
        <w:t xml:space="preserve">Pooley, R. J. Wilcox, P., Applying UML: Advanced Applications, Oxford: Butterworth-Heinemann. </w:t>
      </w:r>
      <w:r w:rsidR="00D650CC" w:rsidRPr="008D1C75">
        <w:rPr>
          <w:rFonts w:ascii="Times New Roman" w:hAnsi="Times New Roman" w:cs="Times New Roman"/>
          <w:lang w:val="en-US"/>
        </w:rPr>
        <w:t xml:space="preserve">2004, 202 </w:t>
      </w:r>
      <w:r w:rsidR="00D650CC" w:rsidRPr="00D650CC">
        <w:rPr>
          <w:rFonts w:ascii="Times New Roman" w:hAnsi="Times New Roman" w:cs="Times New Roman"/>
          <w:lang w:val="en-US"/>
        </w:rPr>
        <w:t>pp</w:t>
      </w:r>
      <w:r w:rsidR="00D650CC" w:rsidRPr="008D1C75">
        <w:rPr>
          <w:rFonts w:ascii="Times New Roman" w:hAnsi="Times New Roman" w:cs="Times New Roman"/>
          <w:lang w:val="en-US"/>
        </w:rPr>
        <w:t xml:space="preserve">., </w:t>
      </w:r>
      <w:hyperlink r:id="rId8" w:history="1">
        <w:r w:rsidR="00D650CC" w:rsidRPr="008D1C75">
          <w:rPr>
            <w:rStyle w:val="af4"/>
            <w:rFonts w:ascii="Times New Roman" w:hAnsi="Times New Roman" w:cs="Times New Roman"/>
            <w:color w:val="auto"/>
            <w:u w:val="none"/>
            <w:lang w:val="en-US"/>
          </w:rPr>
          <w:t>https://find.library.spbu.ru/vufind/Record/ocn173660459</w:t>
        </w:r>
      </w:hyperlink>
      <w:r w:rsidRPr="008D1C75">
        <w:rPr>
          <w:rFonts w:ascii="Times New Roman" w:hAnsi="Times New Roman" w:cs="Times New Roman"/>
          <w:lang w:val="en-US"/>
        </w:rPr>
        <w:t>.</w:t>
      </w:r>
    </w:p>
    <w:p w14:paraId="5BB79984" w14:textId="4410ECA8" w:rsidR="00377EA6" w:rsidRPr="00D650CC" w:rsidRDefault="008D1C75" w:rsidP="008D1C75">
      <w:pPr>
        <w:pStyle w:val="af3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8D1C75">
        <w:rPr>
          <w:rFonts w:ascii="Times New Roman" w:hAnsi="Times New Roman" w:cs="Times New Roman"/>
          <w:lang w:val="en-US"/>
        </w:rPr>
        <w:t xml:space="preserve"> </w:t>
      </w:r>
      <w:r w:rsidR="00377EA6"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Heidelberg: Springer Berlin Heidelberg, 2006, 768pp., URL: https://find.library.spbu.ru/vufind/Record/978-3- 540-33653- 2</w:t>
      </w:r>
      <w:r w:rsidRPr="008D1C75">
        <w:rPr>
          <w:rFonts w:ascii="Times New Roman" w:hAnsi="Times New Roman" w:cs="Times New Roman"/>
          <w:lang w:val="en-US"/>
        </w:rPr>
        <w:t>.</w:t>
      </w:r>
    </w:p>
    <w:p w14:paraId="059D2930" w14:textId="56F29D8D" w:rsidR="00E71930" w:rsidRPr="007624B6" w:rsidRDefault="008D1C75" w:rsidP="008D1C75">
      <w:pPr>
        <w:pStyle w:val="af3"/>
        <w:numPr>
          <w:ilvl w:val="0"/>
          <w:numId w:val="14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8D1C75">
        <w:rPr>
          <w:rFonts w:ascii="Times New Roman" w:hAnsi="Times New Roman" w:cs="Times New Roman"/>
          <w:lang w:val="en-US"/>
        </w:rPr>
        <w:lastRenderedPageBreak/>
        <w:t xml:space="preserve"> </w:t>
      </w:r>
      <w:r w:rsidR="00377EA6"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Heidelberg: Springer Berlin Heidelberg, 2006, 896pp., URL: https://find.library.spbu.ru/vufind/Record/978-3- 540-26661- 7</w:t>
      </w:r>
      <w:r w:rsidRPr="008D1C75">
        <w:rPr>
          <w:rFonts w:ascii="Times New Roman" w:hAnsi="Times New Roman" w:cs="Times New Roman"/>
          <w:lang w:val="en-US"/>
        </w:rPr>
        <w:t>.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6AC80A6" w14:textId="38794173" w:rsidR="00455917" w:rsidRPr="00455917" w:rsidRDefault="00DD3257" w:rsidP="00455917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455917">
          <w:rPr>
            <w:rStyle w:val="af4"/>
            <w:rFonts w:ascii="Times New Roman" w:hAnsi="Times New Roman" w:cs="Times New Roman"/>
            <w:color w:val="auto"/>
            <w:u w:val="none"/>
          </w:rPr>
          <w:t>y.litvinov@spbu.ru</w:t>
        </w:r>
      </w:hyperlink>
      <w:r w:rsidR="00455917">
        <w:rPr>
          <w:rStyle w:val="af4"/>
          <w:rFonts w:ascii="Times New Roman" w:hAnsi="Times New Roman" w:cs="Times New Roman"/>
          <w:color w:val="auto"/>
          <w:u w:val="none"/>
        </w:rPr>
        <w:t>.</w:t>
      </w:r>
    </w:p>
    <w:p w14:paraId="0EEC71B0" w14:textId="1ED0ABBA" w:rsidR="00E71930" w:rsidRPr="007624B6" w:rsidRDefault="00DD3257" w:rsidP="00455917">
      <w:pPr>
        <w:ind w:firstLine="720"/>
        <w:rPr>
          <w:rFonts w:ascii="Times New Roman" w:hAnsi="Times New Roman" w:cs="Times New Roman"/>
        </w:rPr>
      </w:pPr>
      <w:r w:rsidRPr="00455917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455917">
          <w:rPr>
            <w:rStyle w:val="af4"/>
            <w:rFonts w:ascii="Times New Roman" w:hAnsi="Times New Roman" w:cs="Times New Roman"/>
            <w:color w:val="auto"/>
            <w:u w:val="none"/>
          </w:rPr>
          <w:t>t.bryksin@spbu.ru</w:t>
        </w:r>
      </w:hyperlink>
      <w:r w:rsidR="00455917">
        <w:rPr>
          <w:rStyle w:val="af4"/>
          <w:rFonts w:ascii="Times New Roman" w:hAnsi="Times New Roman" w:cs="Times New Roman"/>
          <w:color w:val="auto"/>
          <w:u w:val="none"/>
        </w:rPr>
        <w:t>.</w:t>
      </w:r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3EBA8" w14:textId="77777777" w:rsidR="006037F8" w:rsidRDefault="006037F8">
      <w:r>
        <w:separator/>
      </w:r>
    </w:p>
    <w:p w14:paraId="6F54463F" w14:textId="77777777" w:rsidR="006037F8" w:rsidRDefault="006037F8"/>
    <w:p w14:paraId="0F17E443" w14:textId="77777777" w:rsidR="006037F8" w:rsidRDefault="006037F8"/>
  </w:endnote>
  <w:endnote w:type="continuationSeparator" w:id="0">
    <w:p w14:paraId="6D6A3B63" w14:textId="77777777" w:rsidR="006037F8" w:rsidRDefault="006037F8">
      <w:r>
        <w:continuationSeparator/>
      </w:r>
    </w:p>
    <w:p w14:paraId="1F752D0B" w14:textId="77777777" w:rsidR="006037F8" w:rsidRDefault="006037F8"/>
    <w:p w14:paraId="6D4DBE02" w14:textId="77777777" w:rsidR="006037F8" w:rsidRDefault="006037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1DB55" w14:textId="77777777" w:rsidR="006037F8" w:rsidRDefault="006037F8">
      <w:r>
        <w:separator/>
      </w:r>
    </w:p>
    <w:p w14:paraId="62D82498" w14:textId="77777777" w:rsidR="006037F8" w:rsidRDefault="006037F8"/>
    <w:p w14:paraId="1900B775" w14:textId="77777777" w:rsidR="006037F8" w:rsidRDefault="006037F8"/>
  </w:footnote>
  <w:footnote w:type="continuationSeparator" w:id="0">
    <w:p w14:paraId="270D0527" w14:textId="77777777" w:rsidR="006037F8" w:rsidRDefault="006037F8">
      <w:r>
        <w:continuationSeparator/>
      </w:r>
    </w:p>
    <w:p w14:paraId="398B8362" w14:textId="77777777" w:rsidR="006037F8" w:rsidRDefault="006037F8"/>
    <w:p w14:paraId="383C14C1" w14:textId="77777777" w:rsidR="006037F8" w:rsidRDefault="006037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7B02C6" w:rsidRDefault="007B02C6"/>
  <w:p w14:paraId="1FEF4EE6" w14:textId="77777777" w:rsidR="007B02C6" w:rsidRDefault="007B02C6"/>
  <w:p w14:paraId="3AB2823B" w14:textId="77777777" w:rsidR="007B02C6" w:rsidRDefault="007B02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7B02C6" w:rsidRDefault="007B02C6"/>
  <w:p w14:paraId="5ED50413" w14:textId="77777777" w:rsidR="007B02C6" w:rsidRDefault="007B02C6"/>
  <w:p w14:paraId="2D0A3401" w14:textId="77777777" w:rsidR="007B02C6" w:rsidRDefault="007B02C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Content>
      <w:p w14:paraId="0DD874B4" w14:textId="77777777" w:rsidR="007B02C6" w:rsidRDefault="007B02C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7B02C6" w:rsidRDefault="007B02C6"/>
  <w:p w14:paraId="172F09DF" w14:textId="77777777" w:rsidR="007B02C6" w:rsidRDefault="007B02C6"/>
  <w:p w14:paraId="029A7121" w14:textId="77777777" w:rsidR="007B02C6" w:rsidRDefault="007B02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4DB68CFE"/>
    <w:lvl w:ilvl="0" w:tplc="26D65F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1A241AF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42ECE45C"/>
    <w:lvl w:ilvl="0" w:tplc="EC087E3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BBDA173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0AF6EBA8"/>
    <w:lvl w:ilvl="0" w:tplc="02C471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CC20948E"/>
    <w:lvl w:ilvl="0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3AC150A1"/>
    <w:multiLevelType w:val="hybridMultilevel"/>
    <w:tmpl w:val="22CEB78A"/>
    <w:lvl w:ilvl="0" w:tplc="B5C860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85E64B4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6" w15:restartNumberingAfterBreak="0">
    <w:nsid w:val="609F0FFF"/>
    <w:multiLevelType w:val="multilevel"/>
    <w:tmpl w:val="B0763D7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EDEE524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B1C08708"/>
    <w:lvl w:ilvl="0" w:tplc="E8DAAC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F3AE0D3A"/>
    <w:lvl w:ilvl="0" w:tplc="43603A9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BFEEB348"/>
    <w:lvl w:ilvl="0" w:tplc="5896D2CE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0C242D"/>
    <w:rsid w:val="001035C8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343A4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E17E1"/>
    <w:rsid w:val="00401B2F"/>
    <w:rsid w:val="00410652"/>
    <w:rsid w:val="0043755A"/>
    <w:rsid w:val="00455917"/>
    <w:rsid w:val="004B0165"/>
    <w:rsid w:val="004C1B12"/>
    <w:rsid w:val="00512644"/>
    <w:rsid w:val="00512A76"/>
    <w:rsid w:val="00535CAB"/>
    <w:rsid w:val="0054196E"/>
    <w:rsid w:val="00567C32"/>
    <w:rsid w:val="0059229D"/>
    <w:rsid w:val="005D25C8"/>
    <w:rsid w:val="005D65C7"/>
    <w:rsid w:val="006037F8"/>
    <w:rsid w:val="00660666"/>
    <w:rsid w:val="006A57D9"/>
    <w:rsid w:val="006D160B"/>
    <w:rsid w:val="006D3AA3"/>
    <w:rsid w:val="006F5ED9"/>
    <w:rsid w:val="00710829"/>
    <w:rsid w:val="007624B6"/>
    <w:rsid w:val="007731A6"/>
    <w:rsid w:val="007B02C6"/>
    <w:rsid w:val="007B2EA0"/>
    <w:rsid w:val="007B3B02"/>
    <w:rsid w:val="007C1FC0"/>
    <w:rsid w:val="008254A6"/>
    <w:rsid w:val="00834EC6"/>
    <w:rsid w:val="0084524B"/>
    <w:rsid w:val="008778FF"/>
    <w:rsid w:val="00887F35"/>
    <w:rsid w:val="008B0787"/>
    <w:rsid w:val="008D1C75"/>
    <w:rsid w:val="00910C92"/>
    <w:rsid w:val="00916D21"/>
    <w:rsid w:val="00993291"/>
    <w:rsid w:val="009E1873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F1861"/>
    <w:rsid w:val="00C20524"/>
    <w:rsid w:val="00C4598C"/>
    <w:rsid w:val="00C915EB"/>
    <w:rsid w:val="00CA4236"/>
    <w:rsid w:val="00CA45F4"/>
    <w:rsid w:val="00CA4C4B"/>
    <w:rsid w:val="00CF71FD"/>
    <w:rsid w:val="00D452E3"/>
    <w:rsid w:val="00D46197"/>
    <w:rsid w:val="00D650CC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D6EEB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19</Pages>
  <Words>6189</Words>
  <Characters>35281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В.Н. Самусенко</cp:lastModifiedBy>
  <cp:revision>63</cp:revision>
  <dcterms:created xsi:type="dcterms:W3CDTF">2017-02-03T14:43:00Z</dcterms:created>
  <dcterms:modified xsi:type="dcterms:W3CDTF">2020-10-12T14:27:00Z</dcterms:modified>
</cp:coreProperties>
</file>