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VOLTANA NATIONAL GRID</w:t>
      </w:r>
    </w:p>
    <w:p>
      <w:pPr>
        <w:jc w:val="center"/>
      </w:pPr>
      <w:r>
        <w:rPr>
          <w:b/>
          <w:sz w:val="28"/>
        </w:rPr>
        <w:t>EMPLOYEE HANDBOOK</w:t>
      </w:r>
    </w:p>
    <w:p/>
    <w:p>
      <w:pPr>
        <w:jc w:val="center"/>
      </w:pPr>
      <w:r>
        <w:rPr>
          <w:i/>
        </w:rPr>
        <w:t>Version 4.1  |  January 2026  |  People &amp; Culture Division</w:t>
      </w:r>
    </w:p>
    <w:p/>
    <w:p>
      <w:pPr>
        <w:pStyle w:val="Heading1"/>
      </w:pPr>
      <w:r>
        <w:t>1. Welcome from the CEO</w:t>
      </w:r>
    </w:p>
    <w:p>
      <w:pPr>
        <w:spacing w:before="0" w:after="120"/>
      </w:pPr>
      <w:r>
        <w:rPr>
          <w:b w:val="0"/>
          <w:i w:val="0"/>
          <w:sz w:val="22"/>
        </w:rPr>
        <w:t>Welcome to VOLTANA National Grid. We are the backbone of the nation's electricity supply — a responsibility we carry with pride, professionalism, and an unwavering commitment to safety. This handbook sets out the standards, policies, and benefits that define life at VOLTANA. We encourage you to read it carefully and return to it whenever you need guidance.</w:t>
      </w:r>
    </w:p>
    <w:p>
      <w:pPr>
        <w:pStyle w:val="Heading1"/>
      </w:pPr>
      <w:r>
        <w:t>2. Our Values</w:t>
      </w:r>
    </w:p>
    <w:p>
      <w:pPr>
        <w:pStyle w:val="ListBullet"/>
      </w:pPr>
      <w:r>
        <w:rPr>
          <w:b/>
        </w:rPr>
        <w:t xml:space="preserve">Safety First: </w:t>
      </w:r>
      <w:r>
        <w:t>Nothing we do is worth an injury. We apply our safety protocols rigorously, every day.</w:t>
      </w:r>
    </w:p>
    <w:p>
      <w:pPr>
        <w:pStyle w:val="ListBullet"/>
      </w:pPr>
      <w:r>
        <w:rPr>
          <w:b/>
        </w:rPr>
        <w:t xml:space="preserve">Integrity: </w:t>
      </w:r>
      <w:r>
        <w:t>We act transparently and ethically in all our dealings.</w:t>
      </w:r>
    </w:p>
    <w:p>
      <w:pPr>
        <w:pStyle w:val="ListBullet"/>
      </w:pPr>
      <w:r>
        <w:rPr>
          <w:b/>
        </w:rPr>
        <w:t xml:space="preserve">Excellence: </w:t>
      </w:r>
      <w:r>
        <w:t>We hold ourselves to the highest technical and professional standards.</w:t>
      </w:r>
    </w:p>
    <w:p>
      <w:pPr>
        <w:pStyle w:val="ListBullet"/>
      </w:pPr>
      <w:r>
        <w:rPr>
          <w:b/>
        </w:rPr>
        <w:t xml:space="preserve">Collaboration: </w:t>
      </w:r>
      <w:r>
        <w:t>We achieve more when we work together across teams and disciplines.</w:t>
      </w:r>
    </w:p>
    <w:p>
      <w:pPr>
        <w:pStyle w:val="ListBullet"/>
      </w:pPr>
      <w:r>
        <w:rPr>
          <w:b/>
        </w:rPr>
        <w:t xml:space="preserve">Sustainability: </w:t>
      </w:r>
      <w:r>
        <w:t>We are stewards of the infrastructure that future generations will depend on.</w:t>
      </w:r>
    </w:p>
    <w:p>
      <w:pPr>
        <w:pStyle w:val="Heading1"/>
      </w:pPr>
      <w:r>
        <w:t>3. Working Hours and Attendance</w:t>
      </w:r>
    </w:p>
    <w:p>
      <w:pPr>
        <w:spacing w:before="0" w:after="120"/>
      </w:pPr>
      <w:r>
        <w:rPr>
          <w:b w:val="0"/>
          <w:i w:val="0"/>
          <w:sz w:val="22"/>
        </w:rPr>
        <w:t>Standard working hours are Monday to Friday, 08:00–16:30, with a 30-minute unpaid lunch break. Field and operations staff may operate on rotating shifts as defined in their employment contracts. Flexible working arrangements may be requested through the People &amp; Culture portal following the completion of a 6-month probationary period.</w:t>
      </w:r>
    </w:p>
    <w:p>
      <w:pPr>
        <w:pStyle w:val="Heading1"/>
      </w:pPr>
      <w:r>
        <w:t>4. Leave Entitlements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F3864"/>
          </w:tcPr>
          <w:p>
            <w:r>
              <w:rPr>
                <w:b/>
                <w:color w:val="FFFFFF"/>
                <w:sz w:val="20"/>
              </w:rPr>
              <w:t>Leave Type</w:t>
            </w:r>
          </w:p>
        </w:tc>
        <w:tc>
          <w:tcPr>
            <w:tcW w:type="dxa" w:w="2592"/>
            <w:shd w:val="clear" w:color="auto" w:fill="1F3864"/>
          </w:tcPr>
          <w:p>
            <w:r>
              <w:rPr>
                <w:b/>
                <w:color w:val="FFFFFF"/>
                <w:sz w:val="20"/>
              </w:rPr>
              <w:t>Annual Entitlement</w:t>
            </w:r>
          </w:p>
        </w:tc>
        <w:tc>
          <w:tcPr>
            <w:tcW w:type="dxa" w:w="1872"/>
            <w:shd w:val="clear" w:color="auto" w:fill="1F3864"/>
          </w:tcPr>
          <w:p>
            <w:r>
              <w:rPr>
                <w:b/>
                <w:color w:val="FFFFFF"/>
                <w:sz w:val="20"/>
              </w:rPr>
              <w:t>Accrual</w:t>
            </w:r>
          </w:p>
        </w:tc>
        <w:tc>
          <w:tcPr>
            <w:tcW w:type="dxa" w:w="3744"/>
            <w:shd w:val="clear" w:color="auto" w:fill="1F3864"/>
          </w:tcPr>
          <w:p>
            <w:r>
              <w:rPr>
                <w:b/>
                <w:color w:val="FFFFFF"/>
                <w:sz w:val="20"/>
              </w:rPr>
              <w:t>Notes</w:t>
            </w:r>
          </w:p>
        </w:tc>
      </w:tr>
      <w:tr>
        <w:tc>
          <w:tcPr>
            <w:tcW w:type="dxa" w:w="2880"/>
            <w:shd w:val="clear" w:color="auto" w:fill="F2F2F2"/>
          </w:tcPr>
          <w:p>
            <w:r>
              <w:rPr>
                <w:sz w:val="20"/>
              </w:rPr>
              <w:t>Annual Leave</w:t>
            </w:r>
          </w:p>
        </w:tc>
        <w:tc>
          <w:tcPr>
            <w:tcW w:type="dxa" w:w="2592"/>
            <w:shd w:val="clear" w:color="auto" w:fill="F2F2F2"/>
          </w:tcPr>
          <w:p>
            <w:r>
              <w:rPr>
                <w:sz w:val="20"/>
              </w:rPr>
              <w:t>25 days</w:t>
            </w:r>
          </w:p>
        </w:tc>
        <w:tc>
          <w:tcPr>
            <w:tcW w:type="dxa" w:w="1872"/>
            <w:shd w:val="clear" w:color="auto" w:fill="F2F2F2"/>
          </w:tcPr>
          <w:p>
            <w:r>
              <w:rPr>
                <w:sz w:val="20"/>
              </w:rPr>
              <w:t>Monthly</w:t>
            </w:r>
          </w:p>
        </w:tc>
        <w:tc>
          <w:tcPr>
            <w:tcW w:type="dxa" w:w="3744"/>
            <w:shd w:val="clear" w:color="auto" w:fill="F2F2F2"/>
          </w:tcPr>
          <w:p>
            <w:r>
              <w:rPr>
                <w:sz w:val="20"/>
              </w:rPr>
              <w:t>Up to 5 days may be carried forward</w:t>
            </w:r>
          </w:p>
        </w:tc>
      </w:tr>
      <w:tr>
        <w:tc>
          <w:tcPr>
            <w:tcW w:type="dxa" w:w="2880"/>
            <w:shd w:val="clear" w:color="auto" w:fill="FFFFFF"/>
          </w:tcPr>
          <w:p>
            <w:r>
              <w:rPr>
                <w:sz w:val="20"/>
              </w:rPr>
              <w:t>Sick Leave</w:t>
            </w:r>
          </w:p>
        </w:tc>
        <w:tc>
          <w:tcPr>
            <w:tcW w:type="dxa" w:w="2592"/>
            <w:shd w:val="clear" w:color="auto" w:fill="FFFFFF"/>
          </w:tcPr>
          <w:p>
            <w:r>
              <w:rPr>
                <w:sz w:val="20"/>
              </w:rPr>
              <w:t>15 days</w:t>
            </w:r>
          </w:p>
        </w:tc>
        <w:tc>
          <w:tcPr>
            <w:tcW w:type="dxa" w:w="1872"/>
            <w:shd w:val="clear" w:color="auto" w:fill="FFFFFF"/>
          </w:tcPr>
          <w:p>
            <w:r>
              <w:rPr>
                <w:sz w:val="20"/>
              </w:rPr>
              <w:t>Annual grant</w:t>
            </w:r>
          </w:p>
        </w:tc>
        <w:tc>
          <w:tcPr>
            <w:tcW w:type="dxa" w:w="3744"/>
            <w:shd w:val="clear" w:color="auto" w:fill="FFFFFF"/>
          </w:tcPr>
          <w:p>
            <w:r>
              <w:rPr>
                <w:sz w:val="20"/>
              </w:rPr>
              <w:t>GP certificate required &gt;3 consecutive days</w:t>
            </w:r>
          </w:p>
        </w:tc>
      </w:tr>
      <w:tr>
        <w:tc>
          <w:tcPr>
            <w:tcW w:type="dxa" w:w="2880"/>
            <w:shd w:val="clear" w:color="auto" w:fill="F2F2F2"/>
          </w:tcPr>
          <w:p>
            <w:r>
              <w:rPr>
                <w:sz w:val="20"/>
              </w:rPr>
              <w:t>Parental Leave</w:t>
            </w:r>
          </w:p>
        </w:tc>
        <w:tc>
          <w:tcPr>
            <w:tcW w:type="dxa" w:w="2592"/>
            <w:shd w:val="clear" w:color="auto" w:fill="F2F2F2"/>
          </w:tcPr>
          <w:p>
            <w:r>
              <w:rPr>
                <w:sz w:val="20"/>
              </w:rPr>
              <w:t>16 weeks</w:t>
            </w:r>
          </w:p>
        </w:tc>
        <w:tc>
          <w:tcPr>
            <w:tcW w:type="dxa" w:w="1872"/>
            <w:shd w:val="clear" w:color="auto" w:fill="F2F2F2"/>
          </w:tcPr>
          <w:p>
            <w:r>
              <w:rPr>
                <w:sz w:val="20"/>
              </w:rPr>
              <w:t>On birth/adoption</w:t>
            </w:r>
          </w:p>
        </w:tc>
        <w:tc>
          <w:tcPr>
            <w:tcW w:type="dxa" w:w="3744"/>
            <w:shd w:val="clear" w:color="auto" w:fill="F2F2F2"/>
          </w:tcPr>
          <w:p>
            <w:r>
              <w:rPr>
                <w:sz w:val="20"/>
              </w:rPr>
              <w:t>Full pay for primary carer</w:t>
            </w:r>
          </w:p>
        </w:tc>
      </w:tr>
      <w:tr>
        <w:tc>
          <w:tcPr>
            <w:tcW w:type="dxa" w:w="2880"/>
            <w:shd w:val="clear" w:color="auto" w:fill="FFFFFF"/>
          </w:tcPr>
          <w:p>
            <w:r>
              <w:rPr>
                <w:sz w:val="20"/>
              </w:rPr>
              <w:t>Compassionate Leave</w:t>
            </w:r>
          </w:p>
        </w:tc>
        <w:tc>
          <w:tcPr>
            <w:tcW w:type="dxa" w:w="2592"/>
            <w:shd w:val="clear" w:color="auto" w:fill="FFFFFF"/>
          </w:tcPr>
          <w:p>
            <w:r>
              <w:rPr>
                <w:sz w:val="20"/>
              </w:rPr>
              <w:t>5 days</w:t>
            </w:r>
          </w:p>
        </w:tc>
        <w:tc>
          <w:tcPr>
            <w:tcW w:type="dxa" w:w="1872"/>
            <w:shd w:val="clear" w:color="auto" w:fill="FFFFFF"/>
          </w:tcPr>
          <w:p>
            <w:r>
              <w:rPr>
                <w:sz w:val="20"/>
              </w:rPr>
              <w:t>Per incident</w:t>
            </w:r>
          </w:p>
        </w:tc>
        <w:tc>
          <w:tcPr>
            <w:tcW w:type="dxa" w:w="3744"/>
            <w:shd w:val="clear" w:color="auto" w:fill="FFFFFF"/>
          </w:tcPr>
          <w:p>
            <w:r>
              <w:rPr>
                <w:sz w:val="20"/>
              </w:rPr>
              <w:t>Immediate family only</w:t>
            </w:r>
          </w:p>
        </w:tc>
      </w:tr>
      <w:tr>
        <w:tc>
          <w:tcPr>
            <w:tcW w:type="dxa" w:w="2880"/>
            <w:shd w:val="clear" w:color="auto" w:fill="F2F2F2"/>
          </w:tcPr>
          <w:p>
            <w:r>
              <w:rPr>
                <w:sz w:val="20"/>
              </w:rPr>
              <w:t>Study Leave</w:t>
            </w:r>
          </w:p>
        </w:tc>
        <w:tc>
          <w:tcPr>
            <w:tcW w:type="dxa" w:w="2592"/>
            <w:shd w:val="clear" w:color="auto" w:fill="F2F2F2"/>
          </w:tcPr>
          <w:p>
            <w:r>
              <w:rPr>
                <w:sz w:val="20"/>
              </w:rPr>
              <w:t>5 days</w:t>
            </w:r>
          </w:p>
        </w:tc>
        <w:tc>
          <w:tcPr>
            <w:tcW w:type="dxa" w:w="1872"/>
            <w:shd w:val="clear" w:color="auto" w:fill="F2F2F2"/>
          </w:tcPr>
          <w:p>
            <w:r>
              <w:rPr>
                <w:sz w:val="20"/>
              </w:rPr>
              <w:t>Annual grant</w:t>
            </w:r>
          </w:p>
        </w:tc>
        <w:tc>
          <w:tcPr>
            <w:tcW w:type="dxa" w:w="3744"/>
            <w:shd w:val="clear" w:color="auto" w:fill="F2F2F2"/>
          </w:tcPr>
          <w:p>
            <w:r>
              <w:rPr>
                <w:sz w:val="20"/>
              </w:rPr>
              <w:t>Approved courses only; prior approval required</w:t>
            </w:r>
          </w:p>
        </w:tc>
      </w:tr>
    </w:tbl>
    <w:p>
      <w:pPr>
        <w:pStyle w:val="Heading1"/>
      </w:pPr>
      <w:r>
        <w:t>5. Code of Conduct</w:t>
      </w:r>
    </w:p>
    <w:p>
      <w:pPr>
        <w:spacing w:before="0" w:after="120"/>
      </w:pPr>
      <w:r>
        <w:rPr>
          <w:b w:val="0"/>
          <w:i w:val="0"/>
          <w:sz w:val="22"/>
        </w:rPr>
        <w:t>All employees are expected to conduct themselves in a manner that upholds the reputation of VOLTANA National Grid. This includes treating colleagues, contractors, and members of the public with respect; using company assets responsibly; maintaining the confidentiality of grid infrastructure data; and reporting concerns promptly through the appropriate channels.</w:t>
      </w:r>
    </w:p>
    <w:p>
      <w:pPr>
        <w:pStyle w:val="Heading1"/>
      </w:pPr>
      <w:r>
        <w:t>6. IT and Cybersecurity Policy</w:t>
      </w:r>
    </w:p>
    <w:p>
      <w:pPr>
        <w:spacing w:before="0" w:after="120"/>
      </w:pPr>
      <w:r>
        <w:rPr>
          <w:b w:val="0"/>
          <w:i w:val="0"/>
          <w:sz w:val="22"/>
        </w:rPr>
        <w:t>VOLTANA operates critical national infrastructure. All staff must adhere to the following rules regarding IT systems:</w:t>
      </w:r>
    </w:p>
    <w:p>
      <w:pPr>
        <w:pStyle w:val="ListBullet"/>
      </w:pPr>
      <w:r>
        <w:t>Use only company-approved devices and software for work tasks</w:t>
      </w:r>
    </w:p>
    <w:p>
      <w:pPr>
        <w:pStyle w:val="ListBullet"/>
      </w:pPr>
      <w:r>
        <w:t>Never share passwords or access credentials under any circumstances</w:t>
      </w:r>
    </w:p>
    <w:p>
      <w:pPr>
        <w:pStyle w:val="ListBullet"/>
      </w:pPr>
      <w:r>
        <w:t>Lock your workstation whenever you leave your desk (Win+L)</w:t>
      </w:r>
    </w:p>
    <w:p>
      <w:pPr>
        <w:pStyle w:val="ListBullet"/>
      </w:pPr>
      <w:r>
        <w:t>Do not connect personal USB storage devices to VOLTANA systems</w:t>
      </w:r>
    </w:p>
    <w:p>
      <w:pPr>
        <w:pStyle w:val="ListBullet"/>
      </w:pPr>
      <w:r>
        <w:t>Report any suspected phishing emails to security@voltana.internal immediately</w:t>
      </w:r>
    </w:p>
    <w:p>
      <w:pPr>
        <w:pStyle w:val="ListBullet"/>
      </w:pPr>
      <w:r>
        <w:t>Do not access SCADA or OT network systems without explicit authorisation</w:t>
      </w:r>
    </w:p>
    <w:p>
      <w:pPr>
        <w:pStyle w:val="Heading1"/>
      </w:pPr>
      <w:r>
        <w:t>7. Health, Safety and Environment (HSE)</w:t>
      </w:r>
    </w:p>
    <w:p>
      <w:pPr>
        <w:spacing w:before="0" w:after="120"/>
      </w:pPr>
      <w:r>
        <w:rPr>
          <w:b w:val="0"/>
          <w:i w:val="0"/>
          <w:sz w:val="22"/>
        </w:rPr>
        <w:t>Safety is non-negotiable at VOLTANA. All employees must complete mandatory HSE induction training within their first week, participate in quarterly safety briefings, report all near-misses and incidents immediately to the HSE Manager, and hold valid permits before undertaking any work in electrical hazard zones.</w:t>
      </w:r>
    </w:p>
    <w:p>
      <w:pPr>
        <w:pStyle w:val="Heading1"/>
      </w:pPr>
      <w:r>
        <w:t>8. Employee Benefits</w:t>
      </w:r>
    </w:p>
    <w:p>
      <w:pPr>
        <w:pStyle w:val="ListBullet"/>
      </w:pPr>
      <w:r>
        <w:rPr>
          <w:b/>
        </w:rPr>
        <w:t xml:space="preserve">Medical Aid: </w:t>
      </w:r>
      <w:r>
        <w:t>Company subsidised — 80% employer / 20% employee contribution</w:t>
      </w:r>
    </w:p>
    <w:p>
      <w:pPr>
        <w:pStyle w:val="ListBullet"/>
      </w:pPr>
      <w:r>
        <w:rPr>
          <w:b/>
        </w:rPr>
        <w:t xml:space="preserve">Pension: </w:t>
      </w:r>
      <w:r>
        <w:t>Defined contribution — 10% employer match on employee contributions</w:t>
      </w:r>
    </w:p>
    <w:p>
      <w:pPr>
        <w:pStyle w:val="ListBullet"/>
      </w:pPr>
      <w:r>
        <w:rPr>
          <w:b/>
        </w:rPr>
        <w:t xml:space="preserve">Group Life: </w:t>
      </w:r>
      <w:r>
        <w:t>3× annual salary — automatic enrolment</w:t>
      </w:r>
    </w:p>
    <w:p>
      <w:pPr>
        <w:pStyle w:val="ListBullet"/>
      </w:pPr>
      <w:r>
        <w:rPr>
          <w:b/>
        </w:rPr>
        <w:t xml:space="preserve">Employee Assistance: </w:t>
      </w:r>
      <w:r>
        <w:t>Confidential counselling — 6 free sessions per year</w:t>
      </w:r>
    </w:p>
    <w:p>
      <w:pPr>
        <w:pStyle w:val="ListBullet"/>
      </w:pPr>
      <w:r>
        <w:rPr>
          <w:b/>
        </w:rPr>
        <w:t xml:space="preserve">Professional Development: </w:t>
      </w:r>
      <w:r>
        <w:t>Study assistance up to USD 3,500 per annum</w:t>
      </w:r>
    </w:p>
    <w:p>
      <w:pPr>
        <w:pStyle w:val="ListBullet"/>
      </w:pPr>
      <w:r>
        <w:rPr>
          <w:b/>
        </w:rPr>
        <w:t xml:space="preserve">Canteen Subsidy: </w:t>
      </w:r>
      <w:r>
        <w:t>50% meal subsidy at all site canteens</w:t>
      </w:r>
    </w:p>
    <w:p>
      <w:pPr>
        <w:pStyle w:val="Heading1"/>
      </w:pPr>
      <w:r>
        <w:t>9. Grievance and Disciplinary Procedures</w:t>
      </w:r>
    </w:p>
    <w:p>
      <w:pPr>
        <w:spacing w:before="0" w:after="120"/>
      </w:pPr>
      <w:r>
        <w:rPr>
          <w:b w:val="0"/>
          <w:i w:val="0"/>
          <w:sz w:val="22"/>
        </w:rPr>
        <w:t>VOLTANA is committed to fair treatment. The grievance procedure provides a structured process for raising workplace concerns. The disciplinary procedure ensures consistent, fair handling of misconduct allegations. Both procedures are available in full on the People &amp; Culture intranet portal. Employees have the right to be accompanied by a colleague or trade union representative at formal hearings.</w:t>
      </w:r>
    </w:p>
    <w:p>
      <w:pPr>
        <w:pStyle w:val="Heading1"/>
      </w:pPr>
      <w:r>
        <w:t>10. Contact Directory</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1F3864"/>
          </w:tcPr>
          <w:p>
            <w:r>
              <w:rPr>
                <w:b/>
                <w:color w:val="FFFFFF"/>
                <w:sz w:val="20"/>
              </w:rPr>
              <w:t>Department</w:t>
            </w:r>
          </w:p>
        </w:tc>
        <w:tc>
          <w:tcPr>
            <w:tcW w:type="dxa" w:w="2592"/>
            <w:shd w:val="clear" w:color="auto" w:fill="1F3864"/>
          </w:tcPr>
          <w:p>
            <w:r>
              <w:rPr>
                <w:b/>
                <w:color w:val="FFFFFF"/>
                <w:sz w:val="20"/>
              </w:rPr>
              <w:t>Contact</w:t>
            </w:r>
          </w:p>
        </w:tc>
        <w:tc>
          <w:tcPr>
            <w:tcW w:type="dxa" w:w="4032"/>
            <w:shd w:val="clear" w:color="auto" w:fill="1F3864"/>
          </w:tcPr>
          <w:p>
            <w:r>
              <w:rPr>
                <w:b/>
                <w:color w:val="FFFFFF"/>
                <w:sz w:val="20"/>
              </w:rPr>
              <w:t>Email</w:t>
            </w:r>
          </w:p>
        </w:tc>
        <w:tc>
          <w:tcPr>
            <w:tcW w:type="dxa" w:w="1440"/>
            <w:shd w:val="clear" w:color="auto" w:fill="1F3864"/>
          </w:tcPr>
          <w:p>
            <w:r>
              <w:rPr>
                <w:b/>
                <w:color w:val="FFFFFF"/>
                <w:sz w:val="20"/>
              </w:rPr>
              <w:t>Extension</w:t>
            </w:r>
          </w:p>
        </w:tc>
      </w:tr>
      <w:tr>
        <w:tc>
          <w:tcPr>
            <w:tcW w:type="dxa" w:w="3168"/>
            <w:shd w:val="clear" w:color="auto" w:fill="F2F2F2"/>
          </w:tcPr>
          <w:p>
            <w:r>
              <w:rPr>
                <w:sz w:val="20"/>
              </w:rPr>
              <w:t>People &amp; Culture</w:t>
            </w:r>
          </w:p>
        </w:tc>
        <w:tc>
          <w:tcPr>
            <w:tcW w:type="dxa" w:w="2592"/>
            <w:shd w:val="clear" w:color="auto" w:fill="F2F2F2"/>
          </w:tcPr>
          <w:p>
            <w:r>
              <w:rPr>
                <w:sz w:val="20"/>
              </w:rPr>
              <w:t>HR Team</w:t>
            </w:r>
          </w:p>
        </w:tc>
        <w:tc>
          <w:tcPr>
            <w:tcW w:type="dxa" w:w="4032"/>
            <w:shd w:val="clear" w:color="auto" w:fill="F2F2F2"/>
          </w:tcPr>
          <w:p>
            <w:r>
              <w:rPr>
                <w:sz w:val="20"/>
              </w:rPr>
              <w:t>hr@voltana.internal</w:t>
            </w:r>
          </w:p>
        </w:tc>
        <w:tc>
          <w:tcPr>
            <w:tcW w:type="dxa" w:w="1440"/>
            <w:shd w:val="clear" w:color="auto" w:fill="F2F2F2"/>
          </w:tcPr>
          <w:p>
            <w:r>
              <w:rPr>
                <w:sz w:val="20"/>
              </w:rPr>
              <w:t>Ext. 5001</w:t>
            </w:r>
          </w:p>
        </w:tc>
      </w:tr>
      <w:tr>
        <w:tc>
          <w:tcPr>
            <w:tcW w:type="dxa" w:w="3168"/>
            <w:shd w:val="clear" w:color="auto" w:fill="FFFFFF"/>
          </w:tcPr>
          <w:p>
            <w:r>
              <w:rPr>
                <w:sz w:val="20"/>
              </w:rPr>
              <w:t>Payroll</w:t>
            </w:r>
          </w:p>
        </w:tc>
        <w:tc>
          <w:tcPr>
            <w:tcW w:type="dxa" w:w="2592"/>
            <w:shd w:val="clear" w:color="auto" w:fill="FFFFFF"/>
          </w:tcPr>
          <w:p>
            <w:r>
              <w:rPr>
                <w:sz w:val="20"/>
              </w:rPr>
              <w:t>Payroll Services</w:t>
            </w:r>
          </w:p>
        </w:tc>
        <w:tc>
          <w:tcPr>
            <w:tcW w:type="dxa" w:w="4032"/>
            <w:shd w:val="clear" w:color="auto" w:fill="FFFFFF"/>
          </w:tcPr>
          <w:p>
            <w:r>
              <w:rPr>
                <w:sz w:val="20"/>
              </w:rPr>
              <w:t>payroll@voltana.internal</w:t>
            </w:r>
          </w:p>
        </w:tc>
        <w:tc>
          <w:tcPr>
            <w:tcW w:type="dxa" w:w="1440"/>
            <w:shd w:val="clear" w:color="auto" w:fill="FFFFFF"/>
          </w:tcPr>
          <w:p>
            <w:r>
              <w:rPr>
                <w:sz w:val="20"/>
              </w:rPr>
              <w:t>Ext. 5020</w:t>
            </w:r>
          </w:p>
        </w:tc>
      </w:tr>
      <w:tr>
        <w:tc>
          <w:tcPr>
            <w:tcW w:type="dxa" w:w="3168"/>
            <w:shd w:val="clear" w:color="auto" w:fill="F2F2F2"/>
          </w:tcPr>
          <w:p>
            <w:r>
              <w:rPr>
                <w:sz w:val="20"/>
              </w:rPr>
              <w:t>IT Helpdesk</w:t>
            </w:r>
          </w:p>
        </w:tc>
        <w:tc>
          <w:tcPr>
            <w:tcW w:type="dxa" w:w="2592"/>
            <w:shd w:val="clear" w:color="auto" w:fill="F2F2F2"/>
          </w:tcPr>
          <w:p>
            <w:r>
              <w:rPr>
                <w:sz w:val="20"/>
              </w:rPr>
              <w:t>IT Support</w:t>
            </w:r>
          </w:p>
        </w:tc>
        <w:tc>
          <w:tcPr>
            <w:tcW w:type="dxa" w:w="4032"/>
            <w:shd w:val="clear" w:color="auto" w:fill="F2F2F2"/>
          </w:tcPr>
          <w:p>
            <w:r>
              <w:rPr>
                <w:sz w:val="20"/>
              </w:rPr>
              <w:t>helpdesk@voltana.internal</w:t>
            </w:r>
          </w:p>
        </w:tc>
        <w:tc>
          <w:tcPr>
            <w:tcW w:type="dxa" w:w="1440"/>
            <w:shd w:val="clear" w:color="auto" w:fill="F2F2F2"/>
          </w:tcPr>
          <w:p>
            <w:r>
              <w:rPr>
                <w:sz w:val="20"/>
              </w:rPr>
              <w:t>Ext. 4001</w:t>
            </w:r>
          </w:p>
        </w:tc>
      </w:tr>
      <w:tr>
        <w:tc>
          <w:tcPr>
            <w:tcW w:type="dxa" w:w="3168"/>
            <w:shd w:val="clear" w:color="auto" w:fill="FFFFFF"/>
          </w:tcPr>
          <w:p>
            <w:r>
              <w:rPr>
                <w:sz w:val="20"/>
              </w:rPr>
              <w:t>Security Incidents</w:t>
            </w:r>
          </w:p>
        </w:tc>
        <w:tc>
          <w:tcPr>
            <w:tcW w:type="dxa" w:w="2592"/>
            <w:shd w:val="clear" w:color="auto" w:fill="FFFFFF"/>
          </w:tcPr>
          <w:p>
            <w:r>
              <w:rPr>
                <w:sz w:val="20"/>
              </w:rPr>
              <w:t>Security Ops Centre</w:t>
            </w:r>
          </w:p>
        </w:tc>
        <w:tc>
          <w:tcPr>
            <w:tcW w:type="dxa" w:w="4032"/>
            <w:shd w:val="clear" w:color="auto" w:fill="FFFFFF"/>
          </w:tcPr>
          <w:p>
            <w:r>
              <w:rPr>
                <w:sz w:val="20"/>
              </w:rPr>
              <w:t>security@voltana.internal</w:t>
            </w:r>
          </w:p>
        </w:tc>
        <w:tc>
          <w:tcPr>
            <w:tcW w:type="dxa" w:w="1440"/>
            <w:shd w:val="clear" w:color="auto" w:fill="FFFFFF"/>
          </w:tcPr>
          <w:p>
            <w:r>
              <w:rPr>
                <w:sz w:val="20"/>
              </w:rPr>
              <w:t>Ext. 4911</w:t>
            </w:r>
          </w:p>
        </w:tc>
      </w:tr>
      <w:tr>
        <w:tc>
          <w:tcPr>
            <w:tcW w:type="dxa" w:w="3168"/>
            <w:shd w:val="clear" w:color="auto" w:fill="F2F2F2"/>
          </w:tcPr>
          <w:p>
            <w:r>
              <w:rPr>
                <w:sz w:val="20"/>
              </w:rPr>
              <w:t>HSE</w:t>
            </w:r>
          </w:p>
        </w:tc>
        <w:tc>
          <w:tcPr>
            <w:tcW w:type="dxa" w:w="2592"/>
            <w:shd w:val="clear" w:color="auto" w:fill="F2F2F2"/>
          </w:tcPr>
          <w:p>
            <w:r>
              <w:rPr>
                <w:sz w:val="20"/>
              </w:rPr>
              <w:t>HSE Manager</w:t>
            </w:r>
          </w:p>
        </w:tc>
        <w:tc>
          <w:tcPr>
            <w:tcW w:type="dxa" w:w="4032"/>
            <w:shd w:val="clear" w:color="auto" w:fill="F2F2F2"/>
          </w:tcPr>
          <w:p>
            <w:r>
              <w:rPr>
                <w:sz w:val="20"/>
              </w:rPr>
              <w:t>hse@voltana.internal</w:t>
            </w:r>
          </w:p>
        </w:tc>
        <w:tc>
          <w:tcPr>
            <w:tcW w:type="dxa" w:w="1440"/>
            <w:shd w:val="clear" w:color="auto" w:fill="F2F2F2"/>
          </w:tcPr>
          <w:p>
            <w:r>
              <w:rPr>
                <w:sz w:val="20"/>
              </w:rPr>
              <w:t>Ext. 5200</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0000"/>
        <w:sz w:val="16"/>
      </w:rPr>
      <w:t>VOLTANA National Grid  |  Internal Use Only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