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6"/>
        </w:rPr>
        <w:t>REQUEST FOR TENDER</w:t>
      </w:r>
    </w:p>
    <w:p>
      <w:pPr>
        <w:jc w:val="center"/>
      </w:pPr>
      <w:r>
        <w:rPr>
          <w:b/>
        </w:rPr>
        <w:t>RFT-VNG-2026-Q2-008 | Grid Modernisation Programme — Phase 2</w:t>
      </w:r>
    </w:p>
    <w:p/>
    <w:p>
      <w:r>
        <w:rPr>
          <w:b/>
        </w:rPr>
        <w:t xml:space="preserve">Issuing Authority: </w:t>
      </w:r>
      <w:r>
        <w:rPr>
          <w:sz w:val="20"/>
        </w:rPr>
        <w:t>VOLTANA National Grid — Procurement Division</w:t>
      </w:r>
    </w:p>
    <w:p>
      <w:r>
        <w:rPr>
          <w:b/>
        </w:rPr>
        <w:t xml:space="preserve">Issue Date: </w:t>
      </w:r>
      <w:r>
        <w:rPr>
          <w:sz w:val="20"/>
        </w:rPr>
        <w:t>03 March 2026</w:t>
      </w:r>
    </w:p>
    <w:p>
      <w:r>
        <w:rPr>
          <w:b/>
        </w:rPr>
        <w:t xml:space="preserve">Closing Date: </w:t>
      </w:r>
      <w:r>
        <w:rPr>
          <w:sz w:val="20"/>
        </w:rPr>
        <w:t>28 March 2026, 17:00 local time</w:t>
      </w:r>
    </w:p>
    <w:p>
      <w:r>
        <w:rPr>
          <w:b/>
        </w:rPr>
        <w:t xml:space="preserve">Enquiries Contact: </w:t>
      </w:r>
      <w:r>
        <w:rPr>
          <w:sz w:val="20"/>
        </w:rPr>
        <w:t>procurement@voltana.internal</w:t>
      </w:r>
    </w:p>
    <w:p>
      <w:r>
        <w:rPr>
          <w:b/>
        </w:rPr>
        <w:t xml:space="preserve">Estimated Value: </w:t>
      </w:r>
      <w:r>
        <w:rPr>
          <w:sz w:val="20"/>
        </w:rPr>
        <w:t>USD 2,400,000 – 3,100,000</w:t>
      </w:r>
    </w:p>
    <w:p>
      <w:pPr>
        <w:pStyle w:val="Heading1"/>
      </w:pPr>
      <w:r>
        <w:t>1. Introduction and Background</w:t>
      </w:r>
    </w:p>
    <w:p>
      <w:pPr>
        <w:spacing w:before="0" w:after="120"/>
      </w:pPr>
      <w:r>
        <w:rPr>
          <w:b w:val="0"/>
          <w:i w:val="0"/>
          <w:sz w:val="22"/>
        </w:rPr>
        <w:t>VOLTANA National Grid operates and maintains critical electricity transmission infrastructure across the national grid. In furtherance of the Grid Modernisation Programme (GMP), Phase 2, we invite qualified vendors to submit tenders for the supply, delivery, and commissioning of SCADA Remote Terminal Units (RTUs) and associated communication equipment at seventeen (17) substations.</w:t>
      </w:r>
    </w:p>
    <w:p>
      <w:pPr>
        <w:pStyle w:val="Heading1"/>
      </w:pPr>
      <w:r>
        <w:t>2. Scope of Works</w:t>
      </w:r>
    </w:p>
    <w:p>
      <w:pPr>
        <w:pStyle w:val="ListBullet"/>
      </w:pPr>
      <w:r>
        <w:rPr>
          <w:sz w:val="22"/>
        </w:rPr>
        <w:t>Supply and install IEC 61850-compliant RTUs at 17 substation sites</w:t>
      </w:r>
    </w:p>
    <w:p>
      <w:pPr>
        <w:pStyle w:val="ListBullet"/>
      </w:pPr>
      <w:r>
        <w:rPr>
          <w:sz w:val="22"/>
        </w:rPr>
        <w:t>Integration with existing VOLTANA EMS/SCADA platform (Schneider Electric EcoStruxure)</w:t>
      </w:r>
    </w:p>
    <w:p>
      <w:pPr>
        <w:pStyle w:val="ListBullet"/>
      </w:pPr>
      <w:r>
        <w:rPr>
          <w:sz w:val="22"/>
        </w:rPr>
        <w:t>Fibre optic and 4G LTE communication module installation</w:t>
      </w:r>
    </w:p>
    <w:p>
      <w:pPr>
        <w:pStyle w:val="ListBullet"/>
      </w:pPr>
      <w:r>
        <w:rPr>
          <w:sz w:val="22"/>
        </w:rPr>
        <w:t>Cybersecurity hardening per IEC 62443-3-3 Level 2</w:t>
      </w:r>
    </w:p>
    <w:p>
      <w:pPr>
        <w:pStyle w:val="ListBullet"/>
      </w:pPr>
      <w:r>
        <w:rPr>
          <w:sz w:val="22"/>
        </w:rPr>
        <w:t>Factory Acceptance Testing (FAT) and Site Acceptance Testing (SAT)</w:t>
      </w:r>
    </w:p>
    <w:p>
      <w:pPr>
        <w:pStyle w:val="ListBullet"/>
      </w:pPr>
      <w:r>
        <w:rPr>
          <w:sz w:val="22"/>
        </w:rPr>
        <w:t>Documentation: as-built drawings, O&amp;M manuals, and FAT/SAT reports</w:t>
      </w:r>
    </w:p>
    <w:p>
      <w:pPr>
        <w:pStyle w:val="ListBullet"/>
      </w:pPr>
      <w:r>
        <w:rPr>
          <w:sz w:val="22"/>
        </w:rPr>
        <w:t>12-month post-commissioning support (SLA: 4-hour on-site response)</w:t>
      </w:r>
    </w:p>
    <w:p>
      <w:pPr>
        <w:pStyle w:val="Heading1"/>
      </w:pPr>
      <w:r>
        <w:t>3. Eligibility Criteria</w:t>
      </w:r>
    </w:p>
    <w:p>
      <w:pPr>
        <w:spacing w:before="0" w:after="120"/>
      </w:pPr>
      <w:r>
        <w:rPr>
          <w:b w:val="0"/>
          <w:i w:val="0"/>
          <w:sz w:val="22"/>
        </w:rPr>
        <w:t>Tenderers must demonstrate: minimum 5 years' experience in HV/MV substation automation; ISO 9001:2015 certification; proven IEC 61850 implementation references (minimum 3 projects, each &gt;10 sites); local technical support capability within the country of operation.</w:t>
      </w:r>
    </w:p>
    <w:p>
      <w:pPr>
        <w:pStyle w:val="Heading1"/>
      </w:pPr>
      <w:r>
        <w:t>4. Evaluation Criteria</w:t>
      </w:r>
    </w:p>
    <w:tbl>
      <w:tblPr>
        <w:tblStyle w:val="TableGrid"/>
        <w:tblW w:type="auto" w:w="0"/>
        <w:tblLook w:firstColumn="1" w:firstRow="1" w:lastColumn="0" w:lastRow="0" w:noHBand="0" w:noVBand="1" w:val="04A0"/>
      </w:tblPr>
      <w:tblGrid>
        <w:gridCol w:w="2880"/>
        <w:gridCol w:w="2880"/>
        <w:gridCol w:w="2880"/>
      </w:tblGrid>
      <w:tr>
        <w:tc>
          <w:tcPr>
            <w:tcW w:type="dxa" w:w="4320"/>
            <w:shd w:val="clear" w:color="auto" w:fill="1F3864"/>
          </w:tcPr>
          <w:p>
            <w:r>
              <w:rPr>
                <w:b/>
                <w:color w:val="FFFFFF"/>
                <w:sz w:val="20"/>
              </w:rPr>
              <w:t>Criterion</w:t>
            </w:r>
          </w:p>
        </w:tc>
        <w:tc>
          <w:tcPr>
            <w:tcW w:type="dxa" w:w="1728"/>
            <w:shd w:val="clear" w:color="auto" w:fill="1F3864"/>
          </w:tcPr>
          <w:p>
            <w:r>
              <w:rPr>
                <w:b/>
                <w:color w:val="FFFFFF"/>
                <w:sz w:val="20"/>
              </w:rPr>
              <w:t>Weight</w:t>
            </w:r>
          </w:p>
        </w:tc>
        <w:tc>
          <w:tcPr>
            <w:tcW w:type="dxa" w:w="3456"/>
            <w:shd w:val="clear" w:color="auto" w:fill="1F3864"/>
          </w:tcPr>
          <w:p>
            <w:r>
              <w:rPr>
                <w:b/>
                <w:color w:val="FFFFFF"/>
                <w:sz w:val="20"/>
              </w:rPr>
              <w:t>Assessment Method</w:t>
            </w:r>
          </w:p>
        </w:tc>
      </w:tr>
      <w:tr>
        <w:tc>
          <w:tcPr>
            <w:tcW w:type="dxa" w:w="4320"/>
            <w:shd w:val="clear" w:color="auto" w:fill="F2F2F2"/>
          </w:tcPr>
          <w:p>
            <w:r>
              <w:rPr>
                <w:sz w:val="20"/>
              </w:rPr>
              <w:t>Technical Compliance</w:t>
            </w:r>
          </w:p>
        </w:tc>
        <w:tc>
          <w:tcPr>
            <w:tcW w:type="dxa" w:w="1728"/>
            <w:shd w:val="clear" w:color="auto" w:fill="F2F2F2"/>
          </w:tcPr>
          <w:p>
            <w:r>
              <w:rPr>
                <w:sz w:val="20"/>
              </w:rPr>
              <w:t>35%</w:t>
            </w:r>
          </w:p>
        </w:tc>
        <w:tc>
          <w:tcPr>
            <w:tcW w:type="dxa" w:w="3456"/>
            <w:shd w:val="clear" w:color="auto" w:fill="F2F2F2"/>
          </w:tcPr>
          <w:p>
            <w:r>
              <w:rPr>
                <w:sz w:val="20"/>
              </w:rPr>
              <w:t>Specification checklist review</w:t>
            </w:r>
          </w:p>
        </w:tc>
      </w:tr>
      <w:tr>
        <w:tc>
          <w:tcPr>
            <w:tcW w:type="dxa" w:w="4320"/>
            <w:shd w:val="clear" w:color="auto" w:fill="FFFFFF"/>
          </w:tcPr>
          <w:p>
            <w:r>
              <w:rPr>
                <w:sz w:val="20"/>
              </w:rPr>
              <w:t>Relevant Experience</w:t>
            </w:r>
          </w:p>
        </w:tc>
        <w:tc>
          <w:tcPr>
            <w:tcW w:type="dxa" w:w="1728"/>
            <w:shd w:val="clear" w:color="auto" w:fill="FFFFFF"/>
          </w:tcPr>
          <w:p>
            <w:r>
              <w:rPr>
                <w:sz w:val="20"/>
              </w:rPr>
              <w:t>25%</w:t>
            </w:r>
          </w:p>
        </w:tc>
        <w:tc>
          <w:tcPr>
            <w:tcW w:type="dxa" w:w="3456"/>
            <w:shd w:val="clear" w:color="auto" w:fill="FFFFFF"/>
          </w:tcPr>
          <w:p>
            <w:r>
              <w:rPr>
                <w:sz w:val="20"/>
              </w:rPr>
              <w:t>Reference project verification</w:t>
            </w:r>
          </w:p>
        </w:tc>
      </w:tr>
      <w:tr>
        <w:tc>
          <w:tcPr>
            <w:tcW w:type="dxa" w:w="4320"/>
            <w:shd w:val="clear" w:color="auto" w:fill="F2F2F2"/>
          </w:tcPr>
          <w:p>
            <w:r>
              <w:rPr>
                <w:sz w:val="20"/>
              </w:rPr>
              <w:t>Total Cost of Ownership</w:t>
            </w:r>
          </w:p>
        </w:tc>
        <w:tc>
          <w:tcPr>
            <w:tcW w:type="dxa" w:w="1728"/>
            <w:shd w:val="clear" w:color="auto" w:fill="F2F2F2"/>
          </w:tcPr>
          <w:p>
            <w:r>
              <w:rPr>
                <w:sz w:val="20"/>
              </w:rPr>
              <w:t>30%</w:t>
            </w:r>
          </w:p>
        </w:tc>
        <w:tc>
          <w:tcPr>
            <w:tcW w:type="dxa" w:w="3456"/>
            <w:shd w:val="clear" w:color="auto" w:fill="F2F2F2"/>
          </w:tcPr>
          <w:p>
            <w:r>
              <w:rPr>
                <w:sz w:val="20"/>
              </w:rPr>
              <w:t>Price + 5yr lifecycle estimate</w:t>
            </w:r>
          </w:p>
        </w:tc>
      </w:tr>
      <w:tr>
        <w:tc>
          <w:tcPr>
            <w:tcW w:type="dxa" w:w="4320"/>
            <w:shd w:val="clear" w:color="auto" w:fill="FFFFFF"/>
          </w:tcPr>
          <w:p>
            <w:r>
              <w:rPr>
                <w:sz w:val="20"/>
              </w:rPr>
              <w:t>Local Support Capability</w:t>
            </w:r>
          </w:p>
        </w:tc>
        <w:tc>
          <w:tcPr>
            <w:tcW w:type="dxa" w:w="1728"/>
            <w:shd w:val="clear" w:color="auto" w:fill="FFFFFF"/>
          </w:tcPr>
          <w:p>
            <w:r>
              <w:rPr>
                <w:sz w:val="20"/>
              </w:rPr>
              <w:t>10%</w:t>
            </w:r>
          </w:p>
        </w:tc>
        <w:tc>
          <w:tcPr>
            <w:tcW w:type="dxa" w:w="3456"/>
            <w:shd w:val="clear" w:color="auto" w:fill="FFFFFF"/>
          </w:tcPr>
          <w:p>
            <w:r>
              <w:rPr>
                <w:sz w:val="20"/>
              </w:rPr>
              <w:t>Site visit / interview</w:t>
            </w:r>
          </w:p>
        </w:tc>
      </w:tr>
    </w:tbl>
    <w:p>
      <w:pPr>
        <w:pStyle w:val="Heading1"/>
      </w:pPr>
      <w:r>
        <w:t>5. Tender Submission Requirements</w:t>
      </w:r>
    </w:p>
    <w:p>
      <w:pPr>
        <w:spacing w:before="0" w:after="120"/>
      </w:pPr>
      <w:r>
        <w:rPr>
          <w:b w:val="0"/>
          <w:i w:val="0"/>
          <w:sz w:val="22"/>
        </w:rPr>
        <w:t>All submissions must be received electronically via the VOLTANA Supplier Portal (https://supplier.voltana.internal) no later than 28 March 2026 at 17:00. Late submissions will not be considered. Physical copies are not required. Queries must be submitted via the portal Q&amp;A function no later than 21 March 2026.</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800000"/>
        <w:sz w:val="16"/>
      </w:rPr>
      <w:t>VOLTANA National Grid  |  CLASSIFICATION: EXERCISE ONLY  |  CONFIDENTIAL — INTERNAL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