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32"/>
        </w:rPr>
        <w:t>MASTER SUPPLY AGREEMENT</w:t>
      </w:r>
    </w:p>
    <w:p>
      <w:pPr>
        <w:jc w:val="center"/>
      </w:pPr>
      <w:r>
        <w:rPr>
          <w:i/>
        </w:rPr>
        <w:t>VOLTANA National Grid — Substation Equipment Procurement</w:t>
      </w:r>
    </w:p>
    <w:p/>
    <w:p>
      <w:r>
        <w:rPr>
          <w:b/>
        </w:rPr>
        <w:t xml:space="preserve">Agreement No.: </w:t>
      </w:r>
      <w:r>
        <w:t>VNG-MSA-2026-017</w:t>
      </w:r>
    </w:p>
    <w:p>
      <w:r>
        <w:rPr>
          <w:b/>
        </w:rPr>
        <w:t xml:space="preserve">Date: </w:t>
      </w:r>
      <w:r>
        <w:t>14 January 2026</w:t>
      </w:r>
    </w:p>
    <w:p>
      <w:r>
        <w:rPr>
          <w:b/>
        </w:rPr>
        <w:t xml:space="preserve">Term: </w:t>
      </w:r>
      <w:r>
        <w:t>24 months (auto-renewable)</w:t>
      </w:r>
    </w:p>
    <w:p>
      <w:r>
        <w:rPr>
          <w:b/>
        </w:rPr>
        <w:t xml:space="preserve">Category: </w:t>
      </w:r>
      <w:r>
        <w:t>High-Voltage Switchgear &amp; Protection Relays</w:t>
      </w:r>
    </w:p>
    <w:p>
      <w:pPr>
        <w:pStyle w:val="Heading1"/>
      </w:pPr>
      <w:r>
        <w:t>1. Scope of Supply</w:t>
      </w:r>
    </w:p>
    <w:p>
      <w:pPr>
        <w:spacing w:before="0" w:after="120"/>
      </w:pPr>
      <w:r>
        <w:rPr>
          <w:b w:val="0"/>
          <w:i w:val="0"/>
          <w:sz w:val="22"/>
        </w:rPr>
        <w:t>This Agreement governs the supply of high-voltage switchgear assemblies, numerical protection relays, and associated commissioning services to VOLTANA National Grid substations as specified in the attached Schedule A (Bill of Materials).</w:t>
      </w:r>
    </w:p>
    <w:p>
      <w:pPr>
        <w:pStyle w:val="Heading1"/>
      </w:pPr>
      <w:r>
        <w:t>2. Pricing and Payment</w:t>
      </w:r>
    </w:p>
    <w:p>
      <w:pPr>
        <w:spacing w:before="0" w:after="120"/>
      </w:pPr>
      <w:r>
        <w:rPr>
          <w:b w:val="0"/>
          <w:i w:val="0"/>
          <w:sz w:val="22"/>
        </w:rPr>
        <w:t>Unit pricing is fixed for the initial twelve (12) months of the Agreement. Thereafter, pricing may be adjusted annually by no more than the published Producer Price Index (PPI) for electrical equipment, capped at 4.5% per annum. Payment terms: Net-30 from invoice date.</w:t>
      </w:r>
    </w:p>
    <w:p>
      <w:pPr>
        <w:pStyle w:val="Heading1"/>
      </w:pPr>
      <w:r>
        <w:t>3. Delivery and Lead Times</w:t>
      </w:r>
    </w:p>
    <w:tbl>
      <w:tblPr>
        <w:tblStyle w:val="TableGrid"/>
        <w:tblW w:type="auto" w:w="0"/>
        <w:tblLook w:firstColumn="1" w:firstRow="1" w:lastColumn="0" w:lastRow="0" w:noHBand="0" w:noVBand="1" w:val="04A0"/>
      </w:tblPr>
      <w:tblGrid>
        <w:gridCol w:w="2160"/>
        <w:gridCol w:w="2160"/>
        <w:gridCol w:w="2160"/>
        <w:gridCol w:w="2160"/>
      </w:tblGrid>
      <w:tr>
        <w:tc>
          <w:tcPr>
            <w:tcW w:type="dxa" w:w="4320"/>
            <w:shd w:val="clear" w:color="auto" w:fill="1F3864"/>
          </w:tcPr>
          <w:p>
            <w:r>
              <w:rPr>
                <w:b/>
                <w:color w:val="FFFFFF"/>
                <w:sz w:val="20"/>
              </w:rPr>
              <w:t>Item Description</w:t>
            </w:r>
          </w:p>
        </w:tc>
        <w:tc>
          <w:tcPr>
            <w:tcW w:type="dxa" w:w="1152"/>
            <w:shd w:val="clear" w:color="auto" w:fill="1F3864"/>
          </w:tcPr>
          <w:p>
            <w:r>
              <w:rPr>
                <w:b/>
                <w:color w:val="FFFFFF"/>
                <w:sz w:val="20"/>
              </w:rPr>
              <w:t>UOM</w:t>
            </w:r>
          </w:p>
        </w:tc>
        <w:tc>
          <w:tcPr>
            <w:tcW w:type="dxa" w:w="1728"/>
            <w:shd w:val="clear" w:color="auto" w:fill="1F3864"/>
          </w:tcPr>
          <w:p>
            <w:r>
              <w:rPr>
                <w:b/>
                <w:color w:val="FFFFFF"/>
                <w:sz w:val="20"/>
              </w:rPr>
              <w:t>Lead Time</w:t>
            </w:r>
          </w:p>
        </w:tc>
        <w:tc>
          <w:tcPr>
            <w:tcW w:type="dxa" w:w="2160"/>
            <w:shd w:val="clear" w:color="auto" w:fill="1F3864"/>
          </w:tcPr>
          <w:p>
            <w:r>
              <w:rPr>
                <w:b/>
                <w:color w:val="FFFFFF"/>
                <w:sz w:val="20"/>
              </w:rPr>
              <w:t>Unit Price (USD)</w:t>
            </w:r>
          </w:p>
        </w:tc>
      </w:tr>
      <w:tr>
        <w:tc>
          <w:tcPr>
            <w:tcW w:type="dxa" w:w="4320"/>
            <w:shd w:val="clear" w:color="auto" w:fill="F2F2F2"/>
          </w:tcPr>
          <w:p>
            <w:r>
              <w:rPr>
                <w:sz w:val="20"/>
              </w:rPr>
              <w:t>132kV SF6 Circuit Breaker (ABB type)</w:t>
            </w:r>
          </w:p>
        </w:tc>
        <w:tc>
          <w:tcPr>
            <w:tcW w:type="dxa" w:w="1152"/>
            <w:shd w:val="clear" w:color="auto" w:fill="F2F2F2"/>
          </w:tcPr>
          <w:p>
            <w:r>
              <w:rPr>
                <w:sz w:val="20"/>
              </w:rPr>
              <w:t>EA</w:t>
            </w:r>
          </w:p>
        </w:tc>
        <w:tc>
          <w:tcPr>
            <w:tcW w:type="dxa" w:w="1728"/>
            <w:shd w:val="clear" w:color="auto" w:fill="F2F2F2"/>
          </w:tcPr>
          <w:p>
            <w:r>
              <w:rPr>
                <w:sz w:val="20"/>
              </w:rPr>
              <w:t>8–12 weeks</w:t>
            </w:r>
          </w:p>
        </w:tc>
        <w:tc>
          <w:tcPr>
            <w:tcW w:type="dxa" w:w="2160"/>
            <w:shd w:val="clear" w:color="auto" w:fill="F2F2F2"/>
          </w:tcPr>
          <w:p>
            <w:r>
              <w:rPr>
                <w:sz w:val="20"/>
              </w:rPr>
              <w:t>47,200.00</w:t>
            </w:r>
          </w:p>
        </w:tc>
      </w:tr>
      <w:tr>
        <w:tc>
          <w:tcPr>
            <w:tcW w:type="dxa" w:w="4320"/>
            <w:shd w:val="clear" w:color="auto" w:fill="FFFFFF"/>
          </w:tcPr>
          <w:p>
            <w:r>
              <w:rPr>
                <w:sz w:val="20"/>
              </w:rPr>
              <w:t>33kV Vacuum Contactor Panel</w:t>
            </w:r>
          </w:p>
        </w:tc>
        <w:tc>
          <w:tcPr>
            <w:tcW w:type="dxa" w:w="1152"/>
            <w:shd w:val="clear" w:color="auto" w:fill="FFFFFF"/>
          </w:tcPr>
          <w:p>
            <w:r>
              <w:rPr>
                <w:sz w:val="20"/>
              </w:rPr>
              <w:t>EA</w:t>
            </w:r>
          </w:p>
        </w:tc>
        <w:tc>
          <w:tcPr>
            <w:tcW w:type="dxa" w:w="1728"/>
            <w:shd w:val="clear" w:color="auto" w:fill="FFFFFF"/>
          </w:tcPr>
          <w:p>
            <w:r>
              <w:rPr>
                <w:sz w:val="20"/>
              </w:rPr>
              <w:t>6–8 weeks</w:t>
            </w:r>
          </w:p>
        </w:tc>
        <w:tc>
          <w:tcPr>
            <w:tcW w:type="dxa" w:w="2160"/>
            <w:shd w:val="clear" w:color="auto" w:fill="FFFFFF"/>
          </w:tcPr>
          <w:p>
            <w:r>
              <w:rPr>
                <w:sz w:val="20"/>
              </w:rPr>
              <w:t>18,750.00</w:t>
            </w:r>
          </w:p>
        </w:tc>
      </w:tr>
      <w:tr>
        <w:tc>
          <w:tcPr>
            <w:tcW w:type="dxa" w:w="4320"/>
            <w:shd w:val="clear" w:color="auto" w:fill="F2F2F2"/>
          </w:tcPr>
          <w:p>
            <w:r>
              <w:rPr>
                <w:sz w:val="20"/>
              </w:rPr>
              <w:t>Numerical Protection Relay (SEL-411L)</w:t>
            </w:r>
          </w:p>
        </w:tc>
        <w:tc>
          <w:tcPr>
            <w:tcW w:type="dxa" w:w="1152"/>
            <w:shd w:val="clear" w:color="auto" w:fill="F2F2F2"/>
          </w:tcPr>
          <w:p>
            <w:r>
              <w:rPr>
                <w:sz w:val="20"/>
              </w:rPr>
              <w:t>EA</w:t>
            </w:r>
          </w:p>
        </w:tc>
        <w:tc>
          <w:tcPr>
            <w:tcW w:type="dxa" w:w="1728"/>
            <w:shd w:val="clear" w:color="auto" w:fill="F2F2F2"/>
          </w:tcPr>
          <w:p>
            <w:r>
              <w:rPr>
                <w:sz w:val="20"/>
              </w:rPr>
              <w:t>4–6 weeks</w:t>
            </w:r>
          </w:p>
        </w:tc>
        <w:tc>
          <w:tcPr>
            <w:tcW w:type="dxa" w:w="2160"/>
            <w:shd w:val="clear" w:color="auto" w:fill="F2F2F2"/>
          </w:tcPr>
          <w:p>
            <w:r>
              <w:rPr>
                <w:sz w:val="20"/>
              </w:rPr>
              <w:t>6,340.00</w:t>
            </w:r>
          </w:p>
        </w:tc>
      </w:tr>
      <w:tr>
        <w:tc>
          <w:tcPr>
            <w:tcW w:type="dxa" w:w="4320"/>
            <w:shd w:val="clear" w:color="auto" w:fill="FFFFFF"/>
          </w:tcPr>
          <w:p>
            <w:r>
              <w:rPr>
                <w:sz w:val="20"/>
              </w:rPr>
              <w:t>Control Cable (XLPE, 4-core 10mm²)</w:t>
            </w:r>
          </w:p>
        </w:tc>
        <w:tc>
          <w:tcPr>
            <w:tcW w:type="dxa" w:w="1152"/>
            <w:shd w:val="clear" w:color="auto" w:fill="FFFFFF"/>
          </w:tcPr>
          <w:p>
            <w:r>
              <w:rPr>
                <w:sz w:val="20"/>
              </w:rPr>
              <w:t>m</w:t>
            </w:r>
          </w:p>
        </w:tc>
        <w:tc>
          <w:tcPr>
            <w:tcW w:type="dxa" w:w="1728"/>
            <w:shd w:val="clear" w:color="auto" w:fill="FFFFFF"/>
          </w:tcPr>
          <w:p>
            <w:r>
              <w:rPr>
                <w:sz w:val="20"/>
              </w:rPr>
              <w:t>1–2 weeks</w:t>
            </w:r>
          </w:p>
        </w:tc>
        <w:tc>
          <w:tcPr>
            <w:tcW w:type="dxa" w:w="2160"/>
            <w:shd w:val="clear" w:color="auto" w:fill="FFFFFF"/>
          </w:tcPr>
          <w:p>
            <w:r>
              <w:rPr>
                <w:sz w:val="20"/>
              </w:rPr>
              <w:t>12.80</w:t>
            </w:r>
          </w:p>
        </w:tc>
      </w:tr>
      <w:tr>
        <w:tc>
          <w:tcPr>
            <w:tcW w:type="dxa" w:w="4320"/>
            <w:shd w:val="clear" w:color="auto" w:fill="F2F2F2"/>
          </w:tcPr>
          <w:p>
            <w:r>
              <w:rPr>
                <w:sz w:val="20"/>
              </w:rPr>
              <w:t>Commissioning &amp; Testing Service</w:t>
            </w:r>
          </w:p>
        </w:tc>
        <w:tc>
          <w:tcPr>
            <w:tcW w:type="dxa" w:w="1152"/>
            <w:shd w:val="clear" w:color="auto" w:fill="F2F2F2"/>
          </w:tcPr>
          <w:p>
            <w:r>
              <w:rPr>
                <w:sz w:val="20"/>
              </w:rPr>
              <w:t>Day</w:t>
            </w:r>
          </w:p>
        </w:tc>
        <w:tc>
          <w:tcPr>
            <w:tcW w:type="dxa" w:w="1728"/>
            <w:shd w:val="clear" w:color="auto" w:fill="F2F2F2"/>
          </w:tcPr>
          <w:p>
            <w:r>
              <w:rPr>
                <w:sz w:val="20"/>
              </w:rPr>
              <w:t>On-demand</w:t>
            </w:r>
          </w:p>
        </w:tc>
        <w:tc>
          <w:tcPr>
            <w:tcW w:type="dxa" w:w="2160"/>
            <w:shd w:val="clear" w:color="auto" w:fill="F2F2F2"/>
          </w:tcPr>
          <w:p>
            <w:r>
              <w:rPr>
                <w:sz w:val="20"/>
              </w:rPr>
              <w:t>2,100.00</w:t>
            </w:r>
          </w:p>
        </w:tc>
      </w:tr>
    </w:tbl>
    <w:p>
      <w:pPr>
        <w:pStyle w:val="Heading1"/>
      </w:pPr>
      <w:r>
        <w:t>4. Quality Assurance</w:t>
      </w:r>
    </w:p>
    <w:p>
      <w:pPr>
        <w:spacing w:before="0" w:after="120"/>
      </w:pPr>
      <w:r>
        <w:rPr>
          <w:b w:val="0"/>
          <w:i w:val="0"/>
          <w:sz w:val="22"/>
        </w:rPr>
        <w:t>All equipment must conform to IEC 62271 (HV switchgear), IEC 60255 (protection relays), and VOLTANA internal specification VNG-ENG-STD-004. Factory Acceptance Tests (FAT) are mandatory for circuit breakers and bay controllers; certificates must accompany each delivery.</w:t>
      </w:r>
    </w:p>
    <w:p>
      <w:pPr>
        <w:pStyle w:val="Heading1"/>
      </w:pPr>
      <w:r>
        <w:t>5. Warranties</w:t>
      </w:r>
    </w:p>
    <w:p>
      <w:pPr>
        <w:spacing w:before="0" w:after="120"/>
      </w:pPr>
      <w:r>
        <w:rPr>
          <w:b w:val="0"/>
          <w:i w:val="0"/>
          <w:sz w:val="22"/>
        </w:rPr>
        <w:t>Supplier warrants all supplied equipment against defects in materials and workmanship for a period of twenty-four (24) months from Site Acceptance Test (SAT) completion, or thirty (30) months from the date of shipment, whichever is earlier.</w:t>
      </w:r>
    </w:p>
    <w:p>
      <w:pPr>
        <w:pStyle w:val="Heading1"/>
      </w:pPr>
      <w:r>
        <w:t>6. Force Majeure</w:t>
      </w:r>
    </w:p>
    <w:p>
      <w:pPr>
        <w:spacing w:before="0" w:after="120"/>
      </w:pPr>
      <w:r>
        <w:rPr>
          <w:b w:val="0"/>
          <w:i w:val="0"/>
          <w:sz w:val="22"/>
        </w:rPr>
        <w:t>Neither Party shall be liable for delays caused by events beyond reasonable control, including acts of government, natural disasters, or disruptions to international supply chains, provided prompt written notice is given within five (5) business days of the event.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color w:val="800000"/>
        <w:sz w:val="16"/>
      </w:rPr>
      <w:t>VOLTANA National Grid  |  CLASSIFICATION: EXERCISE ONLY  |  CONFIDENTIAL — INTERNAL USE ONLY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