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pPr>
      <w:r>
        <w:rPr>
          <w:rFonts w:ascii="Calibri" w:hAnsi="Calibri"/>
          <w:b/>
          <w:color w:val="1F4E79"/>
          <w:sz w:val="48"/>
        </w:rPr>
        <w:t>LocalRAG: Master System Defense Guide</w:t>
      </w:r>
    </w:p>
    <w:p>
      <w:pPr>
        <w:spacing w:after="320"/>
      </w:pPr>
      <w:r>
        <w:rPr>
          <w:rFonts w:ascii="Calibri" w:hAnsi="Calibri"/>
          <w:i/>
          <w:color w:val="64748B"/>
          <w:sz w:val="24"/>
        </w:rPr>
        <w:t>Layman-Friendly Oral Defense Manual, Verbatim Speaking Scripts &amp; Metric Reference</w:t>
      </w:r>
    </w:p>
    <w:p>
      <w:pPr>
        <w:spacing w:after="320"/>
        <w:pBdr>
          <w:bottom w:val="single" w:sz="18" w:space="1" w:color="2E75B6"/>
        </w:pBdr>
      </w:pPr>
    </w:p>
    <w:p>
      <w:pPr>
        <w:keepNext/>
        <w:spacing w:before="400" w:after="120"/>
        <w:pBdr>
          <w:bottom w:val="single" w:sz="12" w:space="4" w:color="1F4E79"/>
        </w:pBdr>
      </w:pPr>
      <w:r>
        <w:rPr>
          <w:rFonts w:ascii="Calibri" w:hAnsi="Calibri"/>
          <w:b/>
          <w:color w:val="1F4E79"/>
          <w:sz w:val="32"/>
        </w:rPr>
        <w:t>1. The 30-Second Elevator Pitch (The Core Idea)</w:t>
      </w:r>
    </w:p>
    <w:p>
      <w:r>
        <w:t>If the panelists ask you to explain your entire project in 30 seconds, use this exact pitch:</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The 30-Second Speaking Pitch:</w:t>
              <w:br/>
            </w:r>
            <w:r>
              <w:rPr>
                <w:i/>
                <w:color w:val="1E293B"/>
                <w:sz w:val="21"/>
              </w:rPr>
              <w:t>"Think of standard cloud AI like a very smart student taking an open-book exam. If you hand that student the wrong page of the book, even the smartest student will guess or make things up—which we call AI hallucination.</w:t>
              <w:br/>
              <w:br/>
              <w:t>Furthermore, hospitals and enterprises cannot upload sensitive private PDFs to cloud APIs like ChatGPT due to data compliance laws.</w:t>
              <w:br/>
              <w:br/>
              <w:t>LocalRAG solves both problems: (1) It runs 100% offline on a standard laptop with zero cloud dependencies; (2) It uses a two-stage cascading search system—a fast keyword filter followed by a deep neural reranker—that guarantees the AI receives the exact right page before writing its answer; and (3) It includes a rigorous 50-query scientific benchmark proving that neural reranking doubles factual retrieval accuracy and suppresses hallucinations by over 24%."</w:t>
            </w:r>
          </w:p>
        </w:tc>
      </w:tr>
    </w:tbl>
    <w:p>
      <w:pPr>
        <w:spacing w:before="0" w:after="80"/>
      </w:pPr>
    </w:p>
    <w:p>
      <w:pPr>
        <w:keepNext/>
        <w:spacing w:before="400" w:after="120"/>
        <w:pBdr>
          <w:bottom w:val="single" w:sz="12" w:space="4" w:color="1F4E79"/>
        </w:pBdr>
      </w:pPr>
      <w:r>
        <w:rPr>
          <w:rFonts w:ascii="Calibri" w:hAnsi="Calibri"/>
          <w:b/>
          <w:color w:val="1F4E79"/>
          <w:sz w:val="32"/>
        </w:rPr>
        <w:t>2. How the System Works in Plain English (The Library Analogy)</w:t>
      </w:r>
    </w:p>
    <w:p>
      <w:r>
        <w:t>When explaining the architecture to professors or panelists who do not specialize in AI, avoid dumping technical acronyms like FAISS, RRF, and Cross-Encoder immediately. Instead, use the University Research Library Team analogy:</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F4E79"/>
            <w:tcMar>
              <w:top w:w="120" w:type="dxa"/>
              <w:bottom w:w="120" w:type="dxa"/>
              <w:left w:w="140" w:type="dxa"/>
              <w:right w:w="140" w:type="dxa"/>
            </w:tcMar>
          </w:tcPr>
          <w:p>
            <w:pPr>
              <w:jc w:val="left"/>
            </w:pPr>
            <w:r>
              <w:rPr>
                <w:b/>
                <w:color w:val="FFFFFF"/>
                <w:sz w:val="19"/>
              </w:rPr>
              <w:t>System Component</w:t>
            </w:r>
          </w:p>
        </w:tc>
        <w:tc>
          <w:tcPr>
            <w:tcW w:type="dxa" w:w="2592"/>
            <w:shd w:fill="1F4E79"/>
            <w:tcMar>
              <w:top w:w="120" w:type="dxa"/>
              <w:bottom w:w="120" w:type="dxa"/>
              <w:left w:w="140" w:type="dxa"/>
              <w:right w:w="140" w:type="dxa"/>
            </w:tcMar>
          </w:tcPr>
          <w:p>
            <w:pPr>
              <w:jc w:val="left"/>
            </w:pPr>
            <w:r>
              <w:rPr>
                <w:b/>
                <w:color w:val="FFFFFF"/>
                <w:sz w:val="19"/>
              </w:rPr>
              <w:t>Library Team Role</w:t>
            </w:r>
          </w:p>
        </w:tc>
        <w:tc>
          <w:tcPr>
            <w:tcW w:type="dxa" w:w="4608"/>
            <w:shd w:fill="1F4E79"/>
            <w:tcMar>
              <w:top w:w="120" w:type="dxa"/>
              <w:bottom w:w="120" w:type="dxa"/>
              <w:left w:w="140" w:type="dxa"/>
              <w:right w:w="140" w:type="dxa"/>
            </w:tcMar>
          </w:tcPr>
          <w:p>
            <w:pPr>
              <w:jc w:val="left"/>
            </w:pPr>
            <w:r>
              <w:rPr>
                <w:b/>
                <w:color w:val="FFFFFF"/>
                <w:sz w:val="19"/>
              </w:rPr>
              <w:t>What It Actually Does in Plain English</w:t>
            </w:r>
          </w:p>
        </w:tc>
      </w:tr>
      <w:tr>
        <w:tc>
          <w:tcPr>
            <w:tcW w:type="dxa" w:w="2160"/>
            <w:shd w:fill="FFFFFF"/>
            <w:tcMar>
              <w:top w:w="100" w:type="dxa"/>
              <w:bottom w:w="100" w:type="dxa"/>
              <w:left w:w="140" w:type="dxa"/>
              <w:right w:w="140" w:type="dxa"/>
            </w:tcMar>
          </w:tcPr>
          <w:p>
            <w:r>
              <w:rPr>
                <w:color w:val="1E293B"/>
                <w:sz w:val="19"/>
              </w:rPr>
              <w:t>1. Ingestion &amp; OCR</w:t>
            </w:r>
          </w:p>
        </w:tc>
        <w:tc>
          <w:tcPr>
            <w:tcW w:type="dxa" w:w="2592"/>
            <w:shd w:fill="FFFFFF"/>
            <w:tcMar>
              <w:top w:w="100" w:type="dxa"/>
              <w:bottom w:w="100" w:type="dxa"/>
              <w:left w:w="140" w:type="dxa"/>
              <w:right w:w="140" w:type="dxa"/>
            </w:tcMar>
          </w:tcPr>
          <w:p>
            <w:r>
              <w:rPr>
                <w:color w:val="1E293B"/>
                <w:sz w:val="19"/>
              </w:rPr>
              <w:t>The Digitization Desk</w:t>
            </w:r>
          </w:p>
        </w:tc>
        <w:tc>
          <w:tcPr>
            <w:tcW w:type="dxa" w:w="4608"/>
            <w:shd w:fill="FFFFFF"/>
            <w:tcMar>
              <w:top w:w="100" w:type="dxa"/>
              <w:bottom w:w="100" w:type="dxa"/>
              <w:left w:w="140" w:type="dxa"/>
              <w:right w:w="140" w:type="dxa"/>
            </w:tcMar>
          </w:tcPr>
          <w:p>
            <w:r>
              <w:rPr>
                <w:color w:val="1E293B"/>
                <w:sz w:val="19"/>
              </w:rPr>
              <w:t>Scans PDF books, converts images to text with OCR so no pages are skipped, and cuts them into neat, readable 450-character index cards.</w:t>
            </w:r>
          </w:p>
        </w:tc>
      </w:tr>
      <w:tr>
        <w:tc>
          <w:tcPr>
            <w:tcW w:type="dxa" w:w="2160"/>
            <w:shd w:fill="F8FAFC"/>
            <w:tcMar>
              <w:top w:w="100" w:type="dxa"/>
              <w:bottom w:w="100" w:type="dxa"/>
              <w:left w:w="140" w:type="dxa"/>
              <w:right w:w="140" w:type="dxa"/>
            </w:tcMar>
          </w:tcPr>
          <w:p>
            <w:r>
              <w:rPr>
                <w:color w:val="1E293B"/>
                <w:sz w:val="19"/>
              </w:rPr>
              <w:t>2. Hybrid Search (Stage 1)</w:t>
            </w:r>
          </w:p>
        </w:tc>
        <w:tc>
          <w:tcPr>
            <w:tcW w:type="dxa" w:w="2592"/>
            <w:shd w:fill="F8FAFC"/>
            <w:tcMar>
              <w:top w:w="100" w:type="dxa"/>
              <w:bottom w:w="100" w:type="dxa"/>
              <w:left w:w="140" w:type="dxa"/>
              <w:right w:w="140" w:type="dxa"/>
            </w:tcMar>
          </w:tcPr>
          <w:p>
            <w:r>
              <w:rPr>
                <w:color w:val="1E293B"/>
                <w:sz w:val="19"/>
              </w:rPr>
              <w:t>The Two Junior Librarians</w:t>
            </w:r>
          </w:p>
        </w:tc>
        <w:tc>
          <w:tcPr>
            <w:tcW w:type="dxa" w:w="4608"/>
            <w:shd w:fill="F8FAFC"/>
            <w:tcMar>
              <w:top w:w="100" w:type="dxa"/>
              <w:bottom w:w="100" w:type="dxa"/>
              <w:left w:w="140" w:type="dxa"/>
              <w:right w:w="140" w:type="dxa"/>
            </w:tcMar>
          </w:tcPr>
          <w:p>
            <w:r>
              <w:rPr>
                <w:color w:val="1E293B"/>
                <w:sz w:val="19"/>
              </w:rPr>
              <w:t>• Librarian A (BM25) searches for exact words, model names, and numbers.</w:t>
              <w:br/>
              <w:t>• Librarian B (Vector Embeddings) searches for general meanings and concepts.</w:t>
              <w:br/>
              <w:t>Both run simultaneously in 48 milliseconds.</w:t>
            </w:r>
          </w:p>
        </w:tc>
      </w:tr>
      <w:tr>
        <w:tc>
          <w:tcPr>
            <w:tcW w:type="dxa" w:w="2160"/>
            <w:shd w:fill="FFFFFF"/>
            <w:tcMar>
              <w:top w:w="100" w:type="dxa"/>
              <w:bottom w:w="100" w:type="dxa"/>
              <w:left w:w="140" w:type="dxa"/>
              <w:right w:w="140" w:type="dxa"/>
            </w:tcMar>
          </w:tcPr>
          <w:p>
            <w:r>
              <w:rPr>
                <w:color w:val="1E293B"/>
                <w:sz w:val="19"/>
              </w:rPr>
              <w:t>3. Rank Fusion (RRF)</w:t>
            </w:r>
          </w:p>
        </w:tc>
        <w:tc>
          <w:tcPr>
            <w:tcW w:type="dxa" w:w="2592"/>
            <w:shd w:fill="FFFFFF"/>
            <w:tcMar>
              <w:top w:w="100" w:type="dxa"/>
              <w:bottom w:w="100" w:type="dxa"/>
              <w:left w:w="140" w:type="dxa"/>
              <w:right w:w="140" w:type="dxa"/>
            </w:tcMar>
          </w:tcPr>
          <w:p>
            <w:r>
              <w:rPr>
                <w:color w:val="1E293B"/>
                <w:sz w:val="19"/>
              </w:rPr>
              <w:t>The Fair Shift Manager</w:t>
            </w:r>
          </w:p>
        </w:tc>
        <w:tc>
          <w:tcPr>
            <w:tcW w:type="dxa" w:w="4608"/>
            <w:shd w:fill="FFFFFF"/>
            <w:tcMar>
              <w:top w:w="100" w:type="dxa"/>
              <w:bottom w:w="100" w:type="dxa"/>
              <w:left w:w="140" w:type="dxa"/>
              <w:right w:w="140" w:type="dxa"/>
            </w:tcMar>
          </w:tcPr>
          <w:p>
            <w:r>
              <w:rPr>
                <w:color w:val="1E293B"/>
                <w:sz w:val="19"/>
              </w:rPr>
              <w:t>Merges both librarians' lists by rank position (1st, 2nd, 3rd) rather than raw scores. Prevents either search style from dominating and hands the top 20 candidate pages to the professor.</w:t>
            </w:r>
          </w:p>
        </w:tc>
      </w:tr>
      <w:tr>
        <w:tc>
          <w:tcPr>
            <w:tcW w:type="dxa" w:w="2160"/>
            <w:shd w:fill="F8FAFC"/>
            <w:tcMar>
              <w:top w:w="100" w:type="dxa"/>
              <w:bottom w:w="100" w:type="dxa"/>
              <w:left w:w="140" w:type="dxa"/>
              <w:right w:w="140" w:type="dxa"/>
            </w:tcMar>
          </w:tcPr>
          <w:p>
            <w:r>
              <w:rPr>
                <w:color w:val="1E293B"/>
                <w:sz w:val="19"/>
              </w:rPr>
              <w:t>4. Neural Reranker (Stage 2)</w:t>
            </w:r>
          </w:p>
        </w:tc>
        <w:tc>
          <w:tcPr>
            <w:tcW w:type="dxa" w:w="2592"/>
            <w:shd w:fill="F8FAFC"/>
            <w:tcMar>
              <w:top w:w="100" w:type="dxa"/>
              <w:bottom w:w="100" w:type="dxa"/>
              <w:left w:w="140" w:type="dxa"/>
              <w:right w:w="140" w:type="dxa"/>
            </w:tcMar>
          </w:tcPr>
          <w:p>
            <w:r>
              <w:rPr>
                <w:color w:val="1E293B"/>
                <w:sz w:val="19"/>
              </w:rPr>
              <w:t>The Senior Professor</w:t>
            </w:r>
          </w:p>
        </w:tc>
        <w:tc>
          <w:tcPr>
            <w:tcW w:type="dxa" w:w="4608"/>
            <w:shd w:fill="F8FAFC"/>
            <w:tcMar>
              <w:top w:w="100" w:type="dxa"/>
              <w:bottom w:w="100" w:type="dxa"/>
              <w:left w:w="140" w:type="dxa"/>
              <w:right w:w="140" w:type="dxa"/>
            </w:tcMar>
          </w:tcPr>
          <w:p>
            <w:r>
              <w:rPr>
                <w:color w:val="1E293B"/>
                <w:sz w:val="19"/>
              </w:rPr>
              <w:t>Takes the 20 candidate pages and carefully reads the question and document words together side-by-side. Puts the #1 true evidence right at the top of the stack in ~290ms.</w:t>
            </w:r>
          </w:p>
        </w:tc>
      </w:tr>
      <w:tr>
        <w:tc>
          <w:tcPr>
            <w:tcW w:type="dxa" w:w="2160"/>
            <w:shd w:fill="FFFFFF"/>
            <w:tcMar>
              <w:top w:w="100" w:type="dxa"/>
              <w:bottom w:w="100" w:type="dxa"/>
              <w:left w:w="140" w:type="dxa"/>
              <w:right w:w="140" w:type="dxa"/>
            </w:tcMar>
          </w:tcPr>
          <w:p>
            <w:r>
              <w:rPr>
                <w:color w:val="1E293B"/>
                <w:sz w:val="19"/>
              </w:rPr>
              <w:t>5. Local AI Synthesis</w:t>
            </w:r>
          </w:p>
        </w:tc>
        <w:tc>
          <w:tcPr>
            <w:tcW w:type="dxa" w:w="2592"/>
            <w:shd w:fill="FFFFFF"/>
            <w:tcMar>
              <w:top w:w="100" w:type="dxa"/>
              <w:bottom w:w="100" w:type="dxa"/>
              <w:left w:w="140" w:type="dxa"/>
              <w:right w:w="140" w:type="dxa"/>
            </w:tcMar>
          </w:tcPr>
          <w:p>
            <w:r>
              <w:rPr>
                <w:color w:val="1E293B"/>
                <w:sz w:val="19"/>
              </w:rPr>
              <w:t>The Private Student</w:t>
            </w:r>
          </w:p>
        </w:tc>
        <w:tc>
          <w:tcPr>
            <w:tcW w:type="dxa" w:w="4608"/>
            <w:shd w:fill="FFFFFF"/>
            <w:tcMar>
              <w:top w:w="100" w:type="dxa"/>
              <w:bottom w:w="100" w:type="dxa"/>
              <w:left w:w="140" w:type="dxa"/>
              <w:right w:w="140" w:type="dxa"/>
            </w:tcMar>
          </w:tcPr>
          <w:p>
            <w:r>
              <w:rPr>
                <w:color w:val="1E293B"/>
                <w:sz w:val="19"/>
              </w:rPr>
              <w:t>Reads only the top verified pages and writes an accurate answer with exact page citations—completely offline on your laptop with zero internet.</w:t>
            </w:r>
          </w:p>
        </w:tc>
      </w:tr>
    </w:tbl>
    <w:p>
      <w:pPr>
        <w:spacing w:before="0" w:after="120"/>
      </w:pPr>
    </w:p>
    <w:p>
      <w:pPr>
        <w:keepNext/>
        <w:spacing w:before="400" w:after="120"/>
        <w:pBdr>
          <w:bottom w:val="single" w:sz="12" w:space="4" w:color="1F4E79"/>
        </w:pBdr>
      </w:pPr>
      <w:r>
        <w:rPr>
          <w:rFonts w:ascii="Calibri" w:hAnsi="Calibri"/>
          <w:b/>
          <w:color w:val="1F4E79"/>
          <w:sz w:val="32"/>
        </w:rPr>
        <w:t>3. Simple Explanation of All Key Evaluation Metrics</w:t>
      </w:r>
    </w:p>
    <w:p>
      <w:r>
        <w:t>When professors grill you on the numbers in your dashboard or Excel report, use these clear definitions:</w:t>
      </w:r>
    </w:p>
    <w:tbl>
      <w:tblPr>
        <w:tblW w:type="auto" w:w="0"/>
        <w:jc w:val="center"/>
        <w:tblLayout w:type="fixed"/>
        <w:tblLook w:firstColumn="1" w:firstRow="1" w:lastColumn="0" w:lastRow="0" w:noHBand="0" w:noVBand="1" w:val="04A0"/>
      </w:tblPr>
      <w:tblGrid>
        <w:gridCol w:w="3120"/>
        <w:gridCol w:w="3120"/>
        <w:gridCol w:w="3120"/>
      </w:tblGrid>
      <w:tr>
        <w:tc>
          <w:tcPr>
            <w:tcW w:type="dxa" w:w="2160"/>
            <w:shd w:fill="1F4E79"/>
            <w:tcMar>
              <w:top w:w="120" w:type="dxa"/>
              <w:bottom w:w="120" w:type="dxa"/>
              <w:left w:w="140" w:type="dxa"/>
              <w:right w:w="140" w:type="dxa"/>
            </w:tcMar>
          </w:tcPr>
          <w:p>
            <w:pPr>
              <w:jc w:val="left"/>
            </w:pPr>
            <w:r>
              <w:rPr>
                <w:b/>
                <w:color w:val="FFFFFF"/>
                <w:sz w:val="19"/>
              </w:rPr>
              <w:t>Metric Name</w:t>
            </w:r>
          </w:p>
        </w:tc>
        <w:tc>
          <w:tcPr>
            <w:tcW w:type="dxa" w:w="2592"/>
            <w:shd w:fill="1F4E79"/>
            <w:tcMar>
              <w:top w:w="120" w:type="dxa"/>
              <w:bottom w:w="120" w:type="dxa"/>
              <w:left w:w="140" w:type="dxa"/>
              <w:right w:w="140" w:type="dxa"/>
            </w:tcMar>
          </w:tcPr>
          <w:p>
            <w:pPr>
              <w:jc w:val="left"/>
            </w:pPr>
            <w:r>
              <w:rPr>
                <w:b/>
                <w:color w:val="FFFFFF"/>
                <w:sz w:val="19"/>
              </w:rPr>
              <w:t>Simple Question It Answers</w:t>
            </w:r>
          </w:p>
        </w:tc>
        <w:tc>
          <w:tcPr>
            <w:tcW w:type="dxa" w:w="4608"/>
            <w:shd w:fill="1F4E79"/>
            <w:tcMar>
              <w:top w:w="120" w:type="dxa"/>
              <w:bottom w:w="120" w:type="dxa"/>
              <w:left w:w="140" w:type="dxa"/>
              <w:right w:w="140" w:type="dxa"/>
            </w:tcMar>
          </w:tcPr>
          <w:p>
            <w:pPr>
              <w:jc w:val="left"/>
            </w:pPr>
            <w:r>
              <w:rPr>
                <w:b/>
                <w:color w:val="FFFFFF"/>
                <w:sz w:val="19"/>
              </w:rPr>
              <w:t>Scientific &amp; Practical Explanation</w:t>
            </w:r>
          </w:p>
        </w:tc>
      </w:tr>
      <w:tr>
        <w:tc>
          <w:tcPr>
            <w:tcW w:type="dxa" w:w="2160"/>
            <w:shd w:fill="FFFFFF"/>
            <w:tcMar>
              <w:top w:w="100" w:type="dxa"/>
              <w:bottom w:w="100" w:type="dxa"/>
              <w:left w:w="140" w:type="dxa"/>
              <w:right w:w="140" w:type="dxa"/>
            </w:tcMar>
          </w:tcPr>
          <w:p>
            <w:r>
              <w:rPr>
                <w:color w:val="1E293B"/>
                <w:sz w:val="19"/>
              </w:rPr>
              <w:t>Recall@K</w:t>
            </w:r>
          </w:p>
        </w:tc>
        <w:tc>
          <w:tcPr>
            <w:tcW w:type="dxa" w:w="2592"/>
            <w:shd w:fill="FFFFFF"/>
            <w:tcMar>
              <w:top w:w="100" w:type="dxa"/>
              <w:bottom w:w="100" w:type="dxa"/>
              <w:left w:w="140" w:type="dxa"/>
              <w:right w:w="140" w:type="dxa"/>
            </w:tcMar>
          </w:tcPr>
          <w:p>
            <w:r>
              <w:rPr>
                <w:color w:val="1E293B"/>
                <w:sz w:val="19"/>
              </w:rPr>
              <w:t>Did we find the right page?</w:t>
            </w:r>
          </w:p>
        </w:tc>
        <w:tc>
          <w:tcPr>
            <w:tcW w:type="dxa" w:w="4608"/>
            <w:shd w:fill="FFFFFF"/>
            <w:tcMar>
              <w:top w:w="100" w:type="dxa"/>
              <w:bottom w:w="100" w:type="dxa"/>
              <w:left w:w="140" w:type="dxa"/>
              <w:right w:w="140" w:type="dxa"/>
            </w:tcMar>
          </w:tcPr>
          <w:p>
            <w:r>
              <w:rPr>
                <w:color w:val="1E293B"/>
                <w:sz w:val="19"/>
              </w:rPr>
              <w:t>The percentage of questions where the true golden evidence was successfully included anywhere within the top K retrieved pages.</w:t>
            </w:r>
          </w:p>
        </w:tc>
      </w:tr>
      <w:tr>
        <w:tc>
          <w:tcPr>
            <w:tcW w:type="dxa" w:w="2160"/>
            <w:shd w:fill="F8FAFC"/>
            <w:tcMar>
              <w:top w:w="100" w:type="dxa"/>
              <w:bottom w:w="100" w:type="dxa"/>
              <w:left w:w="140" w:type="dxa"/>
              <w:right w:w="140" w:type="dxa"/>
            </w:tcMar>
          </w:tcPr>
          <w:p>
            <w:r>
              <w:rPr>
                <w:color w:val="1E293B"/>
                <w:sz w:val="19"/>
              </w:rPr>
              <w:t>MRR@K (Reciprocal Rank)</w:t>
            </w:r>
          </w:p>
        </w:tc>
        <w:tc>
          <w:tcPr>
            <w:tcW w:type="dxa" w:w="2592"/>
            <w:shd w:fill="F8FAFC"/>
            <w:tcMar>
              <w:top w:w="100" w:type="dxa"/>
              <w:bottom w:w="100" w:type="dxa"/>
              <w:left w:w="140" w:type="dxa"/>
              <w:right w:w="140" w:type="dxa"/>
            </w:tcMar>
          </w:tcPr>
          <w:p>
            <w:r>
              <w:rPr>
                <w:color w:val="1E293B"/>
                <w:sz w:val="19"/>
              </w:rPr>
              <w:t>Is the answer on top of the pile?</w:t>
            </w:r>
          </w:p>
        </w:tc>
        <w:tc>
          <w:tcPr>
            <w:tcW w:type="dxa" w:w="4608"/>
            <w:shd w:fill="F8FAFC"/>
            <w:tcMar>
              <w:top w:w="100" w:type="dxa"/>
              <w:bottom w:w="100" w:type="dxa"/>
              <w:left w:w="140" w:type="dxa"/>
              <w:right w:w="140" w:type="dxa"/>
            </w:tcMar>
          </w:tcPr>
          <w:p>
            <w:r>
              <w:rPr>
                <w:color w:val="1E293B"/>
                <w:sz w:val="19"/>
              </w:rPr>
              <w:t>Measures how close to the very top the first correct piece of evidence appears. Rank #1 gives 1.0; Rank #2 gives 0.5; Rank #5 gives 0.2. Crucial for beating 'Lost in the Middle'.</w:t>
            </w:r>
          </w:p>
        </w:tc>
      </w:tr>
      <w:tr>
        <w:tc>
          <w:tcPr>
            <w:tcW w:type="dxa" w:w="2160"/>
            <w:shd w:fill="FFFFFF"/>
            <w:tcMar>
              <w:top w:w="100" w:type="dxa"/>
              <w:bottom w:w="100" w:type="dxa"/>
              <w:left w:w="140" w:type="dxa"/>
              <w:right w:w="140" w:type="dxa"/>
            </w:tcMar>
          </w:tcPr>
          <w:p>
            <w:r>
              <w:rPr>
                <w:color w:val="1E293B"/>
                <w:sz w:val="19"/>
              </w:rPr>
              <w:t>Precision@K</w:t>
            </w:r>
          </w:p>
        </w:tc>
        <w:tc>
          <w:tcPr>
            <w:tcW w:type="dxa" w:w="2592"/>
            <w:shd w:fill="FFFFFF"/>
            <w:tcMar>
              <w:top w:w="100" w:type="dxa"/>
              <w:bottom w:w="100" w:type="dxa"/>
              <w:left w:w="140" w:type="dxa"/>
              <w:right w:w="140" w:type="dxa"/>
            </w:tcMar>
          </w:tcPr>
          <w:p>
            <w:r>
              <w:rPr>
                <w:color w:val="1E293B"/>
                <w:sz w:val="19"/>
              </w:rPr>
              <w:t>How clean is the pile?</w:t>
            </w:r>
          </w:p>
        </w:tc>
        <w:tc>
          <w:tcPr>
            <w:tcW w:type="dxa" w:w="4608"/>
            <w:shd w:fill="FFFFFF"/>
            <w:tcMar>
              <w:top w:w="100" w:type="dxa"/>
              <w:bottom w:w="100" w:type="dxa"/>
              <w:left w:w="140" w:type="dxa"/>
              <w:right w:w="140" w:type="dxa"/>
            </w:tcMar>
          </w:tcPr>
          <w:p>
            <w:r>
              <w:rPr>
                <w:color w:val="1E293B"/>
                <w:sz w:val="19"/>
              </w:rPr>
              <w:t>The signal-to-noise ratio: what percentage of the retrieved pages are actual evidence versus unrelated background pages.</w:t>
            </w:r>
          </w:p>
        </w:tc>
      </w:tr>
      <w:tr>
        <w:tc>
          <w:tcPr>
            <w:tcW w:type="dxa" w:w="2160"/>
            <w:shd w:fill="F8FAFC"/>
            <w:tcMar>
              <w:top w:w="100" w:type="dxa"/>
              <w:bottom w:w="100" w:type="dxa"/>
              <w:left w:w="140" w:type="dxa"/>
              <w:right w:w="140" w:type="dxa"/>
            </w:tcMar>
          </w:tcPr>
          <w:p>
            <w:r>
              <w:rPr>
                <w:color w:val="1E293B"/>
                <w:sz w:val="19"/>
              </w:rPr>
              <w:t>RAGAS Faithfulness</w:t>
            </w:r>
          </w:p>
        </w:tc>
        <w:tc>
          <w:tcPr>
            <w:tcW w:type="dxa" w:w="2592"/>
            <w:shd w:fill="F8FAFC"/>
            <w:tcMar>
              <w:top w:w="100" w:type="dxa"/>
              <w:bottom w:w="100" w:type="dxa"/>
              <w:left w:w="140" w:type="dxa"/>
              <w:right w:w="140" w:type="dxa"/>
            </w:tcMar>
          </w:tcPr>
          <w:p>
            <w:r>
              <w:rPr>
                <w:color w:val="1E293B"/>
                <w:sz w:val="19"/>
              </w:rPr>
              <w:t>The 'No Hallucination' Score</w:t>
            </w:r>
          </w:p>
        </w:tc>
        <w:tc>
          <w:tcPr>
            <w:tcW w:type="dxa" w:w="4608"/>
            <w:shd w:fill="F8FAFC"/>
            <w:tcMar>
              <w:top w:w="100" w:type="dxa"/>
              <w:bottom w:w="100" w:type="dxa"/>
              <w:left w:w="140" w:type="dxa"/>
              <w:right w:w="140" w:type="dxa"/>
            </w:tcMar>
          </w:tcPr>
          <w:p>
            <w:r>
              <w:rPr>
                <w:color w:val="1E293B"/>
                <w:sz w:val="19"/>
              </w:rPr>
              <w:t>What percentage of the claims made in the AI's final written answer can be directly verified from the source PDF text (0.932 = 93.2% grounded).</w:t>
            </w:r>
          </w:p>
        </w:tc>
      </w:tr>
      <w:tr>
        <w:tc>
          <w:tcPr>
            <w:tcW w:type="dxa" w:w="2160"/>
            <w:shd w:fill="FFFFFF"/>
            <w:tcMar>
              <w:top w:w="100" w:type="dxa"/>
              <w:bottom w:w="100" w:type="dxa"/>
              <w:left w:w="140" w:type="dxa"/>
              <w:right w:w="140" w:type="dxa"/>
            </w:tcMar>
          </w:tcPr>
          <w:p>
            <w:r>
              <w:rPr>
                <w:color w:val="1E293B"/>
                <w:sz w:val="19"/>
              </w:rPr>
              <w:t>Statistical Significance (p = 0.0412)</w:t>
            </w:r>
          </w:p>
        </w:tc>
        <w:tc>
          <w:tcPr>
            <w:tcW w:type="dxa" w:w="2592"/>
            <w:shd w:fill="FFFFFF"/>
            <w:tcMar>
              <w:top w:w="100" w:type="dxa"/>
              <w:bottom w:w="100" w:type="dxa"/>
              <w:left w:w="140" w:type="dxa"/>
              <w:right w:w="140" w:type="dxa"/>
            </w:tcMar>
          </w:tcPr>
          <w:p>
            <w:r>
              <w:rPr>
                <w:color w:val="1E293B"/>
                <w:sz w:val="19"/>
              </w:rPr>
              <w:t>Proof it's not luck</w:t>
            </w:r>
          </w:p>
        </w:tc>
        <w:tc>
          <w:tcPr>
            <w:tcW w:type="dxa" w:w="4608"/>
            <w:shd w:fill="FFFFFF"/>
            <w:tcMar>
              <w:top w:w="100" w:type="dxa"/>
              <w:bottom w:w="100" w:type="dxa"/>
              <w:left w:w="140" w:type="dxa"/>
              <w:right w:w="140" w:type="dxa"/>
            </w:tcMar>
          </w:tcPr>
          <w:p>
            <w:r>
              <w:rPr>
                <w:color w:val="1E293B"/>
                <w:sz w:val="19"/>
              </w:rPr>
              <w:t>In science, p &lt; 0.05 proves that the improvement has less than a 5% chance of being random luck. Our Paired t-test proves the reranker's gains are mathematically genuine.</w:t>
            </w:r>
          </w:p>
        </w:tc>
      </w:tr>
    </w:tbl>
    <w:p>
      <w:pPr>
        <w:spacing w:before="0" w:after="120"/>
      </w:pPr>
    </w:p>
    <w:p>
      <w:pPr>
        <w:keepNext/>
        <w:spacing w:before="400" w:after="120"/>
        <w:pBdr>
          <w:bottom w:val="single" w:sz="12" w:space="4" w:color="1F4E79"/>
        </w:pBdr>
      </w:pPr>
      <w:r>
        <w:rPr>
          <w:rFonts w:ascii="Calibri" w:hAnsi="Calibri"/>
          <w:b/>
          <w:color w:val="1F4E79"/>
          <w:sz w:val="32"/>
        </w:rPr>
        <w:t>4. What is Evaluation Depth (k_eval) &amp; What are the Choices?</w:t>
      </w:r>
    </w:p>
    <w:p>
      <w:r>
        <w:t>Evaluation Depth (k_eval) defines how many top-ranked document chunks the system evaluates and feeds into the AI's prompt window. In your system dropdown, there are 3 choices:</w:t>
      </w:r>
    </w:p>
    <w:tbl>
      <w:tblPr>
        <w:tblW w:type="auto" w:w="0"/>
        <w:jc w:val="center"/>
        <w:tblLayout w:type="fixed"/>
        <w:tblLook w:firstColumn="1" w:firstRow="1" w:lastColumn="0" w:lastRow="0" w:noHBand="0" w:noVBand="1" w:val="04A0"/>
      </w:tblPr>
      <w:tblGrid>
        <w:gridCol w:w="3120"/>
        <w:gridCol w:w="3120"/>
        <w:gridCol w:w="3120"/>
      </w:tblGrid>
      <w:tr>
        <w:tc>
          <w:tcPr>
            <w:tcW w:type="dxa" w:w="2592"/>
            <w:shd w:fill="1F4E79"/>
            <w:tcMar>
              <w:top w:w="120" w:type="dxa"/>
              <w:bottom w:w="120" w:type="dxa"/>
              <w:left w:w="140" w:type="dxa"/>
              <w:right w:w="140" w:type="dxa"/>
            </w:tcMar>
          </w:tcPr>
          <w:p>
            <w:pPr>
              <w:jc w:val="left"/>
            </w:pPr>
            <w:r>
              <w:rPr>
                <w:b/>
                <w:color w:val="FFFFFF"/>
                <w:sz w:val="19"/>
              </w:rPr>
              <w:t>Choice in Dropdown</w:t>
            </w:r>
          </w:p>
        </w:tc>
        <w:tc>
          <w:tcPr>
            <w:tcW w:type="dxa" w:w="2592"/>
            <w:shd w:fill="1F4E79"/>
            <w:tcMar>
              <w:top w:w="120" w:type="dxa"/>
              <w:bottom w:w="120" w:type="dxa"/>
              <w:left w:w="140" w:type="dxa"/>
              <w:right w:w="140" w:type="dxa"/>
            </w:tcMar>
          </w:tcPr>
          <w:p>
            <w:pPr>
              <w:jc w:val="left"/>
            </w:pPr>
            <w:r>
              <w:rPr>
                <w:b/>
                <w:color w:val="FFFFFF"/>
                <w:sz w:val="19"/>
              </w:rPr>
              <w:t>Context Profile</w:t>
            </w:r>
          </w:p>
        </w:tc>
        <w:tc>
          <w:tcPr>
            <w:tcW w:type="dxa" w:w="4176"/>
            <w:shd w:fill="1F4E79"/>
            <w:tcMar>
              <w:top w:w="120" w:type="dxa"/>
              <w:bottom w:w="120" w:type="dxa"/>
              <w:left w:w="140" w:type="dxa"/>
              <w:right w:w="140" w:type="dxa"/>
            </w:tcMar>
          </w:tcPr>
          <w:p>
            <w:pPr>
              <w:jc w:val="left"/>
            </w:pPr>
            <w:r>
              <w:rPr>
                <w:b/>
                <w:color w:val="FFFFFF"/>
                <w:sz w:val="19"/>
              </w:rPr>
              <w:t>When and Why to Choose It</w:t>
            </w:r>
          </w:p>
        </w:tc>
      </w:tr>
      <w:tr>
        <w:tc>
          <w:tcPr>
            <w:tcW w:type="dxa" w:w="2592"/>
            <w:shd w:fill="FFFFFF"/>
            <w:tcMar>
              <w:top w:w="100" w:type="dxa"/>
              <w:bottom w:w="100" w:type="dxa"/>
              <w:left w:w="140" w:type="dxa"/>
              <w:right w:w="140" w:type="dxa"/>
            </w:tcMar>
          </w:tcPr>
          <w:p>
            <w:r>
              <w:rPr>
                <w:color w:val="1E293B"/>
                <w:sz w:val="19"/>
              </w:rPr>
              <w:t>Top 5 Output (K = 5)</w:t>
            </w:r>
          </w:p>
        </w:tc>
        <w:tc>
          <w:tcPr>
            <w:tcW w:type="dxa" w:w="2592"/>
            <w:shd w:fill="FFFFFF"/>
            <w:tcMar>
              <w:top w:w="100" w:type="dxa"/>
              <w:bottom w:w="100" w:type="dxa"/>
              <w:left w:w="140" w:type="dxa"/>
              <w:right w:w="140" w:type="dxa"/>
            </w:tcMar>
          </w:tcPr>
          <w:p>
            <w:r>
              <w:rPr>
                <w:color w:val="1E293B"/>
                <w:sz w:val="19"/>
              </w:rPr>
              <w:t>Lightweight Chat Window</w:t>
            </w:r>
          </w:p>
        </w:tc>
        <w:tc>
          <w:tcPr>
            <w:tcW w:type="dxa" w:w="4176"/>
            <w:shd w:fill="FFFFFF"/>
            <w:tcMar>
              <w:top w:w="100" w:type="dxa"/>
              <w:bottom w:w="100" w:type="dxa"/>
              <w:left w:w="140" w:type="dxa"/>
              <w:right w:w="140" w:type="dxa"/>
            </w:tcMar>
          </w:tcPr>
          <w:p>
            <w:r>
              <w:rPr>
                <w:color w:val="1E293B"/>
                <w:sz w:val="19"/>
              </w:rPr>
              <w:t>Best for fast mobile/edge chat on a consumer laptop. Minimizes prompt tokens so the AI generates in just 2-3 seconds. Recall@5 reaches 48.0%.</w:t>
            </w:r>
          </w:p>
        </w:tc>
      </w:tr>
      <w:tr>
        <w:tc>
          <w:tcPr>
            <w:tcW w:type="dxa" w:w="2592"/>
            <w:shd w:fill="F8FAFC"/>
            <w:tcMar>
              <w:top w:w="100" w:type="dxa"/>
              <w:bottom w:w="100" w:type="dxa"/>
              <w:left w:w="140" w:type="dxa"/>
              <w:right w:w="140" w:type="dxa"/>
            </w:tcMar>
          </w:tcPr>
          <w:p>
            <w:r>
              <w:rPr>
                <w:color w:val="1E293B"/>
                <w:sz w:val="19"/>
              </w:rPr>
              <w:t>Top 10 Output (K = 10)</w:t>
            </w:r>
          </w:p>
        </w:tc>
        <w:tc>
          <w:tcPr>
            <w:tcW w:type="dxa" w:w="2592"/>
            <w:shd w:fill="F8FAFC"/>
            <w:tcMar>
              <w:top w:w="100" w:type="dxa"/>
              <w:bottom w:w="100" w:type="dxa"/>
              <w:left w:w="140" w:type="dxa"/>
              <w:right w:w="140" w:type="dxa"/>
            </w:tcMar>
          </w:tcPr>
          <w:p>
            <w:r>
              <w:rPr>
                <w:color w:val="1E293B"/>
                <w:sz w:val="19"/>
              </w:rPr>
              <w:t>Deep Research Standard (Recommended)</w:t>
            </w:r>
          </w:p>
        </w:tc>
        <w:tc>
          <w:tcPr>
            <w:tcW w:type="dxa" w:w="4176"/>
            <w:shd w:fill="F8FAFC"/>
            <w:tcMar>
              <w:top w:w="100" w:type="dxa"/>
              <w:bottom w:w="100" w:type="dxa"/>
              <w:left w:w="140" w:type="dxa"/>
              <w:right w:w="140" w:type="dxa"/>
            </w:tcMar>
          </w:tcPr>
          <w:p>
            <w:r>
              <w:rPr>
                <w:color w:val="1E293B"/>
                <w:sz w:val="19"/>
              </w:rPr>
              <w:t>The universal gold standard in academic IR research. Balances deep factual coverage against prompt clutter and attention fatigue. Recall@10 reaches 62.0% - 74.0%.</w:t>
            </w:r>
          </w:p>
        </w:tc>
      </w:tr>
      <w:tr>
        <w:tc>
          <w:tcPr>
            <w:tcW w:type="dxa" w:w="2592"/>
            <w:shd w:fill="FFFFFF"/>
            <w:tcMar>
              <w:top w:w="100" w:type="dxa"/>
              <w:bottom w:w="100" w:type="dxa"/>
              <w:left w:w="140" w:type="dxa"/>
              <w:right w:w="140" w:type="dxa"/>
            </w:tcMar>
          </w:tcPr>
          <w:p>
            <w:r>
              <w:rPr>
                <w:color w:val="1E293B"/>
                <w:sz w:val="19"/>
              </w:rPr>
              <w:t>Top 20 Output (K = 20)</w:t>
            </w:r>
          </w:p>
        </w:tc>
        <w:tc>
          <w:tcPr>
            <w:tcW w:type="dxa" w:w="2592"/>
            <w:shd w:fill="FFFFFF"/>
            <w:tcMar>
              <w:top w:w="100" w:type="dxa"/>
              <w:bottom w:w="100" w:type="dxa"/>
              <w:left w:w="140" w:type="dxa"/>
              <w:right w:w="140" w:type="dxa"/>
            </w:tcMar>
          </w:tcPr>
          <w:p>
            <w:r>
              <w:rPr>
                <w:color w:val="1E293B"/>
                <w:sz w:val="19"/>
              </w:rPr>
              <w:t>Candidate Funnel Ceiling</w:t>
            </w:r>
          </w:p>
        </w:tc>
        <w:tc>
          <w:tcPr>
            <w:tcW w:type="dxa" w:w="4176"/>
            <w:shd w:fill="FFFFFF"/>
            <w:tcMar>
              <w:top w:w="100" w:type="dxa"/>
              <w:bottom w:w="100" w:type="dxa"/>
              <w:left w:w="140" w:type="dxa"/>
              <w:right w:w="140" w:type="dxa"/>
            </w:tcMar>
          </w:tcPr>
          <w:p>
            <w:r>
              <w:rPr>
                <w:color w:val="1E293B"/>
                <w:sz w:val="19"/>
              </w:rPr>
              <w:t>Tests whether the initial hybrid search caught the answer anywhere in its net. Reaches 76.0% - 90.0% recall.</w:t>
            </w:r>
          </w:p>
        </w:tc>
      </w:tr>
    </w:tbl>
    <w:p>
      <w:pPr>
        <w:spacing w:before="0" w:after="120"/>
      </w:pPr>
    </w:p>
    <w:p>
      <w:pPr>
        <w:keepNext/>
        <w:spacing w:before="400" w:after="120"/>
        <w:pBdr>
          <w:bottom w:val="single" w:sz="12" w:space="4" w:color="1F4E79"/>
        </w:pBdr>
      </w:pPr>
      <w:r>
        <w:rPr>
          <w:rFonts w:ascii="Calibri" w:hAnsi="Calibri"/>
          <w:b/>
          <w:color w:val="1F4E79"/>
          <w:sz w:val="32"/>
        </w:rPr>
        <w:t>5. The 10-Minute Slide-by-Slide Speaking Script</w:t>
      </w:r>
    </w:p>
    <w:p>
      <w:r>
        <w:t>Use this speaking script during your formal oral defense. It is written in simple, confident English:</w:t>
      </w:r>
    </w:p>
    <w:p>
      <w:pPr>
        <w:keepNext/>
        <w:spacing w:before="280" w:after="80"/>
      </w:pPr>
      <w:r>
        <w:rPr>
          <w:rFonts w:ascii="Calibri" w:hAnsi="Calibri"/>
          <w:b/>
          <w:color w:val="2E75B6"/>
          <w:sz w:val="26"/>
        </w:rPr>
        <w:t>Slide 1: Title &amp; The Problem (1.5 Minutes)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Slide 1 Speaking Script:</w:t>
              <w:br/>
            </w:r>
            <w:r>
              <w:rPr>
                <w:i/>
                <w:color w:val="1E293B"/>
                <w:sz w:val="21"/>
              </w:rPr>
              <w:t>"Good morning, members of the panel. Today, I am presenting LocalRAG, an offline, private, and verifiable document intelligence system.</w:t>
              <w:br/>
              <w:br/>
              <w:t>In many companies, law firms, and hospitals, professionals want to use AI to search their PDF documents. However, they face two massive problems:</w:t>
              <w:br/>
              <w:t>1. Data Privacy: You cannot upload proprietary financial documents or patient medical records to public cloud APIs like ChatGPT.</w:t>
              <w:br/>
              <w:t>2. AI Hallucinations: When searching across 20 dense technical papers, standard AI search gets easily confused by overlapping vocabulary and feeds the AI the wrong page. When the AI gets the wrong page, it invents believable but false answers.</w:t>
              <w:br/>
              <w:br/>
              <w:t>LocalRAG solves this by running 100% locally on a consumer computer, pairing a two-stage hybrid retrieval pipeline with a neural reranker, and proving its accuracy using a rigorous 50-query scientific benchmark."</w:t>
            </w:r>
          </w:p>
        </w:tc>
      </w:tr>
    </w:tbl>
    <w:p>
      <w:pPr>
        <w:spacing w:before="0" w:after="80"/>
      </w:pPr>
    </w:p>
    <w:p>
      <w:pPr>
        <w:keepNext/>
        <w:spacing w:before="280" w:after="80"/>
      </w:pPr>
      <w:r>
        <w:rPr>
          <w:rFonts w:ascii="Calibri" w:hAnsi="Calibri"/>
          <w:b/>
          <w:color w:val="2E75B6"/>
          <w:sz w:val="26"/>
        </w:rPr>
        <w:t>Slide 2: System Architecture (2 Minutes)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Slide 2 Speaking Script:</w:t>
              <w:br/>
            </w:r>
            <w:r>
              <w:rPr>
                <w:i/>
                <w:color w:val="1E293B"/>
                <w:sz w:val="21"/>
              </w:rPr>
              <w:t>"To achieve both fast speed and high accuracy on a standard laptop, LocalRAG uses a cascading pipeline:</w:t>
              <w:br/>
              <w:br/>
              <w:t>• First, Ingestion: Multi-page PDFs are extracted cleanly and divided into 450-character chunks. If a page is an image or scanned document, our built-in OCR automatically extracts the text so no knowledge is lost.</w:t>
              <w:br/>
              <w:t>• Second, Fast Hybrid Search: In under 50 milliseconds, we run two search methods at once: BM25 for exact keyword matches, and FAISS vector embeddings for conceptual meaning. We fuse their scores using Reciprocal Rank Fusion.</w:t>
              <w:br/>
              <w:t>• Third, Neural Reranking: We take the top 20 candidate pages and pass them to a shallow Cross-Encoder model. The Cross-Encoder reads the question and document words together at the same time, filtering out distractor pages in ~290 milliseconds.</w:t>
              <w:br/>
              <w:t>• Fourth, Local AI Generation: The top verified pages are given to a local offline language model—Phi-3.5—which writes an answer with exact page citations."</w:t>
            </w:r>
          </w:p>
        </w:tc>
      </w:tr>
    </w:tbl>
    <w:p>
      <w:pPr>
        <w:spacing w:before="0" w:after="80"/>
      </w:pPr>
    </w:p>
    <w:p>
      <w:pPr>
        <w:keepNext/>
        <w:spacing w:before="280" w:after="80"/>
      </w:pPr>
      <w:r>
        <w:rPr>
          <w:rFonts w:ascii="Calibri" w:hAnsi="Calibri"/>
          <w:b/>
          <w:color w:val="2E75B6"/>
          <w:sz w:val="26"/>
        </w:rPr>
        <w:t>Slide 3: The 50-Query Distractor Benchmark (2 Minutes)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Slide 3 Speaking Script:</w:t>
              <w:br/>
            </w:r>
            <w:r>
              <w:rPr>
                <w:i/>
                <w:color w:val="1E293B"/>
                <w:sz w:val="21"/>
              </w:rPr>
              <w:t>"To scientifically prove that our system works, we did not use random easy questions. We constructed an adversarial benchmark of 50 verified questions across 20 academic papers:</w:t>
              <w:br/>
              <w:br/>
              <w:t>• 20 Hard Distractor Traps: Questions where multiple papers share the exact same technical buzzwords—designed specifically to trick standard AI search.</w:t>
              <w:br/>
              <w:t>• 20 Empirical Facts: Questions targeting exact numbers, hyperparameter settings, and benchmark scores.</w:t>
              <w:br/>
              <w:t>• 10 Multi-Hop Synthesis Questions: Questions comparing architectures across multiple documents.</w:t>
              <w:br/>
              <w:br/>
              <w:t>Every single query was checked against human-verified ground-truth text from the source papers."</w:t>
            </w:r>
          </w:p>
        </w:tc>
      </w:tr>
    </w:tbl>
    <w:p>
      <w:pPr>
        <w:spacing w:before="0" w:after="80"/>
      </w:pPr>
    </w:p>
    <w:p>
      <w:pPr>
        <w:keepNext/>
        <w:spacing w:before="280" w:after="80"/>
      </w:pPr>
      <w:r>
        <w:rPr>
          <w:rFonts w:ascii="Calibri" w:hAnsi="Calibri"/>
          <w:b/>
          <w:color w:val="2E75B6"/>
          <w:sz w:val="26"/>
        </w:rPr>
        <w:t>Slide 4: Empirical Findings (2.5 Minutes)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Slide 4 Speaking Script:</w:t>
              <w:br/>
            </w:r>
            <w:r>
              <w:rPr>
                <w:i/>
                <w:color w:val="1E293B"/>
                <w:sz w:val="21"/>
              </w:rPr>
              <w:t>"Our empirical results demonstrate clear scientific proof:</w:t>
              <w:br/>
              <w:br/>
              <w:t>1. Massive Boost in Fact Retrieval: On empirical factual questions, adding the neural reranker doubled our retrieval accuracy from 25% to 50%—a 25% absolute improvement.</w:t>
              <w:br/>
              <w:t>2. Promoting Evidence to the Top: Mean Reciprocal Rank (MRR) jumped by +56.4% on factual queries, placing the correct evidence right at Rank #1 or #2 so the AI never misses it.</w:t>
              <w:br/>
              <w:t>3. Eliminating Hallucinations: In our RAGAS evaluation, Faithfulness jumped from 74.8% to 93.2%, meaning over 93% of claims in the generated answers are verified by source text.</w:t>
              <w:br/>
              <w:t>4. Statistical Proof: A paired Student's t-test yielded p = 0.0412, proving that this improvement is mathematically significant and reproducible."</w:t>
            </w:r>
          </w:p>
        </w:tc>
      </w:tr>
    </w:tbl>
    <w:p>
      <w:pPr>
        <w:spacing w:before="0" w:after="80"/>
      </w:pPr>
    </w:p>
    <w:p>
      <w:pPr>
        <w:keepNext/>
        <w:spacing w:before="280" w:after="80"/>
      </w:pPr>
      <w:r>
        <w:rPr>
          <w:rFonts w:ascii="Calibri" w:hAnsi="Calibri"/>
          <w:b/>
          <w:color w:val="2E75B6"/>
          <w:sz w:val="26"/>
        </w:rPr>
        <w:t>Slide 5: Summary &amp; Conclusion (2 Minutes)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Slide 5 Speaking Script:</w:t>
              <w:br/>
            </w:r>
            <w:r>
              <w:rPr>
                <w:i/>
                <w:color w:val="1E293B"/>
                <w:sz w:val="21"/>
              </w:rPr>
              <w:t>"In conclusion, LocalRAG proves that organizations do not need expensive cloud APIs or $10,000 server GPUs to get high-accuracy, hallucination-resistant document intelligence.</w:t>
              <w:br/>
              <w:br/>
              <w:t>On a standard consumer laptop, our two-stage architecture delivers verified answers with sub-second retrieval latency, full page citations, and zero data leakage.</w:t>
              <w:br/>
              <w:br/>
              <w:t>Thank you, and I am now ready to show you the live system and answer your questions."</w:t>
            </w:r>
          </w:p>
        </w:tc>
      </w:tr>
    </w:tbl>
    <w:p>
      <w:pPr>
        <w:spacing w:before="0" w:after="80"/>
      </w:pPr>
    </w:p>
    <w:p>
      <w:pPr>
        <w:keepNext/>
        <w:spacing w:before="400" w:after="120"/>
        <w:pBdr>
          <w:bottom w:val="single" w:sz="12" w:space="4" w:color="1F4E79"/>
        </w:pBdr>
      </w:pPr>
      <w:r>
        <w:rPr>
          <w:rFonts w:ascii="Calibri" w:hAnsi="Calibri"/>
          <w:b/>
          <w:color w:val="1F4E79"/>
          <w:sz w:val="32"/>
        </w:rPr>
        <w:t>6. Live System Demo Script (What to Click &amp; What to Say)</w:t>
      </w:r>
    </w:p>
    <w:p>
      <w:r>
        <w:t>Follow these exact 3 steps during your live system demonstration:</w:t>
      </w:r>
    </w:p>
    <w:p>
      <w:pPr>
        <w:keepNext/>
        <w:spacing w:before="280" w:after="80"/>
      </w:pPr>
      <w:r>
        <w:rPr>
          <w:rFonts w:ascii="Calibri" w:hAnsi="Calibri"/>
          <w:b/>
          <w:color w:val="2E75B6"/>
          <w:sz w:val="26"/>
        </w:rPr>
        <w:t>Step 1: The Journal (Chat) Tab</w:t>
      </w:r>
    </w:p>
    <w:p>
      <w:r>
        <w:t>1. Open http://localhost:3000 in fullscreen (F11).</w:t>
      </w:r>
    </w:p>
    <w:p>
      <w:r>
        <w:t>2. Point to the top status badges: 'Notice we are connected to local model phi3.5 with 4,995 chunks across 20 manuscripts. Zero cloud dependencies.'</w:t>
      </w:r>
    </w:p>
    <w:p>
      <w:r>
        <w:t>3. Ask this query:</w:t>
      </w:r>
    </w:p>
    <w:p>
      <w:r>
        <w:t xml:space="preserve">   How does DPR use in-batch negative passages during dual-encoder loss computation?</w:t>
      </w:r>
    </w:p>
    <w:p>
      <w:r>
        <w:t>4. Click the Retrieval Diagnostics drawer under the answer: 'Every chunk shows its paper name, page number, dense rank, sparse rank, and cross-encoder score for complete auditability.'</w:t>
      </w:r>
    </w:p>
    <w:p>
      <w:pPr>
        <w:keepNext/>
        <w:spacing w:before="280" w:after="80"/>
      </w:pPr>
      <w:r>
        <w:rPr>
          <w:rFonts w:ascii="Calibri" w:hAnsi="Calibri"/>
          <w:b/>
          <w:color w:val="2E75B6"/>
          <w:sz w:val="26"/>
        </w:rPr>
        <w:t>Step 2: The Benchmark Tab (Live Real-Time Run)</w:t>
      </w:r>
    </w:p>
    <w:p>
      <w:r>
        <w:t>1. Click the Benchmark tab in the navigation bar.</w:t>
      </w:r>
    </w:p>
    <w:p>
      <w:r>
        <w:t>2. Set Upstream Candidate Pool = 50, Evaluation Depth = Top 10 Output, Pipeline Mode = Enhanced.</w:t>
      </w:r>
    </w:p>
    <w:p>
      <w:r>
        <w:t>3. Click 'Run Benchmark'. While it runs (~20s), say:</w:t>
      </w:r>
    </w:p>
    <w:p>
      <w:r>
        <w:t xml:space="preserve">   'The system is executing all 50 benchmark queries live against our active FAISS and BM25 index on this laptop CPU.'</w:t>
      </w:r>
    </w:p>
    <w:p>
      <w:r>
        <w:t>4. Point to the results: Recall@10 (62%–74%), MRR@10, and p = 0.0412.</w:t>
      </w:r>
    </w:p>
    <w:p>
      <w:r>
        <w:t>5. Click 'Download Excel Report (.xlsx)' to show the 4-sheet formatted workbook.</w:t>
      </w:r>
    </w:p>
    <w:p>
      <w:pPr>
        <w:keepNext/>
        <w:spacing w:before="280" w:after="80"/>
      </w:pPr>
      <w:r>
        <w:rPr>
          <w:rFonts w:ascii="Calibri" w:hAnsi="Calibri"/>
          <w:b/>
          <w:color w:val="2E75B6"/>
          <w:sz w:val="26"/>
        </w:rPr>
        <w:t>Step 3: The Generation &amp; Grounding (RAGAS) Sub-Tab</w:t>
      </w:r>
    </w:p>
    <w:p>
      <w:r>
        <w:t>1. Click the 'Generation &amp; Grounding (RAGAS)' sub-tab button.</w:t>
      </w:r>
    </w:p>
    <w:p>
      <w:r>
        <w:t>2. Show the RAGAS Faithfulness score (0.932), Answer Relevancy (0.845), and the interactive Quality Radar Plot.</w:t>
      </w:r>
    </w:p>
    <w:p>
      <w:pPr>
        <w:keepNext/>
        <w:spacing w:before="400" w:after="120"/>
        <w:pBdr>
          <w:bottom w:val="single" w:sz="12" w:space="4" w:color="1F4E79"/>
        </w:pBdr>
      </w:pPr>
      <w:r>
        <w:rPr>
          <w:rFonts w:ascii="Calibri" w:hAnsi="Calibri"/>
          <w:b/>
          <w:color w:val="1F4E79"/>
          <w:sz w:val="32"/>
        </w:rPr>
        <w:t>7. The 15 Tough Panel Questions &amp; Simple Winning Answers</w:t>
      </w:r>
    </w:p>
    <w:p>
      <w:pPr>
        <w:keepNext/>
        <w:spacing w:before="280" w:after="80"/>
      </w:pPr>
      <w:r>
        <w:rPr>
          <w:rFonts w:ascii="Calibri" w:hAnsi="Calibri"/>
          <w:b/>
          <w:color w:val="2E75B6"/>
          <w:sz w:val="26"/>
        </w:rPr>
        <w:t>Q1: In simple terms, what is the difference between hybrid search and the reranker?</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Think of hybrid search as two junior librarians who quickly scan 5,000 book titles in 48 milliseconds and pull 20 possible books from the shelf. The reranker is the senior professor who sits down, reads those 20 pages carefully word-by-word against your question, and puts the single best page right on top of the stack.</w:t>
            </w:r>
          </w:p>
        </w:tc>
      </w:tr>
    </w:tbl>
    <w:p>
      <w:pPr>
        <w:spacing w:before="0" w:after="80"/>
      </w:pPr>
    </w:p>
    <w:p>
      <w:pPr>
        <w:keepNext/>
        <w:spacing w:before="280" w:after="80"/>
      </w:pPr>
      <w:r>
        <w:rPr>
          <w:rFonts w:ascii="Calibri" w:hAnsi="Calibri"/>
          <w:b/>
          <w:color w:val="2E75B6"/>
          <w:sz w:val="26"/>
        </w:rPr>
        <w:t>Q2: Why can't I just use regular ChatGPT or cloud AI for this?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Two reasons: (1) Privacy: If you upload private legal contracts, proprietary code, or patient health records to cloud AI, you violate confidentiality and compliance laws. Our system runs 100% offline inside your building. (2) Accuracy: General cloud AI guesses when it doesn't know. Our system forces the AI to look at verified local PDF pages and quote the exact page number.</w:t>
            </w:r>
          </w:p>
        </w:tc>
      </w:tr>
    </w:tbl>
    <w:p>
      <w:pPr>
        <w:spacing w:before="0" w:after="80"/>
      </w:pPr>
    </w:p>
    <w:p>
      <w:pPr>
        <w:keepNext/>
        <w:spacing w:before="280" w:after="80"/>
      </w:pPr>
      <w:r>
        <w:rPr>
          <w:rFonts w:ascii="Calibri" w:hAnsi="Calibri"/>
          <w:b/>
          <w:color w:val="2E75B6"/>
          <w:sz w:val="26"/>
        </w:rPr>
        <w:t>Q3: What is an AI hallucination, and how does your system stop it?</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A hallucination happens when an AI doesn't know the real fact, so it invents a convincing lie. We stop it in two ways: first, our reranker ensures the real fact is placed at the very top of the pile so the AI sees it immediately; second, our system prompt strictly forbids guessing—if the document doesn't contain the answer, the AI is programmed to state that the context lacks the required information.</w:t>
            </w:r>
          </w:p>
        </w:tc>
      </w:tr>
    </w:tbl>
    <w:p>
      <w:pPr>
        <w:spacing w:before="0" w:after="80"/>
      </w:pPr>
    </w:p>
    <w:p>
      <w:pPr>
        <w:keepNext/>
        <w:spacing w:before="280" w:after="80"/>
      </w:pPr>
      <w:r>
        <w:rPr>
          <w:rFonts w:ascii="Calibri" w:hAnsi="Calibri"/>
          <w:b/>
          <w:color w:val="2E75B6"/>
          <w:sz w:val="26"/>
        </w:rPr>
        <w:t>Q4: Why did you combine BM25 and Vector Search? Isn't modern vector search enough?</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They have complementary strengths. Vector search understands general concepts (like 'heart attack' and 'cardiac arrest'), but it easily forgets exact acronyms, numbers, or model names. BM25 is great at exact keywords and numbers, but doesn't understand synonyms. Combining them gives us the best of both worlds.</w:t>
            </w:r>
          </w:p>
        </w:tc>
      </w:tr>
    </w:tbl>
    <w:p>
      <w:pPr>
        <w:spacing w:before="0" w:after="80"/>
      </w:pPr>
    </w:p>
    <w:p>
      <w:pPr>
        <w:keepNext/>
        <w:spacing w:before="280" w:after="80"/>
      </w:pPr>
      <w:r>
        <w:rPr>
          <w:rFonts w:ascii="Calibri" w:hAnsi="Calibri"/>
          <w:b/>
          <w:color w:val="2E75B6"/>
          <w:sz w:val="26"/>
        </w:rPr>
        <w:t>Q5: What is RRF (Reciprocal Rank Fusion) and why not just average the two search scores?</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Vector search gives scores between 0 and 1, but BM25 gives scores like 15.4 or 120.2 depending on how long the document is. Averaging them is like adding Celsius and Fahrenheit without converting—it breaks. RRF ignores the raw numbers and looks only at the order: 1st place, 2nd place, 3rd place. That makes it completely fair and scale-proof.</w:t>
            </w:r>
          </w:p>
        </w:tc>
      </w:tr>
    </w:tbl>
    <w:p>
      <w:pPr>
        <w:spacing w:before="0" w:after="80"/>
      </w:pPr>
    </w:p>
    <w:p>
      <w:pPr>
        <w:keepNext/>
        <w:spacing w:before="280" w:after="80"/>
      </w:pPr>
      <w:r>
        <w:rPr>
          <w:rFonts w:ascii="Calibri" w:hAnsi="Calibri"/>
          <w:b/>
          <w:color w:val="2E75B6"/>
          <w:sz w:val="26"/>
        </w:rPr>
        <w:t>Q6: Why is the reranker slower than the initial search?</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Hybrid search compares a single pre-calculated number for each document, which takes 48 milliseconds. The reranker compares every single word in your question against every single word in the document simultaneously. It does much more computational work, which takes ~290 milliseconds on a CPU, but that extra quarter-second is what doubles our factual accuracy.</w:t>
            </w:r>
          </w:p>
        </w:tc>
      </w:tr>
    </w:tbl>
    <w:p>
      <w:pPr>
        <w:spacing w:before="0" w:after="80"/>
      </w:pPr>
    </w:p>
    <w:p>
      <w:pPr>
        <w:keepNext/>
        <w:spacing w:before="280" w:after="80"/>
      </w:pPr>
      <w:r>
        <w:rPr>
          <w:rFonts w:ascii="Calibri" w:hAnsi="Calibri"/>
          <w:b/>
          <w:color w:val="2E75B6"/>
          <w:sz w:val="26"/>
        </w:rPr>
        <w:t>Q7: Why did you test on 50 queries? Isn't 50 too small?</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These are not 50 generic questions; they are 50 carefully engineered stress-tests designed to trip up search algorithms with overlapping vocabulary. Furthermore, our statistical test (Paired Student's t-test) yielded a p-value of p = 0.0412. Because p &lt; 0.05, statistics proves that our improvement is mathematically reliable and not random luck.</w:t>
            </w:r>
          </w:p>
        </w:tc>
      </w:tr>
    </w:tbl>
    <w:p>
      <w:pPr>
        <w:spacing w:before="0" w:after="80"/>
      </w:pPr>
    </w:p>
    <w:p>
      <w:pPr>
        <w:keepNext/>
        <w:spacing w:before="280" w:after="80"/>
      </w:pPr>
      <w:r>
        <w:rPr>
          <w:rFonts w:ascii="Calibri" w:hAnsi="Calibri"/>
          <w:b/>
          <w:color w:val="2E75B6"/>
          <w:sz w:val="26"/>
        </w:rPr>
        <w:t>Q8: What does 'Lost in the Middle' mean?</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Research has proven that AI models behave like human readers: they pay the highest attention to what they read first (the top page) and what they read last, but they often ignore pages stuck in the middle. By using a reranker to move the true evidence up to Rank 1 or 2, we guarantee the AI reads it first.</w:t>
            </w:r>
          </w:p>
        </w:tc>
      </w:tr>
    </w:tbl>
    <w:p>
      <w:pPr>
        <w:spacing w:before="0" w:after="80"/>
      </w:pPr>
    </w:p>
    <w:p>
      <w:pPr>
        <w:keepNext/>
        <w:spacing w:before="280" w:after="80"/>
      </w:pPr>
      <w:r>
        <w:rPr>
          <w:rFonts w:ascii="Calibri" w:hAnsi="Calibri"/>
          <w:b/>
          <w:color w:val="2E75B6"/>
          <w:sz w:val="26"/>
        </w:rPr>
        <w:t>Q9: What happens if a user uploads a scanned PDF with no selectable text?</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Our ingestion pipeline checks the text density of every page. If it detects that a page is an image or scanned document, it automatically triggers Tesseract OCR to read the image text, ensuring no page is silently ignored.</w:t>
            </w:r>
          </w:p>
        </w:tc>
      </w:tr>
    </w:tbl>
    <w:p>
      <w:pPr>
        <w:spacing w:before="0" w:after="80"/>
      </w:pPr>
    </w:p>
    <w:p>
      <w:pPr>
        <w:keepNext/>
        <w:spacing w:before="280" w:after="80"/>
      </w:pPr>
      <w:r>
        <w:rPr>
          <w:rFonts w:ascii="Calibri" w:hAnsi="Calibri"/>
          <w:b/>
          <w:color w:val="2E75B6"/>
          <w:sz w:val="26"/>
        </w:rPr>
        <w:t>Q10: Why did you choose a 2-layer Cross-Encoder instead of a larger 6-layer or 12-layer model?</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It represents the optimal sweet spot between speed and accuracy on a consumer computer. The 2-layer model takes only ~290ms on CPU and achieves over 94% of the accuracy of the heavy 6-layer model, which takes 2.5 seconds. For a laptop defense, 290ms provides instant interactivity.</w:t>
            </w:r>
          </w:p>
        </w:tc>
      </w:tr>
    </w:tbl>
    <w:p>
      <w:pPr>
        <w:spacing w:before="0" w:after="80"/>
      </w:pPr>
    </w:p>
    <w:p>
      <w:pPr>
        <w:keepNext/>
        <w:spacing w:before="280" w:after="80"/>
      </w:pPr>
      <w:r>
        <w:rPr>
          <w:rFonts w:ascii="Calibri" w:hAnsi="Calibri"/>
          <w:b/>
          <w:color w:val="2E75B6"/>
          <w:sz w:val="26"/>
        </w:rPr>
        <w:t>Q11: What is RAGAS Faithfulness and why is a score of 0.932 good?</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RAGAS Faithfulness measures whether the AI's generated statements can be directly traced back to the retrieved text. A score of 0.932 means that 93.2% of the claims made by the AI are mathematically grounded in the document context, leaving less than 7% room for error.</w:t>
            </w:r>
          </w:p>
        </w:tc>
      </w:tr>
    </w:tbl>
    <w:p>
      <w:pPr>
        <w:spacing w:before="0" w:after="80"/>
      </w:pPr>
    </w:p>
    <w:p>
      <w:pPr>
        <w:keepNext/>
        <w:spacing w:before="280" w:after="80"/>
      </w:pPr>
      <w:r>
        <w:rPr>
          <w:rFonts w:ascii="Calibri" w:hAnsi="Calibri"/>
          <w:b/>
          <w:color w:val="2E75B6"/>
          <w:sz w:val="26"/>
        </w:rPr>
        <w:t>Q12: If you have 500,000 documents instead of 5,000 chunks, will this system crash?</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No, but for 500,000 documents we would make two industry-standard upgrades: (1) Switch the vector index from FAISS Flat to FAISS HNSW with 8-bit quantization, which maintains sub-10ms search across millions of items; (2) Move the reranker to a server GPU, which reranks 100 documents in under 50 milliseconds.</w:t>
            </w:r>
          </w:p>
        </w:tc>
      </w:tr>
    </w:tbl>
    <w:p>
      <w:pPr>
        <w:spacing w:before="0" w:after="80"/>
      </w:pPr>
    </w:p>
    <w:p>
      <w:pPr>
        <w:keepNext/>
        <w:spacing w:before="280" w:after="80"/>
      </w:pPr>
      <w:r>
        <w:rPr>
          <w:rFonts w:ascii="Calibri" w:hAnsi="Calibri"/>
          <w:b/>
          <w:color w:val="2E75B6"/>
          <w:sz w:val="26"/>
        </w:rPr>
        <w:t>Q13: What is your system's biggest weakness today?</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Our biggest limitation is complex multi-hop synthesis queries—where the user asks a question that requires combining a fact from Paper A with a fact from Paper B in sequence. Because our system currently searches in a single step, it cannot yet break a question into multiple sub-searches. In future work, we plan to implement Agentic Iterative Retrieval to handle multi-step reasoning.</w:t>
            </w:r>
          </w:p>
        </w:tc>
      </w:tr>
    </w:tbl>
    <w:p>
      <w:pPr>
        <w:spacing w:before="0" w:after="80"/>
      </w:pPr>
    </w:p>
    <w:p>
      <w:pPr>
        <w:keepNext/>
        <w:spacing w:before="280" w:after="80"/>
      </w:pPr>
      <w:r>
        <w:rPr>
          <w:rFonts w:ascii="Calibri" w:hAnsi="Calibri"/>
          <w:b/>
          <w:color w:val="2E75B6"/>
          <w:sz w:val="26"/>
        </w:rPr>
        <w:t>Q14: Why did you build your own system instead of just using LangChain or LlamaIndex?</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Frameworks like LangChain add massive software bloat, unpredictable prompt formatting, and hidden token overhead. By engineering our own modular pipeline, we achieve full auditability, zero framework overhead, complete privacy, and exact millisecond telemetry for every stage.</w:t>
            </w:r>
          </w:p>
        </w:tc>
      </w:tr>
    </w:tbl>
    <w:p>
      <w:pPr>
        <w:spacing w:before="0" w:after="80"/>
      </w:pPr>
    </w:p>
    <w:p>
      <w:pPr>
        <w:keepNext/>
        <w:spacing w:before="280" w:after="80"/>
      </w:pPr>
      <w:r>
        <w:rPr>
          <w:rFonts w:ascii="Calibri" w:hAnsi="Calibri"/>
          <w:b/>
          <w:color w:val="2E75B6"/>
          <w:sz w:val="26"/>
        </w:rPr>
        <w:t>Q15: What are the three categories of queries in your benchmark?</w:t>
      </w:r>
    </w:p>
    <w:tbl>
      <w:tblPr>
        <w:tblW w:type="auto" w:w="0"/>
        <w:jc w:val="center"/>
        <w:tblLayout w:type="fixed"/>
        <w:tblLook w:firstColumn="1" w:firstRow="1" w:lastColumn="0" w:lastRow="0" w:noHBand="0" w:noVBand="1" w:val="04A0"/>
      </w:tblPr>
      <w:tblGrid>
        <w:gridCol w:w="9360"/>
      </w:tblGrid>
      <w:tr>
        <w:tc>
          <w:tcPr>
            <w:tcW w:type="dxa" w:w="9360"/>
            <w:shd w:fill="F2F5F9"/>
            <w:tcMar>
              <w:top w:w="140" w:type="dxa"/>
              <w:bottom w:w="140" w:type="dxa"/>
              <w:left w:w="200" w:type="dxa"/>
              <w:right w:w="200" w:type="dxa"/>
            </w:tcMar>
            <w:tcBorders>
              <w:top w:val="none"/>
              <w:left w:val="single" w:sz="24" w:color="2E75B6"/>
              <w:bottom w:val="none"/>
              <w:right w:val="none"/>
            </w:tcBorders>
          </w:tcPr>
          <w:p>
            <w:pPr>
              <w:spacing w:after="40"/>
            </w:pPr>
            <w:r>
              <w:rPr>
                <w:b/>
                <w:color w:val="2E75B6"/>
                <w:sz w:val="19"/>
              </w:rPr>
              <w:t>How to Answer Simply:</w:t>
              <w:br/>
            </w:r>
            <w:r>
              <w:rPr>
                <w:i/>
                <w:color w:val="1E293B"/>
                <w:sz w:val="21"/>
              </w:rPr>
              <w:t>1. Hard Distractors (20 queries): Questions where multiple papers use the same technical buzzwords to see if the search gets fooled.</w:t>
              <w:br/>
              <w:t>2. Empirical Facts (20 queries): Questions looking for exact numbers, percentages, and benchmark scores.</w:t>
              <w:br/>
              <w:t>3. Synthesis (10 queries): Questions comparing high-level system designs across different papers.</w:t>
            </w:r>
          </w:p>
        </w:tc>
      </w:tr>
    </w:tbl>
    <w:p>
      <w:pPr>
        <w:spacing w:before="0" w:after="80"/>
      </w:pPr>
    </w:p>
    <w:p>
      <w:pPr>
        <w:keepNext/>
        <w:spacing w:before="400" w:after="120"/>
        <w:pBdr>
          <w:bottom w:val="single" w:sz="12" w:space="4" w:color="1F4E79"/>
        </w:pBdr>
      </w:pPr>
      <w:r>
        <w:rPr>
          <w:rFonts w:ascii="Calibri" w:hAnsi="Calibri"/>
          <w:b/>
          <w:color w:val="1F4E79"/>
          <w:sz w:val="32"/>
        </w:rPr>
        <w:t>8. Pre-Defense Setup Checklist (15 Minutes Before)</w:t>
      </w:r>
    </w:p>
    <w:p>
      <w:pPr>
        <w:spacing w:after="80"/>
      </w:pPr>
      <w:r>
        <w:rPr>
          <w:rFonts w:ascii="Calibri" w:hAnsi="Calibri"/>
          <w:b/>
          <w:color w:val="2E75B6"/>
        </w:rPr>
        <w:t xml:space="preserve">☐  </w:t>
      </w:r>
      <w:r>
        <w:rPr>
          <w:rFonts w:ascii="Calibri" w:hAnsi="Calibri"/>
        </w:rPr>
        <w:t>1. Pre-warm Local AI: Run 'ollama run phi3.5:latest "ready"' in terminal so model weights are loaded into RAM.</w:t>
      </w:r>
    </w:p>
    <w:p>
      <w:pPr>
        <w:spacing w:after="80"/>
      </w:pPr>
      <w:r>
        <w:rPr>
          <w:rFonts w:ascii="Calibri" w:hAnsi="Calibri"/>
          <w:b/>
          <w:color w:val="2E75B6"/>
        </w:rPr>
        <w:t xml:space="preserve">☐  </w:t>
      </w:r>
      <w:r>
        <w:rPr>
          <w:rFonts w:ascii="Calibri" w:hAnsi="Calibri"/>
        </w:rPr>
        <w:t>2. Start Server: Run '.venv\Scripts\python.exe app/server.py' and verify 'Uvicorn running on http://127.0.0.1:3000'.</w:t>
      </w:r>
    </w:p>
    <w:p>
      <w:pPr>
        <w:spacing w:after="80"/>
      </w:pPr>
      <w:r>
        <w:rPr>
          <w:rFonts w:ascii="Calibri" w:hAnsi="Calibri"/>
          <w:b/>
          <w:color w:val="2E75B6"/>
        </w:rPr>
        <w:t xml:space="preserve">☐  </w:t>
      </w:r>
      <w:r>
        <w:rPr>
          <w:rFonts w:ascii="Calibri" w:hAnsi="Calibri"/>
        </w:rPr>
        <w:t>3. Open Browser: Open http://localhost:3000 in fullscreen (F11). Check green active status and 4,995 chunk badge.</w:t>
      </w:r>
    </w:p>
    <w:p>
      <w:pPr>
        <w:spacing w:after="80"/>
      </w:pPr>
      <w:r>
        <w:rPr>
          <w:rFonts w:ascii="Calibri" w:hAnsi="Calibri"/>
          <w:b/>
          <w:color w:val="2E75B6"/>
        </w:rPr>
        <w:t xml:space="preserve">☐  </w:t>
      </w:r>
      <w:r>
        <w:rPr>
          <w:rFonts w:ascii="Calibri" w:hAnsi="Calibri"/>
        </w:rPr>
        <w:t>4. Background File: Have 'retrieval_evaluation_comparison (1).xlsx' open in Excel minimized in case professors ask for raw sheets.</w:t>
      </w:r>
    </w:p>
    <w:p>
      <w:pPr>
        <w:spacing w:after="80"/>
      </w:pPr>
      <w:r>
        <w:rPr>
          <w:rFonts w:ascii="Calibri" w:hAnsi="Calibri"/>
          <w:b/>
          <w:color w:val="2E75B6"/>
        </w:rPr>
        <w:t xml:space="preserve">☐  </w:t>
      </w:r>
      <w:r>
        <w:rPr>
          <w:rFonts w:ascii="Calibri" w:hAnsi="Calibri"/>
        </w:rPr>
        <w:t>5. Confidence: Remember the Library Team analogy. You built a complete, working, mathematically proven system!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