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A5C"/>
          <w:sz w:val="36"/>
          <w:szCs w:val="36"/>
        </w:rPr>
        <w:t xml:space="preserve">Comparative Analysis of Forecasting Models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5F8A"/>
          <w:sz w:val="26"/>
          <w:szCs w:val="26"/>
        </w:rPr>
        <w:t xml:space="preserve">Electricity Demand — Ember Annual Energy Dataset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Countries: Tunisia · Austria · Nigeria · Morocco · Egypt · Algeria · France</w:t>
      </w:r>
    </w:p>
    <w:p>
      <w:pPr>
        <w:pBdr>
          <w:bottom w:val="single" w:color="2C5F8A" w:sz="8" w:space="2"/>
        </w:pBd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Walk-Forward Validation · GridSearchCV Tuning · Architecture Optimisation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C5F8A" w:sz="8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A5C"/>
          <w:sz w:val="26"/>
          <w:szCs w:val="26"/>
        </w:rPr>
        <w:t xml:space="preserve">1.  Overview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 forecasting architectures were benchmarked on annual electricity demand (TWh) for seven countries over 2003–2024: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Ridge Regression, Random Forest (RF), XGBoost (XGB), LSTM,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SARIMA.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evaluation phases are documented: (i) an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initial benchmark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using MinMax-scaled values that exposed critical flaws, and (ii) an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architecture-optimised benchmark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using real TWh values with walk-forward expanding-window validation. Training: 2003–2019 (17 rows/country); Test: 2020–2024. All ML models were tuned via TimeSeriesSplit GridSearchCV on the training partition.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C5F8A" w:sz="8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A5C"/>
          <w:sz w:val="26"/>
          <w:szCs w:val="26"/>
        </w:rPr>
        <w:t xml:space="preserve">2.  Initial Benchmark — Scaled Space (MinMax)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first experiment evaluated models on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Value_minmax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∈ [0, 1]. While MAE, RMSE and R² appeared reasonable in this space, MAPE exploded to values between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9.8 million % and 57 million %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rendering it completely uninformative. The root cause: MinMax scaling produces values near zero for early years, making MAPE denominators approach zero. R² in scaled space also conflates model accuracy with scaling artefacts and is not comparable across countries.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Table 1 — Initial Results, XGBoost (Scaled Space)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320"/>
        <w:gridCol w:w="1320"/>
        <w:gridCol w:w="1320"/>
        <w:gridCol w:w="1920"/>
        <w:gridCol w:w="2040"/>
      </w:tblGrid>
      <w:tr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13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13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3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9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MAPE (%)</w:t>
            </w:r>
          </w:p>
        </w:tc>
        <w:tc>
          <w:tcPr>
            <w:tcW w:type="dxa" w:w="20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Tunisia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0.047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0.104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0.873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35,756,254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670D"/>
                <w:sz w:val="18"/>
                <w:szCs w:val="18"/>
              </w:rPr>
              <w:t xml:space="preserve">MAPE invalid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Austria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0.048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0.088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0.898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47,031,323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670D"/>
                <w:sz w:val="18"/>
                <w:szCs w:val="18"/>
              </w:rPr>
              <w:t xml:space="preserve">MAPE invalid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Nigeria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0.043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0.092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0.897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39,312,343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670D"/>
                <w:sz w:val="18"/>
                <w:szCs w:val="18"/>
              </w:rPr>
              <w:t xml:space="preserve">MAPE invalid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Morocco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0.040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0.080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0.888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9,789,570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670D"/>
                <w:sz w:val="18"/>
                <w:szCs w:val="18"/>
              </w:rPr>
              <w:t xml:space="preserve">MAPE invalid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Egypt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0.065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0.127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0.823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41,527,987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670D"/>
                <w:sz w:val="18"/>
                <w:szCs w:val="18"/>
              </w:rPr>
              <w:t xml:space="preserve">MAPE invalid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Algeria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0.061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0.124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0.866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31,937,215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670D"/>
                <w:sz w:val="18"/>
                <w:szCs w:val="18"/>
              </w:rPr>
              <w:t xml:space="preserve">MAPE invalid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France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0.047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0.106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0.713</w:t>
            </w:r>
          </w:p>
        </w:tc>
        <w:tc>
          <w:tcPr>
            <w:tcW w:type="dxa" w:w="1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57,026,556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2670D"/>
                <w:sz w:val="18"/>
                <w:szCs w:val="18"/>
              </w:rPr>
              <w:t xml:space="preserve">MAPE invalid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Despite the MAPE failure, R² values (0.71–0.90) appeared deceptively strong.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France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showed the weakest R² = 0.713, reflecting high variability in its large series (~500 TWh). The key lesson: evaluating accuracy in MinMax-scaled space is statistically invalid for MAPE and misleading for R².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C5F8A" w:sz="8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A5C"/>
          <w:sz w:val="26"/>
          <w:szCs w:val="26"/>
        </w:rPr>
        <w:t xml:space="preserve">3.  Architecture Failure — Walk-Forward on Real TWh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Moving to real TWh with walk-forward validation exposed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critical architectural flaw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tree-based models. RF failed for all seven countries, posting negative R² (as low as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−4.249 for Nigeria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 and Theil-U &gt; 1.0 everywhere — meaning RF performed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worse than a naive last-value forecast.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Ridge Regression generalised well across six of seven countries (MAPE 0.20%–3.30%, Theil-U &lt; 1).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Table 2 — Walk-Forward Results: Ridge vs Random Forest (Real TWh)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900"/>
        <w:gridCol w:w="1100"/>
        <w:gridCol w:w="1100"/>
        <w:gridCol w:w="1100"/>
        <w:gridCol w:w="2160"/>
      </w:tblGrid>
      <w:tr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9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MAE</w:t>
            </w:r>
          </w:p>
        </w:tc>
        <w:tc>
          <w:tcPr>
            <w:tcW w:type="dxa" w:w="9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RMSE</w:t>
            </w:r>
          </w:p>
        </w:tc>
        <w:tc>
          <w:tcPr>
            <w:tcW w:type="dxa" w:w="11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R²</w:t>
            </w:r>
          </w:p>
        </w:tc>
        <w:tc>
          <w:tcPr>
            <w:tcW w:type="dxa" w:w="11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MAPE</w:t>
            </w:r>
          </w:p>
        </w:tc>
        <w:tc>
          <w:tcPr>
            <w:tcW w:type="dxa" w:w="11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Theil-U</w:t>
            </w:r>
          </w:p>
        </w:tc>
        <w:tc>
          <w:tcPr>
            <w:tcW w:type="dxa" w:w="21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Tunisia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Ridge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0.71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0.622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2.76%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0.608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Austria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Ridge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0.14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0.18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0.982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0.20%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0.091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Nigeria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Ridge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1.26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1.51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B71C1C"/>
                <w:sz w:val="18"/>
                <w:szCs w:val="18"/>
              </w:rPr>
              <w:t xml:space="preserve">-1.757*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3.30%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0.640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57F17"/>
                <w:sz w:val="18"/>
                <w:szCs w:val="18"/>
              </w:rPr>
              <w:t xml:space="preserve">Acceptable*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Morocco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Ridge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0.31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0.34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0.982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0.74%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0.177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Egypt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Ridge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3.92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0.907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1.51%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0.414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Algeria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Ridge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2.36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2.58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0.775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2.79%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0.507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France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Ridge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1.52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1.66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0.986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0.31%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0.079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Tunisia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1.11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1.44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-0.557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4.76%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1.301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Austria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1.64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1.80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-0.812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2.28%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0.769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Nigeria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1.75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2.08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-4.249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4.52%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1.058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Morocco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2.81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3.04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-0.416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6.44%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1.799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Egypt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12.26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14.04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-0.196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5.53%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1.504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Algeria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6.05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6.95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-0.636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6.79%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1.632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FAILED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France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RF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19.78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21.58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-1.376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4.15%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1.076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FAILED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* Nigeria Ridge: R² = −1.757 yet MAPE = 3.30%, Theil-U = 0.64. With only 5 test points R² is statistically unreliable; MAPE and Theil-U &lt; 1 confirm the model outperforms a naive baseline.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C5F8A" w:sz="8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A5C"/>
          <w:sz w:val="26"/>
          <w:szCs w:val="26"/>
        </w:rPr>
        <w:t xml:space="preserve">4.  Architectural Diagnosis and Fixes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5F8A"/>
          <w:sz w:val="23"/>
          <w:szCs w:val="23"/>
        </w:rPr>
        <w:t xml:space="preserve">4.1  Ridge Regression — Why It Succeeds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Ridge fits a global linear function, enabling extrapolation beyond the training domain. The L2 penalty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alpha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tuned via GridSearchCV) prevents overfitting on the short 17-row series. France and Morocco achieved near-perfect results (MAPE 0.31% and 0.74%, R² &gt; 0.98). Ridge is the strongest baseline for countries with monotonically trending demand and limited historical observations.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5F8A"/>
          <w:sz w:val="23"/>
          <w:szCs w:val="23"/>
        </w:rPr>
        <w:t xml:space="preserve">4.2  Random Forest — Extrapolation Failure and Fix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seven RF models failed (R² &lt; 0, Theil-U &gt; 1).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Root cause: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tree models return the mean of training leaves and cannot predict values outside the training range. All demand series trend upward; test values (2020–2024) exceeded the 2003–2019 training domain.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Fix: detrend first, model residuals.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linear trend is removed; RF predicts only stationary residuals. Final prediction = trend(year) + RF(residual). This eliminates the extrapolation failure.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5F8A"/>
          <w:sz w:val="23"/>
          <w:szCs w:val="23"/>
        </w:rPr>
        <w:t xml:space="preserve">4.3  XGBoost — Same Root Cause, Same Fix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XGBoost shares the same tree-based extrapolation limitation. The detrend-then-residual architecture was applied identically, with an additional regularisation grid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2"/>
          <w:szCs w:val="22"/>
        </w:rPr>
        <w:t xml:space="preserve">reg_alpha, reg_lambda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 to prevent overfitting on small training sets.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5F8A"/>
          <w:sz w:val="23"/>
          <w:szCs w:val="23"/>
        </w:rPr>
        <w:t xml:space="preserve">4.4  LSTM — Sequence Window Architecture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original LSTM used a flat feature vector of shape (1, 10) — equivalent to a dense network with no temporal structure.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Fix: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input reshaped to (lookback = 3, 1) — the last three demand values as a proper temporal sequence. A stacked two-layer LSTM with BatchNormalization stabilises training. Auto-regressive rollout feeds each predicted value back as the next sequence element.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5F8A"/>
          <w:sz w:val="23"/>
          <w:szCs w:val="23"/>
        </w:rPr>
        <w:t xml:space="preserve">4.5  SARIMA — AIC-Based Order Selection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SARIMA required no architectural correction. The order (p, d, q) was upgraded from a fixed (1,1,1) 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per-country AIC minimisation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over 18 candidate combinations, improving fit across countries with different demand dynamics (e.g., Nigeria's rapid growth vs. France's plateau behaviour).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C5F8A" w:sz="8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A5C"/>
          <w:sz w:val="26"/>
          <w:szCs w:val="26"/>
        </w:rPr>
        <w:t xml:space="preserve">5.  Metric Reliability and Selection</w:t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R² is unreliable for evaluating short annual forecasts with only 4–5 test observations. A single outlier can drive R² strongly negative even when MAPE is acceptable (Nigeria Ridge: R² = −1.757, MAPE = 3.30%).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The optimised benchmark therefore prioritises MAPE, SMAPE, and Theil-U.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Theil-U &lt; 1 confirms the model outperforms a naive last-value forecast — the standard planning baseline. R² is retained as a secondary indicator but must not be used as the sole selection criterion on short time series.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2C5F8A" w:sz="8" w:space="2"/>
        </w:pBd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A5C"/>
          <w:sz w:val="26"/>
          <w:szCs w:val="26"/>
        </w:rPr>
        <w:t xml:space="preserve">6.  Architecture Summary and Recommendation</w:t>
      </w:r>
    </w:p>
    <w:p>
      <w:pPr>
        <w:spacing w:after="60" w:before="12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Table 3 — Architecture Summary and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40"/>
        <w:gridCol w:w="1200"/>
        <w:gridCol w:w="1200"/>
        <w:gridCol w:w="1200"/>
        <w:gridCol w:w="2280"/>
      </w:tblGrid>
      <w:tr>
        <w:tc>
          <w:tcPr>
            <w:tcW w:type="dxa" w:w="14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Extrapolation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Short Series</w:t>
            </w:r>
          </w:p>
        </w:tc>
        <w:tc>
          <w:tcPr>
            <w:tcW w:type="dxa" w:w="12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Interpretable</w:t>
            </w:r>
          </w:p>
        </w:tc>
        <w:tc>
          <w:tcPr>
            <w:tcW w:type="dxa" w:w="22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Ridge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L2 regularised linear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SARIMA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AIC order selection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1B5E20"/>
                <w:sz w:val="18"/>
                <w:szCs w:val="18"/>
              </w:rPr>
              <w:t xml:space="preserve">Yes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C8E6C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5E20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XGB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Detrend + residual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57F17"/>
                <w:sz w:val="18"/>
                <w:szCs w:val="18"/>
              </w:rPr>
              <w:t xml:space="preserve">After fix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57F17"/>
                <w:sz w:val="18"/>
                <w:szCs w:val="18"/>
              </w:rPr>
              <w:t xml:space="preserve">Marginal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B71C1C"/>
                <w:sz w:val="18"/>
                <w:szCs w:val="18"/>
              </w:rPr>
              <w:t xml:space="preserve">No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57F17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RF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Detrend + residual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57F17"/>
                <w:sz w:val="18"/>
                <w:szCs w:val="18"/>
              </w:rPr>
              <w:t xml:space="preserve">After fix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57F17"/>
                <w:sz w:val="18"/>
                <w:szCs w:val="18"/>
              </w:rPr>
              <w:t xml:space="preserve">Marginal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B71C1C"/>
                <w:sz w:val="18"/>
                <w:szCs w:val="18"/>
              </w:rPr>
              <w:t xml:space="preserve">No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57F17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14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LSTM</w:t>
            </w:r>
          </w:p>
        </w:tc>
        <w:tc>
          <w:tcPr>
            <w:tcW w:type="dxa" w:w="2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Sequence window (lookback=3)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9C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F57F17"/>
                <w:sz w:val="18"/>
                <w:szCs w:val="18"/>
              </w:rPr>
              <w:t xml:space="preserve">After fix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B71C1C"/>
                <w:sz w:val="18"/>
                <w:szCs w:val="18"/>
              </w:rPr>
              <w:t xml:space="preserve">Limited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B71C1C"/>
                <w:sz w:val="18"/>
                <w:szCs w:val="18"/>
              </w:rPr>
              <w:t xml:space="preserve">No</w:t>
            </w:r>
          </w:p>
        </w:tc>
        <w:tc>
          <w:tcPr>
            <w:tcW w:type="dxa" w:w="2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B71C1C"/>
                <w:sz w:val="18"/>
                <w:szCs w:val="18"/>
              </w:rPr>
              <w:t xml:space="preserve">Experimental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Ridge and SARIMA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are the recommended primary models for annual electricity demand forecasting with 17–21 observations per country. They deliver correct extrapolation, transparent parameters, and strong empirical performance (MAPE &lt; 4% for most countries).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XGB and RF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are viable secondary models only after detrending.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LSTM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is theoretically sound with the sequence window fix but requires substantially more data than available (17 rows/country) and should be treated as experimental for this dataset.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555555"/>
        <w:sz w:val="22"/>
        <w:szCs w:val="22"/>
      </w:rPr>
      <w:t xml:space="preserve">Ember Energy Demand Forecasting  |  IEEE Paper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2026-04-30T09:07:11.119Z</dcterms:created>
  <dcterms:modified xsi:type="dcterms:W3CDTF">2026-04-30T09:07:11.120Z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