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spacing w:lineRule="exact" w:line="240"/>
        <w:jc w:val="both"/>
        <w:rPr>
          <w:rFonts w:ascii="Times New Roman" w:hAnsi="Times New Roman" w:cs="Times New Roman"/>
        </w:rPr>
      </w:pPr>
      <w:r>
        <w:rPr>
          <w:rFonts w:cs="Times New Roman" w:ascii="Times New Roman" w:hAnsi="Times New Roman"/>
        </w:rPr>
      </w:r>
    </w:p>
    <w:p>
      <w:pPr>
        <w:pStyle w:val="Normal"/>
        <w:ind w:start="3960" w:end="0"/>
        <w:rPr>
          <w:rFonts w:ascii="Times New Roman" w:hAnsi="Times New Roman" w:cs="Times New Roman"/>
        </w:rPr>
      </w:pPr>
      <w:r>
        <w:rPr>
          <w:rFonts w:cs="Times New Roman" w:ascii="Times New Roman" w:hAnsi="Times New Roman"/>
        </w:rPr>
        <w:t>At the Matrimonial/IAS Part      of the New York Supreme Court at the Courthouse, New York County, on the        day of                     , 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Present:</w:t>
      </w:r>
    </w:p>
    <w:p>
      <w:pPr>
        <w:pStyle w:val="Normal"/>
        <w:rPr>
          <w:rFonts w:ascii="Times New Roman" w:hAnsi="Times New Roman" w:cs="Times New Roman"/>
        </w:rPr>
      </w:pPr>
      <w:r>
        <w:rPr>
          <w:rFonts w:cs="Times New Roman" w:ascii="Times New Roman" w:hAnsi="Times New Roman"/>
        </w:rPr>
        <w:t>Hon.                                             Justice</w:t>
      </w:r>
    </w:p>
    <w:p>
      <w:pPr>
        <w:pStyle w:val="Normal"/>
        <w:rPr>
          <w:rFonts w:ascii="Times New Roman" w:hAnsi="Times New Roman" w:cs="Times New Roman"/>
        </w:rPr>
      </w:pPr>
      <w:r>
        <w:rPr>
          <w:rFonts w:cs="Times New Roman" w:ascii="Times New Roman" w:hAnsi="Times New Roman"/>
        </w:rPr>
        <w:t xml:space="preserve">--------------------------------------------------------X  Index No. </w:t>
      </w:r>
    </w:p>
    <w:p>
      <w:pPr>
        <w:pStyle w:val="Normal"/>
        <w:rPr>
          <w:rFonts w:ascii="Times New Roman" w:hAnsi="Times New Roman" w:cs="Times New Roman"/>
        </w:rPr>
      </w:pPr>
      <w:r>
        <w:rPr>
          <w:rFonts w:cs="Times New Roman" w:ascii="Times New Roman" w:hAnsi="Times New Roman"/>
        </w:rPr>
        <w:tab/>
        <w:tab/>
        <w:tab/>
        <w:tab/>
        <w:tab/>
        <w:tab/>
        <w:tab/>
        <w:t xml:space="preserve">Calendar No. </w:t>
      </w:r>
    </w:p>
    <w:p>
      <w:pPr>
        <w:pStyle w:val="Normal"/>
        <w:rPr>
          <w:rFonts w:ascii="Times New Roman" w:hAnsi="Times New Roman" w:cs="Times New Roman"/>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JUDGMENT OF DIVORCE</w:t>
      </w:r>
    </w:p>
    <w:p>
      <w:pPr>
        <w:pStyle w:val="Normal"/>
        <w:rPr>
          <w:rFonts w:ascii="Times New Roman" w:hAnsi="Times New Roman" w:cs="Times New Roman"/>
        </w:rPr>
      </w:pPr>
      <w:r>
        <w:rPr>
          <w:rFonts w:cs="Times New Roman" w:ascii="Times New Roman" w:hAnsi="Times New Roman"/>
        </w:rPr>
        <w:tab/>
        <w:tab/>
        <w:t xml:space="preserve"> -against-                          </w:t>
      </w:r>
    </w:p>
    <w:p>
      <w:pPr>
        <w:pStyle w:val="Normal"/>
        <w:ind w:start="4440" w:end="0"/>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This action was submitted to the referee/this Court  for consideration on the        day of                     , 2026.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Defendant was served personally within the State of New York.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Plaintiff presented a Summons with Notice and Affidavit of Plaintiff constituting the facts of the matter.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Defendant has appeared and waived his right to answer.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Court accepted written proof of non-military service.  </w:t>
      </w:r>
    </w:p>
    <w:p>
      <w:pPr>
        <w:pStyle w:val="Normal"/>
        <w:spacing w:lineRule="exact" w:line="480"/>
        <w:jc w:val="both"/>
        <w:rPr/>
      </w:pPr>
      <w:r>
        <w:rPr>
          <w:rFonts w:cs="Times New Roman" w:ascii="Times New Roman" w:hAnsi="Times New Roman"/>
        </w:rPr>
        <w:tab/>
        <w:tab/>
        <w:t xml:space="preserve">The Plaintiff's address is {{plaintiff_address}}, and social security number is {{plaintiff_ssn}}.  The Defendant's address is {{defendant_address}}, and social security number is {{defendant_ssn}}.  </w:t>
      </w:r>
    </w:p>
    <w:p>
      <w:pPr>
        <w:pStyle w:val="Normal"/>
        <w:spacing w:lineRule="exact" w:line="480"/>
        <w:jc w:val="both"/>
        <w:rPr>
          <w:rFonts w:ascii="Times New Roman" w:hAnsi="Times New Roman" w:cs="Times New Roman"/>
        </w:rPr>
      </w:pPr>
      <w:r>
        <w:rPr>
          <w:rFonts w:cs="Times New Roman" w:ascii="Times New Roman" w:hAnsi="Times New Roman"/>
        </w:rPr>
        <w:tab/>
        <w:tab/>
        <w:t xml:space="preserve">The parties have executed a Stipulation of Settlement, dated                                         , 2026.  </w:t>
      </w:r>
    </w:p>
    <w:p>
      <w:pPr>
        <w:pStyle w:val="Normal"/>
        <w:spacing w:lineRule="exact" w:line="480"/>
        <w:jc w:val="both"/>
        <w:rPr>
          <w:rFonts w:ascii="Times New Roman" w:hAnsi="Times New Roman" w:cs="Times New Roman"/>
        </w:rPr>
      </w:pPr>
      <w:r>
        <w:rPr>
          <w:rFonts w:cs="Times New Roman" w:ascii="Times New Roman" w:hAnsi="Times New Roman"/>
        </w:rPr>
      </w:r>
    </w:p>
    <w:p>
      <w:pPr>
        <w:pStyle w:val="Normal"/>
        <w:spacing w:lineRule="exact" w:line="480"/>
        <w:jc w:val="both"/>
        <w:rPr/>
      </w:pPr>
      <w:r>
        <w:rPr>
          <w:rFonts w:cs="Times New Roman" w:ascii="Times New Roman" w:hAnsi="Times New Roman"/>
        </w:rPr>
        <w:tab/>
        <w:tab/>
      </w:r>
      <w:r>
        <w:rPr>
          <w:rFonts w:cs="Times New Roman" w:ascii="Times New Roman" w:hAnsi="Times New Roman"/>
          <w:b/>
        </w:rPr>
        <w:t>Now</w:t>
      </w:r>
      <w:r>
        <w:rPr>
          <w:rFonts w:cs="Times New Roman" w:ascii="Times New Roman" w:hAnsi="Times New Roman"/>
        </w:rPr>
        <w:t xml:space="preserve"> on motion of {{attorney_name}}, Esq., the attorney for the Plaintiff, it is:  </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 Referee's Report, if any, is confirmed,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ADJUDGED AND DECREED</w:t>
      </w:r>
      <w:r>
        <w:rPr>
          <w:rFonts w:cs="Times New Roman" w:ascii="Times New Roman" w:hAnsi="Times New Roman"/>
        </w:rPr>
        <w:t xml:space="preserve"> that the application of the Plaintiff is hereby granted to dissolve the marriage between the Plaintiff, {{plaintiff_name}}, and the Defendant, {{defendant_name}}, by reason of:  the relationship between the Plaintiff and Defendant has broken down irretrievably for a period of at least six months, pursuant to DRL Section 170 subd. (7), and both the Plaintiff and Defendant have so stated under oath in their affidavits; and it is further </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there are no minor children of the marriage;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there are no court orders with regard to custody, visitation or maintenance to be continued;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no maintenance was awarded because [   ] neither party seeks maintenance, OR [   ] the Guideline Award of Maintenance under the Maintenance Guidelines Law (L. 2015, c. 269) was zero, OR [   ] the Court has denied the request for maintenance, and it is further </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 Stipulation of Settlement entered into between the parties on                                         , 2026, [  ] an original OR [  ] a transcript of which is on file with this Court and incorporated herein by reference, shall survive and not be merged in this Judgment, and the parties hereby are directed to comply with all legally enforceable terms and conditions of said Stipulation of Settlement as if such terms and conditions were set forth in their entirety herein;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 Supreme Court shall retain jurisdiction of this matter to hear any applications to enforce the provisions of said Stipulation of Settlement or to enforce or modify the provisions of this Judgment, provided the Court retains jurisdiction of the matter concurrently with the Family Court for the purpose of specifically enforcing such of the provisions of said Stipulation of Settlement as are capable of specific enforcement, to the extent permitted by law, and of modifying such Judgment with regard to maintenance, to the extent permitted by law, or both,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any applications brought in the Supreme Court to enforce the provisions of said Stipulation of Settlement or to enforce or modify the provisions of this Judgment shall be brought in a county wherein one of the parties resides, provided that if there are minor children of the marriage, such application shall be brought in a county wherein one of the parties or the child or children reside, except, in the discretion of the judge, for good cause.  Good cause applications shall be made by motion or order to show cause.  Where the address of either party and any child or children is unknown and not a matter of public record, or is the subject of an existing confidentiality order pursuant to DRL Sec. 254 or FCA Sec. 154-b, such applications may be brought in the county where this Judgment was entered;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providing for the transfer of title to the marital residence is Not Applicable in this case,  and it is further </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both parties are authorized to resume the use of any prior surname,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 Plaintiff may resume use of the prior surname, {{plaintiff_prior_surname}}, and it is further</w:t>
      </w:r>
    </w:p>
    <w:p>
      <w:pPr>
        <w:pStyle w:val="Normal"/>
        <w:spacing w:lineRule="exact" w:line="480"/>
        <w:jc w:val="both"/>
        <w:rPr/>
      </w:pPr>
      <w:r>
        <w:rPr>
          <w:rFonts w:cs="Times New Roman" w:ascii="Times New Roman" w:hAnsi="Times New Roman"/>
        </w:rPr>
        <w:tab/>
        <w:tab/>
      </w:r>
      <w:r>
        <w:rPr>
          <w:rFonts w:cs="Times New Roman" w:ascii="Times New Roman" w:hAnsi="Times New Roman"/>
          <w:b/>
        </w:rPr>
        <w:t>ORDERED AND ADJUDGED</w:t>
      </w:r>
      <w:r>
        <w:rPr>
          <w:rFonts w:cs="Times New Roman" w:ascii="Times New Roman" w:hAnsi="Times New Roman"/>
        </w:rPr>
        <w:t xml:space="preserve"> that the Defendant shall be served with a copy of this Judgment, with notice of entry, by the Plaintiff within 20 days of such entry.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 xml:space="preserve">Dated: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ENTER:  </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ab/>
        <w:tab/>
        <w:t>J.S.C./Referee</w:t>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spacing w:lineRule="exact" w:line="240"/>
        <w:jc w:val="both"/>
        <w:rPr>
          <w:rFonts w:ascii="Times New Roman" w:hAnsi="Times New Roman" w:cs="Times New Roman"/>
        </w:rPr>
      </w:pPr>
      <w:r>
        <w:rPr>
          <w:rFonts w:cs="Times New Roman" w:ascii="Times New Roman" w:hAnsi="Times New Roman"/>
        </w:rPr>
        <w:tab/>
        <w:tab/>
        <w:tab/>
        <w:tab/>
        <w:tab/>
        <w:tab/>
        <w:tab/>
        <w:tab/>
        <w:t xml:space="preserve"> CLERK</w:t>
      </w:r>
    </w:p>
    <w:p>
      <w:pPr>
        <w:pStyle w:val="Normal"/>
        <w:spacing w:lineRule="exact" w:line="240"/>
        <w:jc w:val="both"/>
        <w:rPr>
          <w:rFonts w:ascii="Times New Roman" w:hAnsi="Times New Roman" w:cs="Times New Roman"/>
        </w:rPr>
      </w:pPr>
      <w:r>
        <w:rPr>
          <w:rFonts w:cs="Times New Roman" w:ascii="Times New Roman" w:hAnsi="Times New Roman"/>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