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_TocAll0001" w:history="1">
        <w:r>
          <w:rPr>
            <w:color w:val="0563C1"/>
            <w:u w:val="single"/>
          </w:rPr>
          <w:t xml:space="preserve">Also in This Series</w:t>
        </w:r>
        <w:r>
          <w:rPr>
            <w:color w:val="0563C1"/>
            <w:u w:val="single"/>
          </w:rPr>
          <w:tab/>
        </w:r>
        <w:r>
          <w:fldChar w:fldCharType="begin" w:dirty="true"/>
        </w:r>
        <w:r>
          <w:instrText xml:space="preserve"> PAGEREF _TocAll0001 \h </w:instrText>
        </w:r>
        <w:r>
          <w:fldChar w:fldCharType="separate"/>
        </w:r>
        <w:r>
          <w:rPr>
            <w:noProof/>
          </w:rPr>
          <w:t>4</w:t>
        </w:r>
        <w:r>
          <w:fldChar w:fldCharType="end"/>
        </w:r>
      </w:hyperlink>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endendofparti" w:history="1">
        <w:r>
          <w:rPr>
            <w:color w:val="0563C1"/>
            <w:u w:val="single"/>
          </w:rPr>
          <w:t xml:space="preserve">End of Part I — What Is Settled</w:t>
        </w:r>
        <w:r>
          <w:rPr>
            <w:color w:val="0563C1"/>
            <w:u w:val="single"/>
          </w:rPr>
          <w:tab/>
        </w:r>
        <w:r>
          <w:fldChar w:fldCharType="begin" w:dirty="true"/>
        </w:r>
        <w:r>
          <w:instrText xml:space="preserve"> PAGEREF endendofparti \h </w:instrText>
        </w:r>
        <w:r>
          <w:fldChar w:fldCharType="separate"/>
        </w:r>
        <w:r>
          <w:rPr>
            <w:noProof/>
          </w:rPr>
          <w:t>83</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endendofpartii" w:history="1">
        <w:r>
          <w:rPr>
            <w:color w:val="0563C1"/>
            <w:u w:val="single"/>
          </w:rPr>
          <w:t xml:space="preserve">End of Part II — What Is Reliable but Strange</w:t>
        </w:r>
        <w:r>
          <w:rPr>
            <w:color w:val="0563C1"/>
            <w:u w:val="single"/>
          </w:rPr>
          <w:tab/>
        </w:r>
        <w:r>
          <w:fldChar w:fldCharType="begin" w:dirty="true"/>
        </w:r>
        <w:r>
          <w:instrText xml:space="preserve"> PAGEREF endendofpartii \h </w:instrText>
        </w:r>
        <w:r>
          <w:fldChar w:fldCharType="separate"/>
        </w:r>
        <w:r>
          <w:rPr>
            <w:noProof/>
          </w:rPr>
          <w:t>106</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endendofpartiii" w:history="1">
        <w:r>
          <w:rPr>
            <w:color w:val="0563C1"/>
            <w:u w:val="single"/>
          </w:rPr>
          <w:t xml:space="preserve">End of Part III — What Is Still a Bet</w:t>
        </w:r>
        <w:r>
          <w:rPr>
            <w:color w:val="0563C1"/>
            <w:u w:val="single"/>
          </w:rPr>
          <w:tab/>
        </w:r>
        <w:r>
          <w:fldChar w:fldCharType="begin" w:dirty="true"/>
        </w:r>
        <w:r>
          <w:instrText xml:space="preserve"> PAGEREF endendofpartiii \h </w:instrText>
        </w:r>
        <w:r>
          <w:fldChar w:fldCharType="separate"/>
        </w:r>
        <w:r>
          <w:rPr>
            <w:noProof/>
          </w:rPr>
          <w:t>135</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ndendofpartiv" w:history="1">
        <w:r>
          <w:rPr>
            <w:color w:val="0563C1"/>
            <w:u w:val="single"/>
          </w:rPr>
          <w:t xml:space="preserve">End of Part IV — Physics Looking at Itself</w:t>
        </w:r>
        <w:r>
          <w:rPr>
            <w:color w:val="0563C1"/>
            <w:u w:val="single"/>
          </w:rPr>
          <w:tab/>
        </w:r>
        <w:r>
          <w:fldChar w:fldCharType="begin" w:dirty="true"/>
        </w:r>
        <w:r>
          <w:instrText xml:space="preserve"> PAGEREF endendofpartiv \h </w:instrText>
        </w:r>
        <w:r>
          <w:fldChar w:fldCharType="separate"/>
        </w:r>
        <w:r>
          <w:rPr>
            <w:noProof/>
          </w:rPr>
          <w:t>165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_TocAll0002" w:history="1">
        <w:r>
          <w:rPr>
            <w:color w:val="0563C1"/>
            <w:u w:val="single"/>
          </w:rPr>
          <w:t xml:space="preserve">Core Ideas and Open Questions</w:t>
        </w:r>
        <w:r>
          <w:rPr>
            <w:color w:val="0563C1"/>
            <w:u w:val="single"/>
          </w:rPr>
          <w:tab/>
        </w:r>
        <w:r>
          <w:fldChar w:fldCharType="begin" w:dirty="true"/>
        </w:r>
        <w:r>
          <w:instrText xml:space="preserve"> PAGEREF _TocAll0002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Pr>
        <w:tabs>
          <w:tab w:val="right" w:leader="dot" w:pos="6120"/>
        </w:tabs>
        <w:jc w:val="left"/>
      </w:pPr>
      <w:hyperlink w:anchor="_TocAll0003" w:history="1">
        <w:r>
          <w:rPr>
            <w:color w:val="0563C1"/>
            <w:u w:val="single"/>
          </w:rPr>
          <w:t xml:space="preserve">About the Author</w:t>
        </w:r>
        <w:r>
          <w:rPr>
            <w:color w:val="0563C1"/>
            <w:u w:val="single"/>
          </w:rPr>
          <w:tab/>
        </w:r>
        <w:r>
          <w:fldChar w:fldCharType="begin" w:dirty="true"/>
        </w:r>
        <w:r>
          <w:instrText xml:space="preserve"> PAGEREF _TocAll0003 \h </w:instrText>
        </w:r>
        <w:r>
          <w:fldChar w:fldCharType="separate"/>
        </w:r>
        <w:r>
          <w:rPr>
            <w:noProof/>
          </w:rPr>
          <w:t>185</w:t>
        </w:r>
        <w:r>
          <w:fldChar w:fldCharType="end"/>
        </w:r>
      </w:hyperlink>
    </w:p>
    <w:p>
      <w:pPr>
        <w:tabs>
          <w:tab w:val="right" w:leader="dot" w:pos="6120"/>
        </w:tabs>
        <w:jc w:val="left"/>
      </w:pPr>
      <w:hyperlink w:anchor="_TocAll0004" w:history="1">
        <w:r>
          <w:rPr>
            <w:color w:val="0563C1"/>
            <w:u w:val="single"/>
          </w:rPr>
          <w:t xml:space="preserve">Also by Lothar J. Musiol</w:t>
        </w:r>
        <w:r>
          <w:rPr>
            <w:color w:val="0563C1"/>
            <w:u w:val="single"/>
          </w:rPr>
          <w:tab/>
        </w:r>
        <w:r>
          <w:fldChar w:fldCharType="begin" w:dirty="true"/>
        </w:r>
        <w:r>
          <w:instrText xml:space="preserve"> PAGEREF _TocAll0004 \h </w:instrText>
        </w:r>
        <w:r>
          <w:fldChar w:fldCharType="separate"/>
        </w:r>
        <w:r>
          <w:rPr>
            <w:noProof/>
          </w:rPr>
          <w:t>185</w:t>
        </w:r>
        <w:r>
          <w:fldChar w:fldCharType="end"/>
        </w:r>
      </w:hyperlink>
    </w:p>
    <w:p>
      <w:pPr>
        <w:tabs>
          <w:tab w:val="right" w:leader="dot" w:pos="6120"/>
        </w:tabs>
        <w:jc w:val="left"/>
      </w:pPr>
      <w:hyperlink w:anchor="note" w:history="1">
        <w:r>
          <w:rPr>
            <w:color w:val="0563C1"/>
            <w:u w:val="single"/>
          </w:rPr>
          <w:t xml:space="preserve">A Note Before You Go</w:t>
        </w:r>
        <w:r>
          <w:rPr>
            <w:color w:val="0563C1"/>
            <w:u w:val="single"/>
          </w:rPr>
          <w:tab/>
        </w:r>
        <w:r>
          <w:fldChar w:fldCharType="begin" w:dirty="true"/>
        </w:r>
        <w:r>
          <w:instrText xml:space="preserve"> PAGEREF note \h </w:instrText>
        </w:r>
        <w:r>
          <w:fldChar w:fldCharType="separate"/>
        </w:r>
        <w:r>
          <w:rPr>
            <w:noProof/>
          </w:rPr>
          <w:t>188</w:t>
        </w:r>
        <w:r>
          <w:fldChar w:fldCharType="end"/>
        </w:r>
      </w:hyperlink>
    </w:p>
    <w:p/>
    <w:p>
      <w:pPr>
        <w:pStyle w:val="Heading1"/>
      </w:pPr>
      <w:bookmarkStart w:id="233" w:name="_TocAll0001"/>
      <w:bookmarkEnd w:id="233"/>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bookmarkStart w:id="234" w:name="_TocAll0002"/>
      <w:bookmarkEnd w:id="234"/>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w:t>
      </w:r>
      <w:hyperlink r:id="rIdL1" w:history="1">
        <w:r>
          <w:rPr>
            <w:color w:val="0563C1"/>
            <w:u w:val="single"/>
          </w:rPr>
          <w:t>freely available online</w:t>
        </w:r>
      </w:hyperlink>
      <w:r>
        <w: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w:t>
      </w:r>
      <w:hyperlink r:id="rIdL1" w:history="1">
        <w:r>
          <w:rPr>
            <w:color w:val="0563C1"/>
            <w:u w:val="single"/>
          </w:rPr>
          <w:t>freely available online</w:t>
        </w:r>
      </w:hyperlink>
      <w:r>
        <w: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jc w:val="both"/>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235" w:name="_TocAll0003"/>
      <w:bookmarkEnd w:id="235"/>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pPr>
        <w:pStyle w:val="Heading1"/>
      </w:pPr>
      <w:bookmarkStart w:id="236" w:name="_TocAll0004"/>
      <w:bookmarkEnd w:id="236"/>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volumes Quantum, Actually, Volume 1: Questions and Answers from the Double Slit to the Superconducting Wire and Quantum, Actually, Volume 2: A QED Course.</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 Id="rIdL1" Type="http://schemas.openxmlformats.org/officeDocument/2006/relationships/hyperlink" Target="https://www.motionmountain.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