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Some questions are better left beyond the blanket. The Bureau filed that under Pending Geometry and went to lunch. The canteen was serving meat with mint sauce, chocolate sauce, and a third, unlabelled bottle that was not soy sauce but had clearly attended the same finishing school as Maggi - a combination several members of staff quietly agreed was a more serious violation of natural law than anything in Case 1047. Mrs Marsh ate hers without comment, which everyone found more alarming than the sauce.</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