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 Die Frage „Bin ich bereit?“ kommt vor der Frage „Wohin?“. Sie betrifft alle vier Zielländer gleichermaßen.</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ns2:paraId="0A96BF15" ns2: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deutlich höhere Brutto- und Nettogehälter, aber ohne das deutsche soziale Netz: kein Kündigungsschutz, kaum gesetzlicher Urlaub, Krankenversicherung hängt am Job.</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Fast überall gilt At-will Employment (Kündigung ohne Grund, für beide Seiten). Ausnahmen betreffen vor allem Diskriminierung, Vergeltung und Vertragsbruch.</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Krankenversicherung hängt am Job: Wartefristen bis 90 Tage, COBRA rund 790 $ pro Monat</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