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14: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and historians' estimates of deaths across the whole campaign run into the tens of millions. Dolphin historians see no reason to soften any of this. They would only add that the same empire ran one of the most efficient postal systems of the pre-modern world, in which relay riders could reportedly cover up to two hundred miles a day.</w:t>
      </w:r>
    </w:p>
    <w:p>
      <w:pPr>
        <w:spacing w:after="200"/>
      </w:pPr>
      <w:r>
        <w:t xml:space="preserve">Having conquered nearly everyone, the Mongols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elsewhere across the Middle East and North Africa.</w:t>
      </w:r>
    </w:p>
    <w:p>
      <w:pPr>
        <w:spacing w:after="200"/>
      </w:pPr>
      <w:r>
        <w:t xml:space="preserve">Dolphin historians, who watched a great many Genoese ships go by, note that a large part of the Black Death's itinerary was maritime, and that rats have always made excellent passengers and terrible guests.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2026-09-27T16:48:18.992Z</dcterms:created>
  <dcterms:modified xsi:type="dcterms:W3CDTF">2026-09-27T16:48:18.992Z</dcterms:modified>
</cp:coreProperties>
</file>

<file path=docProps/custom.xml><?xml version="1.0" encoding="utf-8"?>
<Properties xmlns="http://schemas.openxmlformats.org/officeDocument/2006/custom-properties" xmlns:vt="http://schemas.openxmlformats.org/officeDocument/2006/docPropsVTypes"/>
</file>