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Times New Roman" w:cs="Times New Roman" w:eastAsia="Times New Roman" w:hAnsi="Times New Roman"/>
          <w:b/>
          <w:bCs/>
          <w:color w:val="7C2D12"/>
          <w:spacing w:val="200"/>
          <w:sz w:val="20"/>
          <w:szCs w:val="20"/>
        </w:rPr>
        <w:t xml:space="preserve">A PRACTICAL BOOK</w:t>
      </w:r>
    </w:p>
    <w:p>
      <w:pPr>
        <w:spacing w:after="80" w:before="200"/>
      </w:pPr>
      <w:r>
        <w:rPr>
          <w:rFonts w:ascii="Times New Roman" w:cs="Times New Roman" w:eastAsia="Times New Roman" w:hAnsi="Times New Roman"/>
          <w:b/>
          <w:bCs/>
          <w:color w:val="1C1917"/>
          <w:sz w:val="56"/>
          <w:szCs w:val="56"/>
        </w:rPr>
        <w:t xml:space="preserve">The Will Is Not the Legacy, Actually</w:t>
      </w:r>
    </w:p>
    <w:p>
      <w:pPr>
        <w:spacing w:after="300"/>
      </w:pPr>
      <w:r>
        <w:rPr>
          <w:rFonts w:ascii="Times New Roman" w:cs="Times New Roman" w:eastAsia="Times New Roman" w:hAnsi="Times New Roman"/>
          <w:i/>
          <w:iCs/>
          <w:color w:val="44403C"/>
          <w:sz w:val="24"/>
          <w:szCs w:val="24"/>
        </w:rPr>
        <w:t xml:space="preserve">Wills, the real alternatives, and how to keep your thoughts usable after you are gone.</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Educational guide. Not legal, tax, or medical advice. Laws differ by country, state, and province. Have a local lawyer review anything that moves property.</w:t>
      </w:r>
    </w:p>
    <w:p>
      <w:pPr>
        <w:pBdr>
          <w:bottom w:val="single" w:color="7C2D12" w:sz="12" w:space="1"/>
        </w:pBdr>
        <w:spacing w:after="300"/>
      </w:pPr>
      <w:r>
        <w:rPr>
          <w:rFonts w:ascii="Times New Roman" w:cs="Times New Roman" w:eastAsia="Times New Roman" w:hAnsi="Times New Roman"/>
          <w:color w:val="1C1917"/>
          <w:sz w:val="22"/>
          <w:szCs w:val="22"/>
        </w:rPr>
        <w:t xml:space="preserve"/>
      </w:r>
    </w:p>
    <w:p>
      <w:pPr>
        <w:pStyle w:val="Heading1"/>
        <w:spacing w:after="200" w:before="200"/>
      </w:pPr>
      <w:r>
        <w:rPr>
          <w:rFonts w:ascii="Times New Roman" w:cs="Times New Roman" w:eastAsia="Times New Roman" w:hAnsi="Times New Roman"/>
          <w:b/>
          <w:bCs/>
          <w:color w:val="7C2D12"/>
          <w:sz w:val="36"/>
          <w:szCs w:val="36"/>
        </w:rPr>
        <w:t xml:space="preserve">How to use this book</w:t>
      </w:r>
    </w:p>
    <w:p>
      <w:pPr>
        <w:spacing w:after="160" w:line="276"/>
        <w:jc w:val="both"/>
      </w:pPr>
      <w:r>
        <w:rPr>
          <w:rFonts w:ascii="Times New Roman" w:cs="Times New Roman" w:eastAsia="Times New Roman" w:hAnsi="Times New Roman"/>
          <w:color w:val="1C1917"/>
          <w:sz w:val="22"/>
          <w:szCs w:val="22"/>
        </w:rPr>
        <w:t xml:space="preserve">This book is for someone who expects limited time and wants two things done properly: the legal transfer of what they own, and the preservation of what they think. Those are different jobs. A will does the first. It does almost nothing for the second. Most people only plan the first, then discover too late that the stories, reasons, and unfinished explanations died with them.</w:t>
      </w:r>
    </w:p>
    <w:p>
      <w:pPr>
        <w:spacing w:after="160" w:line="276"/>
        <w:jc w:val="both"/>
      </w:pPr>
      <w:r>
        <w:rPr>
          <w:rFonts w:ascii="Times New Roman" w:cs="Times New Roman" w:eastAsia="Times New Roman" w:hAnsi="Times New Roman"/>
          <w:color w:val="1C1917"/>
          <w:sz w:val="22"/>
          <w:szCs w:val="22"/>
        </w:rPr>
        <w:t xml:space="preserve">Read Chapter 1 if time is short. It is a sequence, not a philosophy. Then use the later chapters as the working manual: what a will can and cannot do, the alternatives that often matter more than the will itself, how to record thoughts so someone else can actually open them, and the handoff that keeps the archive from becoming a locked folder.</w:t>
      </w:r>
    </w:p>
    <w:p>
      <w:pPr>
        <w:spacing w:after="160" w:line="276"/>
        <w:jc w:val="both"/>
      </w:pPr>
      <w:r>
        <w:rPr>
          <w:rFonts w:ascii="Times New Roman" w:cs="Times New Roman" w:eastAsia="Times New Roman" w:hAnsi="Times New Roman"/>
          <w:b/>
          <w:bCs/>
          <w:color w:val="1C1917"/>
          <w:sz w:val="22"/>
          <w:szCs w:val="22"/>
        </w:rPr>
        <w:t xml:space="preserve">This is not a substitute for a lawyer, tax adviser, or clinician. </w:t>
      </w:r>
      <w:r>
        <w:rPr>
          <w:rFonts w:ascii="Times New Roman" w:cs="Times New Roman" w:eastAsia="Times New Roman" w:hAnsi="Times New Roman"/>
          <w:color w:val="1C1917"/>
          <w:sz w:val="22"/>
          <w:szCs w:val="22"/>
        </w:rPr>
        <w:t xml:space="preserve">Inheritance law, tax, and the validity of handwritten wills vary sharply. A form that works in one U.S. state can fail in another, and civil-law countries (much of Europe, Latin America, Quebec, Louisiana in part) do not treat wills the way common-law places do. Use the checklists to arrive at a professional prepared, not to replace one.</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If any of this is about wanting to die rather than expecting to, stop and contact help. In the United States and Canada, call or text 988. Elsewhere, the International Association for Suicide Prevention lists local lines at iasp.info.</w:t>
      </w:r>
    </w:p>
    <w:p>
      <w:pPr>
        <w:pStyle w:val="Heading2"/>
        <w:spacing w:after="120" w:before="280"/>
      </w:pPr>
      <w:r>
        <w:rPr>
          <w:rFonts w:ascii="Times New Roman" w:cs="Times New Roman" w:eastAsia="Times New Roman" w:hAnsi="Times New Roman"/>
          <w:b/>
          <w:bCs/>
          <w:color w:val="1C1917"/>
          <w:sz w:val="26"/>
          <w:szCs w:val="26"/>
        </w:rPr>
        <w:t xml:space="preserve">What “legacy” actually splits into</w:t>
      </w:r>
    </w:p>
    <w:p>
      <w:pPr>
        <w:spacing w:after="160" w:line="276"/>
        <w:jc w:val="both"/>
      </w:pPr>
      <w:r>
        <w:rPr>
          <w:rFonts w:ascii="Times New Roman" w:cs="Times New Roman" w:eastAsia="Times New Roman" w:hAnsi="Times New Roman"/>
          <w:color w:val="1C1917"/>
          <w:sz w:val="22"/>
          <w:szCs w:val="22"/>
        </w:rPr>
        <w:t xml:space="preserve">People use one word for four different deposits. Mixing them is why plans fail.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rPr>
          <w:tblHeader/>
        </w:trPr>
        <w:tc>
          <w:tcPr>
            <w:tcW w:type="dxa" w:w="1600"/>
            <w:tcBorders>
              <w:top w:val="single" w:color="A8A29E" w:sz="4"/>
              <w:left w:val="single" w:color="A8A29E" w:sz="4"/>
              <w:bottom w:val="single" w:color="A8A29E" w:sz="4"/>
              <w:right w:val="single" w:color="A8A29E" w:sz="4"/>
            </w:tcBorders>
            <w:shd w:fill="292524" w:val="clear"/>
            <w:tcMar>
              <w:top w:type="dxa" w:w="60"/>
              <w:left w:type="dxa" w:w="80"/>
              <w:bottom w:type="dxa" w:w="60"/>
              <w:right w:type="dxa" w:w="80"/>
            </w:tcMar>
            <w:vAlign w:val="top"/>
          </w:tcPr>
          <w:p>
            <w:r>
              <w:rPr>
                <w:rFonts w:ascii="Times New Roman" w:cs="Times New Roman" w:eastAsia="Times New Roman" w:hAnsi="Times New Roman"/>
                <w:b/>
                <w:bCs/>
                <w:color w:val="FFFFFF"/>
                <w:sz w:val="18"/>
                <w:szCs w:val="18"/>
              </w:rPr>
              <w:t xml:space="preserve">Deposit</w:t>
            </w:r>
          </w:p>
        </w:tc>
        <w:tc>
          <w:tcPr>
            <w:tcW w:type="dxa" w:w="4240"/>
            <w:tcBorders>
              <w:top w:val="single" w:color="A8A29E" w:sz="4"/>
              <w:left w:val="single" w:color="A8A29E" w:sz="4"/>
              <w:bottom w:val="single" w:color="A8A29E" w:sz="4"/>
              <w:right w:val="single" w:color="A8A29E" w:sz="4"/>
            </w:tcBorders>
            <w:shd w:fill="292524" w:val="clear"/>
            <w:tcMar>
              <w:top w:type="dxa" w:w="60"/>
              <w:left w:type="dxa" w:w="80"/>
              <w:bottom w:type="dxa" w:w="60"/>
              <w:right w:type="dxa" w:w="80"/>
            </w:tcMar>
            <w:vAlign w:val="top"/>
          </w:tcPr>
          <w:p>
            <w:r>
              <w:rPr>
                <w:rFonts w:ascii="Times New Roman" w:cs="Times New Roman" w:eastAsia="Times New Roman" w:hAnsi="Times New Roman"/>
                <w:b/>
                <w:bCs/>
                <w:color w:val="FFFFFF"/>
                <w:sz w:val="18"/>
                <w:szCs w:val="18"/>
              </w:rPr>
              <w:t xml:space="preserve">What it is</w:t>
            </w:r>
          </w:p>
        </w:tc>
        <w:tc>
          <w:tcPr>
            <w:tcW w:type="dxa" w:w="4240"/>
            <w:tcBorders>
              <w:top w:val="single" w:color="A8A29E" w:sz="4"/>
              <w:left w:val="single" w:color="A8A29E" w:sz="4"/>
              <w:bottom w:val="single" w:color="A8A29E" w:sz="4"/>
              <w:right w:val="single" w:color="A8A29E" w:sz="4"/>
            </w:tcBorders>
            <w:shd w:fill="292524" w:val="clear"/>
            <w:tcMar>
              <w:top w:type="dxa" w:w="60"/>
              <w:left w:type="dxa" w:w="80"/>
              <w:bottom w:type="dxa" w:w="60"/>
              <w:right w:type="dxa" w:w="80"/>
            </w:tcMar>
            <w:vAlign w:val="top"/>
          </w:tcPr>
          <w:p>
            <w:r>
              <w:rPr>
                <w:rFonts w:ascii="Times New Roman" w:cs="Times New Roman" w:eastAsia="Times New Roman" w:hAnsi="Times New Roman"/>
                <w:b/>
                <w:bCs/>
                <w:color w:val="FFFFFF"/>
                <w:sz w:val="18"/>
                <w:szCs w:val="18"/>
              </w:rPr>
              <w:t xml:space="preserve">What carries it</w:t>
            </w:r>
          </w:p>
        </w:tc>
      </w:tr>
      <w:tr>
        <w:tc>
          <w:tcPr>
            <w:tcW w:type="dxa" w:w="16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Property</w:t>
            </w:r>
          </w:p>
        </w:tc>
        <w:tc>
          <w:tcPr>
            <w:tcW w:type="dxa" w:w="424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Money, house, accounts, business, debts.</w:t>
            </w:r>
          </w:p>
        </w:tc>
        <w:tc>
          <w:tcPr>
            <w:tcW w:type="dxa" w:w="424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Will, trust, beneficiary forms, titles.</w:t>
            </w:r>
          </w:p>
        </w:tc>
      </w:tr>
      <w:tr>
        <w:tc>
          <w:tcPr>
            <w:tcW w:type="dxa" w:w="160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Authority</w:t>
            </w:r>
          </w:p>
        </w:tc>
        <w:tc>
          <w:tcPr>
            <w:tcW w:type="dxa" w:w="424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Who decides while you are alive but unable.</w:t>
            </w:r>
          </w:p>
        </w:tc>
        <w:tc>
          <w:tcPr>
            <w:tcW w:type="dxa" w:w="424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Power of attorney, healthcare proxy, advance directive.</w:t>
            </w:r>
          </w:p>
        </w:tc>
      </w:tr>
      <w:tr>
        <w:tc>
          <w:tcPr>
            <w:tcW w:type="dxa" w:w="16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Access</w:t>
            </w:r>
          </w:p>
        </w:tc>
        <w:tc>
          <w:tcPr>
            <w:tcW w:type="dxa" w:w="424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Passwords, photos, recordings, subscriptions.</w:t>
            </w:r>
          </w:p>
        </w:tc>
        <w:tc>
          <w:tcPr>
            <w:tcW w:type="dxa" w:w="424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Digital executor, legacy contacts, a written map.</w:t>
            </w:r>
          </w:p>
        </w:tc>
      </w:tr>
      <w:tr>
        <w:tc>
          <w:tcPr>
            <w:tcW w:type="dxa" w:w="160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Meaning</w:t>
            </w:r>
          </w:p>
        </w:tc>
        <w:tc>
          <w:tcPr>
            <w:tcW w:type="dxa" w:w="424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Beliefs, stories, apologies, reasons, unfinished work.</w:t>
            </w:r>
          </w:p>
        </w:tc>
        <w:tc>
          <w:tcPr>
            <w:tcW w:type="dxa" w:w="424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Ethical will, letters, audio, video. Not the legal will.</w:t>
            </w:r>
          </w:p>
        </w:tc>
      </w:tr>
    </w:tbl>
    <w:p>
      <w:pPr>
        <w:spacing w:after="120"/>
      </w:pPr>
    </w:p>
    <w:p>
      <w:pPr>
        <w:spacing w:after="160" w:line="276"/>
        <w:jc w:val="both"/>
      </w:pPr>
      <w:r>
        <w:rPr>
          <w:rFonts w:ascii="Times New Roman" w:cs="Times New Roman" w:eastAsia="Times New Roman" w:hAnsi="Times New Roman"/>
          <w:color w:val="1C1917"/>
          <w:sz w:val="22"/>
          <w:szCs w:val="22"/>
        </w:rPr>
        <w:t xml:space="preserve">Do the meaning deposit even if the property deposit is small. A person with little to leave can still leave the only record of why a family split, how a choice was made, or what a trade was actually like. Do the property deposit even if you care more about meaning. Unpaid debts, untitled houses, and unnamed beneficiaries become other people’s emergencies.</w:t>
      </w:r>
    </w:p>
    <w:p>
      <w:pPr>
        <w:pStyle w:val="Heading1"/>
        <w:pageBreakBefore/>
        <w:spacing w:after="200" w:before="0"/>
      </w:pPr>
      <w:r>
        <w:rPr>
          <w:rFonts w:ascii="Times New Roman" w:cs="Times New Roman" w:eastAsia="Times New Roman" w:hAnsi="Times New Roman"/>
          <w:b/>
          <w:bCs/>
          <w:color w:val="7C2D12"/>
          <w:sz w:val="36"/>
          <w:szCs w:val="36"/>
        </w:rPr>
        <w:t xml:space="preserve">Chapter 1. If time is short</w:t>
      </w:r>
    </w:p>
    <w:p>
      <w:pPr>
        <w:spacing w:after="160" w:line="276"/>
        <w:jc w:val="both"/>
      </w:pPr>
      <w:r>
        <w:rPr>
          <w:rFonts w:ascii="Times New Roman" w:cs="Times New Roman" w:eastAsia="Times New Roman" w:hAnsi="Times New Roman"/>
          <w:color w:val="1C1917"/>
          <w:sz w:val="22"/>
          <w:szCs w:val="22"/>
        </w:rPr>
        <w:t xml:space="preserve">Assume you have days or a few weeks of usable energy, not a leisurely year. Capture raw material before you edit. Name a person before you perfect a document. A rough recording in the hands of someone who knows where it is beats a masterpiece in a password you never wrote down.</w:t>
      </w:r>
    </w:p>
    <w:p>
      <w:pPr>
        <w:pStyle w:val="Heading2"/>
        <w:spacing w:after="120" w:before="280"/>
      </w:pPr>
      <w:r>
        <w:rPr>
          <w:rFonts w:ascii="Times New Roman" w:cs="Times New Roman" w:eastAsia="Times New Roman" w:hAnsi="Times New Roman"/>
          <w:b/>
          <w:bCs/>
          <w:color w:val="1C1917"/>
          <w:sz w:val="26"/>
          <w:szCs w:val="26"/>
        </w:rPr>
        <w:t xml:space="preserve">Seven days, in order</w:t>
      </w:r>
    </w:p>
    <w:p>
      <w:pPr>
        <w:pStyle w:val="Heading3"/>
        <w:spacing w:after="80" w:before="200"/>
      </w:pPr>
      <w:r>
        <w:rPr>
          <w:rFonts w:ascii="Times New Roman" w:cs="Times New Roman" w:eastAsia="Times New Roman" w:hAnsi="Times New Roman"/>
          <w:b/>
          <w:bCs/>
          <w:color w:val="44403C"/>
          <w:sz w:val="23"/>
          <w:szCs w:val="23"/>
        </w:rPr>
        <w:t xml:space="preserve">Day 1 — Name the receivers</w:t>
      </w:r>
    </w:p>
    <w:p>
      <w:pPr>
        <w:spacing w:after="160" w:line="276"/>
        <w:jc w:val="both"/>
      </w:pPr>
      <w:r>
        <w:rPr>
          <w:rFonts w:ascii="Times New Roman" w:cs="Times New Roman" w:eastAsia="Times New Roman" w:hAnsi="Times New Roman"/>
          <w:color w:val="1C1917"/>
          <w:sz w:val="22"/>
          <w:szCs w:val="22"/>
        </w:rPr>
        <w:t xml:space="preserve">Pick one person for property decisions (executor or the local equivalent) and one person for the archive of thoughts. They can be the same person. Tell them today, out loud, that you are doing this. Write their names, phones, and what each is responsible for on one sheet. If you have minor children, name a guardian in that same conversation and get legal help on it immediately; this is the decision people most regret leaving blank.</w:t>
      </w:r>
    </w:p>
    <w:p>
      <w:pPr>
        <w:pStyle w:val="Heading3"/>
        <w:spacing w:after="80" w:before="200"/>
      </w:pPr>
      <w:r>
        <w:rPr>
          <w:rFonts w:ascii="Times New Roman" w:cs="Times New Roman" w:eastAsia="Times New Roman" w:hAnsi="Times New Roman"/>
          <w:b/>
          <w:bCs/>
          <w:color w:val="44403C"/>
          <w:sz w:val="23"/>
          <w:szCs w:val="23"/>
        </w:rPr>
        <w:t xml:space="preserve">Day 2 — Record, do not compose</w:t>
      </w:r>
    </w:p>
    <w:p>
      <w:pPr>
        <w:spacing w:after="160" w:line="276"/>
        <w:jc w:val="both"/>
      </w:pPr>
      <w:r>
        <w:rPr>
          <w:rFonts w:ascii="Times New Roman" w:cs="Times New Roman" w:eastAsia="Times New Roman" w:hAnsi="Times New Roman"/>
          <w:color w:val="1C1917"/>
          <w:sz w:val="22"/>
          <w:szCs w:val="22"/>
        </w:rPr>
        <w:t xml:space="preserve">Voice memos, twenty minutes at a time. One topic per file. Date and title every file: “2026-10-09 why I left the shop.” Use the prompt list in Chapter 7. Do not transcribe yet. Film three short videos if you can: one general, and one each for the two people who would most want to hear your voice. Store copies in cloud and on a drive the receiver can open.</w:t>
      </w:r>
    </w:p>
    <w:p>
      <w:pPr>
        <w:pStyle w:val="Heading3"/>
        <w:spacing w:after="80" w:before="200"/>
      </w:pPr>
      <w:r>
        <w:rPr>
          <w:rFonts w:ascii="Times New Roman" w:cs="Times New Roman" w:eastAsia="Times New Roman" w:hAnsi="Times New Roman"/>
          <w:b/>
          <w:bCs/>
          <w:color w:val="44403C"/>
          <w:sz w:val="23"/>
          <w:szCs w:val="23"/>
        </w:rPr>
        <w:t xml:space="preserve">Day 3 — List what exists</w:t>
      </w:r>
    </w:p>
    <w:p>
      <w:pPr>
        <w:spacing w:after="160" w:line="276"/>
        <w:jc w:val="both"/>
      </w:pPr>
      <w:r>
        <w:rPr>
          <w:rFonts w:ascii="Times New Roman" w:cs="Times New Roman" w:eastAsia="Times New Roman" w:hAnsi="Times New Roman"/>
          <w:color w:val="1C1917"/>
          <w:sz w:val="22"/>
          <w:szCs w:val="22"/>
        </w:rPr>
        <w:t xml:space="preserve">Not a perfect inventory. A map: bank and brokerage names, house or land, vehicles, business interests, life insurance, retirement accounts, debts, digital accounts that matter (email, photo library, domain, crypto keys if any), and where the paperwork lives. Beneficiary forms on retirement accounts and life insurance usually override the will. Note what you think each form currently says. Wrong beneficiaries are among the most common and most expensive mistakes.</w:t>
      </w:r>
    </w:p>
    <w:p>
      <w:pPr>
        <w:pStyle w:val="Heading3"/>
        <w:spacing w:after="80" w:before="200"/>
      </w:pPr>
      <w:r>
        <w:rPr>
          <w:rFonts w:ascii="Times New Roman" w:cs="Times New Roman" w:eastAsia="Times New Roman" w:hAnsi="Times New Roman"/>
          <w:b/>
          <w:bCs/>
          <w:color w:val="44403C"/>
          <w:sz w:val="23"/>
          <w:szCs w:val="23"/>
        </w:rPr>
        <w:t xml:space="preserve">Day 4 — Authority while you are alive</w:t>
      </w:r>
    </w:p>
    <w:p>
      <w:pPr>
        <w:spacing w:after="160" w:line="276"/>
        <w:jc w:val="both"/>
      </w:pPr>
      <w:r>
        <w:rPr>
          <w:rFonts w:ascii="Times New Roman" w:cs="Times New Roman" w:eastAsia="Times New Roman" w:hAnsi="Times New Roman"/>
          <w:color w:val="1C1917"/>
          <w:sz w:val="22"/>
          <w:szCs w:val="22"/>
        </w:rPr>
        <w:t xml:space="preserve">A will speaks at death. It does not let someone pay your bills or talk to your doctors next month. Sign a financial power of attorney and a healthcare proxy or advance directive valid where you live. Say, in writing, what “enough treatment” means to you in ordinary language, then have the formal document match it. Tell the named agents.</w:t>
      </w:r>
    </w:p>
    <w:p>
      <w:pPr>
        <w:pStyle w:val="Heading3"/>
        <w:spacing w:after="80" w:before="200"/>
      </w:pPr>
      <w:r>
        <w:rPr>
          <w:rFonts w:ascii="Times New Roman" w:cs="Times New Roman" w:eastAsia="Times New Roman" w:hAnsi="Times New Roman"/>
          <w:b/>
          <w:bCs/>
          <w:color w:val="44403C"/>
          <w:sz w:val="23"/>
          <w:szCs w:val="23"/>
        </w:rPr>
        <w:t xml:space="preserve">Day 5 — The will, or the reason you are not using only a will</w:t>
      </w:r>
    </w:p>
    <w:p>
      <w:pPr>
        <w:spacing w:after="160" w:line="276"/>
        <w:jc w:val="both"/>
      </w:pPr>
      <w:r>
        <w:rPr>
          <w:rFonts w:ascii="Times New Roman" w:cs="Times New Roman" w:eastAsia="Times New Roman" w:hAnsi="Times New Roman"/>
          <w:color w:val="1C1917"/>
          <w:sz w:val="22"/>
          <w:szCs w:val="22"/>
        </w:rPr>
        <w:t xml:space="preserve">Book a lawyer if you can: blended family, a business, property in more than one place, a child with a disability, real estate, or anything you want kept out of a simple equal split. If you cannot get a lawyer this week, write down your wishes clearly, sign as your jurisdiction requires, and treat that paper as a bridge, not a finished plan. Chapter 3 is the element list. Chapter 4 is when a will is the wrong main tool.</w:t>
      </w:r>
    </w:p>
    <w:p>
      <w:pPr>
        <w:pStyle w:val="Heading3"/>
        <w:spacing w:after="80" w:before="200"/>
      </w:pPr>
      <w:r>
        <w:rPr>
          <w:rFonts w:ascii="Times New Roman" w:cs="Times New Roman" w:eastAsia="Times New Roman" w:hAnsi="Times New Roman"/>
          <w:b/>
          <w:bCs/>
          <w:color w:val="44403C"/>
          <w:sz w:val="23"/>
          <w:szCs w:val="23"/>
        </w:rPr>
        <w:t xml:space="preserve">Day 6 — The ethical will and the letters</w:t>
      </w:r>
    </w:p>
    <w:p>
      <w:pPr>
        <w:spacing w:after="160" w:line="276"/>
        <w:jc w:val="both"/>
      </w:pPr>
      <w:r>
        <w:rPr>
          <w:rFonts w:ascii="Times New Roman" w:cs="Times New Roman" w:eastAsia="Times New Roman" w:hAnsi="Times New Roman"/>
          <w:color w:val="1C1917"/>
          <w:sz w:val="22"/>
          <w:szCs w:val="22"/>
        </w:rPr>
        <w:t xml:space="preserve">Two to five pages: what you believe, what you want understood, apologies that are specific, hopes that are not orders. Separate letters to named people. Label anything that should be opened later (“for Maya, at 18”). This document should not try to give away the house. If it conflicts with the will, the will (or the beneficiary form) wins, and the letter becomes a family fight.</w:t>
      </w:r>
    </w:p>
    <w:p>
      <w:pPr>
        <w:pStyle w:val="Heading3"/>
        <w:spacing w:after="80" w:before="200"/>
      </w:pPr>
      <w:r>
        <w:rPr>
          <w:rFonts w:ascii="Times New Roman" w:cs="Times New Roman" w:eastAsia="Times New Roman" w:hAnsi="Times New Roman"/>
          <w:b/>
          <w:bCs/>
          <w:color w:val="44403C"/>
          <w:sz w:val="23"/>
          <w:szCs w:val="23"/>
        </w:rPr>
        <w:t xml:space="preserve">Day 7 — The handoff</w:t>
      </w:r>
    </w:p>
    <w:p>
      <w:pPr>
        <w:spacing w:after="160" w:line="276"/>
        <w:jc w:val="both"/>
      </w:pPr>
      <w:r>
        <w:rPr>
          <w:rFonts w:ascii="Times New Roman" w:cs="Times New Roman" w:eastAsia="Times New Roman" w:hAnsi="Times New Roman"/>
          <w:color w:val="1C1917"/>
          <w:sz w:val="22"/>
          <w:szCs w:val="22"/>
        </w:rPr>
        <w:t xml:space="preserve">Sit with the receiver. Show them the folder, the drive, the lawyer’s name, the password-manager emergency access or the sealed envelope. Say what is private and what may be shared. Send the lawyer whatever you signed, or leave instructions for who may collect it. Then stop reorganizing and record more, if energy remains.</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If you only finish Days 1, 2, and 7, you have still done the part almost everyone skips.</w:t>
      </w:r>
    </w:p>
    <w:p>
      <w:pPr>
        <w:pStyle w:val="Heading1"/>
        <w:pageBreakBefore/>
        <w:spacing w:after="200" w:before="0"/>
      </w:pPr>
      <w:r>
        <w:rPr>
          <w:rFonts w:ascii="Times New Roman" w:cs="Times New Roman" w:eastAsia="Times New Roman" w:hAnsi="Times New Roman"/>
          <w:b/>
          <w:bCs/>
          <w:color w:val="7C2D12"/>
          <w:sz w:val="36"/>
          <w:szCs w:val="36"/>
        </w:rPr>
        <w:t xml:space="preserve">Chapter 2. Preserving thoughts</w:t>
      </w:r>
    </w:p>
    <w:p>
      <w:pPr>
        <w:spacing w:after="160" w:line="276"/>
        <w:jc w:val="both"/>
      </w:pPr>
      <w:r>
        <w:rPr>
          <w:rFonts w:ascii="Times New Roman" w:cs="Times New Roman" w:eastAsia="Times New Roman" w:hAnsi="Times New Roman"/>
          <w:color w:val="1C1917"/>
          <w:sz w:val="22"/>
          <w:szCs w:val="22"/>
        </w:rPr>
        <w:t xml:space="preserve">Thoughts do not preserve themselves. Memory in other people edits you. Social media keeps a performance. A legal will keeps instructions about objects. What usually vanishes is tone: how sure you were, what you found funny, the order in which you changed your mind.</w:t>
      </w:r>
    </w:p>
    <w:p>
      <w:pPr>
        <w:pStyle w:val="Heading2"/>
        <w:spacing w:after="120" w:before="280"/>
      </w:pPr>
      <w:r>
        <w:rPr>
          <w:rFonts w:ascii="Times New Roman" w:cs="Times New Roman" w:eastAsia="Times New Roman" w:hAnsi="Times New Roman"/>
          <w:b/>
          <w:bCs/>
          <w:color w:val="1C1917"/>
          <w:sz w:val="26"/>
          <w:szCs w:val="26"/>
        </w:rPr>
        <w:t xml:space="preserve">Record before you write</w:t>
      </w:r>
    </w:p>
    <w:p>
      <w:pPr>
        <w:spacing w:after="160" w:line="276"/>
        <w:jc w:val="both"/>
      </w:pPr>
      <w:r>
        <w:rPr>
          <w:rFonts w:ascii="Times New Roman" w:cs="Times New Roman" w:eastAsia="Times New Roman" w:hAnsi="Times New Roman"/>
          <w:color w:val="1C1917"/>
          <w:sz w:val="22"/>
          <w:szCs w:val="22"/>
        </w:rPr>
        <w:t xml:space="preserve">Speech is faster and keeps voice. Set a timer. Answer one prompt. Stop. Name the file. Do another. Editing is a second project. People who wait to “write it properly” often leave nothing.</w:t>
      </w:r>
    </w:p>
    <w:p>
      <w:pPr>
        <w:pStyle w:val="ListParagraph"/>
        <w:numPr>
          <w:ilvl w:val="0"/>
          <w:numId w:val="2"/>
        </w:numPr>
        <w:spacing w:after="60" w:line="276"/>
      </w:pPr>
      <w:r>
        <w:rPr>
          <w:rFonts w:ascii="Times New Roman" w:cs="Times New Roman" w:eastAsia="Times New Roman" w:hAnsi="Times New Roman"/>
          <w:b/>
          <w:bCs/>
          <w:color w:val="1C1917"/>
          <w:sz w:val="22"/>
          <w:szCs w:val="22"/>
        </w:rPr>
        <w:t xml:space="preserve">Audio. </w:t>
      </w:r>
      <w:r>
        <w:rPr>
          <w:rFonts w:ascii="Times New Roman" w:cs="Times New Roman" w:eastAsia="Times New Roman" w:hAnsi="Times New Roman"/>
          <w:color w:val="1C1917"/>
          <w:sz w:val="22"/>
          <w:szCs w:val="22"/>
        </w:rPr>
        <w:t xml:space="preserve">For stories, explanations, and anything you would rather say than perform. Phone voice memos are enough.</w:t>
      </w:r>
    </w:p>
    <w:p>
      <w:pPr>
        <w:pStyle w:val="ListParagraph"/>
        <w:numPr>
          <w:ilvl w:val="0"/>
          <w:numId w:val="2"/>
        </w:numPr>
        <w:spacing w:after="60" w:line="276"/>
      </w:pPr>
      <w:r>
        <w:rPr>
          <w:rFonts w:ascii="Times New Roman" w:cs="Times New Roman" w:eastAsia="Times New Roman" w:hAnsi="Times New Roman"/>
          <w:b/>
          <w:bCs/>
          <w:color w:val="1C1917"/>
          <w:sz w:val="22"/>
          <w:szCs w:val="22"/>
        </w:rPr>
        <w:t xml:space="preserve">Video. </w:t>
      </w:r>
      <w:r>
        <w:rPr>
          <w:rFonts w:ascii="Times New Roman" w:cs="Times New Roman" w:eastAsia="Times New Roman" w:hAnsi="Times New Roman"/>
          <w:color w:val="1C1917"/>
          <w:sz w:val="22"/>
          <w:szCs w:val="22"/>
        </w:rPr>
        <w:t xml:space="preserve">For messages to named people. Look at the lens. Say their name in the first sentence. Two to eight minutes beats a speech.</w:t>
      </w:r>
    </w:p>
    <w:p>
      <w:pPr>
        <w:pStyle w:val="ListParagraph"/>
        <w:numPr>
          <w:ilvl w:val="0"/>
          <w:numId w:val="2"/>
        </w:numPr>
        <w:spacing w:after="60" w:line="276"/>
      </w:pPr>
      <w:r>
        <w:rPr>
          <w:rFonts w:ascii="Times New Roman" w:cs="Times New Roman" w:eastAsia="Times New Roman" w:hAnsi="Times New Roman"/>
          <w:b/>
          <w:bCs/>
          <w:color w:val="1C1917"/>
          <w:sz w:val="22"/>
          <w:szCs w:val="22"/>
        </w:rPr>
        <w:t xml:space="preserve">Writing. </w:t>
      </w:r>
      <w:r>
        <w:rPr>
          <w:rFonts w:ascii="Times New Roman" w:cs="Times New Roman" w:eastAsia="Times New Roman" w:hAnsi="Times New Roman"/>
          <w:color w:val="1C1917"/>
          <w:sz w:val="22"/>
          <w:szCs w:val="22"/>
        </w:rPr>
        <w:t xml:space="preserve">For lists, precise apologies, instructions, and anything a future reader must quote accurately.</w:t>
      </w:r>
    </w:p>
    <w:p>
      <w:pPr>
        <w:pStyle w:val="ListParagraph"/>
        <w:numPr>
          <w:ilvl w:val="0"/>
          <w:numId w:val="2"/>
        </w:numPr>
        <w:spacing w:after="60" w:line="276"/>
      </w:pPr>
      <w:r>
        <w:rPr>
          <w:rFonts w:ascii="Times New Roman" w:cs="Times New Roman" w:eastAsia="Times New Roman" w:hAnsi="Times New Roman"/>
          <w:b/>
          <w:bCs/>
          <w:color w:val="1C1917"/>
          <w:sz w:val="22"/>
          <w:szCs w:val="22"/>
        </w:rPr>
        <w:t xml:space="preserve">Photos with captions. </w:t>
      </w:r>
      <w:r>
        <w:rPr>
          <w:rFonts w:ascii="Times New Roman" w:cs="Times New Roman" w:eastAsia="Times New Roman" w:hAnsi="Times New Roman"/>
          <w:color w:val="1C1917"/>
          <w:sz w:val="22"/>
          <w:szCs w:val="22"/>
        </w:rPr>
        <w:t xml:space="preserve">For objects and places. An unlabeled box of prints is an archive nobody can use.</w:t>
      </w:r>
    </w:p>
    <w:p>
      <w:pPr>
        <w:pStyle w:val="Heading2"/>
        <w:spacing w:after="120" w:before="280"/>
      </w:pPr>
      <w:r>
        <w:rPr>
          <w:rFonts w:ascii="Times New Roman" w:cs="Times New Roman" w:eastAsia="Times New Roman" w:hAnsi="Times New Roman"/>
          <w:b/>
          <w:bCs/>
          <w:color w:val="1C1917"/>
          <w:sz w:val="26"/>
          <w:szCs w:val="26"/>
        </w:rPr>
        <w:t xml:space="preserve">What is worth keeping</w:t>
      </w:r>
    </w:p>
    <w:p>
      <w:pPr>
        <w:spacing w:after="160" w:line="276"/>
        <w:jc w:val="both"/>
      </w:pPr>
      <w:r>
        <w:rPr>
          <w:rFonts w:ascii="Times New Roman" w:cs="Times New Roman" w:eastAsia="Times New Roman" w:hAnsi="Times New Roman"/>
          <w:color w:val="1C1917"/>
          <w:sz w:val="22"/>
          <w:szCs w:val="22"/>
        </w:rPr>
        <w:t xml:space="preserve">Keep the specific. “Work hard” is already everywhere. “I turned down the partnership in 1998 because your grandmother was sick, and I have never been sure it was the right trade” is not. Prefer decisions, turning points, people, places, and the reasons you actually had — including reasons you are no longer proud of, if you can say them without using the recording to wound someone who cannot answer.</w:t>
      </w:r>
    </w:p>
    <w:p>
      <w:pPr>
        <w:spacing w:after="160" w:line="276"/>
        <w:jc w:val="both"/>
      </w:pPr>
      <w:r>
        <w:rPr>
          <w:rFonts w:ascii="Times New Roman" w:cs="Times New Roman" w:eastAsia="Times New Roman" w:hAnsi="Times New Roman"/>
          <w:color w:val="1C1917"/>
          <w:sz w:val="22"/>
          <w:szCs w:val="22"/>
        </w:rPr>
        <w:t xml:space="preserve">Useful categories, not a required outline: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Origin stories you have told unevenly, told once, carefully.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Work: what the job actually consisted of, who taught you, what you would not do again.</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Family facts that will otherwise be argued over: dates, names, why a move happened.</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Beliefs, including beliefs you changed, and what changed them.</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Money: what you were trying to do with it, not a sermon about thrift.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Unfinished work: where the files are, what is done, what a successor should ignore.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Direct address: one recording or letter per person who will look for it.</w:t>
      </w:r>
    </w:p>
    <w:p>
      <w:pPr>
        <w:pStyle w:val="Heading2"/>
        <w:spacing w:after="120" w:before="280"/>
      </w:pPr>
      <w:r>
        <w:rPr>
          <w:rFonts w:ascii="Times New Roman" w:cs="Times New Roman" w:eastAsia="Times New Roman" w:hAnsi="Times New Roman"/>
          <w:b/>
          <w:bCs/>
          <w:color w:val="1C1917"/>
          <w:sz w:val="26"/>
          <w:szCs w:val="26"/>
        </w:rPr>
        <w:t xml:space="preserve">The ethical will</w:t>
      </w:r>
    </w:p>
    <w:p>
      <w:pPr>
        <w:spacing w:after="160" w:line="276"/>
        <w:jc w:val="both"/>
      </w:pPr>
      <w:r>
        <w:rPr>
          <w:rFonts w:ascii="Times New Roman" w:cs="Times New Roman" w:eastAsia="Times New Roman" w:hAnsi="Times New Roman"/>
          <w:color w:val="1C1917"/>
          <w:sz w:val="22"/>
          <w:szCs w:val="22"/>
        </w:rPr>
        <w:t xml:space="preserve">An ethical will (sometimes called a legacy letter) is a statement of values, stories, and hopes. It is old in several traditions and new as a commonplace tool. It is not witnessed property law. Courts generally do not carry out gifts buried inside it. That limitation is a feature: you can be personal without accidentally rewriting the estate.</w:t>
      </w:r>
    </w:p>
    <w:p>
      <w:pPr>
        <w:spacing w:after="160" w:line="276"/>
        <w:jc w:val="both"/>
      </w:pPr>
      <w:r>
        <w:rPr>
          <w:rFonts w:ascii="Times New Roman" w:cs="Times New Roman" w:eastAsia="Times New Roman" w:hAnsi="Times New Roman"/>
          <w:color w:val="1C1917"/>
          <w:sz w:val="22"/>
          <w:szCs w:val="22"/>
        </w:rPr>
        <w:t xml:space="preserve">A workable shape: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Who you are writing to, and that this letter does not replace the will.</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A few scenes, not a full autobiography.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What you hope they understand about a hard choice.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Apologies that name the event. Vague regret reads as performance.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What you are not asking them to repeat. Legacy letters that issue orders age badly.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Permission: what they may share, publish, or destroy.</w:t>
      </w:r>
    </w:p>
    <w:p>
      <w:pPr>
        <w:pStyle w:val="Heading2"/>
        <w:spacing w:after="120" w:before="280"/>
      </w:pPr>
      <w:r>
        <w:rPr>
          <w:rFonts w:ascii="Times New Roman" w:cs="Times New Roman" w:eastAsia="Times New Roman" w:hAnsi="Times New Roman"/>
          <w:b/>
          <w:bCs/>
          <w:color w:val="1C1917"/>
          <w:sz w:val="26"/>
          <w:szCs w:val="26"/>
        </w:rPr>
        <w:t xml:space="preserve">Timed messages</w:t>
      </w:r>
    </w:p>
    <w:p>
      <w:pPr>
        <w:spacing w:after="160" w:line="276"/>
        <w:jc w:val="both"/>
      </w:pPr>
      <w:r>
        <w:rPr>
          <w:rFonts w:ascii="Times New Roman" w:cs="Times New Roman" w:eastAsia="Times New Roman" w:hAnsi="Times New Roman"/>
          <w:color w:val="1C1917"/>
          <w:sz w:val="22"/>
          <w:szCs w:val="22"/>
        </w:rPr>
        <w:t xml:space="preserve">Label by recipient and trigger, not by your mood: “for Jonah, high-school graduation,” “for the business, if it is sold.” Give the physical or digital location to the executor in writing. Services that email prompts or release messages on a date can help, but a company can shut down. Keep a copy your person already holds.</w:t>
      </w:r>
    </w:p>
    <w:p>
      <w:pPr>
        <w:pStyle w:val="Heading2"/>
        <w:spacing w:after="120" w:before="280"/>
      </w:pPr>
      <w:r>
        <w:rPr>
          <w:rFonts w:ascii="Times New Roman" w:cs="Times New Roman" w:eastAsia="Times New Roman" w:hAnsi="Times New Roman"/>
          <w:b/>
          <w:bCs/>
          <w:color w:val="1C1917"/>
          <w:sz w:val="26"/>
          <w:szCs w:val="26"/>
        </w:rPr>
        <w:t xml:space="preserve">What not to preserve by accident</w:t>
      </w:r>
    </w:p>
    <w:p>
      <w:pPr>
        <w:spacing w:after="160" w:line="276"/>
        <w:jc w:val="both"/>
      </w:pPr>
      <w:r>
        <w:rPr>
          <w:rFonts w:ascii="Times New Roman" w:cs="Times New Roman" w:eastAsia="Times New Roman" w:hAnsi="Times New Roman"/>
          <w:color w:val="1C1917"/>
          <w:sz w:val="22"/>
          <w:szCs w:val="22"/>
        </w:rPr>
        <w:t xml:space="preserve">Passwords in the same notebook as a denunciation of a living relative. Medical details you would not want read aloud at a kitchen table. Accusations you have not checked. Financial account numbers sitting in an email draft. Separate the archive of meaning from the map of access. The meaning archive can be personal. The access map should be boring, accurate, and held by the person who must use it.</w:t>
      </w:r>
    </w:p>
    <w:p>
      <w:pPr>
        <w:pStyle w:val="Heading1"/>
        <w:pageBreakBefore/>
        <w:spacing w:after="200" w:before="0"/>
      </w:pPr>
      <w:r>
        <w:rPr>
          <w:rFonts w:ascii="Times New Roman" w:cs="Times New Roman" w:eastAsia="Times New Roman" w:hAnsi="Times New Roman"/>
          <w:b/>
          <w:bCs/>
          <w:color w:val="7C2D12"/>
          <w:sz w:val="36"/>
          <w:szCs w:val="36"/>
        </w:rPr>
        <w:t xml:space="preserve">Chapter 3. A will guide</w:t>
      </w:r>
    </w:p>
    <w:p>
      <w:pPr>
        <w:spacing w:after="160" w:line="276"/>
        <w:jc w:val="both"/>
      </w:pPr>
      <w:r>
        <w:rPr>
          <w:rFonts w:ascii="Times New Roman" w:cs="Times New Roman" w:eastAsia="Times New Roman" w:hAnsi="Times New Roman"/>
          <w:color w:val="1C1917"/>
          <w:sz w:val="22"/>
          <w:szCs w:val="22"/>
        </w:rPr>
        <w:t xml:space="preserve">A will is a signed set of instructions, valid only if it meets the formal rules of the place whose law applies, about who receives what you own at death, who carries out those instructions, and sometimes who cares for your children. Until then it does nothing. You can rewrite it. Marriage, divorce, a birth, a move across a border, and large gifts can change what it means even if you do not touch the paper.</w:t>
      </w:r>
    </w:p>
    <w:p>
      <w:pPr>
        <w:pStyle w:val="Heading2"/>
        <w:spacing w:after="120" w:before="280"/>
      </w:pPr>
      <w:r>
        <w:rPr>
          <w:rFonts w:ascii="Times New Roman" w:cs="Times New Roman" w:eastAsia="Times New Roman" w:hAnsi="Times New Roman"/>
          <w:b/>
          <w:bCs/>
          <w:color w:val="1C1917"/>
          <w:sz w:val="26"/>
          <w:szCs w:val="26"/>
        </w:rPr>
        <w:t xml:space="preserve">What a will is good for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Naming an executor (personal representative) and a backup.</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Saying who receives property that does not already pass by beneficiary form, title, or trust.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Naming guardians for minor children, where local law allows the will to do that.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Cancelling an older will, if the new one is valid.</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Leaving specific gifts: a watch, a manuscript, a sum of money.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Creating a simple testamentary trust (a trust born by the will) for a child or a person who should not receive a lump sum. This needs careful drafting.</w:t>
      </w:r>
    </w:p>
    <w:p>
      <w:pPr>
        <w:pStyle w:val="Heading2"/>
        <w:spacing w:after="120" w:before="280"/>
      </w:pPr>
      <w:r>
        <w:rPr>
          <w:rFonts w:ascii="Times New Roman" w:cs="Times New Roman" w:eastAsia="Times New Roman" w:hAnsi="Times New Roman"/>
          <w:b/>
          <w:bCs/>
          <w:color w:val="1C1917"/>
          <w:sz w:val="26"/>
          <w:szCs w:val="26"/>
        </w:rPr>
        <w:t xml:space="preserve">What a will does not do</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does not control life insurance, most retirement accounts, or payable-on-death bank accounts. The form on file wins.</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does not automatically control property held in joint tenancy with right of survivorship. The survivor often takes it.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does not let anyone act while you are alive.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does not avoid the court process entirely in many places. Probate is the court’s supervision of the will. Some places have simplified probate for small estates; some property skips it.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does not explain you. Put explanations in a letter beside it.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It cannot usually disinherit a spouse completely, or sometimes children, without running into forced shares, elective shares, or community property. The names differ. The surprise is common.</w:t>
      </w:r>
    </w:p>
    <w:p>
      <w:pPr>
        <w:pStyle w:val="Heading2"/>
        <w:spacing w:after="120" w:before="280"/>
      </w:pPr>
      <w:r>
        <w:rPr>
          <w:rFonts w:ascii="Times New Roman" w:cs="Times New Roman" w:eastAsia="Times New Roman" w:hAnsi="Times New Roman"/>
          <w:b/>
          <w:bCs/>
          <w:color w:val="1C1917"/>
          <w:sz w:val="26"/>
          <w:szCs w:val="26"/>
        </w:rPr>
        <w:t xml:space="preserve">The pieces a basic will is built from</w:t>
      </w:r>
    </w:p>
    <w:p>
      <w:pPr>
        <w:pStyle w:val="Heading3"/>
        <w:spacing w:after="80" w:before="200"/>
      </w:pPr>
      <w:r>
        <w:rPr>
          <w:rFonts w:ascii="Times New Roman" w:cs="Times New Roman" w:eastAsia="Times New Roman" w:hAnsi="Times New Roman"/>
          <w:b/>
          <w:bCs/>
          <w:color w:val="44403C"/>
          <w:sz w:val="23"/>
          <w:szCs w:val="23"/>
        </w:rPr>
        <w:t xml:space="preserve">Opening and revocation</w:t>
      </w:r>
    </w:p>
    <w:p>
      <w:pPr>
        <w:spacing w:after="160" w:line="276"/>
        <w:jc w:val="both"/>
      </w:pPr>
      <w:r>
        <w:rPr>
          <w:rFonts w:ascii="Times New Roman" w:cs="Times New Roman" w:eastAsia="Times New Roman" w:hAnsi="Times New Roman"/>
          <w:color w:val="1C1917"/>
          <w:sz w:val="22"/>
          <w:szCs w:val="22"/>
        </w:rPr>
        <w:t xml:space="preserve">Your legal name, where you live, and a sentence revoking earlier wills and codicils. If you have foreign property or an older will in another country, say so to the lawyer. Revoking the wrong document, or failing to revoke one, is a known way to create two competing plans.</w:t>
      </w:r>
    </w:p>
    <w:p>
      <w:pPr>
        <w:pStyle w:val="Heading3"/>
        <w:spacing w:after="80" w:before="200"/>
      </w:pPr>
      <w:r>
        <w:rPr>
          <w:rFonts w:ascii="Times New Roman" w:cs="Times New Roman" w:eastAsia="Times New Roman" w:hAnsi="Times New Roman"/>
          <w:b/>
          <w:bCs/>
          <w:color w:val="44403C"/>
          <w:sz w:val="23"/>
          <w:szCs w:val="23"/>
        </w:rPr>
        <w:t xml:space="preserve">Executor</w:t>
      </w:r>
    </w:p>
    <w:p>
      <w:pPr>
        <w:spacing w:after="160" w:line="276"/>
        <w:jc w:val="both"/>
      </w:pPr>
      <w:r>
        <w:rPr>
          <w:rFonts w:ascii="Times New Roman" w:cs="Times New Roman" w:eastAsia="Times New Roman" w:hAnsi="Times New Roman"/>
          <w:color w:val="1C1917"/>
          <w:sz w:val="22"/>
          <w:szCs w:val="22"/>
        </w:rPr>
        <w:t xml:space="preserve">The person or institution that gathers assets, pays debts and taxes, and distributes what remains. Pick someone organized, available, and able to withstand family pressure. Name a successor. Ask them before you sign. In some places the executor must be a resident or post a bond unless the will waives bond. Compensation may be set by statute.</w:t>
      </w:r>
    </w:p>
    <w:p>
      <w:pPr>
        <w:pStyle w:val="Heading3"/>
        <w:spacing w:after="80" w:before="200"/>
      </w:pPr>
      <w:r>
        <w:rPr>
          <w:rFonts w:ascii="Times New Roman" w:cs="Times New Roman" w:eastAsia="Times New Roman" w:hAnsi="Times New Roman"/>
          <w:b/>
          <w:bCs/>
          <w:color w:val="44403C"/>
          <w:sz w:val="23"/>
          <w:szCs w:val="23"/>
        </w:rPr>
        <w:t xml:space="preserve">Gifts</w:t>
      </w:r>
    </w:p>
    <w:p>
      <w:pPr>
        <w:spacing w:after="160" w:line="276"/>
        <w:jc w:val="both"/>
      </w:pPr>
      <w:r>
        <w:rPr>
          <w:rFonts w:ascii="Times New Roman" w:cs="Times New Roman" w:eastAsia="Times New Roman" w:hAnsi="Times New Roman"/>
          <w:color w:val="1C1917"/>
          <w:sz w:val="22"/>
          <w:szCs w:val="22"/>
        </w:rPr>
        <w:t xml:space="preserve">Specific gifts (“the violin to my niece Ana”) fail if you no longer own the violin. That is ademption, and families argue about whether you meant a replacement. Cash gifts are simple until the estate is smaller than the gifts. Say what happens then: abate pro rata, or pay cash gifts first, or the reverse. The residue is everything left. Most estates are really decided by the residue clause and by the forms the will never sees. Name contingent beneficiaries. “To my children equally” needs a sentence about a child who dies before you: to their children, or back into the pot.</w:t>
      </w:r>
    </w:p>
    <w:p>
      <w:pPr>
        <w:pStyle w:val="Heading3"/>
        <w:spacing w:after="80" w:before="200"/>
      </w:pPr>
      <w:r>
        <w:rPr>
          <w:rFonts w:ascii="Times New Roman" w:cs="Times New Roman" w:eastAsia="Times New Roman" w:hAnsi="Times New Roman"/>
          <w:b/>
          <w:bCs/>
          <w:color w:val="44403C"/>
          <w:sz w:val="23"/>
          <w:szCs w:val="23"/>
        </w:rPr>
        <w:t xml:space="preserve">Children and dependants</w:t>
      </w:r>
    </w:p>
    <w:p>
      <w:pPr>
        <w:spacing w:after="160" w:line="276"/>
        <w:jc w:val="both"/>
      </w:pPr>
      <w:r>
        <w:rPr>
          <w:rFonts w:ascii="Times New Roman" w:cs="Times New Roman" w:eastAsia="Times New Roman" w:hAnsi="Times New Roman"/>
          <w:color w:val="1C1917"/>
          <w:sz w:val="22"/>
          <w:szCs w:val="22"/>
        </w:rPr>
        <w:t xml:space="preserve">Guardian of the person is who raises a minor. Guardian of the estate or trustee is who holds the money. They need not be the same. A will that leaves a large sum outright to a seventeen-year-old is valid in many places and unwise. Ages for distribution, and who manages until then, belong in the drafting conversation. A disabled heir may lose public benefits if they inherit outright. That is a special-needs or discretionary trust problem, not a sentence you should improvise.</w:t>
      </w:r>
    </w:p>
    <w:p>
      <w:pPr>
        <w:pStyle w:val="Heading3"/>
        <w:spacing w:after="80" w:before="200"/>
      </w:pPr>
      <w:r>
        <w:rPr>
          <w:rFonts w:ascii="Times New Roman" w:cs="Times New Roman" w:eastAsia="Times New Roman" w:hAnsi="Times New Roman"/>
          <w:b/>
          <w:bCs/>
          <w:color w:val="44403C"/>
          <w:sz w:val="23"/>
          <w:szCs w:val="23"/>
        </w:rPr>
        <w:t xml:space="preserve">Debts, taxes, and expenses</w:t>
      </w:r>
    </w:p>
    <w:p>
      <w:pPr>
        <w:spacing w:after="160" w:line="276"/>
        <w:jc w:val="both"/>
      </w:pPr>
      <w:r>
        <w:rPr>
          <w:rFonts w:ascii="Times New Roman" w:cs="Times New Roman" w:eastAsia="Times New Roman" w:hAnsi="Times New Roman"/>
          <w:color w:val="1C1917"/>
          <w:sz w:val="22"/>
          <w:szCs w:val="22"/>
        </w:rPr>
        <w:t xml:space="preserve">Say whether taxes and costs come from the residue or follow each gift. Silence produces disputes. Charitable gifts can have tax effects; the rules are technical and change.</w:t>
      </w:r>
    </w:p>
    <w:p>
      <w:pPr>
        <w:pStyle w:val="Heading3"/>
        <w:spacing w:after="80" w:before="200"/>
      </w:pPr>
      <w:r>
        <w:rPr>
          <w:rFonts w:ascii="Times New Roman" w:cs="Times New Roman" w:eastAsia="Times New Roman" w:hAnsi="Times New Roman"/>
          <w:b/>
          <w:bCs/>
          <w:color w:val="44403C"/>
          <w:sz w:val="23"/>
          <w:szCs w:val="23"/>
        </w:rPr>
        <w:t xml:space="preserve">Powers and extras</w:t>
      </w:r>
    </w:p>
    <w:p>
      <w:pPr>
        <w:spacing w:after="160" w:line="276"/>
        <w:jc w:val="both"/>
      </w:pPr>
      <w:r>
        <w:rPr>
          <w:rFonts w:ascii="Times New Roman" w:cs="Times New Roman" w:eastAsia="Times New Roman" w:hAnsi="Times New Roman"/>
          <w:color w:val="1C1917"/>
          <w:sz w:val="22"/>
          <w:szCs w:val="22"/>
        </w:rPr>
        <w:t xml:space="preserve">Lawyers add powers so the executor can sell a house, deal with a digital account, or continue a business without going back to court for every step. A no-contest clause threatens to cut out anyone who challenges the will. Enforceability varies. It does not stop a challenge based on fraud or lack of capacity everywhere, and it can be a poor fit if you have already treated people very unequally.</w:t>
      </w:r>
    </w:p>
    <w:p>
      <w:pPr>
        <w:pStyle w:val="Heading2"/>
        <w:spacing w:after="120" w:before="280"/>
      </w:pPr>
      <w:r>
        <w:rPr>
          <w:rFonts w:ascii="Times New Roman" w:cs="Times New Roman" w:eastAsia="Times New Roman" w:hAnsi="Times New Roman"/>
          <w:b/>
          <w:bCs/>
          <w:color w:val="1C1917"/>
          <w:sz w:val="26"/>
          <w:szCs w:val="26"/>
        </w:rPr>
        <w:t xml:space="preserve">Formalities, the part that makes it fail</w:t>
      </w:r>
    </w:p>
    <w:p>
      <w:pPr>
        <w:spacing w:after="160" w:line="276"/>
        <w:jc w:val="both"/>
      </w:pPr>
      <w:r>
        <w:rPr>
          <w:rFonts w:ascii="Times New Roman" w:cs="Times New Roman" w:eastAsia="Times New Roman" w:hAnsi="Times New Roman"/>
          <w:color w:val="1C1917"/>
          <w:sz w:val="22"/>
          <w:szCs w:val="22"/>
        </w:rPr>
        <w:t xml:space="preserve">A will can be clear, fair, and useless if it is signed wrong. Typical common-law requirements, which you must confirm locally, look like this: the will is in writing; you sign it; two adult witnesses sign in your presence; the witnesses are not beneficiaries. Some places accept a notarized will, a holographic (entirely handwritten) will, or an electronic will. Some accept none of those. A few U.S. states allow the court to forgive harmless errors. Do not rely on forgiveness.</w:t>
      </w:r>
    </w:p>
    <w:p>
      <w:pPr>
        <w:spacing w:after="160" w:line="276"/>
        <w:jc w:val="both"/>
      </w:pPr>
      <w:r>
        <w:rPr>
          <w:rFonts w:ascii="Times New Roman" w:cs="Times New Roman" w:eastAsia="Times New Roman" w:hAnsi="Times New Roman"/>
          <w:color w:val="1C1917"/>
          <w:sz w:val="22"/>
          <w:szCs w:val="22"/>
        </w:rPr>
        <w:t xml:space="preserve">Witnesses should be disinterested. A gift to a witness is void in many statutes even if the rest of the will stands. Do not let a beneficiary’s spouse witness if you can avoid it. Initial pages if your lawyer asks. Keep the signed original where the executor can find it and the lawyer knows. Copies are evidence; the original is often what the court wants.</w:t>
      </w:r>
    </w:p>
    <w:p>
      <w:pPr>
        <w:pStyle w:val="Heading2"/>
        <w:spacing w:after="120" w:before="280"/>
      </w:pPr>
      <w:r>
        <w:rPr>
          <w:rFonts w:ascii="Times New Roman" w:cs="Times New Roman" w:eastAsia="Times New Roman" w:hAnsi="Times New Roman"/>
          <w:b/>
          <w:bCs/>
          <w:color w:val="1C1917"/>
          <w:sz w:val="26"/>
          <w:szCs w:val="26"/>
        </w:rPr>
        <w:t xml:space="preserve">Capacity and influence</w:t>
      </w:r>
    </w:p>
    <w:p>
      <w:pPr>
        <w:spacing w:after="160" w:line="276"/>
        <w:jc w:val="both"/>
      </w:pPr>
      <w:r>
        <w:rPr>
          <w:rFonts w:ascii="Times New Roman" w:cs="Times New Roman" w:eastAsia="Times New Roman" w:hAnsi="Times New Roman"/>
          <w:color w:val="1C1917"/>
          <w:sz w:val="22"/>
          <w:szCs w:val="22"/>
        </w:rPr>
        <w:t xml:space="preserve">You generally need to know what a will is, what you roughly own, and who the natural recipients are. You do not need perfect memory. If illness, medication, or family conflict will later be used to attack the will, sign while you can still explain yourself, and consider a lawyer’s notes, a short video of the signing discussion, or a physician’s letter if counsel recommends it. Do not have the main beneficiary arrange the appointment, sit in the room, and drive you home if a challenge is foreseeable. Optics become evidence.</w:t>
      </w:r>
    </w:p>
    <w:p>
      <w:pPr>
        <w:pStyle w:val="Heading2"/>
        <w:spacing w:after="120" w:before="280"/>
      </w:pPr>
      <w:r>
        <w:rPr>
          <w:rFonts w:ascii="Times New Roman" w:cs="Times New Roman" w:eastAsia="Times New Roman" w:hAnsi="Times New Roman"/>
          <w:b/>
          <w:bCs/>
          <w:color w:val="1C1917"/>
          <w:sz w:val="26"/>
          <w:szCs w:val="26"/>
        </w:rPr>
        <w:t xml:space="preserve">A codicil is usually the wrong patch</w:t>
      </w:r>
    </w:p>
    <w:p>
      <w:pPr>
        <w:spacing w:after="160" w:line="276"/>
        <w:jc w:val="both"/>
      </w:pPr>
      <w:r>
        <w:rPr>
          <w:rFonts w:ascii="Times New Roman" w:cs="Times New Roman" w:eastAsia="Times New Roman" w:hAnsi="Times New Roman"/>
          <w:color w:val="1C1917"/>
          <w:sz w:val="22"/>
          <w:szCs w:val="22"/>
        </w:rPr>
        <w:t xml:space="preserve">A codicil amends a will and must be executed with the same formalities. Small handwritten “updates” in the margin are a classic way to invalidate a gift or create ambiguity. If something important changed, re-sign a full will that revokes the old one, unless your lawyer prefers a codicil for a narrow reason.</w:t>
      </w:r>
    </w:p>
    <w:p>
      <w:pPr>
        <w:pStyle w:val="Heading2"/>
        <w:spacing w:after="120" w:before="280"/>
      </w:pPr>
      <w:r>
        <w:rPr>
          <w:rFonts w:ascii="Times New Roman" w:cs="Times New Roman" w:eastAsia="Times New Roman" w:hAnsi="Times New Roman"/>
          <w:b/>
          <w:bCs/>
          <w:color w:val="1C1917"/>
          <w:sz w:val="26"/>
          <w:szCs w:val="26"/>
        </w:rPr>
        <w:t xml:space="preserve">Bring this to the lawyer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Names and birth dates of spouse or partner, children, and anyone else you mean to include. Note deaths and estrangements plainly.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Approximate list of assets and how each is titled. Bring beneficiary-form printouts if you have them.</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Debts, and anyone who depends on you financially who is not an heir.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Business interests and buy-sell agreements. Those agreements can override the will.</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Property or heirs outside your home jurisdiction.</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Who you want as executor, guardian, and trustee, with backups, and whether they have agreed.</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The ethical-will themes, so the lawyer can keep the legal document from contradicting the letter.</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Online will forms are better than nothing only when your situation is simple, the form is built for your exact jurisdiction, and you follow every signing instruction. They are a poor fit for blended families, businesses, disabled heirs, and cross-border property.</w:t>
      </w:r>
    </w:p>
    <w:p>
      <w:pPr>
        <w:pStyle w:val="Heading1"/>
        <w:pageBreakBefore/>
        <w:spacing w:after="200" w:before="0"/>
      </w:pPr>
      <w:r>
        <w:rPr>
          <w:rFonts w:ascii="Times New Roman" w:cs="Times New Roman" w:eastAsia="Times New Roman" w:hAnsi="Times New Roman"/>
          <w:b/>
          <w:bCs/>
          <w:color w:val="7C2D12"/>
          <w:sz w:val="36"/>
          <w:szCs w:val="36"/>
        </w:rPr>
        <w:t xml:space="preserve">Chapter 4. Alternatives, and when they are better</w:t>
      </w:r>
    </w:p>
    <w:p>
      <w:pPr>
        <w:spacing w:after="160" w:line="276"/>
        <w:jc w:val="both"/>
      </w:pPr>
      <w:r>
        <w:rPr>
          <w:rFonts w:ascii="Times New Roman" w:cs="Times New Roman" w:eastAsia="Times New Roman" w:hAnsi="Times New Roman"/>
          <w:color w:val="1C1917"/>
          <w:sz w:val="22"/>
          <w:szCs w:val="22"/>
        </w:rPr>
        <w:t xml:space="preserve">A will is the default tool, not always the main one. Much of a modern estate already moves outside the will. The useful question is not “will or no will.” It is “which asset should pass by which path, and what is left over for the will to catch.”</w:t>
      </w:r>
    </w:p>
    <w:p>
      <w:pPr>
        <w:pStyle w:val="Heading2"/>
        <w:spacing w:after="120" w:before="280"/>
      </w:pPr>
      <w:r>
        <w:rPr>
          <w:rFonts w:ascii="Times New Roman" w:cs="Times New Roman" w:eastAsia="Times New Roman" w:hAnsi="Times New Roman"/>
          <w:b/>
          <w:bCs/>
          <w:color w:val="1C1917"/>
          <w:sz w:val="26"/>
          <w:szCs w:val="26"/>
        </w:rPr>
        <w:t xml:space="preserve">Beneficiary designations</w:t>
      </w:r>
    </w:p>
    <w:p>
      <w:pPr>
        <w:spacing w:after="160" w:line="276"/>
        <w:jc w:val="both"/>
      </w:pPr>
      <w:r>
        <w:rPr>
          <w:rFonts w:ascii="Times New Roman" w:cs="Times New Roman" w:eastAsia="Times New Roman" w:hAnsi="Times New Roman"/>
          <w:color w:val="1C1917"/>
          <w:sz w:val="22"/>
          <w:szCs w:val="22"/>
        </w:rPr>
        <w:t xml:space="preserve">Life insurance, retirement plans, annuities, and some brokerage accounts pay whoever the form names. Update the form after marriage, divorce, birth, and death. Naming the estate as beneficiary can undo tax advantages on retirement accounts and pull the asset into probate. Naming a minor outright can force a court guardianship. Contingent beneficiaries matter as much as primary ones. Review these before you spend energy on will wording.</w:t>
      </w:r>
    </w:p>
    <w:p>
      <w:pPr>
        <w:pStyle w:val="Heading2"/>
        <w:spacing w:after="120" w:before="280"/>
      </w:pPr>
      <w:r>
        <w:rPr>
          <w:rFonts w:ascii="Times New Roman" w:cs="Times New Roman" w:eastAsia="Times New Roman" w:hAnsi="Times New Roman"/>
          <w:b/>
          <w:bCs/>
          <w:color w:val="1C1917"/>
          <w:sz w:val="26"/>
          <w:szCs w:val="26"/>
        </w:rPr>
        <w:t xml:space="preserve">Payable-on-death and transfer-on-death</w:t>
      </w:r>
    </w:p>
    <w:p>
      <w:pPr>
        <w:spacing w:after="160" w:line="276"/>
        <w:jc w:val="both"/>
      </w:pPr>
      <w:r>
        <w:rPr>
          <w:rFonts w:ascii="Times New Roman" w:cs="Times New Roman" w:eastAsia="Times New Roman" w:hAnsi="Times New Roman"/>
          <w:color w:val="1C1917"/>
          <w:sz w:val="22"/>
          <w:szCs w:val="22"/>
        </w:rPr>
        <w:t xml:space="preserve">Banks and, in many U.S. states, securities accounts and even real estate can carry a TOD or POD designation or a transfer-on-death deed. You keep full ownership while alive. At death the named person takes the asset, often without probate. Risks: the designation ignores the rest of your plan, so one child on the house deed and three children in the will is a plan to disinherit two of them. Creditors’ rights vary. A TOD deed done wrong can cloud title. Use it as a coordinated piece, not a shortcut you hide from the will.</w:t>
      </w:r>
    </w:p>
    <w:p>
      <w:pPr>
        <w:pStyle w:val="Heading2"/>
        <w:spacing w:after="120" w:before="280"/>
      </w:pPr>
      <w:r>
        <w:rPr>
          <w:rFonts w:ascii="Times New Roman" w:cs="Times New Roman" w:eastAsia="Times New Roman" w:hAnsi="Times New Roman"/>
          <w:b/>
          <w:bCs/>
          <w:color w:val="1C1917"/>
          <w:sz w:val="26"/>
          <w:szCs w:val="26"/>
        </w:rPr>
        <w:t xml:space="preserve">Joint ownership</w:t>
      </w:r>
    </w:p>
    <w:p>
      <w:pPr>
        <w:spacing w:after="160" w:line="276"/>
        <w:jc w:val="both"/>
      </w:pPr>
      <w:r>
        <w:rPr>
          <w:rFonts w:ascii="Times New Roman" w:cs="Times New Roman" w:eastAsia="Times New Roman" w:hAnsi="Times New Roman"/>
          <w:color w:val="1C1917"/>
          <w:sz w:val="22"/>
          <w:szCs w:val="22"/>
        </w:rPr>
        <w:t xml:space="preserve">Joint tenancy with right of survivorship passes the asset to the surviving owner. It is simple and often a mistake. Adding an adult child to a house or account can be a completed gift, can expose the asset to that child’s creditors or divorce, can have tax consequences, and can override what the will says to your other children. Tenancy in common does not pass automatically; your share can pass by will. Community property rules, where they exist, are a third system. Do not add a name to a title to “make it easier” without advice.</w:t>
      </w:r>
    </w:p>
    <w:p>
      <w:pPr>
        <w:pStyle w:val="Heading2"/>
        <w:spacing w:after="120" w:before="280"/>
      </w:pPr>
      <w:r>
        <w:rPr>
          <w:rFonts w:ascii="Times New Roman" w:cs="Times New Roman" w:eastAsia="Times New Roman" w:hAnsi="Times New Roman"/>
          <w:b/>
          <w:bCs/>
          <w:color w:val="1C1917"/>
          <w:sz w:val="26"/>
          <w:szCs w:val="26"/>
        </w:rPr>
        <w:t xml:space="preserve">Trusts</w:t>
      </w:r>
    </w:p>
    <w:p>
      <w:pPr>
        <w:spacing w:after="160" w:line="276"/>
        <w:jc w:val="both"/>
      </w:pPr>
      <w:r>
        <w:rPr>
          <w:rFonts w:ascii="Times New Roman" w:cs="Times New Roman" w:eastAsia="Times New Roman" w:hAnsi="Times New Roman"/>
          <w:color w:val="1C1917"/>
          <w:sz w:val="22"/>
          <w:szCs w:val="22"/>
        </w:rPr>
        <w:t xml:space="preserve">A revocable living trust is a container you create while alive, often naming yourself as trustee. You retitle assets into it. At death, the successor trustee distributes by the trust’s terms, commonly without probate for those assets. You can amend it while you have capacity. It does not, by itself, save income tax. It does not protect assets from your creditors while you control it. It is useful when you want privacy, you own real estate in more than one probate jurisdiction, you expect incapacity, or you want a managed distribution. It is overhead when you own a bank account and a car.</w:t>
      </w:r>
    </w:p>
    <w:p>
      <w:pPr>
        <w:spacing w:after="160" w:line="276"/>
        <w:jc w:val="both"/>
      </w:pPr>
      <w:r>
        <w:rPr>
          <w:rFonts w:ascii="Times New Roman" w:cs="Times New Roman" w:eastAsia="Times New Roman" w:hAnsi="Times New Roman"/>
          <w:color w:val="1C1917"/>
          <w:sz w:val="22"/>
          <w:szCs w:val="22"/>
        </w:rPr>
        <w:t xml:space="preserve">Irrevocable trusts are different. You generally cannot take the gift back. They are used for tax, benefit-preservation, or asset-protection reasons, and they are not a weekend project. A testamentary trust is created by the will and does not avoid probate; it only manages what probate collects. A special-needs trust is for an heir who relies on means-tested benefits.</w:t>
      </w:r>
    </w:p>
    <w:p>
      <w:pPr>
        <w:pStyle w:val="Heading2"/>
        <w:spacing w:after="120" w:before="280"/>
      </w:pPr>
      <w:r>
        <w:rPr>
          <w:rFonts w:ascii="Times New Roman" w:cs="Times New Roman" w:eastAsia="Times New Roman" w:hAnsi="Times New Roman"/>
          <w:b/>
          <w:bCs/>
          <w:color w:val="1C1917"/>
          <w:sz w:val="26"/>
          <w:szCs w:val="26"/>
        </w:rPr>
        <w:t xml:space="preserve">Gifts while alive</w:t>
      </w:r>
    </w:p>
    <w:p>
      <w:pPr>
        <w:spacing w:after="160" w:line="276"/>
        <w:jc w:val="both"/>
      </w:pPr>
      <w:r>
        <w:rPr>
          <w:rFonts w:ascii="Times New Roman" w:cs="Times New Roman" w:eastAsia="Times New Roman" w:hAnsi="Times New Roman"/>
          <w:color w:val="1C1917"/>
          <w:sz w:val="22"/>
          <w:szCs w:val="22"/>
        </w:rPr>
        <w:t xml:space="preserve">Giving now lets you see the use, can shrink what must be administered later, and can be the wrong move if you still need the money, if the gift triggers tax, or if you are treating heirs unequally without saying so. Large gifts should be documented. Informal “you can have it when I go, but I already gave it to you” produces lawsuits. Charitable gifts in life and at death follow different rules; get the receipt and the clause right.</w:t>
      </w:r>
    </w:p>
    <w:p>
      <w:pPr>
        <w:pStyle w:val="Heading2"/>
        <w:spacing w:after="120" w:before="280"/>
      </w:pPr>
      <w:r>
        <w:rPr>
          <w:rFonts w:ascii="Times New Roman" w:cs="Times New Roman" w:eastAsia="Times New Roman" w:hAnsi="Times New Roman"/>
          <w:b/>
          <w:bCs/>
          <w:color w:val="1C1917"/>
          <w:sz w:val="26"/>
          <w:szCs w:val="26"/>
        </w:rPr>
        <w:t xml:space="preserve">Small-estate procedures</w:t>
      </w:r>
    </w:p>
    <w:p>
      <w:pPr>
        <w:spacing w:after="160" w:line="276"/>
        <w:jc w:val="both"/>
      </w:pPr>
      <w:r>
        <w:rPr>
          <w:rFonts w:ascii="Times New Roman" w:cs="Times New Roman" w:eastAsia="Times New Roman" w:hAnsi="Times New Roman"/>
          <w:color w:val="1C1917"/>
          <w:sz w:val="22"/>
          <w:szCs w:val="22"/>
        </w:rPr>
        <w:t xml:space="preserve">Many jurisdictions let heirs collect a modest estate by affidavit after a waiting period, without full probate. Thresholds differ and change. A small-estate affidavit is a procedure, not a plan. It does not choose your heirs. If you die without a will, default inheritance law chooses them, and the affidavit only collects.</w:t>
      </w:r>
    </w:p>
    <w:p>
      <w:pPr>
        <w:pStyle w:val="Heading2"/>
        <w:spacing w:after="120" w:before="280"/>
      </w:pPr>
      <w:r>
        <w:rPr>
          <w:rFonts w:ascii="Times New Roman" w:cs="Times New Roman" w:eastAsia="Times New Roman" w:hAnsi="Times New Roman"/>
          <w:b/>
          <w:bCs/>
          <w:color w:val="1C1917"/>
          <w:sz w:val="26"/>
          <w:szCs w:val="26"/>
        </w:rPr>
        <w:t xml:space="preserve">Dying without a will</w:t>
      </w:r>
    </w:p>
    <w:p>
      <w:pPr>
        <w:spacing w:after="160" w:line="276"/>
        <w:jc w:val="both"/>
      </w:pPr>
      <w:r>
        <w:rPr>
          <w:rFonts w:ascii="Times New Roman" w:cs="Times New Roman" w:eastAsia="Times New Roman" w:hAnsi="Times New Roman"/>
          <w:color w:val="1C1917"/>
          <w:sz w:val="22"/>
          <w:szCs w:val="22"/>
        </w:rPr>
        <w:t xml:space="preserve">Intestacy is the alternative you already have if you do nothing. The statute lists heirs: often spouse and children in fixed shares, sometimes parents or siblings if you have no descendants. Unmarried partners are frequently omitted. Stepchildren you raised and never adopted are frequently omitted. A friend you meant to provide for is omitted. The court appoints an administrator. It works, slowly, for simple families that match the statute. It is a poor plan if your life does not match the statute.</w:t>
      </w:r>
    </w:p>
    <w:p>
      <w:pPr>
        <w:pStyle w:val="Heading2"/>
        <w:spacing w:after="120" w:before="280"/>
      </w:pPr>
      <w:r>
        <w:rPr>
          <w:rFonts w:ascii="Times New Roman" w:cs="Times New Roman" w:eastAsia="Times New Roman" w:hAnsi="Times New Roman"/>
          <w:b/>
          <w:bCs/>
          <w:color w:val="1C1917"/>
          <w:sz w:val="26"/>
          <w:szCs w:val="26"/>
        </w:rPr>
        <w:t xml:space="preserve">Contracts that override everything</w:t>
      </w:r>
    </w:p>
    <w:p>
      <w:pPr>
        <w:spacing w:after="160" w:line="276"/>
        <w:jc w:val="both"/>
      </w:pPr>
      <w:r>
        <w:rPr>
          <w:rFonts w:ascii="Times New Roman" w:cs="Times New Roman" w:eastAsia="Times New Roman" w:hAnsi="Times New Roman"/>
          <w:color w:val="1C1917"/>
          <w:sz w:val="22"/>
          <w:szCs w:val="22"/>
        </w:rPr>
        <w:t xml:space="preserve">Prenuptial and postnuptial agreements, divorce decrees, business buy-sell agreements, and partnership agreements can dictate where an asset goes. A later will that forgets them does not win. Bring them to the drafting meeting.</w:t>
      </w:r>
    </w:p>
    <w:p>
      <w:pPr>
        <w:pStyle w:val="Heading2"/>
        <w:spacing w:after="120" w:before="280"/>
      </w:pPr>
      <w:r>
        <w:rPr>
          <w:rFonts w:ascii="Times New Roman" w:cs="Times New Roman" w:eastAsia="Times New Roman" w:hAnsi="Times New Roman"/>
          <w:b/>
          <w:bCs/>
          <w:color w:val="1C1917"/>
          <w:sz w:val="26"/>
          <w:szCs w:val="26"/>
        </w:rPr>
        <w:t xml:space="preserve">Choosing a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4880"/>
      </w:tblGrid>
      <w:tr>
        <w:trPr>
          <w:tblHeader/>
        </w:trPr>
        <w:tc>
          <w:tcPr>
            <w:tcW w:type="dxa" w:w="5200"/>
            <w:tcBorders>
              <w:top w:val="single" w:color="A8A29E" w:sz="4"/>
              <w:left w:val="single" w:color="A8A29E" w:sz="4"/>
              <w:bottom w:val="single" w:color="A8A29E" w:sz="4"/>
              <w:right w:val="single" w:color="A8A29E" w:sz="4"/>
            </w:tcBorders>
            <w:shd w:fill="292524" w:val="clear"/>
            <w:tcMar>
              <w:top w:type="dxa" w:w="60"/>
              <w:left w:type="dxa" w:w="80"/>
              <w:bottom w:type="dxa" w:w="60"/>
              <w:right w:type="dxa" w:w="80"/>
            </w:tcMar>
            <w:vAlign w:val="top"/>
          </w:tcPr>
          <w:p>
            <w:r>
              <w:rPr>
                <w:rFonts w:ascii="Times New Roman" w:cs="Times New Roman" w:eastAsia="Times New Roman" w:hAnsi="Times New Roman"/>
                <w:b/>
                <w:bCs/>
                <w:color w:val="FFFFFF"/>
                <w:sz w:val="18"/>
                <w:szCs w:val="18"/>
              </w:rPr>
              <w:t xml:space="preserve">Situation</w:t>
            </w:r>
          </w:p>
        </w:tc>
        <w:tc>
          <w:tcPr>
            <w:tcW w:type="dxa" w:w="4880"/>
            <w:tcBorders>
              <w:top w:val="single" w:color="A8A29E" w:sz="4"/>
              <w:left w:val="single" w:color="A8A29E" w:sz="4"/>
              <w:bottom w:val="single" w:color="A8A29E" w:sz="4"/>
              <w:right w:val="single" w:color="A8A29E" w:sz="4"/>
            </w:tcBorders>
            <w:shd w:fill="292524" w:val="clear"/>
            <w:tcMar>
              <w:top w:type="dxa" w:w="60"/>
              <w:left w:type="dxa" w:w="80"/>
              <w:bottom w:type="dxa" w:w="60"/>
              <w:right w:type="dxa" w:w="80"/>
            </w:tcMar>
            <w:vAlign w:val="top"/>
          </w:tcPr>
          <w:p>
            <w:r>
              <w:rPr>
                <w:rFonts w:ascii="Times New Roman" w:cs="Times New Roman" w:eastAsia="Times New Roman" w:hAnsi="Times New Roman"/>
                <w:b/>
                <w:bCs/>
                <w:color w:val="FFFFFF"/>
                <w:sz w:val="18"/>
                <w:szCs w:val="18"/>
              </w:rPr>
              <w:t xml:space="preserve">Often the better main tool</w:t>
            </w:r>
          </w:p>
        </w:tc>
      </w:tr>
      <w:tr>
        <w:tc>
          <w:tcPr>
            <w:tcW w:type="dxa" w:w="52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Simple assets, adult children treated alike, one jurisdiction</w:t>
            </w:r>
          </w:p>
        </w:tc>
        <w:tc>
          <w:tcPr>
            <w:tcW w:type="dxa" w:w="488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Will, plus correct beneficiary forms</w:t>
            </w:r>
          </w:p>
        </w:tc>
      </w:tr>
      <w:tr>
        <w:tc>
          <w:tcPr>
            <w:tcW w:type="dxa" w:w="520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Retirement accounts and life insurance are most of the wealth</w:t>
            </w:r>
          </w:p>
        </w:tc>
        <w:tc>
          <w:tcPr>
            <w:tcW w:type="dxa" w:w="488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Beneficiary forms first; will catches the rest</w:t>
            </w:r>
          </w:p>
        </w:tc>
      </w:tr>
      <w:tr>
        <w:tc>
          <w:tcPr>
            <w:tcW w:type="dxa" w:w="52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House in two states or countries, or a strong wish for privacy</w:t>
            </w:r>
          </w:p>
        </w:tc>
        <w:tc>
          <w:tcPr>
            <w:tcW w:type="dxa" w:w="488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Revocable trust, funded, plus a pour-over will</w:t>
            </w:r>
          </w:p>
        </w:tc>
      </w:tr>
      <w:tr>
        <w:tc>
          <w:tcPr>
            <w:tcW w:type="dxa" w:w="520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Minor, spendthrift, or benefit-dependent heir</w:t>
            </w:r>
          </w:p>
        </w:tc>
        <w:tc>
          <w:tcPr>
            <w:tcW w:type="dxa" w:w="488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Trust terms, not an outright gift</w:t>
            </w:r>
          </w:p>
        </w:tc>
      </w:tr>
      <w:tr>
        <w:tc>
          <w:tcPr>
            <w:tcW w:type="dxa" w:w="52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You want one account to pass outside court; plan is otherwise simple</w:t>
            </w:r>
          </w:p>
        </w:tc>
        <w:tc>
          <w:tcPr>
            <w:tcW w:type="dxa" w:w="488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POD or TOD, coordinated with the will</w:t>
            </w:r>
          </w:p>
        </w:tc>
      </w:tr>
      <w:tr>
        <w:tc>
          <w:tcPr>
            <w:tcW w:type="dxa" w:w="520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Blended family</w:t>
            </w:r>
          </w:p>
        </w:tc>
        <w:tc>
          <w:tcPr>
            <w:tcW w:type="dxa" w:w="4880"/>
            <w:tcBorders>
              <w:top w:val="single" w:color="A8A29E" w:sz="4"/>
              <w:left w:val="single" w:color="A8A29E" w:sz="4"/>
              <w:bottom w:val="single" w:color="A8A29E" w:sz="4"/>
              <w:right w:val="single" w:color="A8A29E" w:sz="4"/>
            </w:tcBorders>
            <w:shd w:fill="FAFAF9"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Lawyer-drafted will or trust. Do not improvise</w:t>
            </w:r>
          </w:p>
        </w:tc>
      </w:tr>
      <w:tr>
        <w:tc>
          <w:tcPr>
            <w:tcW w:type="dxa" w:w="520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Unmarried partner you want to provide for</w:t>
            </w:r>
          </w:p>
        </w:tc>
        <w:tc>
          <w:tcPr>
            <w:tcW w:type="dxa" w:w="4880"/>
            <w:tcBorders>
              <w:top w:val="single" w:color="A8A29E" w:sz="4"/>
              <w:left w:val="single" w:color="A8A29E" w:sz="4"/>
              <w:bottom w:val="single" w:color="A8A29E" w:sz="4"/>
              <w:right w:val="single" w:color="A8A29E" w:sz="4"/>
            </w:tcBorders>
            <w:shd w:fill="FFFFFF" w:val="clear"/>
            <w:tcMar>
              <w:top w:type="dxa" w:w="60"/>
              <w:left w:type="dxa" w:w="80"/>
              <w:bottom w:type="dxa" w:w="60"/>
              <w:right w:type="dxa" w:w="80"/>
            </w:tcMar>
            <w:vAlign w:val="top"/>
          </w:tcPr>
          <w:p>
            <w:r>
              <w:rPr>
                <w:rFonts w:ascii="Times New Roman" w:cs="Times New Roman" w:eastAsia="Times New Roman" w:hAnsi="Times New Roman"/>
                <w:b w:val="false"/>
                <w:bCs w:val="false"/>
                <w:color w:val="1C1917"/>
                <w:sz w:val="18"/>
                <w:szCs w:val="18"/>
              </w:rPr>
              <w:t xml:space="preserve">Will or trust plus titles and forms. Intestacy may leave them nothing</w:t>
            </w:r>
          </w:p>
        </w:tc>
      </w:tr>
    </w:tbl>
    <w:p>
      <w:pPr>
        <w:spacing w:after="120"/>
      </w:pP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A pour-over will is the backup that sends leftover assets into the trust. It does not fund the trust by magic. Assets you never retitled may still pass through probate on the way.</w:t>
      </w:r>
    </w:p>
    <w:p>
      <w:pPr>
        <w:pStyle w:val="Heading1"/>
        <w:pageBreakBefore/>
        <w:spacing w:after="200" w:before="0"/>
      </w:pPr>
      <w:r>
        <w:rPr>
          <w:rFonts w:ascii="Times New Roman" w:cs="Times New Roman" w:eastAsia="Times New Roman" w:hAnsi="Times New Roman"/>
          <w:b/>
          <w:bCs/>
          <w:color w:val="7C2D12"/>
          <w:sz w:val="36"/>
          <w:szCs w:val="36"/>
        </w:rPr>
        <w:t xml:space="preserve">Chapter 5. While you are still alive</w:t>
      </w:r>
    </w:p>
    <w:p>
      <w:pPr>
        <w:spacing w:after="160" w:line="276"/>
        <w:jc w:val="both"/>
      </w:pPr>
      <w:r>
        <w:rPr>
          <w:rFonts w:ascii="Times New Roman" w:cs="Times New Roman" w:eastAsia="Times New Roman" w:hAnsi="Times New Roman"/>
          <w:color w:val="1C1917"/>
          <w:sz w:val="22"/>
          <w:szCs w:val="22"/>
        </w:rPr>
        <w:t xml:space="preserve">The documents people forget are the ones that operate before death. If you are ill, these may matter sooner than the will.</w:t>
      </w:r>
    </w:p>
    <w:p>
      <w:pPr>
        <w:pStyle w:val="Heading2"/>
        <w:spacing w:after="120" w:before="280"/>
      </w:pPr>
      <w:r>
        <w:rPr>
          <w:rFonts w:ascii="Times New Roman" w:cs="Times New Roman" w:eastAsia="Times New Roman" w:hAnsi="Times New Roman"/>
          <w:b/>
          <w:bCs/>
          <w:color w:val="1C1917"/>
          <w:sz w:val="26"/>
          <w:szCs w:val="26"/>
        </w:rPr>
        <w:t xml:space="preserve">Financial power of attorney</w:t>
      </w:r>
    </w:p>
    <w:p>
      <w:pPr>
        <w:spacing w:after="160" w:line="276"/>
        <w:jc w:val="both"/>
      </w:pPr>
      <w:r>
        <w:rPr>
          <w:rFonts w:ascii="Times New Roman" w:cs="Times New Roman" w:eastAsia="Times New Roman" w:hAnsi="Times New Roman"/>
          <w:color w:val="1C1917"/>
          <w:sz w:val="22"/>
          <w:szCs w:val="22"/>
        </w:rPr>
        <w:t xml:space="preserve">You name an agent to handle money, property, and contracts. It can be effective immediately or only upon incapacity (“springing”). Springing powers sound safer and are sometimes hard to use, because a bank wants proof you are incapacitated. Immediate powers need an agent you trust completely. Name a backup. Third parties may refuse an old or out-of-state form; sign the version institutions in your area recognize.</w:t>
      </w:r>
    </w:p>
    <w:p>
      <w:pPr>
        <w:pStyle w:val="Heading2"/>
        <w:spacing w:after="120" w:before="280"/>
      </w:pPr>
      <w:r>
        <w:rPr>
          <w:rFonts w:ascii="Times New Roman" w:cs="Times New Roman" w:eastAsia="Times New Roman" w:hAnsi="Times New Roman"/>
          <w:b/>
          <w:bCs/>
          <w:color w:val="1C1917"/>
          <w:sz w:val="26"/>
          <w:szCs w:val="26"/>
        </w:rPr>
        <w:t xml:space="preserve">Healthcare decisions</w:t>
      </w:r>
    </w:p>
    <w:p>
      <w:pPr>
        <w:spacing w:after="160" w:line="276"/>
        <w:jc w:val="both"/>
      </w:pPr>
      <w:r>
        <w:rPr>
          <w:rFonts w:ascii="Times New Roman" w:cs="Times New Roman" w:eastAsia="Times New Roman" w:hAnsi="Times New Roman"/>
          <w:color w:val="1C1917"/>
          <w:sz w:val="22"/>
          <w:szCs w:val="22"/>
        </w:rPr>
        <w:t xml:space="preserve">Names vary: healthcare proxy, durable power of attorney for healthcare, advance directive, living will. One names the person. Another states treatments you do or do not want. Use both if your jurisdiction separates them. Be concrete. “No extraordinary measures” means different things to different doctors. Say what you mean about ventilation, resuscitation, artificial nutrition, and where you want to be if a cure is not the goal. Give copies to the agent and to the clinic. A document in a drawer at home is not in the emergency file.</w:t>
      </w:r>
    </w:p>
    <w:p>
      <w:pPr>
        <w:pStyle w:val="Heading2"/>
        <w:spacing w:after="120" w:before="280"/>
      </w:pPr>
      <w:r>
        <w:rPr>
          <w:rFonts w:ascii="Times New Roman" w:cs="Times New Roman" w:eastAsia="Times New Roman" w:hAnsi="Times New Roman"/>
          <w:b/>
          <w:bCs/>
          <w:color w:val="1C1917"/>
          <w:sz w:val="26"/>
          <w:szCs w:val="26"/>
        </w:rPr>
        <w:t xml:space="preserve">Who may talk about you</w:t>
      </w:r>
    </w:p>
    <w:p>
      <w:pPr>
        <w:spacing w:after="160" w:line="276"/>
        <w:jc w:val="both"/>
      </w:pPr>
      <w:r>
        <w:rPr>
          <w:rFonts w:ascii="Times New Roman" w:cs="Times New Roman" w:eastAsia="Times New Roman" w:hAnsi="Times New Roman"/>
          <w:color w:val="1C1917"/>
          <w:sz w:val="22"/>
          <w:szCs w:val="22"/>
        </w:rPr>
        <w:t xml:space="preserve">Privacy rules can block relatives from basic medical information. The proxy and any required release fix that. Tell the family who is authorized so they do not spend the crisis arguing with a nurse.</w:t>
      </w:r>
    </w:p>
    <w:p>
      <w:pPr>
        <w:pStyle w:val="Heading2"/>
        <w:spacing w:after="120" w:before="280"/>
      </w:pPr>
      <w:r>
        <w:rPr>
          <w:rFonts w:ascii="Times New Roman" w:cs="Times New Roman" w:eastAsia="Times New Roman" w:hAnsi="Times New Roman"/>
          <w:b/>
          <w:bCs/>
          <w:color w:val="1C1917"/>
          <w:sz w:val="26"/>
          <w:szCs w:val="26"/>
        </w:rPr>
        <w:t xml:space="preserve">Guardianship, the outcome you are trying to avoid</w:t>
      </w:r>
    </w:p>
    <w:p>
      <w:pPr>
        <w:spacing w:after="160" w:line="276"/>
        <w:jc w:val="both"/>
      </w:pPr>
      <w:r>
        <w:rPr>
          <w:rFonts w:ascii="Times New Roman" w:cs="Times New Roman" w:eastAsia="Times New Roman" w:hAnsi="Times New Roman"/>
          <w:color w:val="1C1917"/>
          <w:sz w:val="22"/>
          <w:szCs w:val="22"/>
        </w:rPr>
        <w:t xml:space="preserve">If you cannot decide and no valid power exists, someone may have to ask a court for guardianship or conservatorship. It is public, slower, and more expensive than a power you signed yourself. The court might not pick the person you would have picked.</w:t>
      </w:r>
    </w:p>
    <w:p>
      <w:pPr>
        <w:pStyle w:val="Heading1"/>
        <w:pageBreakBefore/>
        <w:spacing w:after="200" w:before="0"/>
      </w:pPr>
      <w:r>
        <w:rPr>
          <w:rFonts w:ascii="Times New Roman" w:cs="Times New Roman" w:eastAsia="Times New Roman" w:hAnsi="Times New Roman"/>
          <w:b/>
          <w:bCs/>
          <w:color w:val="7C2D12"/>
          <w:sz w:val="36"/>
          <w:szCs w:val="36"/>
        </w:rPr>
        <w:t xml:space="preserve">Chapter 6. Digital legacy</w:t>
      </w:r>
    </w:p>
    <w:p>
      <w:pPr>
        <w:spacing w:after="160" w:line="276"/>
        <w:jc w:val="both"/>
      </w:pPr>
      <w:r>
        <w:rPr>
          <w:rFonts w:ascii="Times New Roman" w:cs="Times New Roman" w:eastAsia="Times New Roman" w:hAnsi="Times New Roman"/>
          <w:color w:val="1C1917"/>
          <w:sz w:val="22"/>
          <w:szCs w:val="22"/>
        </w:rPr>
        <w:t xml:space="preserve">Your photos, mail, manuscripts, domains, and two-factor codes are assets of a new kind. Platforms are not neutral about them. Their terms, and in some places a statute on fiduciary access to digital assets, decide whether your executor even gets in.</w:t>
      </w:r>
    </w:p>
    <w:p>
      <w:pPr>
        <w:pStyle w:val="Heading2"/>
        <w:spacing w:after="120" w:before="280"/>
      </w:pPr>
      <w:r>
        <w:rPr>
          <w:rFonts w:ascii="Times New Roman" w:cs="Times New Roman" w:eastAsia="Times New Roman" w:hAnsi="Times New Roman"/>
          <w:b/>
          <w:bCs/>
          <w:color w:val="1C1917"/>
          <w:sz w:val="26"/>
          <w:szCs w:val="26"/>
        </w:rPr>
        <w:t xml:space="preserve">Do these, in this order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Legacy contact or inactive-account setting on the accounts that hold the archive: Apple Legacy Contact, Google Inactive Account Manager, and the equivalents on Facebook and other major services. These are the switches the companies actually honor.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A password manager with emergency access, or a sealed envelope held by the digital executor. Prefer the manager. Envelopes go stale.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Export what you cannot bear to lose: photo library, key mail folders, the voice memos. A platform’s legacy tool is a courtesy, not a guarantee.</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A one-page map: which email is the master account, where photos live, where the recordings from Chapter 2 are, what should be deleted, what may be posted.</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Hardware: the phone passcode, the laptop login, the drive encryption key. Without these, a court order may still leave you with a brick.</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Two-factor: where the codes arrive. If every code goes to a phone no one can open, the executor is stuck.</w:t>
      </w:r>
    </w:p>
    <w:p>
      <w:pPr>
        <w:pStyle w:val="Heading2"/>
        <w:spacing w:after="120" w:before="280"/>
      </w:pPr>
      <w:r>
        <w:rPr>
          <w:rFonts w:ascii="Times New Roman" w:cs="Times New Roman" w:eastAsia="Times New Roman" w:hAnsi="Times New Roman"/>
          <w:b/>
          <w:bCs/>
          <w:color w:val="1C1917"/>
          <w:sz w:val="26"/>
          <w:szCs w:val="26"/>
        </w:rPr>
        <w:t xml:space="preserve">Crypto and keys</w:t>
      </w:r>
    </w:p>
    <w:p>
      <w:pPr>
        <w:spacing w:after="160" w:line="276"/>
        <w:jc w:val="both"/>
      </w:pPr>
      <w:r>
        <w:rPr>
          <w:rFonts w:ascii="Times New Roman" w:cs="Times New Roman" w:eastAsia="Times New Roman" w:hAnsi="Times New Roman"/>
          <w:color w:val="1C1917"/>
          <w:sz w:val="22"/>
          <w:szCs w:val="22"/>
        </w:rPr>
        <w:t xml:space="preserve">If you hold cryptocurrency or other bearer keys, the will can say who should receive them and still fail, because there is no institution to sue for access. Write a procedure a careful person can follow, store the seed or hardware-wallet instructions separate from the will that names the recipient, and test the handoff with a trivial amount while you can still correct it. Do not put a seed phrase in the will. Wills can become public in probate.</w:t>
      </w:r>
    </w:p>
    <w:p>
      <w:pPr>
        <w:pStyle w:val="Heading2"/>
        <w:spacing w:after="120" w:before="280"/>
      </w:pPr>
      <w:r>
        <w:rPr>
          <w:rFonts w:ascii="Times New Roman" w:cs="Times New Roman" w:eastAsia="Times New Roman" w:hAnsi="Times New Roman"/>
          <w:b/>
          <w:bCs/>
          <w:color w:val="1C1917"/>
          <w:sz w:val="26"/>
          <w:szCs w:val="26"/>
        </w:rPr>
        <w:t xml:space="preserve">What to delete on purpose</w:t>
      </w:r>
    </w:p>
    <w:p>
      <w:pPr>
        <w:spacing w:after="160" w:line="276"/>
        <w:jc w:val="both"/>
      </w:pPr>
      <w:r>
        <w:rPr>
          <w:rFonts w:ascii="Times New Roman" w:cs="Times New Roman" w:eastAsia="Times New Roman" w:hAnsi="Times New Roman"/>
          <w:color w:val="1C1917"/>
          <w:sz w:val="22"/>
          <w:szCs w:val="22"/>
        </w:rPr>
        <w:t xml:space="preserve">Say so. An executor who is afraid of erasing “something important” will preserve inboxes you wanted gone. List accounts to close, messages not to forward, and projects not to publish.</w:t>
      </w:r>
    </w:p>
    <w:p>
      <w:pPr>
        <w:pStyle w:val="Heading1"/>
        <w:pageBreakBefore/>
        <w:spacing w:after="200" w:before="0"/>
      </w:pPr>
      <w:r>
        <w:rPr>
          <w:rFonts w:ascii="Times New Roman" w:cs="Times New Roman" w:eastAsia="Times New Roman" w:hAnsi="Times New Roman"/>
          <w:b/>
          <w:bCs/>
          <w:color w:val="7C2D12"/>
          <w:sz w:val="36"/>
          <w:szCs w:val="36"/>
        </w:rPr>
        <w:t xml:space="preserve">Chapter 7. Prompts, letters, and templates</w:t>
      </w:r>
    </w:p>
    <w:p>
      <w:pPr>
        <w:spacing w:after="160" w:line="276"/>
        <w:jc w:val="both"/>
      </w:pPr>
      <w:r>
        <w:rPr>
          <w:rFonts w:ascii="Times New Roman" w:cs="Times New Roman" w:eastAsia="Times New Roman" w:hAnsi="Times New Roman"/>
          <w:color w:val="1C1917"/>
          <w:sz w:val="22"/>
          <w:szCs w:val="22"/>
        </w:rPr>
        <w:t xml:space="preserve">Use these as spoken prompts. Answer into a recorder. Skip any that do not apply. One prompt per file.</w:t>
      </w:r>
    </w:p>
    <w:p>
      <w:pPr>
        <w:pStyle w:val="Heading2"/>
        <w:spacing w:after="120" w:before="280"/>
      </w:pPr>
      <w:r>
        <w:rPr>
          <w:rFonts w:ascii="Times New Roman" w:cs="Times New Roman" w:eastAsia="Times New Roman" w:hAnsi="Times New Roman"/>
          <w:b/>
          <w:bCs/>
          <w:color w:val="1C1917"/>
          <w:sz w:val="26"/>
          <w:szCs w:val="26"/>
        </w:rPr>
        <w:t xml:space="preserve">Recording prompts</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The scene that best explains where you came from. Names, place, what you could hear.</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A decision you would make again, and the facts you had at the time.</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A decision you would not make again. No lecture — what you knew and what you missed.</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How you actually spent a normal working day in the job that defined you.</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Who taught you the thing you are best at, and what they did that a book would not.</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The story of how you and the person you built a life with chose each other. Include the unromantic parts.</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What you want a child or grandchild to know about money that is not a slogan.</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A person outside the family who changed your direction. What they did.</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Something you made, fixed, or ran that will not be obvious from your papers.</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What you believe now that you did not believe at thirty, and the event that moved you.</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An apology that names the date or the event. What you are sorry for, not what they should feel.</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What you hope is not repeated, said without instructing anyone’s life.</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Where the unfinished work is, what is done, and what a successor should ignore.</w:t>
      </w:r>
    </w:p>
    <w:p>
      <w:pPr>
        <w:pStyle w:val="ListParagraph"/>
        <w:numPr>
          <w:ilvl w:val="0"/>
          <w:numId w:val="3"/>
        </w:numPr>
        <w:spacing w:after="80" w:line="276"/>
      </w:pPr>
      <w:r>
        <w:rPr>
          <w:rFonts w:ascii="Times New Roman" w:cs="Times New Roman" w:eastAsia="Times New Roman" w:hAnsi="Times New Roman"/>
          <w:color w:val="1C1917"/>
          <w:sz w:val="22"/>
          <w:szCs w:val="22"/>
        </w:rPr>
        <w:t xml:space="preserve">A message that is only for one named person. Say the name first.</w:t>
      </w:r>
    </w:p>
    <w:p>
      <w:pPr>
        <w:pStyle w:val="Heading2"/>
        <w:spacing w:after="120" w:before="280"/>
      </w:pPr>
      <w:r>
        <w:rPr>
          <w:rFonts w:ascii="Times New Roman" w:cs="Times New Roman" w:eastAsia="Times New Roman" w:hAnsi="Times New Roman"/>
          <w:b/>
          <w:bCs/>
          <w:color w:val="1C1917"/>
          <w:sz w:val="26"/>
          <w:szCs w:val="26"/>
        </w:rPr>
        <w:t xml:space="preserve">Ethical-will skeleton</w:t>
      </w:r>
    </w:p>
    <w:p>
      <w:pPr>
        <w:spacing w:after="160" w:line="276"/>
        <w:jc w:val="both"/>
      </w:pPr>
      <w:r>
        <w:rPr>
          <w:rFonts w:ascii="Times New Roman" w:cs="Times New Roman" w:eastAsia="Times New Roman" w:hAnsi="Times New Roman"/>
          <w:color w:val="1C1917"/>
          <w:sz w:val="22"/>
          <w:szCs w:val="22"/>
        </w:rPr>
        <w:t xml:space="preserve">You can copy this shape into a document and replace the brackets. Keep it shorter than you think. Two pages that are true will be reread. Twenty pages of advice will not.</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To [names]. This letter is not my will and does not give or withhold property. My will is dated [date] and is held by [person or firm].</w:t>
      </w:r>
    </w:p>
    <w:p>
      <w:pPr>
        <w:pBdr>
          <w:left w:val="single" w:color="7C2D12" w:sz="12" w:space="8"/>
        </w:pBdr>
        <w:spacing w:after="160" w:before="80"/>
      </w:pPr>
      <w:r>
        <w:rPr>
          <w:rFonts w:ascii="Times New Roman" w:cs="Times New Roman" w:eastAsia="Times New Roman" w:hAnsi="Times New Roman"/>
          <w:i/>
          <w:iCs/>
          <w:color w:val="44403C"/>
          <w:sz w:val="20"/>
          <w:szCs w:val="20"/>
        </w:rPr>
        <w:t xml:space="preserve">If you are reading this, I want you to have a few things in my words. [Two or three scenes.] The choice I most want understood is [choice], because [reason you actually had]. I am sorry for [specific event]. I am not asking you to [live a certain way]. You may share this letter with [names], and you may destroy the recordings in [folder] if they do not help.</w:t>
      </w:r>
    </w:p>
    <w:p>
      <w:pPr>
        <w:pStyle w:val="Heading2"/>
        <w:spacing w:after="120" w:before="280"/>
      </w:pPr>
      <w:r>
        <w:rPr>
          <w:rFonts w:ascii="Times New Roman" w:cs="Times New Roman" w:eastAsia="Times New Roman" w:hAnsi="Times New Roman"/>
          <w:b/>
          <w:bCs/>
          <w:color w:val="1C1917"/>
          <w:sz w:val="26"/>
          <w:szCs w:val="26"/>
        </w:rPr>
        <w:t xml:space="preserve">Letter beside the will</w:t>
      </w:r>
    </w:p>
    <w:p>
      <w:pPr>
        <w:spacing w:after="160" w:line="276"/>
        <w:jc w:val="both"/>
      </w:pPr>
      <w:r>
        <w:rPr>
          <w:rFonts w:ascii="Times New Roman" w:cs="Times New Roman" w:eastAsia="Times New Roman" w:hAnsi="Times New Roman"/>
          <w:color w:val="1C1917"/>
          <w:sz w:val="22"/>
          <w:szCs w:val="22"/>
        </w:rPr>
        <w:t xml:space="preserve">A separate personal letter can explain an unequal gift without putting the explanation inside the will, where a challenge can twist it. Keep the tone factual. “I am leaving the house to Sam because Sam has lived in it and maintained it since 2019, and I have helped Alex with tuition already” is usable. “Alex never appreciated anything” is fuel. Show the letter to the lawyer so it does not contradict the document.</w:t>
      </w:r>
    </w:p>
    <w:p>
      <w:pPr>
        <w:pStyle w:val="Heading2"/>
        <w:spacing w:after="120" w:before="280"/>
      </w:pPr>
      <w:r>
        <w:rPr>
          <w:rFonts w:ascii="Times New Roman" w:cs="Times New Roman" w:eastAsia="Times New Roman" w:hAnsi="Times New Roman"/>
          <w:b/>
          <w:bCs/>
          <w:color w:val="1C1917"/>
          <w:sz w:val="26"/>
          <w:szCs w:val="26"/>
        </w:rPr>
        <w:t xml:space="preserve">Asset and access map</w:t>
      </w:r>
    </w:p>
    <w:p>
      <w:pPr>
        <w:spacing w:after="160" w:line="276"/>
        <w:jc w:val="both"/>
      </w:pPr>
      <w:r>
        <w:rPr>
          <w:rFonts w:ascii="Times New Roman" w:cs="Times New Roman" w:eastAsia="Times New Roman" w:hAnsi="Times New Roman"/>
          <w:color w:val="1C1917"/>
          <w:sz w:val="22"/>
          <w:szCs w:val="22"/>
        </w:rPr>
        <w:t xml:space="preserve">One page, updated when something changes. Columns that matter: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What it is (house, IRA, insurance, photo library, domain).</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Where it lives (institution, URL, physical address).</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How it is titled, and who the beneficiary or joint owner is.</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Where the statement or deed is filed.</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Who to call.</w:t>
      </w:r>
    </w:p>
    <w:p>
      <w:pPr>
        <w:pStyle w:val="Heading2"/>
        <w:spacing w:after="120" w:before="280"/>
      </w:pPr>
      <w:r>
        <w:rPr>
          <w:rFonts w:ascii="Times New Roman" w:cs="Times New Roman" w:eastAsia="Times New Roman" w:hAnsi="Times New Roman"/>
          <w:b/>
          <w:bCs/>
          <w:color w:val="1C1917"/>
          <w:sz w:val="26"/>
          <w:szCs w:val="26"/>
        </w:rPr>
        <w:t xml:space="preserve">Handoff script</w:t>
      </w:r>
    </w:p>
    <w:p>
      <w:pPr>
        <w:spacing w:after="160" w:line="276"/>
        <w:jc w:val="both"/>
      </w:pPr>
      <w:r>
        <w:rPr>
          <w:rFonts w:ascii="Times New Roman" w:cs="Times New Roman" w:eastAsia="Times New Roman" w:hAnsi="Times New Roman"/>
          <w:color w:val="1C1917"/>
          <w:sz w:val="22"/>
          <w:szCs w:val="22"/>
        </w:rPr>
        <w:t xml:space="preserve">Say this, or something as plain, to the person who will hold the archive: “You are the one I trust with the recordings and the map. The will is with [name]. You may listen to everything in [folder]. Please do not post [folder]. If two papers disagree about money, follow the will and the beneficiary forms, not the letters. If you cannot do this, [backup] is next.” Then show them, do not merely tell them.</w:t>
      </w:r>
    </w:p>
    <w:p>
      <w:pPr>
        <w:pStyle w:val="Heading1"/>
        <w:pageBreakBefore/>
        <w:spacing w:after="200" w:before="0"/>
      </w:pPr>
      <w:r>
        <w:rPr>
          <w:rFonts w:ascii="Times New Roman" w:cs="Times New Roman" w:eastAsia="Times New Roman" w:hAnsi="Times New Roman"/>
          <w:b/>
          <w:bCs/>
          <w:color w:val="7C2D12"/>
          <w:sz w:val="36"/>
          <w:szCs w:val="36"/>
        </w:rPr>
        <w:t xml:space="preserve">Chapter 8. People, fights, and unfinished work</w:t>
      </w:r>
    </w:p>
    <w:p>
      <w:pPr>
        <w:pStyle w:val="Heading2"/>
        <w:spacing w:after="120" w:before="280"/>
      </w:pPr>
      <w:r>
        <w:rPr>
          <w:rFonts w:ascii="Times New Roman" w:cs="Times New Roman" w:eastAsia="Times New Roman" w:hAnsi="Times New Roman"/>
          <w:b/>
          <w:bCs/>
          <w:color w:val="1C1917"/>
          <w:sz w:val="26"/>
          <w:szCs w:val="26"/>
        </w:rPr>
        <w:t xml:space="preserve">Choosing the executor</w:t>
      </w:r>
    </w:p>
    <w:p>
      <w:pPr>
        <w:spacing w:after="160" w:line="276"/>
        <w:jc w:val="both"/>
      </w:pPr>
      <w:r>
        <w:rPr>
          <w:rFonts w:ascii="Times New Roman" w:cs="Times New Roman" w:eastAsia="Times New Roman" w:hAnsi="Times New Roman"/>
          <w:color w:val="1C1917"/>
          <w:sz w:val="22"/>
          <w:szCs w:val="22"/>
        </w:rPr>
        <w:t xml:space="preserve">Competence beats sentiment. The best adult in the family is sometimes the worst choice because the others will not accept them, or because they live far away and cannot appear at a local bank. A neutral professional or a trust company costs money and can be worth it when the estate is large or the family is split. Tell the person. A surprised executor is an executor who declines.</w:t>
      </w:r>
    </w:p>
    <w:p>
      <w:pPr>
        <w:pStyle w:val="Heading2"/>
        <w:spacing w:after="120" w:before="280"/>
      </w:pPr>
      <w:r>
        <w:rPr>
          <w:rFonts w:ascii="Times New Roman" w:cs="Times New Roman" w:eastAsia="Times New Roman" w:hAnsi="Times New Roman"/>
          <w:b/>
          <w:bCs/>
          <w:color w:val="1C1917"/>
          <w:sz w:val="26"/>
          <w:szCs w:val="26"/>
        </w:rPr>
        <w:t xml:space="preserve">Unequal gifts</w:t>
      </w:r>
    </w:p>
    <w:p>
      <w:pPr>
        <w:spacing w:after="160" w:line="276"/>
        <w:jc w:val="both"/>
      </w:pPr>
      <w:r>
        <w:rPr>
          <w:rFonts w:ascii="Times New Roman" w:cs="Times New Roman" w:eastAsia="Times New Roman" w:hAnsi="Times New Roman"/>
          <w:color w:val="1C1917"/>
          <w:sz w:val="22"/>
          <w:szCs w:val="22"/>
        </w:rPr>
        <w:t xml:space="preserve">You are usually allowed to treat children differently. You are not allowed, in many places, to leave a spouse with nothing. If you treat children differently, say the reason in the side letter, make the will itself unambiguous, and do not promise the opposite in a text message. Prior lifetime gifts should be in the conversation so the lawyer can decide whether to treat them as advancements.</w:t>
      </w:r>
    </w:p>
    <w:p>
      <w:pPr>
        <w:pStyle w:val="Heading2"/>
        <w:spacing w:after="120" w:before="280"/>
      </w:pPr>
      <w:r>
        <w:rPr>
          <w:rFonts w:ascii="Times New Roman" w:cs="Times New Roman" w:eastAsia="Times New Roman" w:hAnsi="Times New Roman"/>
          <w:b/>
          <w:bCs/>
          <w:color w:val="1C1917"/>
          <w:sz w:val="26"/>
          <w:szCs w:val="26"/>
        </w:rPr>
        <w:t xml:space="preserve">The person you are estranged from</w:t>
      </w:r>
    </w:p>
    <w:p>
      <w:pPr>
        <w:spacing w:after="160" w:line="276"/>
        <w:jc w:val="both"/>
      </w:pPr>
      <w:r>
        <w:rPr>
          <w:rFonts w:ascii="Times New Roman" w:cs="Times New Roman" w:eastAsia="Times New Roman" w:hAnsi="Times New Roman"/>
          <w:color w:val="1C1917"/>
          <w:sz w:val="22"/>
          <w:szCs w:val="22"/>
        </w:rPr>
        <w:t xml:space="preserve">Silence is not a plan. In some laws, omitting a child can be read as a mistake, and the child takes a share. A lawyer will often name the person and leave a nominal gift, or state that the omission is intentional. Do not use the will as the place to indict them.</w:t>
      </w:r>
    </w:p>
    <w:p>
      <w:pPr>
        <w:pStyle w:val="Heading2"/>
        <w:spacing w:after="120" w:before="280"/>
      </w:pPr>
      <w:r>
        <w:rPr>
          <w:rFonts w:ascii="Times New Roman" w:cs="Times New Roman" w:eastAsia="Times New Roman" w:hAnsi="Times New Roman"/>
          <w:b/>
          <w:bCs/>
          <w:color w:val="1C1917"/>
          <w:sz w:val="26"/>
          <w:szCs w:val="26"/>
        </w:rPr>
        <w:t xml:space="preserve">Work and intellectual property</w:t>
      </w:r>
    </w:p>
    <w:p>
      <w:pPr>
        <w:spacing w:after="160" w:line="276"/>
        <w:jc w:val="both"/>
      </w:pPr>
      <w:r>
        <w:rPr>
          <w:rFonts w:ascii="Times New Roman" w:cs="Times New Roman" w:eastAsia="Times New Roman" w:hAnsi="Times New Roman"/>
          <w:color w:val="1C1917"/>
          <w:sz w:val="22"/>
          <w:szCs w:val="22"/>
        </w:rPr>
        <w:t xml:space="preserve">Copyright, trademarks, domains, manuscripts, code, and customer lists need an owner and a location. Name who may finish, publish, or suppress the work. Leave a README in the project folder: status, dependencies, accounts, and what is licensed from someone else. A business with other owners is governed by the operating or shareholder agreement first. Your will cannot always force your heirs into the company.</w:t>
      </w:r>
    </w:p>
    <w:p>
      <w:pPr>
        <w:pStyle w:val="Heading2"/>
        <w:spacing w:after="120" w:before="280"/>
      </w:pPr>
      <w:r>
        <w:rPr>
          <w:rFonts w:ascii="Times New Roman" w:cs="Times New Roman" w:eastAsia="Times New Roman" w:hAnsi="Times New Roman"/>
          <w:b/>
          <w:bCs/>
          <w:color w:val="1C1917"/>
          <w:sz w:val="26"/>
          <w:szCs w:val="26"/>
        </w:rPr>
        <w:t xml:space="preserve">Pets and objects with no market</w:t>
      </w:r>
    </w:p>
    <w:p>
      <w:pPr>
        <w:spacing w:after="160" w:line="276"/>
        <w:jc w:val="both"/>
      </w:pPr>
      <w:r>
        <w:rPr>
          <w:rFonts w:ascii="Times New Roman" w:cs="Times New Roman" w:eastAsia="Times New Roman" w:hAnsi="Times New Roman"/>
          <w:color w:val="1C1917"/>
          <w:sz w:val="22"/>
          <w:szCs w:val="22"/>
        </w:rPr>
        <w:t xml:space="preserve">Leave the animal to a named person who has agreed, and a small sum to help with care if that is valid locally. Pet trusts exist in some jurisdictions and are easy to get wrong. For ordinary objects, a signed list referenced by the will can work where the law allows a personal-property memorandum. If it does not, put the important objects in the will itself. Labels on the back of frames help. They are not a transfer of title.</w:t>
      </w:r>
    </w:p>
    <w:p>
      <w:pPr>
        <w:pStyle w:val="Heading1"/>
        <w:pageBreakBefore/>
        <w:spacing w:after="200" w:before="0"/>
      </w:pPr>
      <w:r>
        <w:rPr>
          <w:rFonts w:ascii="Times New Roman" w:cs="Times New Roman" w:eastAsia="Times New Roman" w:hAnsi="Times New Roman"/>
          <w:b/>
          <w:bCs/>
          <w:color w:val="7C2D12"/>
          <w:sz w:val="36"/>
          <w:szCs w:val="36"/>
        </w:rPr>
        <w:t xml:space="preserve">Chapter 9. After, for the person you named</w:t>
      </w:r>
    </w:p>
    <w:p>
      <w:pPr>
        <w:spacing w:after="160" w:line="276"/>
        <w:jc w:val="both"/>
      </w:pPr>
      <w:r>
        <w:rPr>
          <w:rFonts w:ascii="Times New Roman" w:cs="Times New Roman" w:eastAsia="Times New Roman" w:hAnsi="Times New Roman"/>
          <w:color w:val="1C1917"/>
          <w:sz w:val="22"/>
          <w:szCs w:val="22"/>
        </w:rPr>
        <w:t xml:space="preserve">Give this chapter to the executor and the archive-holder. It is the receiving manual.</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Find the original will and any trust. Do not write on them. Call the lawyer named on the map before throwing anything away.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Order several death certificates. Institutions lose them.</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Secure the home, the car, and the mail. Forward mail. Care for pets the same day.</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Do not promise distributions in the first week. Debts, taxes, and the will’s order come first.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Notify insurers, banks, and the employer or pension office. Ask each what form they need. Do not assume the will controls a retirement account.</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Open the recordings only as the handoff asked. If a letter and the will conflict about property, the will and the titles win. Keep the letter anyway; it may explain.</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Back up the archive before reorganizing it. Grief and file deletion go together.</w:t>
      </w:r>
    </w:p>
    <w:p>
      <w:pPr>
        <w:pStyle w:val="ListParagraph"/>
        <w:numPr>
          <w:ilvl w:val="0"/>
          <w:numId w:val="2"/>
        </w:numPr>
        <w:spacing w:after="60" w:line="276"/>
      </w:pPr>
      <w:r>
        <w:rPr>
          <w:rFonts w:ascii="Times New Roman" w:cs="Times New Roman" w:eastAsia="Times New Roman" w:hAnsi="Times New Roman"/>
          <w:color w:val="1C1917"/>
          <w:sz w:val="22"/>
          <w:szCs w:val="22"/>
        </w:rPr>
        <w:t xml:space="preserve">Publish or share meaning only within the permission the letter gave. When in doubt, ask the other people named, or wait.</w:t>
      </w:r>
    </w:p>
    <w:p>
      <w:pPr>
        <w:spacing w:after="160" w:line="276"/>
        <w:jc w:val="both"/>
      </w:pPr>
      <w:r>
        <w:rPr>
          <w:rFonts w:ascii="Times New Roman" w:cs="Times New Roman" w:eastAsia="Times New Roman" w:hAnsi="Times New Roman"/>
          <w:color w:val="1C1917"/>
          <w:sz w:val="22"/>
          <w:szCs w:val="22"/>
        </w:rPr>
        <w:t xml:space="preserve">Probate, if required, is a process with deadlines. Missing a creditor notice or a tax filing is more expensive than hiring the lawyer early. If the will seems unfair or improperly signed, get independent advice before signing a waiver you do not understand.</w:t>
      </w:r>
    </w:p>
    <w:p>
      <w:pPr>
        <w:pStyle w:val="Heading1"/>
        <w:pageBreakBefore/>
        <w:spacing w:after="200" w:before="0"/>
      </w:pPr>
      <w:r>
        <w:rPr>
          <w:rFonts w:ascii="Times New Roman" w:cs="Times New Roman" w:eastAsia="Times New Roman" w:hAnsi="Times New Roman"/>
          <w:b/>
          <w:bCs/>
          <w:color w:val="7C2D12"/>
          <w:sz w:val="36"/>
          <w:szCs w:val="36"/>
        </w:rPr>
        <w:t xml:space="preserve">Chapter 10. Checklists</w:t>
      </w:r>
    </w:p>
    <w:p>
      <w:pPr>
        <w:pStyle w:val="Heading2"/>
        <w:spacing w:after="120" w:before="280"/>
      </w:pPr>
      <w:r>
        <w:rPr>
          <w:rFonts w:ascii="Times New Roman" w:cs="Times New Roman" w:eastAsia="Times New Roman" w:hAnsi="Times New Roman"/>
          <w:b/>
          <w:bCs/>
          <w:color w:val="1C1917"/>
          <w:sz w:val="26"/>
          <w:szCs w:val="26"/>
        </w:rPr>
        <w:t xml:space="preserve">Meaning</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Receiver of the archive named, told, and shown the folder.</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At least one hour of dated audio, labeled.</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Direct messages to the people who will look for them.</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Ethical will drafted, marked as not a property document.</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Permission stated: share, keep private, or destroy.</w:t>
      </w:r>
    </w:p>
    <w:p>
      <w:pPr>
        <w:pStyle w:val="ListParagraph"/>
        <w:numPr>
          <w:ilvl w:val="0"/>
          <w:numId w:val="4"/>
        </w:numPr>
        <w:spacing w:after="60" w:line="276"/>
      </w:pPr>
      <w:r>
        <w:rPr>
          <w:rFonts w:ascii="Times New Roman" w:cs="Times New Roman" w:eastAsia="Times New Roman" w:hAnsi="Times New Roman"/>
          <w:color w:val="1C1917"/>
          <w:sz w:val="22"/>
          <w:szCs w:val="22"/>
        </w:rPr>
        <w:t xml:space="preserve">Second copy on a drive or in cloud the receiver can open.</w:t>
      </w:r>
    </w:p>
    <w:p>
      <w:pPr>
        <w:pStyle w:val="Heading2"/>
        <w:spacing w:after="120" w:before="280"/>
      </w:pPr>
      <w:r>
        <w:rPr>
          <w:rFonts w:ascii="Times New Roman" w:cs="Times New Roman" w:eastAsia="Times New Roman" w:hAnsi="Times New Roman"/>
          <w:b/>
          <w:bCs/>
          <w:color w:val="1C1917"/>
          <w:sz w:val="26"/>
          <w:szCs w:val="26"/>
        </w:rPr>
        <w:t xml:space="preserve">Property</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Asset map with titles and beneficiaries, not just balances.</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Life insurance and retirement beneficiary forms checked this year.</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Will signed with the formalities of the right jurisdiction, original located.</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Backup executor named.</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Guardian named if minor children exist.</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Side letter explains any unequal gift without contradicting the will.</w:t>
      </w:r>
    </w:p>
    <w:p>
      <w:pPr>
        <w:pStyle w:val="ListParagraph"/>
        <w:numPr>
          <w:ilvl w:val="0"/>
          <w:numId w:val="5"/>
        </w:numPr>
        <w:spacing w:after="60" w:line="276"/>
      </w:pPr>
      <w:r>
        <w:rPr>
          <w:rFonts w:ascii="Times New Roman" w:cs="Times New Roman" w:eastAsia="Times New Roman" w:hAnsi="Times New Roman"/>
          <w:color w:val="1C1917"/>
          <w:sz w:val="22"/>
          <w:szCs w:val="22"/>
        </w:rPr>
        <w:t xml:space="preserve">Lawyer has a copy or knows where the original is.</w:t>
      </w:r>
    </w:p>
    <w:p>
      <w:pPr>
        <w:pStyle w:val="Heading2"/>
        <w:spacing w:after="120" w:before="280"/>
      </w:pPr>
      <w:r>
        <w:rPr>
          <w:rFonts w:ascii="Times New Roman" w:cs="Times New Roman" w:eastAsia="Times New Roman" w:hAnsi="Times New Roman"/>
          <w:b/>
          <w:bCs/>
          <w:color w:val="1C1917"/>
          <w:sz w:val="26"/>
          <w:szCs w:val="26"/>
        </w:rPr>
        <w:t xml:space="preserve">Authority and access</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Financial power of attorney signed and usable at the relevant bank.</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Healthcare proxy and advance directive signed; agent has a copy.</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Legacy contacts or inactive-account settings turned on.</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Password manager emergency access tested, or envelope location known.</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Phone and computer passcodes available to the right person.</w:t>
      </w:r>
    </w:p>
    <w:p>
      <w:pPr>
        <w:pStyle w:val="ListParagraph"/>
        <w:numPr>
          <w:ilvl w:val="0"/>
          <w:numId w:val="6"/>
        </w:numPr>
        <w:spacing w:after="60" w:line="276"/>
      </w:pPr>
      <w:r>
        <w:rPr>
          <w:rFonts w:ascii="Times New Roman" w:cs="Times New Roman" w:eastAsia="Times New Roman" w:hAnsi="Times New Roman"/>
          <w:color w:val="1C1917"/>
          <w:sz w:val="22"/>
          <w:szCs w:val="22"/>
        </w:rPr>
        <w:t xml:space="preserve">Seed phrases and hardware keys handled outside the will, procedure tested.</w:t>
      </w:r>
    </w:p>
    <w:p>
      <w:pPr>
        <w:pStyle w:val="Heading2"/>
        <w:spacing w:after="120" w:before="280"/>
      </w:pPr>
      <w:r>
        <w:rPr>
          <w:rFonts w:ascii="Times New Roman" w:cs="Times New Roman" w:eastAsia="Times New Roman" w:hAnsi="Times New Roman"/>
          <w:b/>
          <w:bCs/>
          <w:color w:val="1C1917"/>
          <w:sz w:val="26"/>
          <w:szCs w:val="26"/>
        </w:rPr>
        <w:t xml:space="preserve">Review triggers</w:t>
      </w:r>
    </w:p>
    <w:p>
      <w:pPr>
        <w:spacing w:after="160" w:line="276"/>
        <w:jc w:val="both"/>
      </w:pPr>
      <w:r>
        <w:rPr>
          <w:rFonts w:ascii="Times New Roman" w:cs="Times New Roman" w:eastAsia="Times New Roman" w:hAnsi="Times New Roman"/>
          <w:color w:val="1C1917"/>
          <w:sz w:val="22"/>
          <w:szCs w:val="22"/>
        </w:rPr>
        <w:t xml:space="preserve">Redo the plan after marriage, divorce, a birth, a death, a move to another state or country, a large inheritance, the sale of a business, or a diagnosis that will affect capacity. Otherwise look at beneficiary forms every few years. They drift.</w:t>
      </w:r>
    </w:p>
    <w:p>
      <w:pPr>
        <w:pStyle w:val="Heading2"/>
        <w:spacing w:after="120" w:before="280"/>
      </w:pPr>
      <w:r>
        <w:rPr>
          <w:rFonts w:ascii="Times New Roman" w:cs="Times New Roman" w:eastAsia="Times New Roman" w:hAnsi="Times New Roman"/>
          <w:b/>
          <w:bCs/>
          <w:color w:val="1C1917"/>
          <w:sz w:val="26"/>
          <w:szCs w:val="26"/>
        </w:rPr>
        <w:t xml:space="preserve">A last order of operations</w:t>
      </w:r>
    </w:p>
    <w:p>
      <w:pPr>
        <w:spacing w:after="160" w:line="276"/>
        <w:jc w:val="both"/>
      </w:pPr>
      <w:r>
        <w:rPr>
          <w:rFonts w:ascii="Times New Roman" w:cs="Times New Roman" w:eastAsia="Times New Roman" w:hAnsi="Times New Roman"/>
          <w:color w:val="1C1917"/>
          <w:sz w:val="22"/>
          <w:szCs w:val="22"/>
        </w:rPr>
        <w:t xml:space="preserve">Tell someone. Record your voice. List the assets and the forms that already name a beneficiary. Sign the documents that work while you are alive. Sign the will or fund the trust with local advice. Write the letter that is not a will. Put the map in the hands of the person who must use it. Then return to the recordings. The paperwork keeps other people out of an avoidable crisis. The recordings are the part that is actually you.</w:t>
      </w:r>
    </w:p>
    <w:p>
      <w:pPr>
        <w:pBdr>
          <w:top w:val="single" w:color="A8A29E" w:sz="6" w:space="8"/>
        </w:pBdr>
        <w:spacing w:after="80" w:before="200"/>
      </w:pPr>
      <w:r>
        <w:rPr>
          <w:rFonts w:ascii="Times New Roman" w:cs="Times New Roman" w:eastAsia="Times New Roman" w:hAnsi="Times New Roman"/>
          <w:i/>
          <w:iCs/>
          <w:color w:val="57534E"/>
          <w:sz w:val="18"/>
          <w:szCs w:val="18"/>
        </w:rPr>
        <w:t xml:space="preserve">This book is an educational overview assembled for personal planning. It is not legal, tax, financial, or medical advice, and it does not create a lawyer-client relationship. Rules on wills, trusts, forced heirship, taxes, digital assets, and healthcare directives differ by country and by state or province, and they change. Have a qualified professional in your jurisdiction review any document that transfers property, names a guardian, or grants a power of attorney before you rely on 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A29E" w:sz="6" w:space="6"/>
      </w:pBdr>
      <w:tabs>
        <w:tab w:val="right" w:pos="10080"/>
      </w:tabs>
    </w:pPr>
    <w:r>
      <w:rPr>
        <w:rFonts w:ascii="Times New Roman" w:cs="Times New Roman" w:eastAsia="Times New Roman" w:hAnsi="Times New Roman"/>
        <w:i/>
        <w:iCs/>
        <w:color w:val="78716C"/>
        <w:sz w:val="16"/>
        <w:szCs w:val="16"/>
      </w:rPr>
      <w:t xml:space="preserve">Educational guide, not legal advice</w:t>
    </w:r>
    <w:r>
      <w:rPr>
        <w:rFonts w:ascii="Times New Roman" w:cs="Times New Roman" w:eastAsia="Times New Roman" w:hAnsi="Times New Roman"/>
        <w:color w:val="78716C"/>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2D12" w:sz="8" w:space="6"/>
      </w:pBdr>
    </w:pPr>
    <w:r>
      <w:rPr>
        <w:rFonts w:ascii="Times New Roman" w:cs="Times New Roman" w:eastAsia="Times New Roman" w:hAnsi="Times New Roman"/>
        <w:i/>
        <w:iCs/>
        <w:color w:val="78716C"/>
        <w:sz w:val="18"/>
        <w:szCs w:val="18"/>
      </w:rPr>
      <w:t xml:space="preserve">The Will Is Not the Legacy,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7C2D12"/>
      <w:sz w:val="36"/>
      <w:szCs w:val="3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C1917"/>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44403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Will Is Not the Legacy, Actually</dc:title>
  <dc:creator>Un-named</dc:creator>
  <dc:description>Wills, alternatives, and preserving thoughts</dc:description>
  <cp:lastModifiedBy>Un-named</cp:lastModifiedBy>
  <cp:revision>1</cp:revision>
  <dcterms:created xsi:type="dcterms:W3CDTF">2026-10-09T15:55:12.828Z</dcterms:created>
  <dcterms:modified xsi:type="dcterms:W3CDTF">2026-10-09T15:55:12.828Z</dcterms:modified>
</cp:coreProperties>
</file>

<file path=docProps/custom.xml><?xml version="1.0" encoding="utf-8"?>
<Properties xmlns="http://schemas.openxmlformats.org/officeDocument/2006/custom-properties" xmlns:vt="http://schemas.openxmlformats.org/officeDocument/2006/docPropsVTypes"/>
</file>