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Bei Kanadas Einwanderungswegen gilt es zuerst, Voraussetzungen und Einladungschancen auseinanderzuhalten. Achte besonders auf diese typischen Fehlannahmen: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In Neuseeland reicht es nicht, ein Arbeitsvisum und einen Residenzweg gleichzusetzen: Ihre Bedingungen und Folgen unterscheiden sich deutlich. Diese Punkte werden häufig verwechselt:</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Welche US-Kosten für Krankenversicherung, Studium und Mobilität können den Budgetvergleich mit Deutschland kippen?</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Welche kanadischen Ausgaben für Wohnen, Gesundheit, Studium und Alltag musst du mit deutschen Kosten vergleichen?</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Wie wirken sich Australiens Gesundheitskosten, Studiengebühren und weite Wege auf dein Budget aus?</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Welche Kosten für Wohnen, Gesundheit, Studium und Wege solltest du für Neuseeland konkret durchrechnen?</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