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8" w:id="1"/>
      <w:r>
        <w:rPr>
          <w:rFonts w:ascii="Amazon Ember" w:cs="Amazon Ember" w:eastAsia="Amazon Ember" w:hAnsi="Amazon Ember"/>
          <w:b/>
          <w:bCs/>
          <w:color w:val="1F4E79"/>
          <w:sz w:val="32"/>
          <w:szCs w:val="32"/>
        </w:rPr>
        <w:t xml:space="preserve">1991 to Today: A Fractured Present — Democracy, Authoritarianism, and the Information Age</w:t>
      </w:r>
      <w:bookmarkEnd w:id="1"/>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2020s: independent courts and press curtailed, elections held but their fairness eroded. Power was concentrated in ways that stopped well short of the outright dictatorships examined earlier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The streak, unbroken for close to two decades at the time of writing, is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may be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With luck,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describing a struggle over how power should be organized reached some kind of resolution in the end, however costly or incomplete. This one closes without any, because the argument it describes is still being had, in real time, in the same news cycles the argument itself runs on. History has not finished grading this chapter’s outcome, and neither, honestly, have the dolphins.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2026-10-12T19:03:12.947Z</dcterms:created>
  <dcterms:modified xsi:type="dcterms:W3CDTF">2026-10-12T19:03:12.947Z</dcterms:modified>
</cp:coreProperties>
</file>

<file path=docProps/custom.xml><?xml version="1.0" encoding="utf-8"?>
<Properties xmlns="http://schemas.openxmlformats.org/officeDocument/2006/custom-properties" xmlns:vt="http://schemas.openxmlformats.org/officeDocument/2006/docPropsVTypes"/>
</file>