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235A9" w14:textId="5BF15A27" w:rsidR="00190770" w:rsidRPr="00190770" w:rsidRDefault="00000000" w:rsidP="00190770">
      <w:pPr>
        <w:pStyle w:val="Heading1"/>
        <w:jc w:val="center"/>
        <w:rPr>
          <w:color w:val="215E99" w:themeColor="text2" w:themeTint="BF"/>
          <w:lang w:val="de-DE"/>
        </w:rPr>
      </w:pPr>
      <w:r w:rsidRPr="00190770">
        <w:rPr>
          <w:color w:val="215E99" w:themeColor="text2" w:themeTint="BF"/>
          <w:lang w:val="de-DE"/>
        </w:rPr>
        <w:t>Auswandern</w:t>
      </w:r>
      <w:r w:rsidR="00190770" w:rsidRPr="00190770">
        <w:rPr>
          <w:color w:val="215E99" w:themeColor="text2" w:themeTint="BF"/>
          <w:lang w:val="de-DE"/>
        </w:rPr>
        <w:t>.</w:t>
      </w:r>
    </w:p>
    <w:p w14:paraId="29C7BE11" w14:textId="7CBA858C" w:rsidR="00CD6226" w:rsidRPr="00190770" w:rsidRDefault="00190770" w:rsidP="00190770">
      <w:pPr>
        <w:pStyle w:val="Heading1"/>
        <w:jc w:val="center"/>
        <w:rPr>
          <w:color w:val="215E99" w:themeColor="text2" w:themeTint="BF"/>
          <w:sz w:val="10"/>
          <w:szCs w:val="10"/>
          <w:lang w:val="de-DE"/>
        </w:rPr>
      </w:pPr>
      <w:r w:rsidRPr="00190770">
        <w:rPr>
          <w:color w:val="215E99" w:themeColor="text2" w:themeTint="BF"/>
          <w:lang w:val="de-DE"/>
        </w:rPr>
        <w:t>Ab in</w:t>
      </w:r>
      <w:r w:rsidR="00000000" w:rsidRPr="00190770">
        <w:rPr>
          <w:color w:val="215E99" w:themeColor="text2" w:themeTint="BF"/>
          <w:lang w:val="de-DE"/>
        </w:rPr>
        <w:t xml:space="preserve"> die USA, Kanada, Australien oder Neuseeland?</w:t>
      </w:r>
    </w:p>
    <w:p w14:paraId="6F209E66" w14:textId="77777777" w:rsidR="00190770" w:rsidRPr="00190770" w:rsidRDefault="00190770" w:rsidP="00190770">
      <w:pPr>
        <w:pStyle w:val="Heading1"/>
        <w:jc w:val="center"/>
        <w:rPr>
          <w:color w:val="215E99" w:themeColor="text2" w:themeTint="BF"/>
          <w:sz w:val="10"/>
          <w:szCs w:val="10"/>
          <w:lang w:val="de-DE"/>
        </w:rPr>
      </w:pPr>
    </w:p>
    <w:p w14:paraId="6ED355E9" w14:textId="77777777" w:rsidR="00CD6226" w:rsidRPr="00190770" w:rsidRDefault="00000000" w:rsidP="00190770">
      <w:pPr>
        <w:spacing w:after="200"/>
        <w:jc w:val="center"/>
        <w:rPr>
          <w:color w:val="215E99" w:themeColor="text2" w:themeTint="BF"/>
          <w:lang w:val="de-DE"/>
        </w:rPr>
      </w:pPr>
      <w:r w:rsidRPr="00190770">
        <w:rPr>
          <w:color w:val="215E99" w:themeColor="text2" w:themeTint="BF"/>
          <w:lang w:val="de-DE"/>
        </w:rPr>
        <w:t>Vier Wege, ein gemeinsamer Abflug aus Deutschland</w:t>
      </w:r>
    </w:p>
    <w:p w14:paraId="4A08654D" w14:textId="77777777" w:rsidR="00190770" w:rsidRPr="00190770" w:rsidRDefault="00190770" w:rsidP="00190770">
      <w:pPr>
        <w:spacing w:after="200" w:line="276" w:lineRule="auto"/>
        <w:jc w:val="center"/>
        <w:rPr>
          <w:color w:val="215E99" w:themeColor="text2" w:themeTint="BF"/>
          <w:sz w:val="2"/>
          <w:szCs w:val="2"/>
          <w:lang w:val="de-DE"/>
        </w:rPr>
      </w:pPr>
      <w:r w:rsidRPr="00190770">
        <w:rPr>
          <w:color w:val="215E99" w:themeColor="text2" w:themeTint="BF"/>
          <w:lang w:val="de-DE"/>
        </w:rPr>
        <w:t>Ein konkreter Plan vom ersten Vergleich bis zur Rückkehr.</w:t>
      </w:r>
    </w:p>
    <w:p w14:paraId="5AB417F8" w14:textId="77777777" w:rsidR="00190770" w:rsidRPr="00190770" w:rsidRDefault="00190770" w:rsidP="00190770">
      <w:pPr>
        <w:spacing w:after="200"/>
        <w:jc w:val="center"/>
        <w:rPr>
          <w:sz w:val="2"/>
          <w:szCs w:val="2"/>
          <w:lang w:val="de-DE"/>
        </w:rPr>
      </w:pPr>
    </w:p>
    <w:p w14:paraId="3C93AD47" w14:textId="77777777" w:rsidR="00CD6226" w:rsidRPr="00190770" w:rsidRDefault="00000000" w:rsidP="00190770">
      <w:pPr>
        <w:pStyle w:val="Heading2"/>
        <w:jc w:val="center"/>
        <w:rPr>
          <w:color w:val="215E99" w:themeColor="text2" w:themeTint="BF"/>
          <w:lang w:val="de-DE"/>
        </w:rPr>
      </w:pPr>
      <w:r w:rsidRPr="00190770">
        <w:rPr>
          <w:color w:val="215E99" w:themeColor="text2" w:themeTint="BF"/>
          <w:lang w:val="de-DE"/>
        </w:rPr>
        <w:t>Beschreibung</w:t>
      </w:r>
    </w:p>
    <w:p w14:paraId="086B4A59" w14:textId="77777777" w:rsidR="00CD6226" w:rsidRPr="00190770" w:rsidRDefault="00000000">
      <w:pPr>
        <w:spacing w:after="160" w:line="276" w:lineRule="auto"/>
        <w:rPr>
          <w:lang w:val="de-DE"/>
        </w:rPr>
      </w:pPr>
      <w:r w:rsidRPr="00190770">
        <w:rPr>
          <w:lang w:val="de-DE"/>
        </w:rPr>
        <w:t>Du willst auswandern. Aber welches Land passt zu deinem Leben – und was solltest du klären, bevor du kündigst, verkaufst oder buchst?</w:t>
      </w:r>
    </w:p>
    <w:p w14:paraId="170FEBBC" w14:textId="77777777" w:rsidR="00CD6226" w:rsidRPr="00190770" w:rsidRDefault="00000000">
      <w:pPr>
        <w:spacing w:after="160" w:line="276" w:lineRule="auto"/>
        <w:rPr>
          <w:lang w:val="de-DE"/>
        </w:rPr>
      </w:pPr>
      <w:r w:rsidRPr="00190770">
        <w:rPr>
          <w:lang w:val="de-DE"/>
        </w:rPr>
        <w:t>Dieses umfassende Handbuch bringt Ordnung in die Entscheidung. Der Schnellstart führt in 30 Minuten durch die ersten Prüfungen; die verlinkte Navigation bringt dich danach direkt zum passenden Länderpfad oder Thema. Vergleiche die USA, Kanada, Australien und Neuseeland, ohne ihre unterschiedlichen Einwanderungssysteme gleichzusetzen. Der USA-Teil ist am umfangreichsten; Kanada, Australien und Neuseeland haben jeweils einen eigenen Länderpfad.</w:t>
      </w:r>
    </w:p>
    <w:p w14:paraId="58D35600" w14:textId="77777777" w:rsidR="00CD6226" w:rsidRPr="00190770" w:rsidRDefault="00000000" w:rsidP="00190770">
      <w:pPr>
        <w:spacing w:before="80" w:after="80"/>
        <w:jc w:val="center"/>
        <w:rPr>
          <w:color w:val="215E99" w:themeColor="text2" w:themeTint="BF"/>
        </w:rPr>
      </w:pPr>
      <w:r w:rsidRPr="00190770">
        <w:rPr>
          <w:b/>
          <w:bCs/>
          <w:color w:val="215E99" w:themeColor="text2" w:themeTint="BF"/>
        </w:rPr>
        <w:t>Das erwartet dich:</w:t>
      </w:r>
    </w:p>
    <w:p w14:paraId="3E971B83" w14:textId="77777777" w:rsidR="00CD6226" w:rsidRPr="00190770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de-DE"/>
        </w:rPr>
      </w:pPr>
      <w:r w:rsidRPr="00190770">
        <w:rPr>
          <w:lang w:val="de-DE"/>
        </w:rPr>
        <w:t>eine Länderwahl nach Beruf, Budget, Familie, Gesundheit und Alltag</w:t>
      </w:r>
    </w:p>
    <w:p w14:paraId="46073E71" w14:textId="77777777" w:rsidR="00CD6226" w:rsidRPr="00190770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de-DE"/>
        </w:rPr>
      </w:pPr>
      <w:r w:rsidRPr="00190770">
        <w:rPr>
          <w:lang w:val="de-DE"/>
        </w:rPr>
        <w:t>Visumwege, Berufsanerkennung, Wohnen und Ankunft</w:t>
      </w:r>
    </w:p>
    <w:p w14:paraId="1EF34454" w14:textId="77777777" w:rsidR="00CD6226" w:rsidRPr="00190770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de-DE"/>
        </w:rPr>
      </w:pPr>
      <w:r w:rsidRPr="00190770">
        <w:rPr>
          <w:lang w:val="de-DE"/>
        </w:rPr>
        <w:t>die deutsche Abwicklung: Abmeldung, Rente, Krankenversicherung, Steuern und Dokumente</w:t>
      </w:r>
    </w:p>
    <w:p w14:paraId="759104BB" w14:textId="77777777" w:rsidR="00CD6226" w:rsidRPr="00190770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de-DE"/>
        </w:rPr>
      </w:pPr>
      <w:r w:rsidRPr="00190770">
        <w:rPr>
          <w:lang w:val="de-DE"/>
        </w:rPr>
        <w:t>einen Zwölf-Monats-Plan und 20 häufige Planungsfehler</w:t>
      </w:r>
    </w:p>
    <w:p w14:paraId="576F7F4E" w14:textId="77777777" w:rsidR="00CD6226" w:rsidRPr="00190770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de-DE"/>
        </w:rPr>
      </w:pPr>
      <w:r w:rsidRPr="00190770">
        <w:rPr>
          <w:lang w:val="de-DE"/>
        </w:rPr>
        <w:t>Orientierung zu Integration und Rückkehr nach Deutschland</w:t>
      </w:r>
    </w:p>
    <w:p w14:paraId="6B73B976" w14:textId="77777777" w:rsidR="00CD6226" w:rsidRPr="00190770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de-DE"/>
        </w:rPr>
      </w:pPr>
      <w:r w:rsidRPr="00190770">
        <w:rPr>
          <w:lang w:val="de-DE"/>
        </w:rPr>
        <w:t>einen persönlichen Abschlusscheck mit konkreten nächsten Schritten</w:t>
      </w:r>
    </w:p>
    <w:p w14:paraId="519ED3CF" w14:textId="77777777" w:rsidR="00CD6226" w:rsidRPr="00190770" w:rsidRDefault="00000000">
      <w:pPr>
        <w:spacing w:before="160" w:after="120" w:line="276" w:lineRule="auto"/>
        <w:rPr>
          <w:lang w:val="de-DE"/>
        </w:rPr>
      </w:pPr>
      <w:r w:rsidRPr="00190770">
        <w:rPr>
          <w:lang w:val="de-DE"/>
        </w:rPr>
        <w:t>Für Erwachsene ab 18, die aus Deutschland allein, als Paar oder mit Familie auswandern möchten. Regeln, Gebühren und Fristen ändern sich; zeitabhängige Angaben nennen Quelle und Stand. Das Buch ersetzt keine individuelle Rechts-, Steuer- oder Einwanderungsberatung.</w:t>
      </w:r>
    </w:p>
    <w:p w14:paraId="43BAE679" w14:textId="77777777" w:rsidR="00CD6226" w:rsidRPr="00190770" w:rsidRDefault="00000000" w:rsidP="00190770">
      <w:pPr>
        <w:pStyle w:val="Heading2"/>
        <w:jc w:val="center"/>
        <w:rPr>
          <w:color w:val="215E99" w:themeColor="text2" w:themeTint="BF"/>
          <w:lang w:val="de-DE"/>
        </w:rPr>
      </w:pPr>
      <w:r w:rsidRPr="00190770">
        <w:rPr>
          <w:color w:val="215E99" w:themeColor="text2" w:themeTint="BF"/>
          <w:lang w:val="de-DE"/>
        </w:rPr>
        <w:t>Kurzfassung für die Suchzeile</w:t>
      </w:r>
    </w:p>
    <w:p w14:paraId="742897BB" w14:textId="77777777" w:rsidR="00CD6226" w:rsidRDefault="00000000">
      <w:pPr>
        <w:spacing w:after="80" w:line="276" w:lineRule="auto"/>
      </w:pPr>
      <w:r w:rsidRPr="00190770">
        <w:rPr>
          <w:lang w:val="de-DE"/>
        </w:rPr>
        <w:t>Planungshandbuch für Erwachsene, die aus Deutschland in die USA, nach Kanada, Australien oder Neuseeland auswandern möchten. Mit Schnellstart, Länderwahl, Visumwegen, deutscher Abwicklung, Ankunft und Rückkehrplanung; zeitabhängige Angaben mit Quellen und Stand.</w:t>
      </w:r>
      <w:r/>
    </w:p>
    <w:sectPr w:rsidR="00CD6226">
      <w:headerReference w:type="default" r:id="rId7"/>
      <w:footerReference w:type="default" r:id="rId8"/>
      <w:pgSz w:w="11906" w:h="16838"/>
      <w:pgMar w:top="1008" w:right="1134" w:bottom="1008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51176" w14:textId="77777777" w:rsidR="00590F6F" w:rsidRDefault="00590F6F">
      <w:r>
        <w:separator/>
      </w:r>
    </w:p>
  </w:endnote>
  <w:endnote w:type="continuationSeparator" w:id="0">
    <w:p w14:paraId="7B85AB03" w14:textId="77777777" w:rsidR="00590F6F" w:rsidRDefault="00590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13006" w14:textId="77777777" w:rsidR="00CD6226" w:rsidRPr="00190770" w:rsidRDefault="00000000">
    <w:pPr>
      <w:pBdr>
        <w:top w:val="single" w:sz="6" w:space="6" w:color="D1D5DB"/>
      </w:pBdr>
      <w:spacing w:before="80"/>
      <w:rPr>
        <w:lang w:val="de-DE"/>
      </w:rPr>
    </w:pPr>
    <w:r w:rsidRPr="00190770">
      <w:rPr>
        <w:color w:val="6B7280"/>
        <w:sz w:val="16"/>
        <w:szCs w:val="16"/>
        <w:lang w:val="de-DE"/>
      </w:rPr>
      <w:t xml:space="preserve">Zum Einfügen in Kindle Direct Publishing  ·  Seite </w:t>
    </w:r>
    <w:r>
      <w:rPr>
        <w:color w:val="6B7280"/>
        <w:sz w:val="16"/>
        <w:szCs w:val="16"/>
      </w:rPr>
      <w:fldChar w:fldCharType="begin"/>
    </w:r>
    <w:r w:rsidRPr="00190770">
      <w:rPr>
        <w:color w:val="6B7280"/>
        <w:sz w:val="16"/>
        <w:szCs w:val="16"/>
        <w:lang w:val="de-DE"/>
      </w:rPr>
      <w:instrText>PAGE</w:instrText>
    </w:r>
    <w:r>
      <w:rPr>
        <w:color w:val="6B7280"/>
        <w:sz w:val="16"/>
        <w:szCs w:val="16"/>
      </w:rPr>
      <w:fldChar w:fldCharType="separate"/>
    </w:r>
    <w:r w:rsidR="00190770" w:rsidRPr="00190770">
      <w:rPr>
        <w:noProof/>
        <w:color w:val="6B7280"/>
        <w:sz w:val="16"/>
        <w:szCs w:val="16"/>
        <w:lang w:val="de-DE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29C26" w14:textId="77777777" w:rsidR="00590F6F" w:rsidRDefault="00590F6F">
      <w:r>
        <w:separator/>
      </w:r>
    </w:p>
  </w:footnote>
  <w:footnote w:type="continuationSeparator" w:id="0">
    <w:p w14:paraId="6C60232D" w14:textId="77777777" w:rsidR="00590F6F" w:rsidRDefault="00590F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1FE99" w14:textId="77777777" w:rsidR="00CD6226" w:rsidRDefault="00000000">
    <w:pPr>
      <w:pBdr>
        <w:bottom w:val="single" w:sz="8" w:space="6" w:color="1B3A4B"/>
      </w:pBdr>
      <w:spacing w:after="120"/>
    </w:pPr>
    <w:r>
      <w:rPr>
        <w:b/>
        <w:bCs/>
        <w:color w:val="1B3A4B"/>
        <w:spacing w:val="80"/>
        <w:sz w:val="16"/>
        <w:szCs w:val="16"/>
      </w:rPr>
      <w:t>KDP-PRODUKTBESCHREIBUNG</w:t>
    </w:r>
    <w:r>
      <w:rPr>
        <w:color w:val="6B7280"/>
        <w:sz w:val="16"/>
        <w:szCs w:val="16"/>
      </w:rPr>
      <w:t xml:space="preserve">   REV 120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06D00"/>
    <w:multiLevelType w:val="hybridMultilevel"/>
    <w:tmpl w:val="DC240E06"/>
    <w:lvl w:ilvl="0" w:tplc="5860E398">
      <w:start w:val="1"/>
      <w:numFmt w:val="bullet"/>
      <w:lvlText w:val="•"/>
      <w:lvlJc w:val="left"/>
      <w:pPr>
        <w:ind w:left="420" w:hanging="280"/>
      </w:pPr>
    </w:lvl>
    <w:lvl w:ilvl="1" w:tplc="D8221A3A">
      <w:numFmt w:val="decimal"/>
      <w:lvlText w:val=""/>
      <w:lvlJc w:val="left"/>
    </w:lvl>
    <w:lvl w:ilvl="2" w:tplc="8BFCE1EA">
      <w:numFmt w:val="decimal"/>
      <w:lvlText w:val=""/>
      <w:lvlJc w:val="left"/>
    </w:lvl>
    <w:lvl w:ilvl="3" w:tplc="807C7B68">
      <w:numFmt w:val="decimal"/>
      <w:lvlText w:val=""/>
      <w:lvlJc w:val="left"/>
    </w:lvl>
    <w:lvl w:ilvl="4" w:tplc="AF340436">
      <w:numFmt w:val="decimal"/>
      <w:lvlText w:val=""/>
      <w:lvlJc w:val="left"/>
    </w:lvl>
    <w:lvl w:ilvl="5" w:tplc="D2CEC142">
      <w:numFmt w:val="decimal"/>
      <w:lvlText w:val=""/>
      <w:lvlJc w:val="left"/>
    </w:lvl>
    <w:lvl w:ilvl="6" w:tplc="AC026BDC">
      <w:numFmt w:val="decimal"/>
      <w:lvlText w:val=""/>
      <w:lvlJc w:val="left"/>
    </w:lvl>
    <w:lvl w:ilvl="7" w:tplc="2EA4B884">
      <w:numFmt w:val="decimal"/>
      <w:lvlText w:val=""/>
      <w:lvlJc w:val="left"/>
    </w:lvl>
    <w:lvl w:ilvl="8" w:tplc="3FA40C52">
      <w:numFmt w:val="decimal"/>
      <w:lvlText w:val=""/>
      <w:lvlJc w:val="left"/>
    </w:lvl>
  </w:abstractNum>
  <w:abstractNum w:abstractNumId="1" w15:restartNumberingAfterBreak="0">
    <w:nsid w:val="408D2F77"/>
    <w:multiLevelType w:val="hybridMultilevel"/>
    <w:tmpl w:val="151A0154"/>
    <w:lvl w:ilvl="0" w:tplc="440CF816">
      <w:start w:val="1"/>
      <w:numFmt w:val="bullet"/>
      <w:lvlText w:val="●"/>
      <w:lvlJc w:val="left"/>
      <w:pPr>
        <w:ind w:left="720" w:hanging="360"/>
      </w:pPr>
    </w:lvl>
    <w:lvl w:ilvl="1" w:tplc="F7A2A6A4">
      <w:start w:val="1"/>
      <w:numFmt w:val="bullet"/>
      <w:lvlText w:val="○"/>
      <w:lvlJc w:val="left"/>
      <w:pPr>
        <w:ind w:left="1440" w:hanging="360"/>
      </w:pPr>
    </w:lvl>
    <w:lvl w:ilvl="2" w:tplc="61FC6012">
      <w:start w:val="1"/>
      <w:numFmt w:val="bullet"/>
      <w:lvlText w:val="■"/>
      <w:lvlJc w:val="left"/>
      <w:pPr>
        <w:ind w:left="2160" w:hanging="360"/>
      </w:pPr>
    </w:lvl>
    <w:lvl w:ilvl="3" w:tplc="01602E50">
      <w:start w:val="1"/>
      <w:numFmt w:val="bullet"/>
      <w:lvlText w:val="●"/>
      <w:lvlJc w:val="left"/>
      <w:pPr>
        <w:ind w:left="2880" w:hanging="360"/>
      </w:pPr>
    </w:lvl>
    <w:lvl w:ilvl="4" w:tplc="2F8EA406">
      <w:start w:val="1"/>
      <w:numFmt w:val="bullet"/>
      <w:lvlText w:val="○"/>
      <w:lvlJc w:val="left"/>
      <w:pPr>
        <w:ind w:left="3600" w:hanging="360"/>
      </w:pPr>
    </w:lvl>
    <w:lvl w:ilvl="5" w:tplc="23BC488E">
      <w:start w:val="1"/>
      <w:numFmt w:val="bullet"/>
      <w:lvlText w:val="■"/>
      <w:lvlJc w:val="left"/>
      <w:pPr>
        <w:ind w:left="4320" w:hanging="360"/>
      </w:pPr>
    </w:lvl>
    <w:lvl w:ilvl="6" w:tplc="FA845424">
      <w:start w:val="1"/>
      <w:numFmt w:val="bullet"/>
      <w:lvlText w:val="●"/>
      <w:lvlJc w:val="left"/>
      <w:pPr>
        <w:ind w:left="5040" w:hanging="360"/>
      </w:pPr>
    </w:lvl>
    <w:lvl w:ilvl="7" w:tplc="6E86A484">
      <w:start w:val="1"/>
      <w:numFmt w:val="bullet"/>
      <w:lvlText w:val="●"/>
      <w:lvlJc w:val="left"/>
      <w:pPr>
        <w:ind w:left="5760" w:hanging="360"/>
      </w:pPr>
    </w:lvl>
    <w:lvl w:ilvl="8" w:tplc="EB1AD4F2">
      <w:start w:val="1"/>
      <w:numFmt w:val="bullet"/>
      <w:lvlText w:val="●"/>
      <w:lvlJc w:val="left"/>
      <w:pPr>
        <w:ind w:left="6480" w:hanging="360"/>
      </w:pPr>
    </w:lvl>
  </w:abstractNum>
  <w:num w:numId="1" w16cid:durableId="1837838335">
    <w:abstractNumId w:val="1"/>
    <w:lvlOverride w:ilvl="0">
      <w:startOverride w:val="1"/>
    </w:lvlOverride>
  </w:num>
  <w:num w:numId="2" w16cid:durableId="9515200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226"/>
    <w:rsid w:val="00190770"/>
    <w:rsid w:val="00590F6F"/>
    <w:rsid w:val="00CD6226"/>
    <w:rsid w:val="00D01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2306A"/>
  <w15:docId w15:val="{3A5922C7-9F67-4C07-80FC-052079F57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80"/>
      <w:outlineLvl w:val="0"/>
    </w:pPr>
    <w:rPr>
      <w:b/>
      <w:bCs/>
      <w:color w:val="1B3A4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B3A4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Drew Peters</dc:creator>
  <cp:lastModifiedBy>Lothar Musiol</cp:lastModifiedBy>
  <cp:revision>2</cp:revision>
  <dcterms:created xsi:type="dcterms:W3CDTF">2026-10-09T15:18:00Z</dcterms:created>
  <dcterms:modified xsi:type="dcterms:W3CDTF">2026-10-09T17:36:00Z</dcterms:modified>
  <dc:title>KDP-Beschreibung REV124</dc:title>
</cp:coreProperties>
</file>