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11</w:t>
      </w:r>
    </w:p>
    <w:p>
      <w:pPr>
        <w:pStyle w:val="Heading1"/>
        <w:ind w:left="0" w:right="0" w:firstLine="0"/>
        <w:jc w:val="center"/>
      </w:pPr>
      <w:r>
        <w:t>The First Three Minutes</w:t>
      </w:r>
    </w:p>
    <w:p>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pStyle w:val="Heading2"/>
      </w:pPr>
      <w:r>
        <w:t xml:space="preserve">What came before?</w:t>
      </w:r>
    </w:p>
    <w:p>
      <w:pPr>
        <w:jc w:val="both"/>
      </w:pPr>
      <w:r>
        <w:t xml:space="preserve">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pStyle w:val="Heading2"/>
      </w:pPr>
      <w:r>
        <w:t xml:space="preserve">Did the universe begin at a point?</w:t>
      </w:r>
    </w:p>
    <w:p>
      <w:pPr>
        <w:jc w:val="both"/>
      </w:pPr>
      <w:r>
        <w:t xml:space="preserve">The phrase “the beginning of the universe” can be misleading. The Big Bang model tells us that the universe was once much hotter and denser and that it has been expanding and cooling. It does not, by itself, give us a complete description of an absolute beginning from nothing. 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