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1620 to 1993: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are the only humans in this book,” one senior dolphin scholar added, “who looked at capability, decided it was optional, and voted, community by community, generation after generation, to keep less of it on purpose. The Amish do by choice roughly what nature simply built into every dolphin. Dolphin scholarship extends this group its warmest professional regard in the entire book.”</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one of the only new major world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rPr>
          <w:i/>
          <w:iCs/>
        </w:rPr>
        <w:t xml:space="preserve">“Dolphin scholarship makes a point of not grading founding claims on documentation alone,” dolphin historians observed, “but it notes that the Rosetta Stone, the Shang oracle bones, and the Dead Sea Scrolls are all still available for inspection, and the plates are not. It moves on without further comment, a silence that is its own form of comment.”</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No other country in this book generates new, homegrown religious movements at anything close to this rate,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2026-10-02T20:38:59.604Z</dcterms:created>
  <dcterms:modified xsi:type="dcterms:W3CDTF">2026-10-02T20:38:59.604Z</dcterms:modified>
</cp:coreProperties>
</file>

<file path=docProps/custom.xml><?xml version="1.0" encoding="utf-8"?>
<Properties xmlns="http://schemas.openxmlformats.org/officeDocument/2006/custom-properties" xmlns:vt="http://schemas.openxmlformats.org/officeDocument/2006/docPropsVTypes"/>
</file>