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footer56.xml" ContentType="application/vnd.openxmlformats-officedocument.wordprocessingml.footer+xml"/>
  <Override PartName="/word/footer55.xml" ContentType="application/vnd.openxmlformats-officedocument.wordprocessingml.footer+xml"/>
  <Override PartName="/word/footer54.xml" ContentType="application/vnd.openxmlformats-officedocument.wordprocessingml.footer+xml"/>
  <Override PartName="/word/footer53.xml" ContentType="application/vnd.openxmlformats-officedocument.wordprocessingml.footer+xml"/>
  <Override PartName="/word/footer52.xml" ContentType="application/vnd.openxmlformats-officedocument.wordprocessingml.footer+xml"/>
  <Override PartName="/word/footer51.xml" ContentType="application/vnd.openxmlformats-officedocument.wordprocessingml.footer+xml"/>
  <Override PartName="/word/footer50.xml" ContentType="application/vnd.openxmlformats-officedocument.wordprocessingml.footer+xml"/>
  <Override PartName="/word/footer46.xml" ContentType="application/vnd.openxmlformats-officedocument.wordprocessingml.footer+xml"/>
  <Override PartName="/word/footer7.xml" ContentType="application/vnd.openxmlformats-officedocument.wordprocessingml.footer+xml"/>
  <Override PartName="/word/footer45.xml" ContentType="application/vnd.openxmlformats-officedocument.wordprocessingml.footer+xml"/>
  <Override PartName="/word/footer6.xml" ContentType="application/vnd.openxmlformats-officedocument.wordprocessingml.footer+xml"/>
  <Override PartName="/word/footer44.xml" ContentType="application/vnd.openxmlformats-officedocument.wordprocessingml.footer+xml"/>
  <Override PartName="/word/footer5.xml" ContentType="application/vnd.openxmlformats-officedocument.wordprocessingml.footer+xml"/>
  <Override PartName="/word/footer43.xml" ContentType="application/vnd.openxmlformats-officedocument.wordprocessingml.footer+xml"/>
  <Override PartName="/word/footer4.xml" ContentType="application/vnd.openxmlformats-officedocument.wordprocessingml.footer+xml"/>
  <Override PartName="/word/footer42.xml" ContentType="application/vnd.openxmlformats-officedocument.wordprocessingml.footer+xml"/>
  <Override PartName="/word/footer3.xml" ContentType="application/vnd.openxmlformats-officedocument.wordprocessingml.footer+xml"/>
  <Override PartName="/word/_rels/document.xml.rels" ContentType="application/vnd.openxmlformats-package.relationships+xml"/>
  <Override PartName="/word/footer41.xml" ContentType="application/vnd.openxmlformats-officedocument.wordprocessingml.footer+xml"/>
  <Override PartName="/word/footer2.xml" ContentType="application/vnd.openxmlformats-officedocument.wordprocessingml.footer+xml"/>
  <Override PartName="/word/footer40.xml" ContentType="application/vnd.openxmlformats-officedocument.wordprocessingml.footer+xml"/>
  <Override PartName="/word/footer1.xml" ContentType="application/vnd.openxmlformats-officedocument.wordprocessingml.footer+xml"/>
  <Override PartName="/word/footer39.xml" ContentType="application/vnd.openxmlformats-officedocument.wordprocessingml.footer+xml"/>
  <Override PartName="/word/footer38.xml" ContentType="application/vnd.openxmlformats-officedocument.wordprocessingml.footer+xml"/>
  <Override PartName="/word/footer37.xml" ContentType="application/vnd.openxmlformats-officedocument.wordprocessingml.footer+xml"/>
  <Override PartName="/word/footer36.xml" ContentType="application/vnd.openxmlformats-officedocument.wordprocessingml.footer+xml"/>
  <Override PartName="/word/footer35.xml" ContentType="application/vnd.openxmlformats-officedocument.wordprocessingml.footer+xml"/>
  <Override PartName="/word/footer34.xml" ContentType="application/vnd.openxmlformats-officedocument.wordprocessingml.footer+xml"/>
  <Override PartName="/word/footer29.xml" ContentType="application/vnd.openxmlformats-officedocument.wordprocessingml.footer+xml"/>
  <Override PartName="/word/footer28.xml" ContentType="application/vnd.openxmlformats-officedocument.wordprocessingml.footer+xml"/>
  <Override PartName="/word/footer93.xml" ContentType="application/vnd.openxmlformats-officedocument.wordprocessingml.footer+xml"/>
  <Override PartName="/word/theme/theme1.xml" ContentType="application/vnd.openxmlformats-officedocument.theme+xml"/>
  <Override PartName="/word/footer48.xml" ContentType="application/vnd.openxmlformats-officedocument.wordprocessingml.footer+xml"/>
  <Override PartName="/word/footer9.xml" ContentType="application/vnd.openxmlformats-officedocument.wordprocessingml.footer+xml"/>
  <Override PartName="/word/footer11.xml" ContentType="application/vnd.openxmlformats-officedocument.wordprocessingml.footer+xml"/>
  <Override PartName="/word/footer33.xml" ContentType="application/vnd.openxmlformats-officedocument.wordprocessingml.footer+xml"/>
  <Override PartName="/word/footer47.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32.xml" ContentType="application/vnd.openxmlformats-officedocument.wordprocessingml.footer+xml"/>
  <Override PartName="/word/footer31.xml" ContentType="application/vnd.openxmlformats-officedocument.wordprocessingml.footer+xml"/>
  <Override PartName="/word/footer58.xml" ContentType="application/vnd.openxmlformats-officedocument.wordprocessingml.footer+xml"/>
  <Override PartName="/word/footer21.xml" ContentType="application/vnd.openxmlformats-officedocument.wordprocessingml.footer+xml"/>
  <Override PartName="/word/footer60.xml" ContentType="application/vnd.openxmlformats-officedocument.wordprocessingml.footer+xml"/>
  <Override PartName="/word/footer59.xml" ContentType="application/vnd.openxmlformats-officedocument.wordprocessingml.footer+xml"/>
  <Override PartName="/word/footer22.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92.xml" ContentType="application/vnd.openxmlformats-officedocument.wordprocessingml.footer+xml"/>
  <Override PartName="/word/footer27.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30.xml" ContentType="application/vnd.openxmlformats-officedocument.wordprocessingml.footer+xml"/>
  <Override PartName="/word/footer68.xml" ContentType="application/vnd.openxmlformats-officedocument.wordprocessingml.footer+xml"/>
  <Override PartName="/word/footer70.xml" ContentType="application/vnd.openxmlformats-officedocument.wordprocessingml.footer+xml"/>
  <Override PartName="/word/footer69.xml" ContentType="application/vnd.openxmlformats-officedocument.wordprocessingml.footer+xml"/>
  <Override PartName="/word/footer71.xml" ContentType="application/vnd.openxmlformats-officedocument.wordprocessingml.footer+xml"/>
  <Override PartName="/word/fontTable.xml" ContentType="application/vnd.openxmlformats-officedocument.wordprocessingml.fontTable+xml"/>
  <Override PartName="/word/footer89.xml" ContentType="application/vnd.openxmlformats-officedocument.wordprocessingml.footer+xml"/>
  <Override PartName="/word/footer77.xml" ContentType="application/vnd.openxmlformats-officedocument.wordprocessingml.footer+xml"/>
  <Override PartName="/word/footer87.xml" ContentType="application/vnd.openxmlformats-officedocument.wordprocessingml.footer+xml"/>
  <Override PartName="/word/footer75.xml" ContentType="application/vnd.openxmlformats-officedocument.wordprocessingml.footer+xml"/>
  <Override PartName="/word/footer86.xml" ContentType="application/vnd.openxmlformats-officedocument.wordprocessingml.footer+xml"/>
  <Override PartName="/word/footer74.xml" ContentType="application/vnd.openxmlformats-officedocument.wordprocessingml.footer+xml"/>
  <Override PartName="/word/styles.xml" ContentType="application/vnd.openxmlformats-officedocument.wordprocessingml.styles+xml"/>
  <Override PartName="/word/footer85.xml" ContentType="application/vnd.openxmlformats-officedocument.wordprocessingml.footer+xml"/>
  <Override PartName="/word/footer73.xml" ContentType="application/vnd.openxmlformats-officedocument.wordprocessingml.footer+xml"/>
  <Override PartName="/word/footer79.xml" ContentType="application/vnd.openxmlformats-officedocument.wordprocessingml.footer+xml"/>
  <Override PartName="/word/footer78.xml" ContentType="application/vnd.openxmlformats-officedocument.wordprocessingml.footer+xml"/>
  <Override PartName="/word/footer76.xml" ContentType="application/vnd.openxmlformats-officedocument.wordprocessingml.footer+xml"/>
  <Override PartName="/word/footer72.xml" ContentType="application/vnd.openxmlformats-officedocument.wordprocessingml.footer+xml"/>
  <Override PartName="/word/footer26.xml" ContentType="application/vnd.openxmlformats-officedocument.wordprocessingml.footer+xml"/>
  <Override PartName="/word/footer91.xml" ContentType="application/vnd.openxmlformats-officedocument.wordprocessingml.footer+xml"/>
  <Override PartName="/word/footer12.xml" ContentType="application/vnd.openxmlformats-officedocument.wordprocessingml.footer+xml"/>
  <Override PartName="/word/footer49.xml" ContentType="application/vnd.openxmlformats-officedocument.wordprocessingml.footer+xml"/>
  <Override PartName="/word/footer90.xml" ContentType="application/vnd.openxmlformats-officedocument.wordprocessingml.footer+xml"/>
  <Override PartName="/word/footer25.xml" ContentType="application/vnd.openxmlformats-officedocument.wordprocessingml.footer+xml"/>
  <Override PartName="/word/footer24.xml" ContentType="application/vnd.openxmlformats-officedocument.wordprocessingml.footer+xml"/>
  <Override PartName="/word/footer23.xml" ContentType="application/vnd.openxmlformats-officedocument.wordprocessingml.footer+xml"/>
  <Override PartName="/word/footer19.xml" ContentType="application/vnd.openxmlformats-officedocument.wordprocessingml.footer+xml"/>
  <Override PartName="/word/footer84.xml" ContentType="application/vnd.openxmlformats-officedocument.wordprocessingml.footer+xml"/>
  <Override PartName="/word/footer20.xml" ContentType="application/vnd.openxmlformats-officedocument.wordprocessingml.footer+xml"/>
  <Override PartName="/word/footer57.xml" ContentType="application/vnd.openxmlformats-officedocument.wordprocessingml.footer+xml"/>
  <Override PartName="/word/footer18.xml" ContentType="application/vnd.openxmlformats-officedocument.wordprocessingml.footer+xml"/>
  <Override PartName="/word/footer83.xml" ContentType="application/vnd.openxmlformats-officedocument.wordprocessingml.footer+xml"/>
  <Override PartName="/word/footer82.xml" ContentType="application/vnd.openxmlformats-officedocument.wordprocessingml.footer+xml"/>
  <Override PartName="/word/footer17.xml" ContentType="application/vnd.openxmlformats-officedocument.wordprocessingml.footer+xml"/>
  <Override PartName="/word/footer81.xml" ContentType="application/vnd.openxmlformats-officedocument.wordprocessingml.footer+xml"/>
  <Override PartName="/word/footer16.xml" ContentType="application/vnd.openxmlformats-officedocument.wordprocessingml.footer+xml"/>
  <Override PartName="/word/footer80.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document.xml" ContentType="application/vnd.openxmlformats-officedocument.wordprocessingml.document.main+xml"/>
  <Override PartName="/word/footer88.xml" ContentType="application/vnd.openxmlformats-officedocument.wordprocessingml.footer+xml"/>
  <Override PartName="/word/footer1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pPr>
      <w:r>
        <w:rPr>
          <w:rFonts w:eastAsia="Amazon Ember" w:cs="Amazon Ember" w:ascii="Amazon Ember" w:hAnsi="Amazon Ember"/>
          <w:b/>
          <w:bCs/>
          <w:color w:val="0000FF"/>
          <w:sz w:val="52"/>
          <w:szCs w:val="52"/>
        </w:rPr>
        <w:t>Auswandern</w:t>
      </w:r>
    </w:p>
    <w:p>
      <w:pPr>
        <w:pStyle w:val="Normal"/>
        <w:spacing w:before="0" w:after="360"/>
        <w:jc w:val="center"/>
        <w:rPr/>
      </w:pPr>
      <w:r>
        <w:rPr>
          <w:rFonts w:eastAsia="Amazon Ember" w:cs="Amazon Ember" w:ascii="Amazon Ember" w:hAnsi="Amazon Ember"/>
          <w:b/>
          <w:bCs/>
          <w:color w:val="0000FF"/>
          <w:sz w:val="32"/>
          <w:szCs w:val="32"/>
        </w:rPr>
        <w:t>Ab in die USA, Kanada, Australien oder Neuseeland?</w:t>
      </w:r>
    </w:p>
    <w:p>
      <w:pPr>
        <w:pStyle w:val="Normal"/>
        <w:spacing w:lineRule="exact" w:line="300" w:before="0" w:after="720"/>
        <w:jc w:val="center"/>
        <w:rPr/>
      </w:pPr>
      <w:r>
        <w:rPr>
          <w:rFonts w:eastAsia="Cambria" w:cs="Cambria"/>
          <w:sz w:val="22"/>
          <w:szCs w:val="22"/>
        </w:rPr>
        <w:t>Visa und Aufenthaltstitel, Umzug und Kosten, Wohnen und Steuern, Schule, Freunde und Kultur: Alles, was du vor, während und nach dem Umzug von Deutschland in die USA, nach Kanada, Australien oder Neuseeland wissen musst.</w:t>
      </w:r>
    </w:p>
    <w:p>
      <w:pPr>
        <w:pStyle w:val="Normal"/>
        <w:spacing w:before="0" w:after="120"/>
        <w:jc w:val="center"/>
        <w:rPr/>
      </w:pPr>
      <w:r>
        <w:rPr>
          <w:rFonts w:eastAsia="Cambria" w:cs="Cambria"/>
          <w:b/>
          <w:bCs/>
          <w:sz w:val="30"/>
          <w:szCs w:val="30"/>
        </w:rPr>
        <w:t>Lothar J. Musiol</w:t>
      </w:r>
    </w:p>
    <w:p>
      <w:pPr>
        <w:sectPr>
          <w:footerReference w:type="even" r:id="rId2"/>
          <w:footerReference w:type="default" r:id="rId3"/>
          <w:footerReference w:type="first" r:id="rId4"/>
          <w:type w:val="nextPage"/>
          <w:pgSz w:w="8640" w:h="12983"/>
          <w:pgMar w:left="1080" w:right="1080" w:gutter="0" w:header="0" w:top="1080" w:footer="708" w:bottom="1100"/>
          <w:pgNumType w:fmt="decimal"/>
          <w:formProt w:val="false"/>
          <w:vAlign w:val="center"/>
          <w:textDirection w:val="lrTb"/>
          <w:docGrid w:type="default" w:linePitch="360" w:charSpace="4096"/>
        </w:sectPr>
        <w:pStyle w:val="Normal"/>
        <w:jc w:val="center"/>
        <w:rPr/>
      </w:pPr>
      <w:r>
        <w:rPr>
          <w:rFonts w:eastAsia="Cambria" w:cs="Cambria"/>
          <w:color w:val="666666"/>
          <w:sz w:val="20"/>
          <w:szCs w:val="20"/>
        </w:rPr>
        <w:t>Stand: September 2026</w:t>
      </w:r>
    </w:p>
    <w:p>
      <w:pPr>
        <w:pStyle w:val="Normal"/>
        <w:keepNext w:val="false"/>
        <w:keepLines w:val="false"/>
        <w:spacing w:lineRule="exact" w:line="260" w:before="0" w:after="90"/>
        <w:jc w:val="left"/>
        <w:rPr/>
      </w:pPr>
      <w:r>
        <w:rPr>
          <w:rFonts w:eastAsia="Cambria" w:cs="Cambria"/>
          <w:b/>
          <w:bCs/>
          <w:i w:val="false"/>
          <w:iCs w:val="false"/>
          <w:color w:val="444444"/>
          <w:sz w:val="17"/>
          <w:szCs w:val="17"/>
        </w:rPr>
        <w:t>Auswandern – Ab in die USA, Kanada, Australien oder Neuseeland?</w:t>
      </w:r>
    </w:p>
    <w:p>
      <w:pPr>
        <w:pStyle w:val="Normal"/>
        <w:keepNext w:val="false"/>
        <w:keepLines w:val="false"/>
        <w:spacing w:lineRule="exact" w:line="260" w:before="0" w:after="90"/>
        <w:jc w:val="left"/>
        <w:rPr/>
      </w:pPr>
      <w:r>
        <w:rPr>
          <w:rFonts w:eastAsia="Cambria" w:cs="Cambria"/>
          <w:b w:val="false"/>
          <w:bCs w:val="false"/>
          <w:i w:val="false"/>
          <w:iCs w:val="false"/>
          <w:color w:val="444444"/>
          <w:sz w:val="17"/>
          <w:szCs w:val="17"/>
        </w:rPr>
        <w:t>Copyright © 2026 Lothar J. Musiol. Alle Rechte vorbehalten. Kein Teil dieses Buches darf ohne schriftliche Genehmigung des Autors vervielfältigt, gespeichert oder in irgendeiner Form übertragen werden, auch nicht auszugsweise.</w:t>
      </w:r>
    </w:p>
    <w:p>
      <w:pPr>
        <w:pStyle w:val="Normal"/>
        <w:keepNext w:val="false"/>
        <w:keepLines w:val="false"/>
        <w:spacing w:lineRule="exact" w:line="260" w:before="0" w:after="90"/>
        <w:jc w:val="left"/>
        <w:rPr/>
      </w:pPr>
      <w:r>
        <w:rPr>
          <w:rFonts w:eastAsia="Cambria" w:cs="Cambria"/>
          <w:b/>
          <w:bCs/>
          <w:i w:val="false"/>
          <w:iCs w:val="false"/>
          <w:color w:val="444444"/>
          <w:sz w:val="17"/>
          <w:szCs w:val="17"/>
        </w:rPr>
        <w:t>Stand der Angaben: September 2026.</w:t>
      </w:r>
      <w:r>
        <w:rPr>
          <w:rFonts w:eastAsia="Cambria" w:cs="Cambria"/>
          <w:b w:val="false"/>
          <w:bCs w:val="false"/>
          <w:i w:val="false"/>
          <w:iCs w:val="false"/>
          <w:color w:val="444444"/>
          <w:sz w:val="17"/>
          <w:szCs w:val="17"/>
        </w:rPr>
        <w:t xml:space="preserve"> Einwanderungs-, Steuer-, Sozialversicherungs- und Gesundheitsrecht der USA, Kanadas, Australiens, Neuseelands und Deutschlands sowie Gebühren, Fristen und Bearbeitungszeiten ändern sich häufig, manchmal von einem Monat zum nächsten. Prüfe vor jeder Entscheidung die in den Kapiteln genannten offiziellen Quellen.</w:t>
      </w:r>
    </w:p>
    <w:p>
      <w:pPr>
        <w:pStyle w:val="Normal"/>
        <w:keepNext w:val="false"/>
        <w:keepLines w:val="false"/>
        <w:spacing w:lineRule="exact" w:line="260" w:before="0" w:after="90"/>
        <w:jc w:val="left"/>
        <w:rPr/>
      </w:pPr>
      <w:r>
        <w:rPr>
          <w:rFonts w:eastAsia="Cambria" w:cs="Cambria"/>
          <w:b/>
          <w:bCs/>
          <w:i w:val="false"/>
          <w:iCs w:val="false"/>
          <w:color w:val="444444"/>
          <w:sz w:val="17"/>
          <w:szCs w:val="17"/>
        </w:rPr>
        <w:t>Haftungsausschluss.</w:t>
      </w:r>
      <w:r>
        <w:rPr>
          <w:rFonts w:eastAsia="Cambria" w:cs="Cambria"/>
          <w:b w:val="false"/>
          <w:bCs w:val="false"/>
          <w:i w:val="false"/>
          <w:iCs w:val="false"/>
          <w:color w:val="444444"/>
          <w:sz w:val="17"/>
          <w:szCs w:val="17"/>
        </w:rPr>
        <w:t xml:space="preserve"> Dieses Buch ist ein Ratgeber. Es ersetzt keine individuelle Rechts-, Steuer-, Finanz- oder Einwanderungsberatung. Der Autor hat mit großer Sorgfalt recherchiert, übernimmt aber keine Gewähr für Richtigkeit, Vollständigkeit und Aktualität und keine Haftung für Entscheidungen, die auf Grundlage dieses Buches getroffen werden. Bei Visum, Steuern, Immobilien und Vorsorge solltest du zugelassene Fachleute hinzuziehen.</w:t>
      </w:r>
    </w:p>
    <w:p>
      <w:pPr>
        <w:pStyle w:val="Normal"/>
        <w:keepNext w:val="false"/>
        <w:keepLines w:val="false"/>
        <w:spacing w:lineRule="exact" w:line="260" w:before="0" w:after="90"/>
        <w:jc w:val="left"/>
        <w:rPr/>
      </w:pPr>
      <w:r>
        <w:rPr>
          <w:rFonts w:eastAsia="Cambria" w:cs="Cambria"/>
          <w:b w:val="false"/>
          <w:bCs w:val="false"/>
          <w:i w:val="false"/>
          <w:iCs w:val="false"/>
          <w:color w:val="444444"/>
          <w:sz w:val="17"/>
          <w:szCs w:val="17"/>
        </w:rPr>
        <w:t>Die in den Praxisbeispielen auftretenden Familien und Personen sind frei erfunden; Ähnlichkeiten mit lebenden Personen wären zufällig. Marken- und Produktnamen werden nur genannt, wo sie die praktische Information sind, und gehören ihren jeweiligen Inhabern.</w:t>
      </w:r>
    </w:p>
    <w:p>
      <w:pPr>
        <w:sectPr>
          <w:footerReference w:type="even" r:id="rId5"/>
          <w:footerReference w:type="default" r:id="rId6"/>
          <w:footerReference w:type="first" r:id="rId7"/>
          <w:type w:val="nextPage"/>
          <w:pgSz w:w="8640" w:h="12983"/>
          <w:pgMar w:left="1080" w:right="1080" w:gutter="0" w:header="0" w:top="1080" w:footer="708" w:bottom="1100"/>
          <w:pgNumType w:fmt="decimal"/>
          <w:formProt w:val="false"/>
          <w:vAlign w:val="bottom"/>
          <w:textDirection w:val="lrTb"/>
          <w:docGrid w:type="default" w:linePitch="360" w:charSpace="4096"/>
        </w:sectPr>
        <w:pStyle w:val="Normal"/>
        <w:keepNext w:val="false"/>
        <w:keepLines w:val="false"/>
        <w:spacing w:lineRule="exact" w:line="260" w:before="0" w:after="90"/>
        <w:jc w:val="left"/>
        <w:rPr/>
      </w:pPr>
      <w:r>
        <w:rPr>
          <w:rFonts w:eastAsia="Cambria" w:cs="Cambria"/>
          <w:b w:val="false"/>
          <w:bCs w:val="false"/>
          <w:i w:val="false"/>
          <w:iCs w:val="false"/>
          <w:color w:val="444444"/>
          <w:sz w:val="17"/>
          <w:szCs w:val="17"/>
        </w:rPr>
        <w:t>Erstausgabe 2026.</w:t>
      </w:r>
      <w:r>
        <w:br w:type="page"/>
      </w:r>
    </w:p>
    <w:p>
      <w:pPr>
        <w:pStyle w:val="Normal"/>
        <w:spacing w:before="0" w:after="360"/>
        <w:jc w:val="center"/>
        <w:rPr/>
      </w:pPr>
      <w:r>
        <w:rPr>
          <w:rFonts w:eastAsia="Amazon Ember" w:cs="Amazon Ember" w:ascii="Amazon Ember" w:hAnsi="Amazon Ember"/>
          <w:b/>
          <w:bCs/>
          <w:color w:val="0000FF"/>
          <w:sz w:val="34"/>
          <w:szCs w:val="34"/>
        </w:rPr>
        <w:t>Inhaltsverzeichnis</w:t>
      </w:r>
    </w:p>
    <w:sdt>
      <w:sdtPr>
        <w:docPartObj>
          <w:docPartGallery w:val="Table of Contents"/>
          <w:docPartUnique w:val="true"/>
        </w:docPartObj>
      </w:sdtPr>
      <w:sdtContent>
        <w:p>
          <w:pPr>
            <w:pStyle w:val="TOC2"/>
            <w:tabs>
              <w:tab w:val="clear" w:pos="720"/>
              <w:tab w:val="right" w:pos="6479" w:leader="dot"/>
            </w:tabs>
            <w:rPr/>
          </w:pPr>
          <w:r>
            <w:fldChar w:fldCharType="begin"/>
          </w:r>
          <w:r>
            <w:rPr>
              <w:rStyle w:val="IndexLink"/>
            </w:rPr>
            <w:instrText xml:space="preserve"> TOC \o "1-2" \h</w:instrText>
          </w:r>
          <w:r>
            <w:rPr>
              <w:rStyle w:val="IndexLink"/>
            </w:rPr>
            <w:fldChar w:fldCharType="separate"/>
          </w:r>
          <w:hyperlink w:anchor="__RefHeading___Toc56417_3769931028">
            <w:r>
              <w:rPr>
                <w:rStyle w:val="IndexLink"/>
              </w:rPr>
              <w:t>Vorwort</w:t>
              <w:tab/>
              <w:t>8</w:t>
            </w:r>
          </w:hyperlink>
        </w:p>
        <w:p>
          <w:pPr>
            <w:pStyle w:val="TOC2"/>
            <w:tabs>
              <w:tab w:val="clear" w:pos="720"/>
              <w:tab w:val="right" w:pos="6479" w:leader="dot"/>
            </w:tabs>
            <w:rPr/>
          </w:pPr>
          <w:hyperlink w:anchor="__RefHeading___Toc56419_3769931028">
            <w:r>
              <w:rPr>
                <w:rStyle w:val="IndexLink"/>
              </w:rPr>
              <w:t>So nutzt du dieses Buch</w:t>
              <w:tab/>
              <w:t>11</w:t>
            </w:r>
          </w:hyperlink>
        </w:p>
        <w:p>
          <w:pPr>
            <w:pStyle w:val="TOC1"/>
            <w:tabs>
              <w:tab w:val="clear" w:pos="720"/>
              <w:tab w:val="right" w:pos="6479" w:leader="dot"/>
            </w:tabs>
            <w:rPr/>
          </w:pPr>
          <w:hyperlink w:anchor="__RefHeading___Toc56421_3769931028">
            <w:r>
              <w:rPr>
                <w:rStyle w:val="IndexLink"/>
              </w:rPr>
              <w:t>TEIL UNIVERSAL — Bevor du dich entscheidest</w:t>
              <w:tab/>
              <w:t>14</w:t>
            </w:r>
          </w:hyperlink>
        </w:p>
        <w:p>
          <w:pPr>
            <w:pStyle w:val="TOC2"/>
            <w:tabs>
              <w:tab w:val="clear" w:pos="720"/>
              <w:tab w:val="right" w:pos="6479" w:leader="dot"/>
            </w:tabs>
            <w:rPr/>
          </w:pPr>
          <w:hyperlink w:anchor="__RefHeading___Toc56423_3769931028">
            <w:r>
              <w:rPr>
                <w:rStyle w:val="IndexLink"/>
              </w:rPr>
              <w:t>Kapitel 1: Bist du überhaupt bereit dafür?</w:t>
              <w:tab/>
              <w:t>15</w:t>
            </w:r>
          </w:hyperlink>
        </w:p>
        <w:p>
          <w:pPr>
            <w:pStyle w:val="TOC2"/>
            <w:tabs>
              <w:tab w:val="clear" w:pos="720"/>
              <w:tab w:val="right" w:pos="6479" w:leader="dot"/>
            </w:tabs>
            <w:rPr/>
          </w:pPr>
          <w:hyperlink w:anchor="__RefHeading___Toc56425_3769931028">
            <w:r>
              <w:rPr>
                <w:rStyle w:val="IndexLink"/>
              </w:rPr>
              <w:t>Kapitel 2: Welches Land passt zu dir?</w:t>
              <w:tab/>
              <w:t>31</w:t>
            </w:r>
          </w:hyperlink>
        </w:p>
        <w:p>
          <w:pPr>
            <w:pStyle w:val="TOC1"/>
            <w:tabs>
              <w:tab w:val="clear" w:pos="720"/>
              <w:tab w:val="right" w:pos="6479" w:leader="dot"/>
            </w:tabs>
            <w:rPr/>
          </w:pPr>
          <w:hyperlink w:anchor="__RefHeading___Toc56427_3769931028">
            <w:r>
              <w:rPr>
                <w:rStyle w:val="IndexLink"/>
              </w:rPr>
              <w:t>TEIL I — Die Entscheidung</w:t>
              <w:tab/>
              <w:t>47</w:t>
            </w:r>
          </w:hyperlink>
        </w:p>
        <w:p>
          <w:pPr>
            <w:pStyle w:val="TOC2"/>
            <w:tabs>
              <w:tab w:val="clear" w:pos="720"/>
              <w:tab w:val="right" w:pos="6479" w:leader="dot"/>
            </w:tabs>
            <w:rPr/>
          </w:pPr>
          <w:hyperlink w:anchor="__RefHeading___Toc56429_3769931028">
            <w:r>
              <w:rPr>
                <w:rStyle w:val="IndexLink"/>
              </w:rPr>
              <w:t>Kapitel 1: Die ehrliche Bilanz: Was für die USA spricht und was dagegen</w:t>
              <w:tab/>
              <w:t>48</w:t>
            </w:r>
          </w:hyperlink>
        </w:p>
        <w:p>
          <w:pPr>
            <w:pStyle w:val="TOC2"/>
            <w:tabs>
              <w:tab w:val="clear" w:pos="720"/>
              <w:tab w:val="right" w:pos="6479" w:leader="dot"/>
            </w:tabs>
            <w:rPr/>
          </w:pPr>
          <w:hyperlink w:anchor="__RefHeading___Toc56431_3769931028">
            <w:r>
              <w:rPr>
                <w:rStyle w:val="IndexLink"/>
              </w:rPr>
              <w:t>Kapitel 2: Die 25 größten Fallen</w:t>
              <w:tab/>
              <w:t>66</w:t>
            </w:r>
          </w:hyperlink>
        </w:p>
        <w:p>
          <w:pPr>
            <w:pStyle w:val="TOC2"/>
            <w:tabs>
              <w:tab w:val="clear" w:pos="720"/>
              <w:tab w:val="right" w:pos="6479" w:leader="dot"/>
            </w:tabs>
            <w:rPr/>
          </w:pPr>
          <w:hyperlink w:anchor="__RefHeading___Toc56433_3769931028">
            <w:r>
              <w:rPr>
                <w:rStyle w:val="IndexLink"/>
              </w:rPr>
              <w:t>Kapitel 3: Lohnt es sich für mich? Rechnen, prüfen, entscheiden</w:t>
              <w:tab/>
              <w:t>81</w:t>
            </w:r>
          </w:hyperlink>
        </w:p>
        <w:p>
          <w:pPr>
            <w:pStyle w:val="TOC1"/>
            <w:tabs>
              <w:tab w:val="clear" w:pos="720"/>
              <w:tab w:val="right" w:pos="6479" w:leader="dot"/>
            </w:tabs>
            <w:rPr/>
          </w:pPr>
          <w:hyperlink w:anchor="__RefHeading___Toc56435_3769931028">
            <w:r>
              <w:rPr>
                <w:rStyle w:val="IndexLink"/>
              </w:rPr>
              <w:t>TEIL II — Visum und Green Card</w:t>
              <w:tab/>
              <w:t>98</w:t>
            </w:r>
          </w:hyperlink>
        </w:p>
        <w:p>
          <w:pPr>
            <w:pStyle w:val="TOC2"/>
            <w:tabs>
              <w:tab w:val="clear" w:pos="720"/>
              <w:tab w:val="right" w:pos="6479" w:leader="dot"/>
            </w:tabs>
            <w:rPr/>
          </w:pPr>
          <w:hyperlink w:anchor="__RefHeading___Toc56437_3769931028">
            <w:r>
              <w:rPr>
                <w:rStyle w:val="IndexLink"/>
              </w:rPr>
              <w:t>Kapitel 4: Die Wege in die USA im Überblick</w:t>
              <w:tab/>
              <w:t>99</w:t>
            </w:r>
          </w:hyperlink>
        </w:p>
        <w:p>
          <w:pPr>
            <w:pStyle w:val="TOC2"/>
            <w:tabs>
              <w:tab w:val="clear" w:pos="720"/>
              <w:tab w:val="right" w:pos="6479" w:leader="dot"/>
            </w:tabs>
            <w:rPr/>
          </w:pPr>
          <w:hyperlink w:anchor="__RefHeading___Toc56439_3769931028">
            <w:r>
              <w:rPr>
                <w:rStyle w:val="IndexLink"/>
              </w:rPr>
              <w:t>Kapitel 5: Das H-1B-Visum</w:t>
              <w:tab/>
              <w:t>112</w:t>
            </w:r>
          </w:hyperlink>
        </w:p>
        <w:p>
          <w:pPr>
            <w:pStyle w:val="TOC2"/>
            <w:tabs>
              <w:tab w:val="clear" w:pos="720"/>
              <w:tab w:val="right" w:pos="6479" w:leader="dot"/>
            </w:tabs>
            <w:rPr/>
          </w:pPr>
          <w:hyperlink w:anchor="__RefHeading___Toc56441_3769931028">
            <w:r>
              <w:rPr>
                <w:rStyle w:val="IndexLink"/>
              </w:rPr>
              <w:t>Kapitel 6: Die Green Card</w:t>
              <w:tab/>
              <w:t>135</w:t>
            </w:r>
          </w:hyperlink>
        </w:p>
        <w:p>
          <w:pPr>
            <w:pStyle w:val="TOC2"/>
            <w:tabs>
              <w:tab w:val="clear" w:pos="720"/>
              <w:tab w:val="right" w:pos="6479" w:leader="dot"/>
            </w:tabs>
            <w:rPr/>
          </w:pPr>
          <w:hyperlink w:anchor="__RefHeading___Toc56443_3769931028">
            <w:r>
              <w:rPr>
                <w:rStyle w:val="IndexLink"/>
              </w:rPr>
              <w:t>Kapitel 7: H-1B oder Green Card? Der direkte Vergleich</w:t>
              <w:tab/>
              <w:t>157</w:t>
            </w:r>
          </w:hyperlink>
        </w:p>
        <w:p>
          <w:pPr>
            <w:pStyle w:val="TOC2"/>
            <w:tabs>
              <w:tab w:val="clear" w:pos="720"/>
              <w:tab w:val="right" w:pos="6479" w:leader="dot"/>
            </w:tabs>
            <w:rPr/>
          </w:pPr>
          <w:hyperlink w:anchor="__RefHeading___Toc56445_3769931028">
            <w:r>
              <w:rPr>
                <w:rStyle w:val="IndexLink"/>
              </w:rPr>
              <w:t>Kapitel 8: Der Studienweg: F-1, OPT und der spätere Statuswechsel</w:t>
              <w:tab/>
              <w:t>175</w:t>
            </w:r>
          </w:hyperlink>
        </w:p>
        <w:p>
          <w:pPr>
            <w:pStyle w:val="TOC2"/>
            <w:tabs>
              <w:tab w:val="clear" w:pos="720"/>
              <w:tab w:val="right" w:pos="6479" w:leader="dot"/>
            </w:tabs>
            <w:rPr/>
          </w:pPr>
          <w:hyperlink w:anchor="__RefHeading___Toc56447_3769931028">
            <w:r>
              <w:rPr>
                <w:rStyle w:val="IndexLink"/>
              </w:rPr>
              <w:t>Kapitel 9: Weitere Wege: L-1, O-1, E-2, J-1, Lotterie, Heirat, Selbständigkeit</w:t>
              <w:tab/>
              <w:t>194</w:t>
            </w:r>
          </w:hyperlink>
        </w:p>
        <w:p>
          <w:pPr>
            <w:pStyle w:val="TOC2"/>
            <w:tabs>
              <w:tab w:val="clear" w:pos="720"/>
              <w:tab w:val="right" w:pos="6479" w:leader="dot"/>
            </w:tabs>
            <w:rPr/>
          </w:pPr>
          <w:hyperlink w:anchor="__RefHeading___Toc56449_3769931028">
            <w:r>
              <w:rPr>
                <w:rStyle w:val="IndexLink"/>
              </w:rPr>
              <w:t>Kapitel 10: Ehepartner und Kinder im Visumssystem</w:t>
              <w:tab/>
              <w:t>215</w:t>
            </w:r>
          </w:hyperlink>
        </w:p>
        <w:p>
          <w:pPr>
            <w:pStyle w:val="TOC2"/>
            <w:tabs>
              <w:tab w:val="clear" w:pos="720"/>
              <w:tab w:val="right" w:pos="6479" w:leader="dot"/>
            </w:tabs>
            <w:rPr/>
          </w:pPr>
          <w:hyperlink w:anchor="__RefHeading___Toc56451_3769931028">
            <w:r>
              <w:rPr>
                <w:rStyle w:val="IndexLink"/>
              </w:rPr>
              <w:t>Kapitel 11: Antrag, Konsulat, Anwalt, Kosten</w:t>
              <w:tab/>
              <w:t>233</w:t>
            </w:r>
          </w:hyperlink>
        </w:p>
        <w:p>
          <w:pPr>
            <w:pStyle w:val="TOC1"/>
            <w:tabs>
              <w:tab w:val="clear" w:pos="720"/>
              <w:tab w:val="right" w:pos="6479" w:leader="dot"/>
            </w:tabs>
            <w:rPr/>
          </w:pPr>
          <w:hyperlink w:anchor="__RefHeading___Toc56453_3769931028">
            <w:r>
              <w:rPr>
                <w:rStyle w:val="IndexLink"/>
              </w:rPr>
              <w:t>TEIL III — Wohnort und Wohnen</w:t>
              <w:tab/>
              <w:t>252</w:t>
            </w:r>
          </w:hyperlink>
        </w:p>
        <w:p>
          <w:pPr>
            <w:pStyle w:val="TOC2"/>
            <w:tabs>
              <w:tab w:val="clear" w:pos="720"/>
              <w:tab w:val="right" w:pos="6479" w:leader="dot"/>
            </w:tabs>
            <w:rPr/>
          </w:pPr>
          <w:hyperlink w:anchor="__RefHeading___Toc56455_3769931028">
            <w:r>
              <w:rPr>
                <w:rStyle w:val="IndexLink"/>
              </w:rPr>
              <w:t>Kapitel 12: Wo leben? Die besten Orte nach Berufsfeld</w:t>
              <w:tab/>
              <w:t>253</w:t>
            </w:r>
          </w:hyperlink>
        </w:p>
        <w:p>
          <w:pPr>
            <w:pStyle w:val="TOC2"/>
            <w:tabs>
              <w:tab w:val="clear" w:pos="720"/>
              <w:tab w:val="right" w:pos="6479" w:leader="dot"/>
            </w:tabs>
            <w:rPr/>
          </w:pPr>
          <w:hyperlink w:anchor="__RefHeading___Toc56457_3769931028">
            <w:r>
              <w:rPr>
                <w:rStyle w:val="IndexLink"/>
              </w:rPr>
              <w:t>Kapitel 13: Mieten in den USA</w:t>
              <w:tab/>
              <w:t>276</w:t>
            </w:r>
          </w:hyperlink>
        </w:p>
        <w:p>
          <w:pPr>
            <w:pStyle w:val="TOC2"/>
            <w:tabs>
              <w:tab w:val="clear" w:pos="720"/>
              <w:tab w:val="right" w:pos="6479" w:leader="dot"/>
            </w:tabs>
            <w:rPr/>
          </w:pPr>
          <w:hyperlink w:anchor="__RefHeading___Toc56459_3769931028">
            <w:r>
              <w:rPr>
                <w:rStyle w:val="IndexLink"/>
              </w:rPr>
              <w:t>Kapitel 14: Kaufen in den USA und Hypotheken-Know-how</w:t>
              <w:tab/>
              <w:t>294</w:t>
            </w:r>
          </w:hyperlink>
        </w:p>
        <w:p>
          <w:pPr>
            <w:pStyle w:val="TOC1"/>
            <w:tabs>
              <w:tab w:val="clear" w:pos="720"/>
              <w:tab w:val="right" w:pos="6479" w:leader="dot"/>
            </w:tabs>
            <w:rPr/>
          </w:pPr>
          <w:hyperlink w:anchor="__RefHeading___Toc56461_3769931028">
            <w:r>
              <w:rPr>
                <w:rStyle w:val="IndexLink"/>
              </w:rPr>
              <w:t>TEIL IV — Vorbereitung in Deutschland</w:t>
              <w:tab/>
              <w:t>318</w:t>
            </w:r>
          </w:hyperlink>
        </w:p>
        <w:p>
          <w:pPr>
            <w:pStyle w:val="TOC2"/>
            <w:tabs>
              <w:tab w:val="clear" w:pos="720"/>
              <w:tab w:val="right" w:pos="6479" w:leader="dot"/>
            </w:tabs>
            <w:rPr/>
          </w:pPr>
          <w:hyperlink w:anchor="__RefHeading___Toc56463_3769931028">
            <w:r>
              <w:rPr>
                <w:rStyle w:val="IndexLink"/>
              </w:rPr>
              <w:t>Kapitel 15: Der Masterplan: Zeitleiste vom Entschluss bis zum Abflug</w:t>
              <w:tab/>
              <w:t>319</w:t>
            </w:r>
          </w:hyperlink>
        </w:p>
        <w:p>
          <w:pPr>
            <w:pStyle w:val="TOC2"/>
            <w:tabs>
              <w:tab w:val="clear" w:pos="720"/>
              <w:tab w:val="right" w:pos="6479" w:leader="dot"/>
            </w:tabs>
            <w:rPr/>
          </w:pPr>
          <w:hyperlink w:anchor="__RefHeading___Toc56465_3769931028">
            <w:r>
              <w:rPr>
                <w:rStyle w:val="IndexLink"/>
              </w:rPr>
              <w:t>Kapitel 16: Behörden, Verträge, Versicherungen abwickeln</w:t>
              <w:tab/>
              <w:t>331</w:t>
            </w:r>
          </w:hyperlink>
        </w:p>
        <w:p>
          <w:pPr>
            <w:pStyle w:val="TOC2"/>
            <w:tabs>
              <w:tab w:val="clear" w:pos="720"/>
              <w:tab w:val="right" w:pos="6479" w:leader="dot"/>
            </w:tabs>
            <w:rPr/>
          </w:pPr>
          <w:hyperlink w:anchor="__RefHeading___Toc56467_3769931028">
            <w:r>
              <w:rPr>
                <w:rStyle w:val="IndexLink"/>
              </w:rPr>
              <w:t>Kapitel 17: Steuern, Rente und Geld: die deutsche Seite</w:t>
              <w:tab/>
              <w:t>349</w:t>
            </w:r>
          </w:hyperlink>
        </w:p>
        <w:p>
          <w:pPr>
            <w:pStyle w:val="TOC2"/>
            <w:tabs>
              <w:tab w:val="clear" w:pos="720"/>
              <w:tab w:val="right" w:pos="6479" w:leader="dot"/>
            </w:tabs>
            <w:rPr/>
          </w:pPr>
          <w:hyperlink w:anchor="__RefHeading___Toc56469_3769931028">
            <w:r>
              <w:rPr>
                <w:rStyle w:val="IndexLink"/>
              </w:rPr>
              <w:t>Kapitel 18: Krankenversicherung und Gesundheit vor dem Abflug</w:t>
              <w:tab/>
              <w:t>365</w:t>
            </w:r>
          </w:hyperlink>
        </w:p>
        <w:p>
          <w:pPr>
            <w:pStyle w:val="TOC2"/>
            <w:tabs>
              <w:tab w:val="clear" w:pos="720"/>
              <w:tab w:val="right" w:pos="6479" w:leader="dot"/>
            </w:tabs>
            <w:rPr/>
          </w:pPr>
          <w:hyperlink w:anchor="__RefHeading___Toc56471_3769931028">
            <w:r>
              <w:rPr>
                <w:rStyle w:val="IndexLink"/>
              </w:rPr>
              <w:t>Kapitel 19: Dokumente, Übersetzungen, Apostillen</w:t>
              <w:tab/>
              <w:t>378</w:t>
            </w:r>
          </w:hyperlink>
        </w:p>
        <w:p>
          <w:pPr>
            <w:pStyle w:val="TOC1"/>
            <w:tabs>
              <w:tab w:val="clear" w:pos="720"/>
              <w:tab w:val="right" w:pos="6479" w:leader="dot"/>
            </w:tabs>
            <w:rPr/>
          </w:pPr>
          <w:hyperlink w:anchor="__RefHeading___Toc56473_3769931028">
            <w:r>
              <w:rPr>
                <w:rStyle w:val="IndexLink"/>
              </w:rPr>
              <w:t>TEIL V — Der Umzug</w:t>
              <w:tab/>
              <w:t>394</w:t>
            </w:r>
          </w:hyperlink>
        </w:p>
        <w:p>
          <w:pPr>
            <w:pStyle w:val="TOC2"/>
            <w:tabs>
              <w:tab w:val="clear" w:pos="720"/>
              <w:tab w:val="right" w:pos="6479" w:leader="dot"/>
            </w:tabs>
            <w:rPr/>
          </w:pPr>
          <w:hyperlink w:anchor="__RefHeading___Toc56475_3769931028">
            <w:r>
              <w:rPr>
                <w:rStyle w:val="IndexLink"/>
              </w:rPr>
              <w:t>Kapitel 20: Container, Luftfracht oder Koffer: Umzug planen und Kosten sparen</w:t>
              <w:tab/>
              <w:t>395</w:t>
            </w:r>
          </w:hyperlink>
        </w:p>
        <w:p>
          <w:pPr>
            <w:pStyle w:val="TOC2"/>
            <w:tabs>
              <w:tab w:val="clear" w:pos="720"/>
              <w:tab w:val="right" w:pos="6479" w:leader="dot"/>
            </w:tabs>
            <w:rPr/>
          </w:pPr>
          <w:hyperlink w:anchor="__RefHeading___Toc56477_3769931028">
            <w:r>
              <w:rPr>
                <w:rStyle w:val="IndexLink"/>
              </w:rPr>
              <w:t>Kapitel 21: Mitnehmen oder neu kaufen? Die Raum-für-Raum-Liste</w:t>
              <w:tab/>
              <w:t>413</w:t>
            </w:r>
          </w:hyperlink>
        </w:p>
        <w:p>
          <w:pPr>
            <w:pStyle w:val="TOC2"/>
            <w:tabs>
              <w:tab w:val="clear" w:pos="720"/>
              <w:tab w:val="right" w:pos="6479" w:leader="dot"/>
            </w:tabs>
            <w:rPr/>
          </w:pPr>
          <w:hyperlink w:anchor="__RefHeading___Toc56479_3769931028">
            <w:r>
              <w:rPr>
                <w:rStyle w:val="IndexLink"/>
              </w:rPr>
              <w:t>Kapitel 22: Haustiere: Einreise, Kosten, Alltag</w:t>
              <w:tab/>
              <w:t>432</w:t>
            </w:r>
          </w:hyperlink>
        </w:p>
        <w:p>
          <w:pPr>
            <w:pStyle w:val="TOC1"/>
            <w:tabs>
              <w:tab w:val="clear" w:pos="720"/>
              <w:tab w:val="right" w:pos="6479" w:leader="dot"/>
            </w:tabs>
            <w:rPr/>
          </w:pPr>
          <w:hyperlink w:anchor="__RefHeading___Toc56481_3769931028">
            <w:r>
              <w:rPr>
                <w:rStyle w:val="IndexLink"/>
              </w:rPr>
              <w:t>TEIL VI — Ankommen</w:t>
              <w:tab/>
              <w:t>444</w:t>
            </w:r>
          </w:hyperlink>
        </w:p>
        <w:p>
          <w:pPr>
            <w:pStyle w:val="TOC2"/>
            <w:tabs>
              <w:tab w:val="clear" w:pos="720"/>
              <w:tab w:val="right" w:pos="6479" w:leader="dot"/>
            </w:tabs>
            <w:rPr/>
          </w:pPr>
          <w:hyperlink w:anchor="__RefHeading___Toc56483_3769931028">
            <w:r>
              <w:rPr>
                <w:rStyle w:val="IndexLink"/>
              </w:rPr>
              <w:t>Kapitel 23: Landung, Einreise und die ersten 72 Stunden</w:t>
              <w:tab/>
              <w:t>445</w:t>
            </w:r>
          </w:hyperlink>
        </w:p>
        <w:p>
          <w:pPr>
            <w:pStyle w:val="TOC2"/>
            <w:tabs>
              <w:tab w:val="clear" w:pos="720"/>
              <w:tab w:val="right" w:pos="6479" w:leader="dot"/>
            </w:tabs>
            <w:rPr/>
          </w:pPr>
          <w:hyperlink w:anchor="__RefHeading___Toc56485_3769931028">
            <w:r>
              <w:rPr>
                <w:rStyle w:val="IndexLink"/>
              </w:rPr>
              <w:t>Kapitel 24: Die Social Security Number (SSN) und die ITIN</w:t>
              <w:tab/>
              <w:t>459</w:t>
            </w:r>
          </w:hyperlink>
        </w:p>
        <w:p>
          <w:pPr>
            <w:pStyle w:val="TOC2"/>
            <w:tabs>
              <w:tab w:val="clear" w:pos="720"/>
              <w:tab w:val="right" w:pos="6479" w:leader="dot"/>
            </w:tabs>
            <w:rPr/>
          </w:pPr>
          <w:hyperlink w:anchor="__RefHeading___Toc56487_3769931028">
            <w:r>
              <w:rPr>
                <w:rStyle w:val="IndexLink"/>
              </w:rPr>
              <w:t>Kapitel 25: Bank, Kredit, Versicherungen: Geld im Alltag</w:t>
              <w:tab/>
              <w:t>473</w:t>
            </w:r>
          </w:hyperlink>
        </w:p>
        <w:p>
          <w:pPr>
            <w:pStyle w:val="TOC2"/>
            <w:tabs>
              <w:tab w:val="clear" w:pos="720"/>
              <w:tab w:val="right" w:pos="6479" w:leader="dot"/>
            </w:tabs>
            <w:rPr/>
          </w:pPr>
          <w:hyperlink w:anchor="__RefHeading___Toc56489_3769931028">
            <w:r>
              <w:rPr>
                <w:rStyle w:val="IndexLink"/>
              </w:rPr>
              <w:t>Kapitel 26: Das US-Gesundheitssystem für Neuankömmlinge</w:t>
              <w:tab/>
              <w:t>488</w:t>
            </w:r>
          </w:hyperlink>
        </w:p>
        <w:p>
          <w:pPr>
            <w:pStyle w:val="TOC2"/>
            <w:tabs>
              <w:tab w:val="clear" w:pos="720"/>
              <w:tab w:val="right" w:pos="6479" w:leader="dot"/>
            </w:tabs>
            <w:rPr/>
          </w:pPr>
          <w:hyperlink w:anchor="__RefHeading___Toc56491_3769931028">
            <w:r>
              <w:rPr>
                <w:rStyle w:val="IndexLink"/>
              </w:rPr>
              <w:t>Kapitel 27: Führerschein, Auto und Mobilität</w:t>
              <w:tab/>
              <w:t>511</w:t>
            </w:r>
          </w:hyperlink>
        </w:p>
        <w:p>
          <w:pPr>
            <w:pStyle w:val="TOC2"/>
            <w:tabs>
              <w:tab w:val="clear" w:pos="720"/>
              <w:tab w:val="right" w:pos="6479" w:leader="dot"/>
            </w:tabs>
            <w:rPr/>
          </w:pPr>
          <w:hyperlink w:anchor="__RefHeading___Toc56493_3769931028">
            <w:r>
              <w:rPr>
                <w:rStyle w:val="IndexLink"/>
              </w:rPr>
              <w:t>Kapitel 28: Steuern in den USA verständlich erklärt</w:t>
              <w:tab/>
              <w:t>528</w:t>
            </w:r>
          </w:hyperlink>
        </w:p>
        <w:p>
          <w:pPr>
            <w:pStyle w:val="TOC1"/>
            <w:tabs>
              <w:tab w:val="clear" w:pos="720"/>
              <w:tab w:val="right" w:pos="6479" w:leader="dot"/>
            </w:tabs>
            <w:rPr/>
          </w:pPr>
          <w:hyperlink w:anchor="__RefHeading___Toc56495_3769931028">
            <w:r>
              <w:rPr>
                <w:rStyle w:val="IndexLink"/>
              </w:rPr>
              <w:t>TEIL VII — Arbeiten in den USA</w:t>
              <w:tab/>
              <w:t>550</w:t>
            </w:r>
          </w:hyperlink>
        </w:p>
        <w:p>
          <w:pPr>
            <w:pStyle w:val="TOC2"/>
            <w:tabs>
              <w:tab w:val="clear" w:pos="720"/>
              <w:tab w:val="right" w:pos="6479" w:leader="dot"/>
            </w:tabs>
            <w:rPr/>
          </w:pPr>
          <w:hyperlink w:anchor="__RefHeading___Toc56497_3769931028">
            <w:r>
              <w:rPr>
                <w:rStyle w:val="IndexLink"/>
              </w:rPr>
              <w:t>Kapitel 29: Die Arbeitswelt in den USA: Recht, Kultur, Gehalt</w:t>
              <w:tab/>
              <w:t>551</w:t>
            </w:r>
          </w:hyperlink>
        </w:p>
        <w:p>
          <w:pPr>
            <w:pStyle w:val="TOC2"/>
            <w:tabs>
              <w:tab w:val="clear" w:pos="720"/>
              <w:tab w:val="right" w:pos="6479" w:leader="dot"/>
            </w:tabs>
            <w:rPr/>
          </w:pPr>
          <w:hyperlink w:anchor="__RefHeading___Toc56499_3769931028">
            <w:r>
              <w:rPr>
                <w:rStyle w:val="IndexLink"/>
              </w:rPr>
              <w:t>Kapitel 30: Jobwechsel, Kündigung und Umzug im Land: Was dein Status erlaubt</w:t>
              <w:tab/>
              <w:t>571</w:t>
            </w:r>
          </w:hyperlink>
        </w:p>
        <w:p>
          <w:pPr>
            <w:pStyle w:val="TOC1"/>
            <w:tabs>
              <w:tab w:val="clear" w:pos="720"/>
              <w:tab w:val="right" w:pos="6479" w:leader="dot"/>
            </w:tabs>
            <w:rPr/>
          </w:pPr>
          <w:hyperlink w:anchor="__RefHeading___Toc56501_3769931028">
            <w:r>
              <w:rPr>
                <w:rStyle w:val="IndexLink"/>
              </w:rPr>
              <w:t>TEIL VIII — Leben und Menschen</w:t>
              <w:tab/>
              <w:t>589</w:t>
            </w:r>
          </w:hyperlink>
        </w:p>
        <w:p>
          <w:pPr>
            <w:pStyle w:val="TOC2"/>
            <w:tabs>
              <w:tab w:val="clear" w:pos="720"/>
              <w:tab w:val="right" w:pos="6479" w:leader="dot"/>
            </w:tabs>
            <w:rPr/>
          </w:pPr>
          <w:hyperlink w:anchor="__RefHeading___Toc56503_3769931028">
            <w:r>
              <w:rPr>
                <w:rStyle w:val="IndexLink"/>
              </w:rPr>
              <w:t>Kapitel 31: Kulturunterschiede: Der große Deutsch-Amerikanisch-Vergleich</w:t>
              <w:tab/>
              <w:t>590</w:t>
            </w:r>
          </w:hyperlink>
        </w:p>
        <w:p>
          <w:pPr>
            <w:pStyle w:val="TOC2"/>
            <w:tabs>
              <w:tab w:val="clear" w:pos="720"/>
              <w:tab w:val="right" w:pos="6479" w:leader="dot"/>
            </w:tabs>
            <w:rPr/>
          </w:pPr>
          <w:hyperlink w:anchor="__RefHeading___Toc56505_3769931028">
            <w:r>
              <w:rPr>
                <w:rStyle w:val="IndexLink"/>
              </w:rPr>
              <w:t>Kapitel 32: Freunde finden in einem neuen Land</w:t>
              <w:tab/>
              <w:t>613</w:t>
            </w:r>
          </w:hyperlink>
        </w:p>
        <w:p>
          <w:pPr>
            <w:pStyle w:val="TOC2"/>
            <w:tabs>
              <w:tab w:val="clear" w:pos="720"/>
              <w:tab w:val="right" w:pos="6479" w:leader="dot"/>
            </w:tabs>
            <w:rPr/>
          </w:pPr>
          <w:hyperlink w:anchor="__RefHeading___Toc56507_3769931028">
            <w:r>
              <w:rPr>
                <w:rStyle w:val="IndexLink"/>
              </w:rPr>
              <w:t>Kapitel 33: Heimweh, Kulturschock und mentale Gesundheit</w:t>
              <w:tab/>
              <w:t>633</w:t>
            </w:r>
          </w:hyperlink>
        </w:p>
        <w:p>
          <w:pPr>
            <w:pStyle w:val="TOC2"/>
            <w:tabs>
              <w:tab w:val="clear" w:pos="720"/>
              <w:tab w:val="right" w:pos="6479" w:leader="dot"/>
            </w:tabs>
            <w:rPr/>
          </w:pPr>
          <w:hyperlink w:anchor="__RefHeading___Toc56509_3769931028">
            <w:r>
              <w:rPr>
                <w:rStyle w:val="IndexLink"/>
              </w:rPr>
              <w:t>Kapitel 34: Kleidung: Was man trägt, was man kauft, was man mitnimmt</w:t>
              <w:tab/>
              <w:t>647</w:t>
            </w:r>
          </w:hyperlink>
        </w:p>
        <w:p>
          <w:pPr>
            <w:pStyle w:val="TOC2"/>
            <w:tabs>
              <w:tab w:val="clear" w:pos="720"/>
              <w:tab w:val="right" w:pos="6479" w:leader="dot"/>
            </w:tabs>
            <w:rPr/>
          </w:pPr>
          <w:hyperlink w:anchor="__RefHeading___Toc56511_3769931028">
            <w:r>
              <w:rPr>
                <w:rStyle w:val="IndexLink"/>
              </w:rPr>
              <w:t>Kapitel 35: Essen, Trinken, Einkaufen</w:t>
              <w:tab/>
              <w:t>663</w:t>
            </w:r>
          </w:hyperlink>
        </w:p>
        <w:p>
          <w:pPr>
            <w:pStyle w:val="TOC1"/>
            <w:tabs>
              <w:tab w:val="clear" w:pos="720"/>
              <w:tab w:val="right" w:pos="6479" w:leader="dot"/>
            </w:tabs>
            <w:rPr/>
          </w:pPr>
          <w:hyperlink w:anchor="__RefHeading___Toc56513_3769931028">
            <w:r>
              <w:rPr>
                <w:rStyle w:val="IndexLink"/>
              </w:rPr>
              <w:t>TEIL IX — Kinder und Schule</w:t>
              <w:tab/>
              <w:t>679</w:t>
            </w:r>
          </w:hyperlink>
        </w:p>
        <w:p>
          <w:pPr>
            <w:pStyle w:val="TOC2"/>
            <w:tabs>
              <w:tab w:val="clear" w:pos="720"/>
              <w:tab w:val="right" w:pos="6479" w:leader="dot"/>
            </w:tabs>
            <w:rPr/>
          </w:pPr>
          <w:hyperlink w:anchor="__RefHeading___Toc56515_3769931028">
            <w:r>
              <w:rPr>
                <w:rStyle w:val="IndexLink"/>
              </w:rPr>
              <w:t>Kapitel 36: Das amerikanische Schulsystem verstehen</w:t>
              <w:tab/>
              <w:t>680</w:t>
            </w:r>
          </w:hyperlink>
        </w:p>
        <w:p>
          <w:pPr>
            <w:pStyle w:val="TOC2"/>
            <w:tabs>
              <w:tab w:val="clear" w:pos="720"/>
              <w:tab w:val="right" w:pos="6479" w:leader="dot"/>
            </w:tabs>
            <w:rPr/>
          </w:pPr>
          <w:hyperlink w:anchor="__RefHeading___Toc56517_3769931028">
            <w:r>
              <w:rPr>
                <w:rStyle w:val="IndexLink"/>
              </w:rPr>
              <w:t>Kapitel 37: ESL und Sprache: Englisch lernen und Deutsch bewahren</w:t>
              <w:tab/>
              <w:t>699</w:t>
            </w:r>
          </w:hyperlink>
        </w:p>
        <w:p>
          <w:pPr>
            <w:pStyle w:val="TOC2"/>
            <w:tabs>
              <w:tab w:val="clear" w:pos="720"/>
              <w:tab w:val="right" w:pos="6479" w:leader="dot"/>
            </w:tabs>
            <w:rPr/>
          </w:pPr>
          <w:hyperlink w:anchor="__RefHeading___Toc56519_3769931028">
            <w:r>
              <w:rPr>
                <w:rStyle w:val="IndexLink"/>
              </w:rPr>
              <w:t>Kapitel 38: Babys, Kleinkinder und Teenager</w:t>
              <w:tab/>
              <w:t>718</w:t>
            </w:r>
          </w:hyperlink>
        </w:p>
        <w:p>
          <w:pPr>
            <w:pStyle w:val="TOC1"/>
            <w:tabs>
              <w:tab w:val="clear" w:pos="720"/>
              <w:tab w:val="right" w:pos="6479" w:leader="dot"/>
            </w:tabs>
            <w:rPr/>
          </w:pPr>
          <w:hyperlink w:anchor="__RefHeading___Toc56521_3769931028">
            <w:r>
              <w:rPr>
                <w:rStyle w:val="IndexLink"/>
              </w:rPr>
              <w:t>TEIL X — Langfristig</w:t>
              <w:tab/>
              <w:t>737</w:t>
            </w:r>
          </w:hyperlink>
        </w:p>
        <w:p>
          <w:pPr>
            <w:pStyle w:val="TOC2"/>
            <w:tabs>
              <w:tab w:val="clear" w:pos="720"/>
              <w:tab w:val="right" w:pos="6479" w:leader="dot"/>
            </w:tabs>
            <w:rPr/>
          </w:pPr>
          <w:hyperlink w:anchor="__RefHeading___Toc56523_3769931028">
            <w:r>
              <w:rPr>
                <w:rStyle w:val="IndexLink"/>
              </w:rPr>
              <w:t>Kapitel 39: Vorsorge, Erbe und Vermögen</w:t>
              <w:tab/>
              <w:t>738</w:t>
            </w:r>
          </w:hyperlink>
        </w:p>
        <w:p>
          <w:pPr>
            <w:pStyle w:val="TOC2"/>
            <w:tabs>
              <w:tab w:val="clear" w:pos="720"/>
              <w:tab w:val="right" w:pos="6479" w:leader="dot"/>
            </w:tabs>
            <w:rPr/>
          </w:pPr>
          <w:hyperlink w:anchor="__RefHeading___Toc56525_3769931028">
            <w:r>
              <w:rPr>
                <w:rStyle w:val="IndexLink"/>
              </w:rPr>
              <w:t>Kapitel 40: Recht und Sicherheit im Alltag</w:t>
              <w:tab/>
              <w:t>756</w:t>
            </w:r>
          </w:hyperlink>
        </w:p>
        <w:p>
          <w:pPr>
            <w:pStyle w:val="TOC2"/>
            <w:tabs>
              <w:tab w:val="clear" w:pos="720"/>
              <w:tab w:val="right" w:pos="6479" w:leader="dot"/>
            </w:tabs>
            <w:rPr/>
          </w:pPr>
          <w:hyperlink w:anchor="__RefHeading___Toc56527_3769931028">
            <w:r>
              <w:rPr>
                <w:rStyle w:val="IndexLink"/>
              </w:rPr>
              <w:t>Kapitel 41: Von der Green Card zur Staatsbürgerschaft: Der Doppelpass</w:t>
              <w:tab/>
              <w:t>778</w:t>
            </w:r>
          </w:hyperlink>
        </w:p>
        <w:p>
          <w:pPr>
            <w:pStyle w:val="TOC2"/>
            <w:tabs>
              <w:tab w:val="clear" w:pos="720"/>
              <w:tab w:val="right" w:pos="6479" w:leader="dot"/>
            </w:tabs>
            <w:rPr/>
          </w:pPr>
          <w:hyperlink w:anchor="__RefHeading___Toc56529_3769931028">
            <w:r>
              <w:rPr>
                <w:rStyle w:val="IndexLink"/>
              </w:rPr>
              <w:t>Kapitel 42: Plan B: Die Rückkehr nach Deutschland</w:t>
              <w:tab/>
              <w:t>795</w:t>
            </w:r>
          </w:hyperlink>
        </w:p>
        <w:p>
          <w:pPr>
            <w:pStyle w:val="TOC1"/>
            <w:tabs>
              <w:tab w:val="clear" w:pos="720"/>
              <w:tab w:val="right" w:pos="6479" w:leader="dot"/>
            </w:tabs>
            <w:rPr/>
          </w:pPr>
          <w:hyperlink w:anchor="__RefHeading___Toc56531_3769931028">
            <w:r>
              <w:rPr>
                <w:rStyle w:val="IndexLink"/>
              </w:rPr>
              <w:t>TEIL AUSTRALIEN — Fern, aber gut geregelt</w:t>
              <w:tab/>
              <w:t>810</w:t>
            </w:r>
          </w:hyperlink>
        </w:p>
        <w:p>
          <w:pPr>
            <w:pStyle w:val="TOC2"/>
            <w:tabs>
              <w:tab w:val="clear" w:pos="720"/>
              <w:tab w:val="right" w:pos="6479" w:leader="dot"/>
            </w:tabs>
            <w:rPr/>
          </w:pPr>
          <w:hyperlink w:anchor="__RefHeading___Toc56533_3769931028">
            <w:r>
              <w:rPr>
                <w:rStyle w:val="IndexLink"/>
              </w:rPr>
              <w:t>Australien: Die ehrliche Bilanz</w:t>
              <w:tab/>
              <w:t>811</w:t>
            </w:r>
          </w:hyperlink>
        </w:p>
        <w:p>
          <w:pPr>
            <w:pStyle w:val="TOC2"/>
            <w:tabs>
              <w:tab w:val="clear" w:pos="720"/>
              <w:tab w:val="right" w:pos="6479" w:leader="dot"/>
            </w:tabs>
            <w:rPr/>
          </w:pPr>
          <w:hyperlink w:anchor="__RefHeading___Toc56535_3769931028">
            <w:r>
              <w:rPr>
                <w:rStyle w:val="IndexLink"/>
              </w:rPr>
              <w:t>Australien: Wege der Einwanderung</w:t>
              <w:tab/>
              <w:t>823</w:t>
            </w:r>
          </w:hyperlink>
        </w:p>
        <w:p>
          <w:pPr>
            <w:pStyle w:val="TOC2"/>
            <w:tabs>
              <w:tab w:val="clear" w:pos="720"/>
              <w:tab w:val="right" w:pos="6479" w:leader="dot"/>
            </w:tabs>
            <w:rPr/>
          </w:pPr>
          <w:hyperlink w:anchor="__RefHeading___Toc56537_3769931028">
            <w:r>
              <w:rPr>
                <w:rStyle w:val="IndexLink"/>
              </w:rPr>
              <w:t>Australien: Der Arbeitsweg im Detail</w:t>
              <w:tab/>
              <w:t>837</w:t>
            </w:r>
          </w:hyperlink>
        </w:p>
        <w:p>
          <w:pPr>
            <w:pStyle w:val="TOC2"/>
            <w:tabs>
              <w:tab w:val="clear" w:pos="720"/>
              <w:tab w:val="right" w:pos="6479" w:leader="dot"/>
            </w:tabs>
            <w:rPr/>
          </w:pPr>
          <w:hyperlink w:anchor="__RefHeading___Toc56539_3769931028">
            <w:r>
              <w:rPr>
                <w:rStyle w:val="IndexLink"/>
              </w:rPr>
              <w:t>Australien: Familie, Investor, Ruhestand</w:t>
              <w:tab/>
              <w:t>852</w:t>
            </w:r>
          </w:hyperlink>
        </w:p>
        <w:p>
          <w:pPr>
            <w:pStyle w:val="TOC2"/>
            <w:tabs>
              <w:tab w:val="clear" w:pos="720"/>
              <w:tab w:val="right" w:pos="6479" w:leader="dot"/>
            </w:tabs>
            <w:rPr/>
          </w:pPr>
          <w:hyperlink w:anchor="__RefHeading___Toc56541_3769931028">
            <w:r>
              <w:rPr>
                <w:rStyle w:val="IndexLink"/>
              </w:rPr>
              <w:t>Australien: Antrag, Konsulat und Kosten</w:t>
              <w:tab/>
              <w:t>869</w:t>
            </w:r>
          </w:hyperlink>
        </w:p>
        <w:p>
          <w:pPr>
            <w:pStyle w:val="TOC2"/>
            <w:tabs>
              <w:tab w:val="clear" w:pos="720"/>
              <w:tab w:val="right" w:pos="6479" w:leader="dot"/>
            </w:tabs>
            <w:rPr/>
          </w:pPr>
          <w:hyperlink w:anchor="__RefHeading___Toc56543_3769931028">
            <w:r>
              <w:rPr>
                <w:rStyle w:val="IndexLink"/>
              </w:rPr>
              <w:t>Australien: Ankunft, erste Tage und Wochen</w:t>
              <w:tab/>
              <w:t>882</w:t>
            </w:r>
          </w:hyperlink>
        </w:p>
        <w:p>
          <w:pPr>
            <w:pStyle w:val="TOC2"/>
            <w:tabs>
              <w:tab w:val="clear" w:pos="720"/>
              <w:tab w:val="right" w:pos="6479" w:leader="dot"/>
            </w:tabs>
            <w:rPr/>
          </w:pPr>
          <w:hyperlink w:anchor="__RefHeading___Toc56545_3769931028">
            <w:r>
              <w:rPr>
                <w:rStyle w:val="IndexLink"/>
              </w:rPr>
              <w:t>Australien: Steuer-ID, Bank, Kredit aufbauen</w:t>
              <w:tab/>
              <w:t>895</w:t>
            </w:r>
          </w:hyperlink>
        </w:p>
        <w:p>
          <w:pPr>
            <w:pStyle w:val="TOC2"/>
            <w:tabs>
              <w:tab w:val="clear" w:pos="720"/>
              <w:tab w:val="right" w:pos="6479" w:leader="dot"/>
            </w:tabs>
            <w:rPr/>
          </w:pPr>
          <w:hyperlink w:anchor="__RefHeading___Toc56547_3769931028">
            <w:r>
              <w:rPr>
                <w:rStyle w:val="IndexLink"/>
              </w:rPr>
              <w:t>Australien: Das Gesundheitssystem</w:t>
              <w:tab/>
              <w:t>909</w:t>
            </w:r>
          </w:hyperlink>
        </w:p>
        <w:p>
          <w:pPr>
            <w:pStyle w:val="TOC2"/>
            <w:tabs>
              <w:tab w:val="clear" w:pos="720"/>
              <w:tab w:val="right" w:pos="6479" w:leader="dot"/>
            </w:tabs>
            <w:rPr/>
          </w:pPr>
          <w:hyperlink w:anchor="__RefHeading___Toc56549_3769931028">
            <w:r>
              <w:rPr>
                <w:rStyle w:val="IndexLink"/>
              </w:rPr>
              <w:t>Australien: Wohnen und die besten Orte zum Leben</w:t>
              <w:tab/>
              <w:t>922</w:t>
            </w:r>
          </w:hyperlink>
        </w:p>
        <w:p>
          <w:pPr>
            <w:pStyle w:val="TOC2"/>
            <w:tabs>
              <w:tab w:val="clear" w:pos="720"/>
              <w:tab w:val="right" w:pos="6479" w:leader="dot"/>
            </w:tabs>
            <w:rPr/>
          </w:pPr>
          <w:hyperlink w:anchor="__RefHeading___Toc56551_3769931028">
            <w:r>
              <w:rPr>
                <w:rStyle w:val="IndexLink"/>
              </w:rPr>
              <w:t>Australien: Führerschein, Auto und Verkehrsregeln</w:t>
              <w:tab/>
              <w:t>936</w:t>
            </w:r>
          </w:hyperlink>
        </w:p>
        <w:p>
          <w:pPr>
            <w:pStyle w:val="TOC2"/>
            <w:tabs>
              <w:tab w:val="clear" w:pos="720"/>
              <w:tab w:val="right" w:pos="6479" w:leader="dot"/>
            </w:tabs>
            <w:rPr/>
          </w:pPr>
          <w:hyperlink w:anchor="__RefHeading___Toc56553_3769931028">
            <w:r>
              <w:rPr>
                <w:rStyle w:val="IndexLink"/>
              </w:rPr>
              <w:t>Australien: Alltagskultur und Umgangsformen</w:t>
              <w:tab/>
              <w:t>952</w:t>
            </w:r>
          </w:hyperlink>
        </w:p>
        <w:p>
          <w:pPr>
            <w:pStyle w:val="TOC2"/>
            <w:tabs>
              <w:tab w:val="clear" w:pos="720"/>
              <w:tab w:val="right" w:pos="6479" w:leader="dot"/>
            </w:tabs>
            <w:rPr/>
          </w:pPr>
          <w:hyperlink w:anchor="__RefHeading___Toc56555_3769931028">
            <w:r>
              <w:rPr>
                <w:rStyle w:val="IndexLink"/>
              </w:rPr>
              <w:t>Australien: Freunde finden und der Kulturschock der großen Distanz</w:t>
              <w:tab/>
              <w:t>967</w:t>
            </w:r>
          </w:hyperlink>
        </w:p>
        <w:p>
          <w:pPr>
            <w:pStyle w:val="TOC2"/>
            <w:tabs>
              <w:tab w:val="clear" w:pos="720"/>
              <w:tab w:val="right" w:pos="6479" w:leader="dot"/>
            </w:tabs>
            <w:rPr/>
          </w:pPr>
          <w:hyperlink w:anchor="__RefHeading___Toc56557_3769931028">
            <w:r>
              <w:rPr>
                <w:rStyle w:val="IndexLink"/>
              </w:rPr>
              <w:t>Australien: Kinder, Schule und Spracheingewöhnung</w:t>
              <w:tab/>
              <w:t>982</w:t>
            </w:r>
          </w:hyperlink>
        </w:p>
        <w:p>
          <w:pPr>
            <w:pStyle w:val="TOC2"/>
            <w:tabs>
              <w:tab w:val="clear" w:pos="720"/>
              <w:tab w:val="right" w:pos="6479" w:leader="dot"/>
            </w:tabs>
            <w:rPr/>
          </w:pPr>
          <w:hyperlink w:anchor="__RefHeading___Toc56559_3769931028">
            <w:r>
              <w:rPr>
                <w:rStyle w:val="IndexLink"/>
              </w:rPr>
              <w:t>Australien: Arbeitswelt und Jobwechsel</w:t>
              <w:tab/>
              <w:t>997</w:t>
            </w:r>
          </w:hyperlink>
        </w:p>
        <w:p>
          <w:pPr>
            <w:pStyle w:val="TOC2"/>
            <w:tabs>
              <w:tab w:val="clear" w:pos="720"/>
              <w:tab w:val="right" w:pos="6479" w:leader="dot"/>
            </w:tabs>
            <w:rPr/>
          </w:pPr>
          <w:hyperlink w:anchor="__RefHeading___Toc56561_3769931028">
            <w:r>
              <w:rPr>
                <w:rStyle w:val="IndexLink"/>
              </w:rPr>
              <w:t>Australien: Recht, Sicherheit und Polizeikontakt</w:t>
              <w:tab/>
              <w:t>1010</w:t>
            </w:r>
          </w:hyperlink>
        </w:p>
        <w:p>
          <w:pPr>
            <w:pStyle w:val="TOC2"/>
            <w:tabs>
              <w:tab w:val="clear" w:pos="720"/>
              <w:tab w:val="right" w:pos="6479" w:leader="dot"/>
            </w:tabs>
            <w:rPr/>
          </w:pPr>
          <w:hyperlink w:anchor="__RefHeading___Toc56563_3769931028">
            <w:r>
              <w:rPr>
                <w:rStyle w:val="IndexLink"/>
              </w:rPr>
              <w:t>Australien: Staatsbürgerschaft und Steuerresidenz</w:t>
              <w:tab/>
              <w:t>1025</w:t>
            </w:r>
          </w:hyperlink>
        </w:p>
        <w:p>
          <w:pPr>
            <w:pStyle w:val="TOC1"/>
            <w:tabs>
              <w:tab w:val="clear" w:pos="720"/>
              <w:tab w:val="right" w:pos="6479" w:leader="dot"/>
            </w:tabs>
            <w:rPr/>
          </w:pPr>
          <w:hyperlink w:anchor="__RefHeading___Toc56565_3769931028">
            <w:r>
              <w:rPr>
                <w:rStyle w:val="IndexLink"/>
              </w:rPr>
              <w:t>TEIL KANADA — Nahe dran, trotzdem anders</w:t>
              <w:tab/>
              <w:t>1039</w:t>
            </w:r>
          </w:hyperlink>
        </w:p>
        <w:p>
          <w:pPr>
            <w:pStyle w:val="TOC2"/>
            <w:tabs>
              <w:tab w:val="clear" w:pos="720"/>
              <w:tab w:val="right" w:pos="6479" w:leader="dot"/>
            </w:tabs>
            <w:rPr/>
          </w:pPr>
          <w:hyperlink w:anchor="__RefHeading___Toc56567_3769931028">
            <w:r>
              <w:rPr>
                <w:rStyle w:val="IndexLink"/>
              </w:rPr>
              <w:t>Kanada: Die ehrliche Bilanz</w:t>
              <w:tab/>
              <w:t>1040</w:t>
            </w:r>
          </w:hyperlink>
        </w:p>
        <w:p>
          <w:pPr>
            <w:pStyle w:val="TOC2"/>
            <w:tabs>
              <w:tab w:val="clear" w:pos="720"/>
              <w:tab w:val="right" w:pos="6479" w:leader="dot"/>
            </w:tabs>
            <w:rPr/>
          </w:pPr>
          <w:hyperlink w:anchor="__RefHeading___Toc56569_3769931028">
            <w:r>
              <w:rPr>
                <w:rStyle w:val="IndexLink"/>
              </w:rPr>
              <w:t>Kanada: Wege der Einwanderung</w:t>
              <w:tab/>
              <w:t>1055</w:t>
            </w:r>
          </w:hyperlink>
        </w:p>
        <w:p>
          <w:pPr>
            <w:pStyle w:val="TOC2"/>
            <w:tabs>
              <w:tab w:val="clear" w:pos="720"/>
              <w:tab w:val="right" w:pos="6479" w:leader="dot"/>
            </w:tabs>
            <w:rPr/>
          </w:pPr>
          <w:hyperlink w:anchor="__RefHeading___Toc56571_3769931028">
            <w:r>
              <w:rPr>
                <w:rStyle w:val="IndexLink"/>
              </w:rPr>
              <w:t>Kanada: Der Arbeitsweg im Detail</w:t>
              <w:tab/>
              <w:t>1070</w:t>
            </w:r>
          </w:hyperlink>
        </w:p>
        <w:p>
          <w:pPr>
            <w:pStyle w:val="TOC2"/>
            <w:tabs>
              <w:tab w:val="clear" w:pos="720"/>
              <w:tab w:val="right" w:pos="6479" w:leader="dot"/>
            </w:tabs>
            <w:rPr/>
          </w:pPr>
          <w:hyperlink w:anchor="__RefHeading___Toc56573_3769931028">
            <w:r>
              <w:rPr>
                <w:rStyle w:val="IndexLink"/>
              </w:rPr>
              <w:t>Kanada: Familie, Investoren und der Ruhestand</w:t>
              <w:tab/>
              <w:t>1086</w:t>
            </w:r>
          </w:hyperlink>
        </w:p>
        <w:p>
          <w:pPr>
            <w:pStyle w:val="TOC2"/>
            <w:tabs>
              <w:tab w:val="clear" w:pos="720"/>
              <w:tab w:val="right" w:pos="6479" w:leader="dot"/>
            </w:tabs>
            <w:rPr/>
          </w:pPr>
          <w:hyperlink w:anchor="__RefHeading___Toc56575_3769931028">
            <w:r>
              <w:rPr>
                <w:rStyle w:val="IndexLink"/>
              </w:rPr>
              <w:t>Kanada: Antrag, Konsulat und Kosten</w:t>
              <w:tab/>
              <w:t>1101</w:t>
            </w:r>
          </w:hyperlink>
        </w:p>
        <w:p>
          <w:pPr>
            <w:pStyle w:val="TOC2"/>
            <w:tabs>
              <w:tab w:val="clear" w:pos="720"/>
              <w:tab w:val="right" w:pos="6479" w:leader="dot"/>
            </w:tabs>
            <w:rPr/>
          </w:pPr>
          <w:hyperlink w:anchor="__RefHeading___Toc56577_3769931028">
            <w:r>
              <w:rPr>
                <w:rStyle w:val="IndexLink"/>
              </w:rPr>
              <w:t>Kanada: Ankunft, erste Tage und Wochen</w:t>
              <w:tab/>
              <w:t>1115</w:t>
            </w:r>
          </w:hyperlink>
        </w:p>
        <w:p>
          <w:pPr>
            <w:pStyle w:val="TOC2"/>
            <w:tabs>
              <w:tab w:val="clear" w:pos="720"/>
              <w:tab w:val="right" w:pos="6479" w:leader="dot"/>
            </w:tabs>
            <w:rPr/>
          </w:pPr>
          <w:hyperlink w:anchor="__RefHeading___Toc56579_3769931028">
            <w:r>
              <w:rPr>
                <w:rStyle w:val="IndexLink"/>
              </w:rPr>
              <w:t>Kanada: SIN, Steuern, Bank und Kredit aufbauen</w:t>
              <w:tab/>
              <w:t>1128</w:t>
            </w:r>
          </w:hyperlink>
        </w:p>
        <w:p>
          <w:pPr>
            <w:pStyle w:val="TOC2"/>
            <w:tabs>
              <w:tab w:val="clear" w:pos="720"/>
              <w:tab w:val="right" w:pos="6479" w:leader="dot"/>
            </w:tabs>
            <w:rPr/>
          </w:pPr>
          <w:hyperlink w:anchor="__RefHeading___Toc56581_3769931028">
            <w:r>
              <w:rPr>
                <w:rStyle w:val="IndexLink"/>
              </w:rPr>
              <w:t>Kanada: Das Gesundheitssystem</w:t>
              <w:tab/>
              <w:t>1142</w:t>
            </w:r>
          </w:hyperlink>
        </w:p>
        <w:p>
          <w:pPr>
            <w:pStyle w:val="TOC2"/>
            <w:tabs>
              <w:tab w:val="clear" w:pos="720"/>
              <w:tab w:val="right" w:pos="6479" w:leader="dot"/>
            </w:tabs>
            <w:rPr/>
          </w:pPr>
          <w:hyperlink w:anchor="__RefHeading___Toc56583_3769931028">
            <w:r>
              <w:rPr>
                <w:rStyle w:val="IndexLink"/>
              </w:rPr>
              <w:t>Kanada: Wohnen und die besten Orte zum Leben</w:t>
              <w:tab/>
              <w:t>1156</w:t>
            </w:r>
          </w:hyperlink>
        </w:p>
        <w:p>
          <w:pPr>
            <w:pStyle w:val="TOC2"/>
            <w:tabs>
              <w:tab w:val="clear" w:pos="720"/>
              <w:tab w:val="right" w:pos="6479" w:leader="dot"/>
            </w:tabs>
            <w:rPr/>
          </w:pPr>
          <w:hyperlink w:anchor="__RefHeading___Toc56585_3769931028">
            <w:r>
              <w:rPr>
                <w:rStyle w:val="IndexLink"/>
              </w:rPr>
              <w:t>Kanada: Führerschein, Auto und Verkehrsregeln</w:t>
              <w:tab/>
              <w:t>1172</w:t>
            </w:r>
          </w:hyperlink>
        </w:p>
        <w:p>
          <w:pPr>
            <w:pStyle w:val="TOC2"/>
            <w:tabs>
              <w:tab w:val="clear" w:pos="720"/>
              <w:tab w:val="right" w:pos="6479" w:leader="dot"/>
            </w:tabs>
            <w:rPr/>
          </w:pPr>
          <w:hyperlink w:anchor="__RefHeading___Toc56587_3769931028">
            <w:r>
              <w:rPr>
                <w:rStyle w:val="IndexLink"/>
              </w:rPr>
              <w:t>Kanada: Alltagskultur und Umgangsformen</w:t>
              <w:tab/>
              <w:t>1187</w:t>
            </w:r>
          </w:hyperlink>
        </w:p>
        <w:p>
          <w:pPr>
            <w:pStyle w:val="TOC2"/>
            <w:tabs>
              <w:tab w:val="clear" w:pos="720"/>
              <w:tab w:val="right" w:pos="6479" w:leader="dot"/>
            </w:tabs>
            <w:rPr/>
          </w:pPr>
          <w:hyperlink w:anchor="__RefHeading___Toc56589_3769931028">
            <w:r>
              <w:rPr>
                <w:rStyle w:val="IndexLink"/>
              </w:rPr>
              <w:t>Kanada: Freunde finden und der Kulturschock des ersten Winters</w:t>
              <w:tab/>
              <w:t>1202</w:t>
            </w:r>
          </w:hyperlink>
        </w:p>
        <w:p>
          <w:pPr>
            <w:pStyle w:val="TOC2"/>
            <w:tabs>
              <w:tab w:val="clear" w:pos="720"/>
              <w:tab w:val="right" w:pos="6479" w:leader="dot"/>
            </w:tabs>
            <w:rPr/>
          </w:pPr>
          <w:hyperlink w:anchor="__RefHeading___Toc56591_3769931028">
            <w:r>
              <w:rPr>
                <w:rStyle w:val="IndexLink"/>
              </w:rPr>
              <w:t>Kanada: Kinder, Schule und Spracheingewöhnung</w:t>
              <w:tab/>
              <w:t>1216</w:t>
            </w:r>
          </w:hyperlink>
        </w:p>
        <w:p>
          <w:pPr>
            <w:pStyle w:val="TOC2"/>
            <w:tabs>
              <w:tab w:val="clear" w:pos="720"/>
              <w:tab w:val="right" w:pos="6479" w:leader="dot"/>
            </w:tabs>
            <w:rPr/>
          </w:pPr>
          <w:hyperlink w:anchor="__RefHeading___Toc56593_3769931028">
            <w:r>
              <w:rPr>
                <w:rStyle w:val="IndexLink"/>
              </w:rPr>
              <w:t>Kanada: Arbeitswelt und Jobwechsel</w:t>
              <w:tab/>
              <w:t>1231</w:t>
            </w:r>
          </w:hyperlink>
        </w:p>
        <w:p>
          <w:pPr>
            <w:pStyle w:val="TOC2"/>
            <w:tabs>
              <w:tab w:val="clear" w:pos="720"/>
              <w:tab w:val="right" w:pos="6479" w:leader="dot"/>
            </w:tabs>
            <w:rPr/>
          </w:pPr>
          <w:hyperlink w:anchor="__RefHeading___Toc56595_3769931028">
            <w:r>
              <w:rPr>
                <w:rStyle w:val="IndexLink"/>
              </w:rPr>
              <w:t>Kanada: Recht, Sicherheit und Polizeikontakt</w:t>
              <w:tab/>
              <w:t>1245</w:t>
            </w:r>
          </w:hyperlink>
        </w:p>
        <w:p>
          <w:pPr>
            <w:pStyle w:val="TOC2"/>
            <w:tabs>
              <w:tab w:val="clear" w:pos="720"/>
              <w:tab w:val="right" w:pos="6479" w:leader="dot"/>
            </w:tabs>
            <w:rPr/>
          </w:pPr>
          <w:hyperlink w:anchor="__RefHeading___Toc56597_3769931028">
            <w:r>
              <w:rPr>
                <w:rStyle w:val="IndexLink"/>
              </w:rPr>
              <w:t>Kanada: Staatsbürgerschaft und Steuerresidenz</w:t>
              <w:tab/>
              <w:t>1260</w:t>
            </w:r>
          </w:hyperlink>
        </w:p>
        <w:p>
          <w:pPr>
            <w:pStyle w:val="TOC1"/>
            <w:tabs>
              <w:tab w:val="clear" w:pos="720"/>
              <w:tab w:val="right" w:pos="6479" w:leader="dot"/>
            </w:tabs>
            <w:rPr/>
          </w:pPr>
          <w:hyperlink w:anchor="__RefHeading___Toc56599_3769931028">
            <w:r>
              <w:rPr>
                <w:rStyle w:val="IndexLink"/>
              </w:rPr>
              <w:t>TEIL NEUSEELAND — Am Ende der Welt neu anfangen</w:t>
              <w:tab/>
              <w:t>1273</w:t>
            </w:r>
          </w:hyperlink>
        </w:p>
        <w:p>
          <w:pPr>
            <w:pStyle w:val="TOC2"/>
            <w:tabs>
              <w:tab w:val="clear" w:pos="720"/>
              <w:tab w:val="right" w:pos="6479" w:leader="dot"/>
            </w:tabs>
            <w:rPr/>
          </w:pPr>
          <w:hyperlink w:anchor="__RefHeading___Toc56601_3769931028">
            <w:r>
              <w:rPr>
                <w:rStyle w:val="IndexLink"/>
              </w:rPr>
              <w:t>Neuseeland: Die ehrliche Bilanz</w:t>
              <w:tab/>
              <w:t>1274</w:t>
            </w:r>
          </w:hyperlink>
        </w:p>
        <w:p>
          <w:pPr>
            <w:pStyle w:val="TOC2"/>
            <w:tabs>
              <w:tab w:val="clear" w:pos="720"/>
              <w:tab w:val="right" w:pos="6479" w:leader="dot"/>
            </w:tabs>
            <w:rPr/>
          </w:pPr>
          <w:hyperlink w:anchor="__RefHeading___Toc56603_3769931028">
            <w:r>
              <w:rPr>
                <w:rStyle w:val="IndexLink"/>
              </w:rPr>
              <w:t>Neuseeland: Wege der Einwanderung</w:t>
              <w:tab/>
              <w:t>1288</w:t>
            </w:r>
          </w:hyperlink>
        </w:p>
        <w:p>
          <w:pPr>
            <w:pStyle w:val="TOC2"/>
            <w:tabs>
              <w:tab w:val="clear" w:pos="720"/>
              <w:tab w:val="right" w:pos="6479" w:leader="dot"/>
            </w:tabs>
            <w:rPr/>
          </w:pPr>
          <w:hyperlink w:anchor="__RefHeading___Toc56605_3769931028">
            <w:r>
              <w:rPr>
                <w:rStyle w:val="IndexLink"/>
              </w:rPr>
              <w:t>Neuseeland: Der Arbeitsweg im Detail</w:t>
              <w:tab/>
              <w:t>1303</w:t>
            </w:r>
          </w:hyperlink>
        </w:p>
        <w:p>
          <w:pPr>
            <w:pStyle w:val="TOC2"/>
            <w:tabs>
              <w:tab w:val="clear" w:pos="720"/>
              <w:tab w:val="right" w:pos="6479" w:leader="dot"/>
            </w:tabs>
            <w:rPr/>
          </w:pPr>
          <w:hyperlink w:anchor="__RefHeading___Toc56607_3769931028">
            <w:r>
              <w:rPr>
                <w:rStyle w:val="IndexLink"/>
              </w:rPr>
              <w:t>Neuseeland: Familie, Investoren und der Ruhestand</w:t>
              <w:tab/>
              <w:t>1319</w:t>
            </w:r>
          </w:hyperlink>
        </w:p>
        <w:p>
          <w:pPr>
            <w:pStyle w:val="TOC2"/>
            <w:tabs>
              <w:tab w:val="clear" w:pos="720"/>
              <w:tab w:val="right" w:pos="6479" w:leader="dot"/>
            </w:tabs>
            <w:rPr/>
          </w:pPr>
          <w:hyperlink w:anchor="__RefHeading___Toc56609_3769931028">
            <w:r>
              <w:rPr>
                <w:rStyle w:val="IndexLink"/>
              </w:rPr>
              <w:t>Neuseeland: Antrag, Konsulat und Kosten</w:t>
              <w:tab/>
              <w:t>1334</w:t>
            </w:r>
          </w:hyperlink>
        </w:p>
        <w:p>
          <w:pPr>
            <w:pStyle w:val="TOC2"/>
            <w:tabs>
              <w:tab w:val="clear" w:pos="720"/>
              <w:tab w:val="right" w:pos="6479" w:leader="dot"/>
            </w:tabs>
            <w:rPr/>
          </w:pPr>
          <w:hyperlink w:anchor="__RefHeading___Toc56611_3769931028">
            <w:r>
              <w:rPr>
                <w:rStyle w:val="IndexLink"/>
              </w:rPr>
              <w:t>Neuseeland: Ankunft, erste Tage und Wochen</w:t>
              <w:tab/>
              <w:t>1349</w:t>
            </w:r>
          </w:hyperlink>
        </w:p>
        <w:p>
          <w:pPr>
            <w:pStyle w:val="TOC2"/>
            <w:tabs>
              <w:tab w:val="clear" w:pos="720"/>
              <w:tab w:val="right" w:pos="6479" w:leader="dot"/>
            </w:tabs>
            <w:rPr/>
          </w:pPr>
          <w:hyperlink w:anchor="__RefHeading___Toc56613_3769931028">
            <w:r>
              <w:rPr>
                <w:rStyle w:val="IndexLink"/>
              </w:rPr>
              <w:t>Neuseeland: IRD-Nummer, Steuern, Bank und Kredit aufbauen</w:t>
              <w:tab/>
              <w:t>1362</w:t>
            </w:r>
          </w:hyperlink>
        </w:p>
        <w:p>
          <w:pPr>
            <w:pStyle w:val="TOC2"/>
            <w:tabs>
              <w:tab w:val="clear" w:pos="720"/>
              <w:tab w:val="right" w:pos="6479" w:leader="dot"/>
            </w:tabs>
            <w:rPr/>
          </w:pPr>
          <w:hyperlink w:anchor="__RefHeading___Toc56615_3769931028">
            <w:r>
              <w:rPr>
                <w:rStyle w:val="IndexLink"/>
              </w:rPr>
              <w:t>Neuseeland: Das Gesundheitssystem</w:t>
              <w:tab/>
              <w:t>1377</w:t>
            </w:r>
          </w:hyperlink>
        </w:p>
        <w:p>
          <w:pPr>
            <w:pStyle w:val="TOC2"/>
            <w:tabs>
              <w:tab w:val="clear" w:pos="720"/>
              <w:tab w:val="right" w:pos="6479" w:leader="dot"/>
            </w:tabs>
            <w:rPr/>
          </w:pPr>
          <w:hyperlink w:anchor="__RefHeading___Toc56617_3769931028">
            <w:r>
              <w:rPr>
                <w:rStyle w:val="IndexLink"/>
              </w:rPr>
              <w:t>Neuseeland: Wohnen und die besten Orte zum Leben</w:t>
              <w:tab/>
              <w:t>1391</w:t>
            </w:r>
          </w:hyperlink>
        </w:p>
        <w:p>
          <w:pPr>
            <w:pStyle w:val="TOC2"/>
            <w:tabs>
              <w:tab w:val="clear" w:pos="720"/>
              <w:tab w:val="right" w:pos="6479" w:leader="dot"/>
            </w:tabs>
            <w:rPr/>
          </w:pPr>
          <w:hyperlink w:anchor="__RefHeading___Toc56619_3769931028">
            <w:r>
              <w:rPr>
                <w:rStyle w:val="IndexLink"/>
              </w:rPr>
              <w:t>Neuseeland: Führerschein, Auto und Verkehrsregeln</w:t>
              <w:tab/>
              <w:t>1406</w:t>
            </w:r>
          </w:hyperlink>
        </w:p>
        <w:p>
          <w:pPr>
            <w:pStyle w:val="TOC2"/>
            <w:tabs>
              <w:tab w:val="clear" w:pos="720"/>
              <w:tab w:val="right" w:pos="6479" w:leader="dot"/>
            </w:tabs>
            <w:rPr/>
          </w:pPr>
          <w:hyperlink w:anchor="__RefHeading___Toc56621_3769931028">
            <w:r>
              <w:rPr>
                <w:rStyle w:val="IndexLink"/>
              </w:rPr>
              <w:t>Neuseeland: Alltagskultur und Umgangsformen</w:t>
              <w:tab/>
              <w:t>1421</w:t>
            </w:r>
          </w:hyperlink>
        </w:p>
        <w:p>
          <w:pPr>
            <w:pStyle w:val="TOC2"/>
            <w:tabs>
              <w:tab w:val="clear" w:pos="720"/>
              <w:tab w:val="right" w:pos="6479" w:leader="dot"/>
            </w:tabs>
            <w:rPr/>
          </w:pPr>
          <w:hyperlink w:anchor="__RefHeading___Toc56623_3769931028">
            <w:r>
              <w:rPr>
                <w:rStyle w:val="IndexLink"/>
              </w:rPr>
              <w:t>Neuseeland: Freunde finden und der Kulturschock der Distanz</w:t>
              <w:tab/>
              <w:t>1435</w:t>
            </w:r>
          </w:hyperlink>
        </w:p>
        <w:p>
          <w:pPr>
            <w:pStyle w:val="TOC2"/>
            <w:tabs>
              <w:tab w:val="clear" w:pos="720"/>
              <w:tab w:val="right" w:pos="6479" w:leader="dot"/>
            </w:tabs>
            <w:rPr/>
          </w:pPr>
          <w:hyperlink w:anchor="__RefHeading___Toc56625_3769931028">
            <w:r>
              <w:rPr>
                <w:rStyle w:val="IndexLink"/>
              </w:rPr>
              <w:t>Neuseeland: Kinder, Schule und Spracheingewöhnung</w:t>
              <w:tab/>
              <w:t>1449</w:t>
            </w:r>
          </w:hyperlink>
        </w:p>
        <w:p>
          <w:pPr>
            <w:pStyle w:val="TOC2"/>
            <w:tabs>
              <w:tab w:val="clear" w:pos="720"/>
              <w:tab w:val="right" w:pos="6479" w:leader="dot"/>
            </w:tabs>
            <w:rPr/>
          </w:pPr>
          <w:hyperlink w:anchor="__RefHeading___Toc56627_3769931028">
            <w:r>
              <w:rPr>
                <w:rStyle w:val="IndexLink"/>
              </w:rPr>
              <w:t>Neuseeland: Arbeitswelt und Jobwechsel</w:t>
              <w:tab/>
              <w:t>1465</w:t>
            </w:r>
          </w:hyperlink>
        </w:p>
        <w:p>
          <w:pPr>
            <w:pStyle w:val="TOC2"/>
            <w:tabs>
              <w:tab w:val="clear" w:pos="720"/>
              <w:tab w:val="right" w:pos="6479" w:leader="dot"/>
            </w:tabs>
            <w:rPr/>
          </w:pPr>
          <w:hyperlink w:anchor="__RefHeading___Toc56629_3769931028">
            <w:r>
              <w:rPr>
                <w:rStyle w:val="IndexLink"/>
              </w:rPr>
              <w:t>Neuseeland: Recht, Sicherheit und Polizeikontakt</w:t>
              <w:tab/>
              <w:t>1480</w:t>
            </w:r>
          </w:hyperlink>
        </w:p>
        <w:p>
          <w:pPr>
            <w:pStyle w:val="TOC2"/>
            <w:tabs>
              <w:tab w:val="clear" w:pos="720"/>
              <w:tab w:val="right" w:pos="6479" w:leader="dot"/>
            </w:tabs>
            <w:rPr/>
          </w:pPr>
          <w:hyperlink w:anchor="__RefHeading___Toc56631_3769931028">
            <w:r>
              <w:rPr>
                <w:rStyle w:val="IndexLink"/>
              </w:rPr>
              <w:t>Neuseeland: Staatsbürgerschaft und Steuerresidenz</w:t>
              <w:tab/>
              <w:t>1495</w:t>
            </w:r>
          </w:hyperlink>
        </w:p>
        <w:p>
          <w:pPr>
            <w:pStyle w:val="TOC2"/>
            <w:tabs>
              <w:tab w:val="clear" w:pos="720"/>
              <w:tab w:val="right" w:pos="6479" w:leader="dot"/>
            </w:tabs>
            <w:rPr/>
          </w:pPr>
          <w:hyperlink w:anchor="__RefHeading___Toc56633_3769931028">
            <w:r>
              <w:rPr>
                <w:rStyle w:val="IndexLink"/>
              </w:rPr>
              <w:t>Anhang A: Die Master-Checkliste</w:t>
              <w:tab/>
              <w:t>1508</w:t>
            </w:r>
          </w:hyperlink>
        </w:p>
        <w:p>
          <w:pPr>
            <w:pStyle w:val="TOC2"/>
            <w:tabs>
              <w:tab w:val="clear" w:pos="720"/>
              <w:tab w:val="right" w:pos="6479" w:leader="dot"/>
            </w:tabs>
            <w:rPr/>
          </w:pPr>
          <w:hyperlink w:anchor="__RefHeading___Toc56635_3769931028">
            <w:r>
              <w:rPr>
                <w:rStyle w:val="IndexLink"/>
              </w:rPr>
              <w:t>Anhang B: Glossar Deutsch–Englisch</w:t>
              <w:tab/>
              <w:t>1535</w:t>
            </w:r>
          </w:hyperlink>
        </w:p>
        <w:p>
          <w:pPr>
            <w:pStyle w:val="TOC2"/>
            <w:tabs>
              <w:tab w:val="clear" w:pos="720"/>
              <w:tab w:val="right" w:pos="6479" w:leader="dot"/>
            </w:tabs>
            <w:rPr/>
          </w:pPr>
          <w:hyperlink w:anchor="__RefHeading___Toc56637_3769931028">
            <w:r>
              <w:rPr>
                <w:rStyle w:val="IndexLink"/>
              </w:rPr>
              <w:t>Anhang C: Umrechnungstabellen</w:t>
              <w:tab/>
              <w:t>1573</w:t>
            </w:r>
          </w:hyperlink>
        </w:p>
        <w:p>
          <w:pPr>
            <w:pStyle w:val="TOC2"/>
            <w:tabs>
              <w:tab w:val="clear" w:pos="720"/>
              <w:tab w:val="right" w:pos="6479" w:leader="dot"/>
            </w:tabs>
            <w:rPr/>
          </w:pPr>
          <w:hyperlink w:anchor="__RefHeading___Toc56639_3769931028">
            <w:r>
              <w:rPr>
                <w:rStyle w:val="IndexLink"/>
              </w:rPr>
              <w:t>Anhang D: Formulare und Abkürzungen</w:t>
              <w:tab/>
              <w:t>1584</w:t>
            </w:r>
          </w:hyperlink>
        </w:p>
        <w:p>
          <w:pPr>
            <w:pStyle w:val="TOC2"/>
            <w:tabs>
              <w:tab w:val="clear" w:pos="720"/>
              <w:tab w:val="right" w:pos="6479" w:leader="dot"/>
            </w:tabs>
            <w:rPr/>
          </w:pPr>
          <w:hyperlink w:anchor="__RefHeading___Toc56641_3769931028">
            <w:r>
              <w:rPr>
                <w:rStyle w:val="IndexLink"/>
              </w:rPr>
              <w:t>Anhang E: Budgetbeispiele</w:t>
              <w:tab/>
              <w:t>1598</w:t>
            </w:r>
          </w:hyperlink>
        </w:p>
        <w:p>
          <w:pPr>
            <w:pStyle w:val="TOC2"/>
            <w:tabs>
              <w:tab w:val="clear" w:pos="720"/>
              <w:tab w:val="right" w:pos="6479" w:leader="dot"/>
            </w:tabs>
            <w:rPr/>
          </w:pPr>
          <w:hyperlink w:anchor="__RefHeading___Toc56643_3769931028">
            <w:r>
              <w:rPr>
                <w:rStyle w:val="IndexLink"/>
              </w:rPr>
              <w:t>Anhang F: Offizielle Quellen und Adressen</w:t>
              <w:tab/>
              <w:t>1608</w:t>
            </w:r>
          </w:hyperlink>
        </w:p>
        <w:p>
          <w:pPr>
            <w:pStyle w:val="TOC2"/>
            <w:tabs>
              <w:tab w:val="clear" w:pos="720"/>
              <w:tab w:val="right" w:pos="6479" w:leader="dot"/>
            </w:tabs>
            <w:rPr/>
          </w:pPr>
          <w:hyperlink w:anchor="__RefHeading___Toc56645_3769931028">
            <w:r>
              <w:rPr>
                <w:rStyle w:val="IndexLink"/>
              </w:rPr>
              <w:t>USA</w:t>
              <w:tab/>
              <w:t>1609</w:t>
            </w:r>
          </w:hyperlink>
        </w:p>
        <w:p>
          <w:pPr>
            <w:pStyle w:val="TOC2"/>
            <w:tabs>
              <w:tab w:val="clear" w:pos="720"/>
              <w:tab w:val="right" w:pos="6479" w:leader="dot"/>
            </w:tabs>
            <w:rPr/>
          </w:pPr>
          <w:hyperlink w:anchor="__RefHeading___Toc56647_3769931028">
            <w:r>
              <w:rPr>
                <w:rStyle w:val="IndexLink"/>
              </w:rPr>
              <w:t>Kanada</w:t>
              <w:tab/>
              <w:t>1625</w:t>
            </w:r>
          </w:hyperlink>
        </w:p>
        <w:p>
          <w:pPr>
            <w:pStyle w:val="TOC2"/>
            <w:tabs>
              <w:tab w:val="clear" w:pos="720"/>
              <w:tab w:val="right" w:pos="6479" w:leader="dot"/>
            </w:tabs>
            <w:rPr/>
          </w:pPr>
          <w:hyperlink w:anchor="__RefHeading___Toc56649_3769931028">
            <w:r>
              <w:rPr>
                <w:rStyle w:val="IndexLink"/>
              </w:rPr>
              <w:t>Australien</w:t>
              <w:tab/>
              <w:t>1633</w:t>
            </w:r>
          </w:hyperlink>
        </w:p>
        <w:p>
          <w:pPr>
            <w:pStyle w:val="TOC2"/>
            <w:tabs>
              <w:tab w:val="clear" w:pos="720"/>
              <w:tab w:val="right" w:pos="6479" w:leader="dot"/>
            </w:tabs>
            <w:rPr/>
          </w:pPr>
          <w:hyperlink w:anchor="__RefHeading___Toc56651_3769931028">
            <w:r>
              <w:rPr>
                <w:rStyle w:val="IndexLink"/>
              </w:rPr>
              <w:t>Neuseeland</w:t>
              <w:tab/>
              <w:t>1640</w:t>
            </w:r>
          </w:hyperlink>
        </w:p>
        <w:p>
          <w:pPr>
            <w:pStyle w:val="TOC2"/>
            <w:tabs>
              <w:tab w:val="clear" w:pos="720"/>
              <w:tab w:val="right" w:pos="6479" w:leader="dot"/>
            </w:tabs>
            <w:rPr/>
          </w:pPr>
          <w:hyperlink w:anchor="__RefHeading___Toc56653_3769931028">
            <w:r>
              <w:rPr>
                <w:rStyle w:val="IndexLink"/>
              </w:rPr>
              <w:t>Anhang G: Schnellfinder — Problem → Kapitel</w:t>
              <w:tab/>
              <w:t>1647</w:t>
            </w:r>
          </w:hyperlink>
        </w:p>
        <w:p>
          <w:pPr>
            <w:pStyle w:val="TOC2"/>
            <w:tabs>
              <w:tab w:val="clear" w:pos="720"/>
              <w:tab w:val="right" w:pos="6479" w:leader="dot"/>
            </w:tabs>
            <w:rPr/>
          </w:pPr>
          <w:hyperlink w:anchor="__RefHeading___Toc56655_3769931028">
            <w:r>
              <w:rPr>
                <w:rStyle w:val="IndexLink"/>
              </w:rPr>
              <w:t>USA</w:t>
              <w:tab/>
              <w:t>1648</w:t>
            </w:r>
          </w:hyperlink>
        </w:p>
        <w:p>
          <w:pPr>
            <w:pStyle w:val="TOC2"/>
            <w:tabs>
              <w:tab w:val="clear" w:pos="720"/>
              <w:tab w:val="right" w:pos="6479" w:leader="dot"/>
            </w:tabs>
            <w:rPr/>
          </w:pPr>
          <w:hyperlink w:anchor="__RefHeading___Toc56657_3769931028">
            <w:r>
              <w:rPr>
                <w:rStyle w:val="IndexLink"/>
              </w:rPr>
              <w:t>Kanada</w:t>
              <w:tab/>
              <w:t>1654</w:t>
            </w:r>
          </w:hyperlink>
        </w:p>
        <w:p>
          <w:pPr>
            <w:pStyle w:val="TOC2"/>
            <w:tabs>
              <w:tab w:val="clear" w:pos="720"/>
              <w:tab w:val="right" w:pos="6479" w:leader="dot"/>
            </w:tabs>
            <w:rPr/>
          </w:pPr>
          <w:hyperlink w:anchor="__RefHeading___Toc56659_3769931028">
            <w:r>
              <w:rPr>
                <w:rStyle w:val="IndexLink"/>
              </w:rPr>
              <w:t>Australien</w:t>
              <w:tab/>
              <w:t>1658</w:t>
            </w:r>
          </w:hyperlink>
        </w:p>
        <w:p>
          <w:pPr>
            <w:pStyle w:val="TOC2"/>
            <w:tabs>
              <w:tab w:val="clear" w:pos="720"/>
              <w:tab w:val="right" w:pos="6479" w:leader="dot"/>
            </w:tabs>
            <w:rPr/>
          </w:pPr>
          <w:hyperlink w:anchor="__RefHeading___Toc56661_3769931028">
            <w:r>
              <w:rPr>
                <w:rStyle w:val="IndexLink"/>
              </w:rPr>
              <w:t>Neuseeland</w:t>
              <w:tab/>
              <w:t>1662</w:t>
            </w:r>
          </w:hyperlink>
        </w:p>
        <w:p>
          <w:pPr>
            <w:pStyle w:val="TOC2"/>
            <w:tabs>
              <w:tab w:val="clear" w:pos="720"/>
              <w:tab w:val="right" w:pos="6479" w:leader="dot"/>
            </w:tabs>
            <w:rPr/>
          </w:pPr>
          <w:hyperlink w:anchor="__RefHeading___Toc56663_3769931028">
            <w:r>
              <w:rPr>
                <w:rStyle w:val="IndexLink"/>
              </w:rPr>
              <w:t>Über den Autor</w:t>
              <w:tab/>
              <w:t>1666</w:t>
            </w:r>
          </w:hyperlink>
        </w:p>
        <w:p>
          <w:pPr>
            <w:pStyle w:val="TOC2"/>
            <w:tabs>
              <w:tab w:val="clear" w:pos="720"/>
              <w:tab w:val="right" w:pos="6479" w:leader="dot"/>
            </w:tabs>
            <w:rPr/>
          </w:pPr>
          <w:hyperlink w:anchor="__RefHeading___Toc56665_3769931028">
            <w:r>
              <w:rPr>
                <w:rStyle w:val="IndexLink"/>
              </w:rPr>
              <w:t>Eine kleine Bitte</w:t>
              <w:tab/>
              <w:t>1667</w:t>
            </w:r>
          </w:hyperlink>
        </w:p>
        <w:p>
          <w:pPr>
            <w:pStyle w:val="TOC2"/>
            <w:tabs>
              <w:tab w:val="clear" w:pos="720"/>
              <w:tab w:val="right" w:pos="6479" w:leader="dot"/>
            </w:tabs>
            <w:rPr/>
          </w:pPr>
          <w:hyperlink w:anchor="__RefHeading___Toc56667_3769931028">
            <w:r>
              <w:rPr>
                <w:rStyle w:val="IndexLink"/>
              </w:rPr>
              <w:t>Weitere Bücher des Autors</w:t>
              <w:tab/>
              <w:t>1668</w:t>
            </w:r>
          </w:hyperlink>
          <w:r>
            <w:rPr>
              <w:rStyle w:val="IndexLink"/>
            </w:rPr>
            <w:fldChar w:fldCharType="end"/>
          </w:r>
        </w:p>
      </w:sdtContent>
    </w:sdt>
    <w:p>
      <w:pPr>
        <w:pStyle w:val="Normal"/>
        <w:rPr/>
      </w:pPr>
      <w:r>
        <w:rPr/>
      </w:r>
      <w:r>
        <w:br w:type="page"/>
      </w:r>
    </w:p>
    <w:p>
      <w:pPr>
        <w:pStyle w:val="Heading2"/>
        <w:keepNext w:val="true"/>
        <w:spacing w:before="0" w:after="300"/>
        <w:jc w:val="center"/>
        <w:rPr/>
      </w:pPr>
      <w:bookmarkStart w:id="0" w:name="__RefHeading___Toc56417_3769931028"/>
      <w:bookmarkStart w:id="1" w:name="s1"/>
      <w:bookmarkEnd w:id="0"/>
      <w:r>
        <w:rPr>
          <w:rFonts w:eastAsia="Amazon Ember" w:cs="Amazon Ember" w:ascii="Amazon Ember" w:hAnsi="Amazon Ember"/>
          <w:b/>
          <w:bCs/>
          <w:color w:val="0000FF"/>
          <w:sz w:val="36"/>
          <w:szCs w:val="36"/>
        </w:rPr>
        <w:t>Vorwort</w:t>
      </w:r>
      <w:bookmarkEnd w:id="1"/>
    </w:p>
    <w:p>
      <w:pPr>
        <w:pStyle w:val="Normal"/>
        <w:keepNext w:val="false"/>
        <w:keepLines w:val="false"/>
        <w:spacing w:lineRule="exact" w:line="288" w:before="0" w:after="140"/>
        <w:jc w:val="left"/>
        <w:rPr/>
      </w:pPr>
      <w:r>
        <w:rPr>
          <w:rFonts w:eastAsia="Cambria" w:cs="Cambria"/>
          <w:b w:val="false"/>
          <w:bCs w:val="false"/>
          <w:i w:val="false"/>
          <w:iCs w:val="false"/>
          <w:sz w:val="22"/>
          <w:szCs w:val="22"/>
        </w:rPr>
        <w:t>Es gibt Entscheidungen, die man mit einer Tabelle treffen kann, und Entscheidungen, bei denen die Tabelle nur ein Anfang ist. Der Umzug von Deutschland in die USA, nach Kanada, Australien oder Neuseeland gehört zur zweiten Sorte. Er betrifft Beruf, Geld, Gesundheit, Kinder, Freundschaften und die Frage, wo man sich zu Hause fühlt. Und er besteht aus Hunderten kleiner Aufgaben, von denen jede, wenn man sie übersieht, etwas kostet: Zeit, Geld oder Nerven.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Ich habe über vierzig Jahre in der Halbleiterindustrie gearbeitet, zuerst in Deutschland, dann bei amerikanischen Start-ups. Heute lebe ich zwischen Kalifornien und Bayern. Ich kenne die USA und Deutschland aus dem Alltag, mit ihren Stärken und ihren Zumutungen, und ich habe über die Jahre viele Kolleginnen und Kollegen begleitet, die vor derselben Entscheidung standen wie du – manche zog es in die USA, andere nach Kanada, Australien oder Neuseeland. Die Fragen, die sich dabei stellen, ähneln sich mehr, als man denkt: Was kostet mich das wirklich? Wie schnell komme ich zu einem sicheren Aufenthaltstitel? Was passiert mit meiner Rente, meiner Krankenversicherung, meinen Kindern? Deshalb ist aus dem ursprünglichen USA-Ratgeber diese vierteilige Auswanderer-Bibel geworden, mit derselben Sorgfalt recherchiert wie zuvor der USA-Teil. Die einen kommen mit rosaroten Erwartungen und werden von der Krankenversicherung, dem Visum oder der Einsamkeit im ersten Winter überrollt. Die anderen lassen sich von Horrorgeschichten abschrecken und verpassen eine Chance, die für sie genau richtig gewesen wäre.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Dieses Buch will beides vermeiden. Es ist als </w:t>
      </w:r>
      <w:r>
        <w:rPr>
          <w:rFonts w:eastAsia="Cambria" w:cs="Cambria"/>
          <w:b/>
          <w:bCs/>
          <w:i w:val="false"/>
          <w:iCs w:val="false"/>
          <w:sz w:val="22"/>
          <w:szCs w:val="22"/>
        </w:rPr>
        <w:t>Bibel der Plus- und Minuspunkte</w:t>
      </w:r>
      <w:r>
        <w:rPr>
          <w:rFonts w:eastAsia="Cambria" w:cs="Cambria"/>
          <w:b w:val="false"/>
          <w:bCs w:val="false"/>
          <w:i w:val="false"/>
          <w:iCs w:val="false"/>
          <w:sz w:val="22"/>
          <w:szCs w:val="22"/>
        </w:rPr>
        <w:t xml:space="preserve"> gedacht: Zu jedem Thema findest du die Vorteile und die Nachteile, die Fallen, die Kosten, die Sparmöglichkeiten und die nächsten Schritte. Es beginnt mit der Frage, ob du für einen Auslandsumzug überhaupt bereit bist, und einem Vergleich, welches der vier Länder am besten zu deiner Situation passt. Danach folgt ein gemeinsamer Teil zu allem, was mit dem Verlassen Deutschlands zu tun hat – Behörden, Steuern, Umzug, Dokumente –, unabhängig vom Ziel. Für die USA, Kanada, Australien und Neuseeland gibt es danach je einen eigenen, gleich aufgebauten Teil: Visum und Aufenthaltstitel, Ankunft, Steuern und Gesundheitssystem, Wohnen, Führerschein und Verkehr, Alltagskultur, Freundschaften, Kinder und Schule, Arbeitswelt, Recht und Sicherheit, bis hin zum Weg zur Staatsbürgerschaft. Wer zurückkehrt, findet den Plan B wieder im gemeinsamen Teil, denn die deutsche Seite der Rückkehr ist überall gleich.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Vier Dinge solltest du von Anfang an wissen.</w:t>
      </w:r>
    </w:p>
    <w:p>
      <w:pPr>
        <w:pStyle w:val="Normal"/>
        <w:keepNext w:val="false"/>
        <w:keepLines w:val="false"/>
        <w:spacing w:lineRule="exact" w:line="288" w:before="0" w:after="140"/>
        <w:jc w:val="left"/>
        <w:rPr/>
      </w:pPr>
      <w:r>
        <w:rPr>
          <w:rFonts w:eastAsia="Cambria" w:cs="Cambria"/>
          <w:b/>
          <w:bCs/>
          <w:i w:val="false"/>
          <w:iCs w:val="false"/>
          <w:sz w:val="22"/>
          <w:szCs w:val="22"/>
        </w:rPr>
        <w:t>Erstens: Die Regeln ändern sich.</w:t>
      </w:r>
      <w:r>
        <w:rPr>
          <w:rFonts w:eastAsia="Cambria" w:cs="Cambria"/>
          <w:b w:val="false"/>
          <w:bCs w:val="false"/>
          <w:i w:val="false"/>
          <w:iCs w:val="false"/>
          <w:sz w:val="22"/>
          <w:szCs w:val="22"/>
        </w:rPr>
        <w:t xml:space="preserve"> Einwanderungsrecht wird in allen vier Ländern immer wieder umgebaut: bei Gebühren, Auswahlverfahren, Prüfungen und Bearbeitungszeiten. Jedes Kapitel nennt deshalb den Stand, auf dem seine Zahlen beruhen, und die offiziellen Quellen, bei denen du nachprüfen kannst, was inzwischen gilt. Dieses Buch nimmt dir das Prüfen nicht ab, aber es sagt dir, </w:t>
      </w:r>
      <w:r>
        <w:rPr>
          <w:rFonts w:eastAsia="Cambria" w:cs="Cambria"/>
          <w:b w:val="false"/>
          <w:bCs w:val="false"/>
          <w:i/>
          <w:iCs/>
          <w:sz w:val="22"/>
          <w:szCs w:val="22"/>
        </w:rPr>
        <w:t>was</w:t>
      </w:r>
      <w:r>
        <w:rPr>
          <w:rFonts w:eastAsia="Cambria" w:cs="Cambria"/>
          <w:b w:val="false"/>
          <w:bCs w:val="false"/>
          <w:i w:val="false"/>
          <w:iCs w:val="false"/>
          <w:sz w:val="22"/>
          <w:szCs w:val="22"/>
        </w:rPr>
        <w:t xml:space="preserve"> du prüfen musst und </w:t>
      </w:r>
      <w:r>
        <w:rPr>
          <w:rFonts w:eastAsia="Cambria" w:cs="Cambria"/>
          <w:b w:val="false"/>
          <w:bCs w:val="false"/>
          <w:i/>
          <w:iCs/>
          <w:sz w:val="22"/>
          <w:szCs w:val="22"/>
        </w:rPr>
        <w:t>wo</w:t>
      </w:r>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Zweitens: Jedes dieser Länder ist mehrere Länder in einem.</w:t>
      </w:r>
      <w:r>
        <w:rPr>
          <w:rFonts w:eastAsia="Cambria" w:cs="Cambria"/>
          <w:b w:val="false"/>
          <w:bCs w:val="false"/>
          <w:i w:val="false"/>
          <w:iCs w:val="false"/>
          <w:sz w:val="22"/>
          <w:szCs w:val="22"/>
        </w:rPr>
        <w:t xml:space="preserve"> Die USA bestehen aus fünfzig Bundesstaaten, Kanada aus zehn Provinzen und drei Territorien, Australien aus sechs Bundesstaaten und Territorien; selbst das kleinere, zentraler regierte Neuseeland kennt regionale Unterschiede. Führerschein, Schule, Steuern, Mietrecht und vieles mehr regelt vielerorts die jeweilige Region selbst. Wo das der Fall ist, erkläre ich das Prinzip und zeige es an einigen Beispielen. Für deinen Ort gilt am Ende die Regel deines Bundesstaates, deiner Provinz oder deines Territoriums.</w:t>
      </w:r>
    </w:p>
    <w:p>
      <w:pPr>
        <w:pStyle w:val="Normal"/>
        <w:keepNext w:val="false"/>
        <w:keepLines w:val="false"/>
        <w:spacing w:lineRule="exact" w:line="288" w:before="0" w:after="140"/>
        <w:jc w:val="left"/>
        <w:rPr/>
      </w:pPr>
      <w:r>
        <w:rPr>
          <w:rFonts w:eastAsia="Cambria" w:cs="Cambria"/>
          <w:b/>
          <w:bCs/>
          <w:i w:val="false"/>
          <w:iCs w:val="false"/>
          <w:sz w:val="22"/>
          <w:szCs w:val="22"/>
        </w:rPr>
        <w:t>Drittens: Die vier Länder sind nicht austauschbar.</w:t>
      </w:r>
      <w:r>
        <w:rPr>
          <w:rFonts w:eastAsia="Cambria" w:cs="Cambria"/>
          <w:b w:val="false"/>
          <w:bCs w:val="false"/>
          <w:i w:val="false"/>
          <w:iCs w:val="false"/>
          <w:sz w:val="22"/>
          <w:szCs w:val="22"/>
        </w:rPr>
        <w:t xml:space="preserve"> Ein schneller, planbarer Weg zum unbefristeten Aufenthaltstitel, ein staatliches Gesundheitssystem, die Nähe zu Deutschland oder das höchste Gehaltsniveau – das alles bekommst du nicht in einem Land gleichzeitig. Das Kapitel „Welches Land passt zu dir?“ hilft dir, deine eigenen Prioritäten zu ordnen, bevor du dich in die Tiefe eines einzelnen Länder-Teils stürzt.</w:t>
      </w:r>
    </w:p>
    <w:p>
      <w:pPr>
        <w:pStyle w:val="Normal"/>
        <w:keepNext w:val="false"/>
        <w:keepLines w:val="false"/>
        <w:spacing w:lineRule="exact" w:line="288" w:before="0" w:after="140"/>
        <w:jc w:val="left"/>
        <w:rPr/>
      </w:pPr>
      <w:r>
        <w:rPr>
          <w:rFonts w:eastAsia="Cambria" w:cs="Cambria"/>
          <w:b/>
          <w:bCs/>
          <w:i w:val="false"/>
          <w:iCs w:val="false"/>
          <w:sz w:val="22"/>
          <w:szCs w:val="22"/>
        </w:rPr>
        <w:t>Viertens: Dieses Buch ist keine Beratung.</w:t>
      </w:r>
      <w:r>
        <w:rPr>
          <w:rFonts w:eastAsia="Cambria" w:cs="Cambria"/>
          <w:b w:val="false"/>
          <w:bCs w:val="false"/>
          <w:i w:val="false"/>
          <w:iCs w:val="false"/>
          <w:sz w:val="22"/>
          <w:szCs w:val="22"/>
        </w:rPr>
        <w:t xml:space="preserve"> Bei Visum, Steuern, Immobilien und Vorsorge gilt: Lass dich von Fachleuten beraten, die deine Situation kennen. Was du hier lernst, hilft dir, die richtigen Fragen zu stellen und Angebote einzuordnen. Das spart Geld und schützt vor teuren Fehlern.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Wenn dieses Buch dazu beiträgt, dass du eine gute Entscheidung triffst, sei es für den Umzug oder bewusst dagegen, hat es seinen Zweck erfüllt. Ich wünsche dir einen klaren Kopf, gute Nerven und einen guten Start, wo auch immer du ihn machst.</w:t>
      </w:r>
    </w:p>
    <w:p>
      <w:pPr>
        <w:pStyle w:val="Normal"/>
        <w:keepNext w:val="false"/>
        <w:keepLines w:val="false"/>
        <w:spacing w:lineRule="exact" w:line="288" w:before="0" w:after="140"/>
        <w:jc w:val="left"/>
        <w:rPr/>
      </w:pPr>
      <w:r>
        <w:rPr>
          <w:rFonts w:eastAsia="Cambria" w:cs="Cambria"/>
          <w:b w:val="false"/>
          <w:bCs w:val="false"/>
          <w:i/>
          <w:iCs/>
          <w:sz w:val="22"/>
          <w:szCs w:val="22"/>
        </w:rPr>
        <w:t>Lothar J. Musiol</w:t>
      </w:r>
      <w:r>
        <w:br w:type="page"/>
      </w:r>
    </w:p>
    <w:p>
      <w:pPr>
        <w:pStyle w:val="Heading2"/>
        <w:keepNext w:val="true"/>
        <w:spacing w:before="0" w:after="300"/>
        <w:jc w:val="center"/>
        <w:rPr/>
      </w:pPr>
      <w:bookmarkStart w:id="2" w:name="__RefHeading___Toc56419_3769931028"/>
      <w:bookmarkStart w:id="3" w:name="s2"/>
      <w:bookmarkEnd w:id="2"/>
      <w:r>
        <w:rPr>
          <w:rFonts w:eastAsia="Amazon Ember" w:cs="Amazon Ember" w:ascii="Amazon Ember" w:hAnsi="Amazon Ember"/>
          <w:b/>
          <w:bCs/>
          <w:color w:val="0000FF"/>
          <w:sz w:val="36"/>
          <w:szCs w:val="36"/>
        </w:rPr>
        <w:t>So nutzt du dieses Buch</w:t>
      </w:r>
      <w:bookmarkEnd w:id="3"/>
    </w:p>
    <w:p>
      <w:pPr>
        <w:pStyle w:val="Normal"/>
        <w:keepNext w:val="false"/>
        <w:keepLines w:val="false"/>
        <w:spacing w:lineRule="exact" w:line="288" w:before="0" w:after="140"/>
        <w:jc w:val="left"/>
        <w:rPr/>
      </w:pPr>
      <w:r>
        <w:rPr>
          <w:rFonts w:eastAsia="Cambria" w:cs="Cambria"/>
          <w:b w:val="false"/>
          <w:bCs w:val="false"/>
          <w:i w:val="false"/>
          <w:iCs w:val="false"/>
          <w:sz w:val="22"/>
          <w:szCs w:val="22"/>
        </w:rPr>
        <w:t>Du musst dieses Buch nicht von vorn bis hinten lesen. Es ist ein Nachschlagewerk mit rotem Faden: Die zehn Teile folgen dem zeitlichen Ablauf eines Umzugs, jedes Kapitel funktioniert aber auch allein.</w:t>
      </w:r>
    </w:p>
    <w:p>
      <w:pPr>
        <w:pStyle w:val="Heading3"/>
        <w:keepNext w:val="true"/>
        <w:spacing w:before="280" w:after="100"/>
        <w:jc w:val="center"/>
        <w:rPr/>
      </w:pPr>
      <w:r>
        <w:rPr>
          <w:rFonts w:eastAsia="Amazon Ember" w:cs="Amazon Ember" w:ascii="Amazon Ember" w:hAnsi="Amazon Ember"/>
          <w:b/>
          <w:bCs/>
          <w:color w:val="0000FF"/>
          <w:sz w:val="36"/>
          <w:szCs w:val="36"/>
        </w:rPr>
        <w:t>Der Aufbau</w:t>
      </w:r>
    </w:p>
    <w:p>
      <w:pPr>
        <w:pStyle w:val="Normal"/>
        <w:keepNext w:val="false"/>
        <w:keepLines w:val="false"/>
        <w:spacing w:lineRule="exact" w:line="288" w:before="0" w:after="140"/>
        <w:jc w:val="left"/>
        <w:rPr/>
      </w:pPr>
      <w:r>
        <w:rPr>
          <w:rFonts w:eastAsia="Cambria" w:cs="Cambria"/>
          <w:b/>
          <w:bCs/>
          <w:i w:val="false"/>
          <w:iCs w:val="false"/>
          <w:sz w:val="22"/>
          <w:szCs w:val="22"/>
        </w:rPr>
        <w:t>Teil I</w:t>
      </w:r>
      <w:r>
        <w:rPr>
          <w:rFonts w:eastAsia="Cambria" w:cs="Cambria"/>
          <w:b w:val="false"/>
          <w:bCs w:val="false"/>
          <w:i w:val="false"/>
          <w:iCs w:val="false"/>
          <w:sz w:val="22"/>
          <w:szCs w:val="22"/>
        </w:rPr>
        <w:t xml:space="preserve"> hilft dir zu entscheiden, ob und unter welchen Bedingungen der Umzug sinnvoll ist. </w:t>
      </w:r>
      <w:r>
        <w:rPr>
          <w:rFonts w:eastAsia="Cambria" w:cs="Cambria"/>
          <w:b/>
          <w:bCs/>
          <w:i w:val="false"/>
          <w:iCs w:val="false"/>
          <w:sz w:val="22"/>
          <w:szCs w:val="22"/>
        </w:rPr>
        <w:t>Teil II</w:t>
      </w:r>
      <w:r>
        <w:rPr>
          <w:rFonts w:eastAsia="Cambria" w:cs="Cambria"/>
          <w:b w:val="false"/>
          <w:bCs w:val="false"/>
          <w:i w:val="false"/>
          <w:iCs w:val="false"/>
          <w:sz w:val="22"/>
          <w:szCs w:val="22"/>
        </w:rPr>
        <w:t xml:space="preserve"> erklärt die Wege in die USA, vor allem H-1B, Green Card und den Studienweg. </w:t>
      </w:r>
      <w:r>
        <w:rPr>
          <w:rFonts w:eastAsia="Cambria" w:cs="Cambria"/>
          <w:b/>
          <w:bCs/>
          <w:i w:val="false"/>
          <w:iCs w:val="false"/>
          <w:sz w:val="22"/>
          <w:szCs w:val="22"/>
        </w:rPr>
        <w:t>Teil III</w:t>
      </w:r>
      <w:r>
        <w:rPr>
          <w:rFonts w:eastAsia="Cambria" w:cs="Cambria"/>
          <w:b w:val="false"/>
          <w:bCs w:val="false"/>
          <w:i w:val="false"/>
          <w:iCs w:val="false"/>
          <w:sz w:val="22"/>
          <w:szCs w:val="22"/>
        </w:rPr>
        <w:t xml:space="preserve"> behandelt Wohnort, Miete und Kauf. </w:t>
      </w:r>
      <w:r>
        <w:rPr>
          <w:rFonts w:eastAsia="Cambria" w:cs="Cambria"/>
          <w:b/>
          <w:bCs/>
          <w:i w:val="false"/>
          <w:iCs w:val="false"/>
          <w:sz w:val="22"/>
          <w:szCs w:val="22"/>
        </w:rPr>
        <w:t>Teil IV</w:t>
      </w:r>
      <w:r>
        <w:rPr>
          <w:rFonts w:eastAsia="Cambria" w:cs="Cambria"/>
          <w:b w:val="false"/>
          <w:bCs w:val="false"/>
          <w:i w:val="false"/>
          <w:iCs w:val="false"/>
          <w:sz w:val="22"/>
          <w:szCs w:val="22"/>
        </w:rPr>
        <w:t xml:space="preserve"> ist deine Aufgabenliste für Deutschland. </w:t>
      </w:r>
      <w:r>
        <w:rPr>
          <w:rFonts w:eastAsia="Cambria" w:cs="Cambria"/>
          <w:b/>
          <w:bCs/>
          <w:i w:val="false"/>
          <w:iCs w:val="false"/>
          <w:sz w:val="22"/>
          <w:szCs w:val="22"/>
        </w:rPr>
        <w:t>Teil V</w:t>
      </w:r>
      <w:r>
        <w:rPr>
          <w:rFonts w:eastAsia="Cambria" w:cs="Cambria"/>
          <w:b w:val="false"/>
          <w:bCs w:val="false"/>
          <w:i w:val="false"/>
          <w:iCs w:val="false"/>
          <w:sz w:val="22"/>
          <w:szCs w:val="22"/>
        </w:rPr>
        <w:t xml:space="preserve"> klärt, was in den Container gehört und was du drüben günstiger kaufst. </w:t>
      </w:r>
      <w:r>
        <w:rPr>
          <w:rFonts w:eastAsia="Cambria" w:cs="Cambria"/>
          <w:b/>
          <w:bCs/>
          <w:i w:val="false"/>
          <w:iCs w:val="false"/>
          <w:sz w:val="22"/>
          <w:szCs w:val="22"/>
        </w:rPr>
        <w:t>Teil VI</w:t>
      </w:r>
      <w:r>
        <w:rPr>
          <w:rFonts w:eastAsia="Cambria" w:cs="Cambria"/>
          <w:b w:val="false"/>
          <w:bCs w:val="false"/>
          <w:i w:val="false"/>
          <w:iCs w:val="false"/>
          <w:sz w:val="22"/>
          <w:szCs w:val="22"/>
        </w:rPr>
        <w:t xml:space="preserve"> begleitet dich durch die ersten Wochen. </w:t>
      </w:r>
      <w:r>
        <w:rPr>
          <w:rFonts w:eastAsia="Cambria" w:cs="Cambria"/>
          <w:b/>
          <w:bCs/>
          <w:i w:val="false"/>
          <w:iCs w:val="false"/>
          <w:sz w:val="22"/>
          <w:szCs w:val="22"/>
        </w:rPr>
        <w:t>Teil VII</w:t>
      </w:r>
      <w:r>
        <w:rPr>
          <w:rFonts w:eastAsia="Cambria" w:cs="Cambria"/>
          <w:b w:val="false"/>
          <w:bCs w:val="false"/>
          <w:i w:val="false"/>
          <w:iCs w:val="false"/>
          <w:sz w:val="22"/>
          <w:szCs w:val="22"/>
        </w:rPr>
        <w:t xml:space="preserve"> erklärt die Arbeitswelt und den Jobwechsel. </w:t>
      </w:r>
      <w:r>
        <w:rPr>
          <w:rFonts w:eastAsia="Cambria" w:cs="Cambria"/>
          <w:b/>
          <w:bCs/>
          <w:i w:val="false"/>
          <w:iCs w:val="false"/>
          <w:sz w:val="22"/>
          <w:szCs w:val="22"/>
        </w:rPr>
        <w:t>Teil VIII</w:t>
      </w:r>
      <w:r>
        <w:rPr>
          <w:rFonts w:eastAsia="Cambria" w:cs="Cambria"/>
          <w:b w:val="false"/>
          <w:bCs w:val="false"/>
          <w:i w:val="false"/>
          <w:iCs w:val="false"/>
          <w:sz w:val="22"/>
          <w:szCs w:val="22"/>
        </w:rPr>
        <w:t xml:space="preserve"> widmet sich Kultur, Freunden, Heimweh, Kleidung und Essen. </w:t>
      </w:r>
      <w:r>
        <w:rPr>
          <w:rFonts w:eastAsia="Cambria" w:cs="Cambria"/>
          <w:b/>
          <w:bCs/>
          <w:i w:val="false"/>
          <w:iCs w:val="false"/>
          <w:sz w:val="22"/>
          <w:szCs w:val="22"/>
        </w:rPr>
        <w:t>Teil IX</w:t>
      </w:r>
      <w:r>
        <w:rPr>
          <w:rFonts w:eastAsia="Cambria" w:cs="Cambria"/>
          <w:b w:val="false"/>
          <w:bCs w:val="false"/>
          <w:i w:val="false"/>
          <w:iCs w:val="false"/>
          <w:sz w:val="22"/>
          <w:szCs w:val="22"/>
        </w:rPr>
        <w:t xml:space="preserve"> gehört den Kindern und der Schule. </w:t>
      </w:r>
      <w:r>
        <w:rPr>
          <w:rFonts w:eastAsia="Cambria" w:cs="Cambria"/>
          <w:b/>
          <w:bCs/>
          <w:i w:val="false"/>
          <w:iCs w:val="false"/>
          <w:sz w:val="22"/>
          <w:szCs w:val="22"/>
        </w:rPr>
        <w:t>Teil X</w:t>
      </w:r>
      <w:r>
        <w:rPr>
          <w:rFonts w:eastAsia="Cambria" w:cs="Cambria"/>
          <w:b w:val="false"/>
          <w:bCs w:val="false"/>
          <w:i w:val="false"/>
          <w:iCs w:val="false"/>
          <w:sz w:val="22"/>
          <w:szCs w:val="22"/>
        </w:rPr>
        <w:t xml:space="preserve"> blickt auf Vorsorge, Recht, Staatsbürgerschaft und den Rückweg. Im Anhang findest du die Master-Checkliste, ein Glossar, Umrechnungstabellen, Formulare, Budgetbeispiele, Adressen und einen Schnellfinder.</w:t>
      </w:r>
    </w:p>
    <w:p>
      <w:pPr>
        <w:pStyle w:val="Heading3"/>
        <w:keepNext w:val="true"/>
        <w:spacing w:before="280" w:after="100"/>
        <w:jc w:val="center"/>
        <w:rPr/>
      </w:pPr>
      <w:r>
        <w:rPr>
          <w:rFonts w:eastAsia="Amazon Ember" w:cs="Amazon Ember" w:ascii="Amazon Ember" w:hAnsi="Amazon Ember"/>
          <w:b/>
          <w:bCs/>
          <w:color w:val="0000FF"/>
          <w:sz w:val="36"/>
          <w:szCs w:val="36"/>
        </w:rPr>
        <w:t>Die wiederkehrenden Elemente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Jedes Kapitel beginnt mit einer Kurzfassung und endet mit einer Checkliste und einem Stand-Hinweis. Dazwischen begegnen dir feste Bausteine:</w:t>
      </w:r>
    </w:p>
    <w:tbl>
      <w:tblPr>
        <w:tblW w:w="6480" w:type="dxa"/>
        <w:jc w:val="left"/>
        <w:tblInd w:w="0" w:type="dxa"/>
        <w:tblLayout w:type="fixed"/>
        <w:tblCellMar>
          <w:top w:w="50" w:type="dxa"/>
          <w:left w:w="80" w:type="dxa"/>
          <w:bottom w:w="50" w:type="dxa"/>
          <w:right w:w="80" w:type="dxa"/>
        </w:tblCellMar>
      </w:tblPr>
      <w:tblGrid>
        <w:gridCol w:w="1310"/>
        <w:gridCol w:w="5169"/>
      </w:tblGrid>
      <w:tr>
        <w:trPr>
          <w:tblHeader w:val="true"/>
          <w:cantSplit w:val="true"/>
        </w:trPr>
        <w:tc>
          <w:tcPr>
            <w:tcW w:w="131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Baustein</w:t>
            </w:r>
          </w:p>
        </w:tc>
        <w:tc>
          <w:tcPr>
            <w:tcW w:w="516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Bedeutung</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Kurz gesagt</w:t>
            </w:r>
          </w:p>
        </w:tc>
        <w:tc>
          <w:tcPr>
            <w:tcW w:w="51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Das Wichtigste in 60 Sekunden</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Plus und Minus</w:t>
            </w:r>
          </w:p>
        </w:tc>
        <w:tc>
          <w:tcPr>
            <w:tcW w:w="51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Vorteile und Nachteile eines Themas, nebeneinander</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Achtung</w:t>
            </w:r>
          </w:p>
        </w:tc>
        <w:tc>
          <w:tcPr>
            <w:tcW w:w="51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Eine Falle, die Geld oder Nerven kostet</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Spartipp</w:t>
            </w:r>
          </w:p>
        </w:tc>
        <w:tc>
          <w:tcPr>
            <w:tcW w:w="51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 sparst du Geld oder Zeit</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Merke</w:t>
            </w:r>
          </w:p>
        </w:tc>
        <w:tc>
          <w:tcPr>
            <w:tcW w:w="51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Satz, der hängen bleiben soll</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Praxisbeispiel</w:t>
            </w:r>
          </w:p>
        </w:tc>
        <w:tc>
          <w:tcPr>
            <w:tcW w:w="51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fiktives, aber typisches Szenario</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Checkliste</w:t>
            </w:r>
          </w:p>
        </w:tc>
        <w:tc>
          <w:tcPr>
            <w:tcW w:w="51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du jetzt erledigen solltest</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Stand</w:t>
            </w:r>
          </w:p>
        </w:tc>
        <w:tc>
          <w:tcPr>
            <w:tcW w:w="51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Wann die Zahlen erhoben wurden und was sich schnell ändert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Fünf erfundene Menschen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Damit die Regeln nicht abstrakt bleiben, begleiten dich fünf erfundene Personen durch das Buch. </w:t>
      </w:r>
      <w:r>
        <w:rPr>
          <w:rFonts w:eastAsia="Cambria" w:cs="Cambria"/>
          <w:b/>
          <w:bCs/>
          <w:i w:val="false"/>
          <w:iCs w:val="false"/>
          <w:sz w:val="22"/>
          <w:szCs w:val="22"/>
        </w:rPr>
        <w:t>Familie Brandt</w:t>
      </w:r>
      <w:r>
        <w:rPr>
          <w:rFonts w:eastAsia="Cambria" w:cs="Cambria"/>
          <w:b w:val="false"/>
          <w:bCs w:val="false"/>
          <w:i w:val="false"/>
          <w:iCs w:val="false"/>
          <w:sz w:val="22"/>
          <w:szCs w:val="22"/>
        </w:rPr>
        <w:t xml:space="preserve"> (Markus, Ingenieur bei einem Automobilzulieferer, Anna, Lehrerin, und die Kinder Lena und Jonas) zieht mit einem H-1B nach Michigan. </w:t>
      </w:r>
      <w:r>
        <w:rPr>
          <w:rFonts w:eastAsia="Cambria" w:cs="Cambria"/>
          <w:b/>
          <w:bCs/>
          <w:i w:val="false"/>
          <w:iCs w:val="false"/>
          <w:sz w:val="22"/>
          <w:szCs w:val="22"/>
        </w:rPr>
        <w:t>Sabine Keller</w:t>
      </w:r>
      <w:r>
        <w:rPr>
          <w:rFonts w:eastAsia="Cambria" w:cs="Cambria"/>
          <w:b w:val="false"/>
          <w:bCs w:val="false"/>
          <w:i w:val="false"/>
          <w:iCs w:val="false"/>
          <w:sz w:val="22"/>
          <w:szCs w:val="22"/>
        </w:rPr>
        <w:t xml:space="preserve">, Softwareentwicklerin, geht mit H-1B nach Seattle. </w:t>
      </w:r>
      <w:r>
        <w:rPr>
          <w:rFonts w:eastAsia="Cambria" w:cs="Cambria"/>
          <w:b/>
          <w:bCs/>
          <w:i w:val="false"/>
          <w:iCs w:val="false"/>
          <w:sz w:val="22"/>
          <w:szCs w:val="22"/>
        </w:rPr>
        <w:t>Jan Hoffmann</w:t>
      </w:r>
      <w:r>
        <w:rPr>
          <w:rFonts w:eastAsia="Cambria" w:cs="Cambria"/>
          <w:b w:val="false"/>
          <w:bCs w:val="false"/>
          <w:i w:val="false"/>
          <w:iCs w:val="false"/>
          <w:sz w:val="22"/>
          <w:szCs w:val="22"/>
        </w:rPr>
        <w:t xml:space="preserve">, Prozessingenieur in der Halbleiterfertigung, wird mit Frau und Sohn per L-1 nach Arizona versetzt. </w:t>
      </w:r>
      <w:r>
        <w:rPr>
          <w:rFonts w:eastAsia="Cambria" w:cs="Cambria"/>
          <w:b/>
          <w:bCs/>
          <w:i w:val="false"/>
          <w:iCs w:val="false"/>
          <w:sz w:val="22"/>
          <w:szCs w:val="22"/>
        </w:rPr>
        <w:t>Felix Wagner</w:t>
      </w:r>
      <w:r>
        <w:rPr>
          <w:rFonts w:eastAsia="Cambria" w:cs="Cambria"/>
          <w:b w:val="false"/>
          <w:bCs w:val="false"/>
          <w:i w:val="false"/>
          <w:iCs w:val="false"/>
          <w:sz w:val="22"/>
          <w:szCs w:val="22"/>
        </w:rPr>
        <w:t xml:space="preserve"> studiert mit einem F-1-Visum in Boston und hofft auf den späteren Wechsel. </w:t>
      </w:r>
      <w:r>
        <w:rPr>
          <w:rFonts w:eastAsia="Cambria" w:cs="Cambria"/>
          <w:b/>
          <w:bCs/>
          <w:i w:val="false"/>
          <w:iCs w:val="false"/>
          <w:sz w:val="22"/>
          <w:szCs w:val="22"/>
        </w:rPr>
        <w:t>Miriam und Tobias Scholz</w:t>
      </w:r>
      <w:r>
        <w:rPr>
          <w:rFonts w:eastAsia="Cambria" w:cs="Cambria"/>
          <w:b w:val="false"/>
          <w:bCs w:val="false"/>
          <w:i w:val="false"/>
          <w:iCs w:val="false"/>
          <w:sz w:val="22"/>
          <w:szCs w:val="22"/>
        </w:rPr>
        <w:t xml:space="preserve"> gründen mit einem E-2-Visum in North Carolina. Alle fünf sind frei erfunden. Sie sind so gezeichnet, dass ihre Erfahrungen typisch sind, aber sie sind keine Zeugenaussagen.</w:t>
      </w:r>
    </w:p>
    <w:p>
      <w:pPr>
        <w:pStyle w:val="Heading3"/>
        <w:keepNext w:val="true"/>
        <w:spacing w:before="280" w:after="100"/>
        <w:jc w:val="center"/>
        <w:rPr/>
      </w:pPr>
      <w:r>
        <w:rPr>
          <w:rFonts w:eastAsia="Amazon Ember" w:cs="Amazon Ember" w:ascii="Amazon Ember" w:hAnsi="Amazon Ember"/>
          <w:b/>
          <w:bCs/>
          <w:color w:val="0000FF"/>
          <w:sz w:val="36"/>
          <w:szCs w:val="36"/>
        </w:rPr>
        <w:t>Wie du Zahlen und Regeln behandelst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Alle Zahlen tragen ein Datum, meist </w:t>
      </w:r>
      <w:r>
        <w:rPr>
          <w:rFonts w:eastAsia="Cambria" w:cs="Cambria"/>
          <w:b/>
          <w:bCs/>
          <w:i w:val="false"/>
          <w:iCs w:val="false"/>
          <w:sz w:val="22"/>
          <w:szCs w:val="22"/>
        </w:rPr>
        <w:t>September 2026</w:t>
      </w:r>
      <w:r>
        <w:rPr>
          <w:rFonts w:eastAsia="Cambria" w:cs="Cambria"/>
          <w:b w:val="false"/>
          <w:bCs w:val="false"/>
          <w:i w:val="false"/>
          <w:iCs w:val="false"/>
          <w:sz w:val="22"/>
          <w:szCs w:val="22"/>
        </w:rPr>
        <w:t>. Beträge stehen in US-Dollar (</w:t>
      </w:r>
      <w:r>
        <w:rPr>
          <w:rFonts w:eastAsia="Cambria" w:cs="Cambria"/>
          <w:b/>
          <w:bCs/>
          <w:i w:val="false"/>
          <w:iCs w:val="false"/>
          <w:sz w:val="22"/>
          <w:szCs w:val="22"/>
        </w:rPr>
        <w:t>$</w:t>
      </w:r>
      <w:r>
        <w:rPr>
          <w:rFonts w:eastAsia="Cambria" w:cs="Cambria"/>
          <w:b w:val="false"/>
          <w:bCs w:val="false"/>
          <w:i w:val="false"/>
          <w:iCs w:val="false"/>
          <w:sz w:val="22"/>
          <w:szCs w:val="22"/>
        </w:rPr>
        <w:t>), Größen in amerikanischen Einheiten mit metrischer Umrechnung. Einreise-, Steuer- und Gesundheitsregeln ändern sich schneller, als ein Buch gedruckt werden kann. Am Ende jedes Kapitels stehen deshalb die offiziellen Quellen: Rufe sie auf, bevor du handelst.</w:t>
      </w:r>
    </w:p>
    <w:p>
      <w:pPr>
        <w:pStyle w:val="Heading3"/>
        <w:keepNext w:val="true"/>
        <w:spacing w:before="280" w:after="100"/>
        <w:jc w:val="center"/>
        <w:rPr/>
      </w:pPr>
      <w:r>
        <w:rPr>
          <w:rFonts w:eastAsia="Amazon Ember" w:cs="Amazon Ember" w:ascii="Amazon Ember" w:hAnsi="Amazon Ember"/>
          <w:b/>
          <w:bCs/>
          <w:color w:val="0000FF"/>
          <w:sz w:val="36"/>
          <w:szCs w:val="36"/>
        </w:rPr>
        <w:t>Wege durch das Buch</w:t>
      </w:r>
    </w:p>
    <w:tbl>
      <w:tblPr>
        <w:tblW w:w="6480" w:type="dxa"/>
        <w:jc w:val="left"/>
        <w:tblInd w:w="0" w:type="dxa"/>
        <w:tblLayout w:type="fixed"/>
        <w:tblCellMar>
          <w:top w:w="50" w:type="dxa"/>
          <w:left w:w="80" w:type="dxa"/>
          <w:bottom w:w="50" w:type="dxa"/>
          <w:right w:w="80" w:type="dxa"/>
        </w:tblCellMar>
      </w:tblPr>
      <w:tblGrid>
        <w:gridCol w:w="2860"/>
        <w:gridCol w:w="3619"/>
      </w:tblGrid>
      <w:tr>
        <w:trPr>
          <w:tblHeader w:val="true"/>
          <w:cantSplit w:val="true"/>
        </w:trPr>
        <w:tc>
          <w:tcPr>
            <w:tcW w:w="28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Lage</w:t>
            </w:r>
          </w:p>
        </w:tc>
        <w:tc>
          <w:tcPr>
            <w:tcW w:w="361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Beginne mit</w:t>
            </w:r>
          </w:p>
        </w:tc>
      </w:tr>
      <w:tr>
        <w:trPr>
          <w:cantSplit w:val="true"/>
        </w:trPr>
        <w:tc>
          <w:tcPr>
            <w:tcW w:w="28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bin noch unentschieden</w:t>
            </w:r>
          </w:p>
        </w:tc>
        <w:tc>
          <w:tcPr>
            <w:tcW w:w="3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Teil I (Kapitel </w:t>
            </w:r>
            <w:hyperlink w:anchor="k1">
              <w:r>
                <w:rPr>
                  <w:rStyle w:val="ListLabel112"/>
                  <w:rFonts w:eastAsia="Cambria" w:cs="Cambria"/>
                  <w:b w:val="false"/>
                  <w:bCs w:val="false"/>
                  <w:i w:val="false"/>
                  <w:iCs w:val="false"/>
                  <w:sz w:val="18"/>
                  <w:szCs w:val="18"/>
                </w:rPr>
                <w:t>1</w:t>
              </w:r>
            </w:hyperlink>
            <w:r>
              <w:rPr>
                <w:rFonts w:eastAsia="Cambria" w:cs="Cambria"/>
                <w:b w:val="false"/>
                <w:bCs w:val="false"/>
                <w:i w:val="false"/>
                <w:iCs w:val="false"/>
                <w:sz w:val="18"/>
                <w:szCs w:val="18"/>
              </w:rPr>
              <w:t>–</w:t>
            </w:r>
            <w:hyperlink w:anchor="k3">
              <w:r>
                <w:rPr>
                  <w:rStyle w:val="ListLabel112"/>
                  <w:rFonts w:eastAsia="Cambria" w:cs="Cambria"/>
                  <w:b w:val="false"/>
                  <w:bCs w:val="false"/>
                  <w:i w:val="false"/>
                  <w:iCs w:val="false"/>
                  <w:sz w:val="18"/>
                  <w:szCs w:val="18"/>
                </w:rPr>
                <w:t>3</w:t>
              </w:r>
            </w:hyperlink>
            <w:r>
              <w:rPr>
                <w:rFonts w:eastAsia="Cambria" w:cs="Cambria"/>
                <w:b w:val="false"/>
                <w:bCs w:val="false"/>
                <w:i w:val="false"/>
                <w:iCs w:val="false"/>
                <w:sz w:val="18"/>
                <w:szCs w:val="18"/>
              </w:rPr>
              <w:t>)</w:t>
            </w:r>
          </w:p>
        </w:tc>
      </w:tr>
      <w:tr>
        <w:trPr>
          <w:cantSplit w:val="true"/>
        </w:trPr>
        <w:tc>
          <w:tcPr>
            <w:tcW w:w="28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habe ein Jobangebot</w:t>
            </w:r>
          </w:p>
        </w:tc>
        <w:tc>
          <w:tcPr>
            <w:tcW w:w="3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5">
              <w:r>
                <w:rPr>
                  <w:rStyle w:val="ListLabel112"/>
                  <w:rFonts w:eastAsia="Cambria" w:cs="Cambria"/>
                  <w:b w:val="false"/>
                  <w:bCs w:val="false"/>
                  <w:i w:val="false"/>
                  <w:iCs w:val="false"/>
                  <w:sz w:val="18"/>
                  <w:szCs w:val="18"/>
                </w:rPr>
                <w:t>5</w:t>
              </w:r>
            </w:hyperlink>
            <w:r>
              <w:rPr>
                <w:rFonts w:eastAsia="Cambria" w:cs="Cambria"/>
                <w:b w:val="false"/>
                <w:bCs w:val="false"/>
                <w:i w:val="false"/>
                <w:iCs w:val="false"/>
                <w:sz w:val="18"/>
                <w:szCs w:val="18"/>
              </w:rPr>
              <w:t xml:space="preserve">, </w:t>
            </w:r>
            <w:hyperlink w:anchor="k11">
              <w:r>
                <w:rPr>
                  <w:rStyle w:val="ListLabel112"/>
                  <w:rFonts w:eastAsia="Cambria" w:cs="Cambria"/>
                  <w:b w:val="false"/>
                  <w:bCs w:val="false"/>
                  <w:i w:val="false"/>
                  <w:iCs w:val="false"/>
                  <w:sz w:val="18"/>
                  <w:szCs w:val="18"/>
                </w:rPr>
                <w:t>11</w:t>
              </w:r>
            </w:hyperlink>
            <w:r>
              <w:rPr>
                <w:rFonts w:eastAsia="Cambria" w:cs="Cambria"/>
                <w:b w:val="false"/>
                <w:bCs w:val="false"/>
                <w:i w:val="false"/>
                <w:iCs w:val="false"/>
                <w:sz w:val="18"/>
                <w:szCs w:val="18"/>
              </w:rPr>
              <w:t xml:space="preserve">, </w:t>
            </w:r>
            <w:hyperlink w:anchor="k15">
              <w:r>
                <w:rPr>
                  <w:rStyle w:val="ListLabel112"/>
                  <w:rFonts w:eastAsia="Cambria" w:cs="Cambria"/>
                  <w:b w:val="false"/>
                  <w:bCs w:val="false"/>
                  <w:i w:val="false"/>
                  <w:iCs w:val="false"/>
                  <w:sz w:val="18"/>
                  <w:szCs w:val="18"/>
                </w:rPr>
                <w:t>15</w:t>
              </w:r>
            </w:hyperlink>
            <w:r>
              <w:rPr>
                <w:rFonts w:eastAsia="Cambria" w:cs="Cambria"/>
                <w:b w:val="false"/>
                <w:bCs w:val="false"/>
                <w:i w:val="false"/>
                <w:iCs w:val="false"/>
                <w:sz w:val="18"/>
                <w:szCs w:val="18"/>
              </w:rPr>
              <w:t xml:space="preserve"> und die Master-Checkliste (Anhang </w:t>
            </w:r>
            <w:hyperlink w:anchor="anhang_a">
              <w:r>
                <w:rPr>
                  <w:rStyle w:val="ListLabel112"/>
                  <w:rFonts w:eastAsia="Cambria" w:cs="Cambria"/>
                  <w:b w:val="false"/>
                  <w:bCs w:val="false"/>
                  <w:i w:val="false"/>
                  <w:iCs w:val="false"/>
                  <w:sz w:val="18"/>
                  <w:szCs w:val="18"/>
                </w:rPr>
                <w:t>A</w:t>
              </w:r>
            </w:hyperlink>
            <w:r>
              <w:rPr>
                <w:rFonts w:eastAsia="Cambria" w:cs="Cambria"/>
                <w:b w:val="false"/>
                <w:bCs w:val="false"/>
                <w:i w:val="false"/>
                <w:iCs w:val="false"/>
                <w:sz w:val="18"/>
                <w:szCs w:val="18"/>
              </w:rPr>
              <w:t>)</w:t>
            </w:r>
          </w:p>
        </w:tc>
      </w:tr>
      <w:tr>
        <w:trPr>
          <w:cantSplit w:val="true"/>
        </w:trPr>
        <w:tc>
          <w:tcPr>
            <w:tcW w:w="28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will über ein Studium gehen</w:t>
            </w:r>
          </w:p>
        </w:tc>
        <w:tc>
          <w:tcPr>
            <w:tcW w:w="3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8">
              <w:r>
                <w:rPr>
                  <w:rStyle w:val="ListLabel112"/>
                  <w:rFonts w:eastAsia="Cambria" w:cs="Cambria"/>
                  <w:b w:val="false"/>
                  <w:bCs w:val="false"/>
                  <w:i w:val="false"/>
                  <w:iCs w:val="false"/>
                  <w:sz w:val="18"/>
                  <w:szCs w:val="18"/>
                </w:rPr>
                <w:t>8</w:t>
              </w:r>
            </w:hyperlink>
            <w:r>
              <w:rPr>
                <w:rFonts w:eastAsia="Cambria" w:cs="Cambria"/>
                <w:b w:val="false"/>
                <w:bCs w:val="false"/>
                <w:i w:val="false"/>
                <w:iCs w:val="false"/>
                <w:sz w:val="18"/>
                <w:szCs w:val="18"/>
              </w:rPr>
              <w:t xml:space="preserve"> und </w:t>
            </w:r>
            <w:hyperlink w:anchor="k4">
              <w:r>
                <w:rPr>
                  <w:rStyle w:val="ListLabel112"/>
                  <w:rFonts w:eastAsia="Cambria" w:cs="Cambria"/>
                  <w:b w:val="false"/>
                  <w:bCs w:val="false"/>
                  <w:i w:val="false"/>
                  <w:iCs w:val="false"/>
                  <w:sz w:val="18"/>
                  <w:szCs w:val="18"/>
                </w:rPr>
                <w:t>4</w:t>
              </w:r>
            </w:hyperlink>
          </w:p>
        </w:tc>
      </w:tr>
      <w:tr>
        <w:trPr>
          <w:cantSplit w:val="true"/>
        </w:trPr>
        <w:tc>
          <w:tcPr>
            <w:tcW w:w="28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habe Kinder</w:t>
            </w:r>
          </w:p>
        </w:tc>
        <w:tc>
          <w:tcPr>
            <w:tcW w:w="3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Teil IX (Kapitel </w:t>
            </w:r>
            <w:hyperlink w:anchor="k36">
              <w:r>
                <w:rPr>
                  <w:rStyle w:val="ListLabel112"/>
                  <w:rFonts w:eastAsia="Cambria" w:cs="Cambria"/>
                  <w:b w:val="false"/>
                  <w:bCs w:val="false"/>
                  <w:i w:val="false"/>
                  <w:iCs w:val="false"/>
                  <w:sz w:val="18"/>
                  <w:szCs w:val="18"/>
                </w:rPr>
                <w:t>36</w:t>
              </w:r>
            </w:hyperlink>
            <w:r>
              <w:rPr>
                <w:rFonts w:eastAsia="Cambria" w:cs="Cambria"/>
                <w:b w:val="false"/>
                <w:bCs w:val="false"/>
                <w:i w:val="false"/>
                <w:iCs w:val="false"/>
                <w:sz w:val="18"/>
                <w:szCs w:val="18"/>
              </w:rPr>
              <w:t>–</w:t>
            </w:r>
            <w:hyperlink w:anchor="k38">
              <w:r>
                <w:rPr>
                  <w:rStyle w:val="ListLabel112"/>
                  <w:rFonts w:eastAsia="Cambria" w:cs="Cambria"/>
                  <w:b w:val="false"/>
                  <w:bCs w:val="false"/>
                  <w:i w:val="false"/>
                  <w:iCs w:val="false"/>
                  <w:sz w:val="18"/>
                  <w:szCs w:val="18"/>
                </w:rPr>
                <w:t>38</w:t>
              </w:r>
            </w:hyperlink>
            <w:r>
              <w:rPr>
                <w:rFonts w:eastAsia="Cambria" w:cs="Cambria"/>
                <w:b w:val="false"/>
                <w:bCs w:val="false"/>
                <w:i w:val="false"/>
                <w:iCs w:val="false"/>
                <w:sz w:val="18"/>
                <w:szCs w:val="18"/>
              </w:rPr>
              <w:t>) und Kapitel </w:t>
            </w:r>
            <w:hyperlink w:anchor="k12">
              <w:r>
                <w:rPr>
                  <w:rStyle w:val="ListLabel112"/>
                  <w:rFonts w:eastAsia="Cambria" w:cs="Cambria"/>
                  <w:b w:val="false"/>
                  <w:bCs w:val="false"/>
                  <w:i w:val="false"/>
                  <w:iCs w:val="false"/>
                  <w:sz w:val="18"/>
                  <w:szCs w:val="18"/>
                </w:rPr>
                <w:t>12</w:t>
              </w:r>
            </w:hyperlink>
          </w:p>
        </w:tc>
      </w:tr>
      <w:tr>
        <w:trPr>
          <w:cantSplit w:val="true"/>
        </w:trPr>
        <w:tc>
          <w:tcPr>
            <w:tcW w:w="28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muss schnell packen</w:t>
            </w:r>
          </w:p>
        </w:tc>
        <w:tc>
          <w:tcPr>
            <w:tcW w:w="3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0">
              <w:r>
                <w:rPr>
                  <w:rStyle w:val="ListLabel112"/>
                  <w:rFonts w:eastAsia="Cambria" w:cs="Cambria"/>
                  <w:b w:val="false"/>
                  <w:bCs w:val="false"/>
                  <w:i w:val="false"/>
                  <w:iCs w:val="false"/>
                  <w:sz w:val="18"/>
                  <w:szCs w:val="18"/>
                </w:rPr>
                <w:t>20</w:t>
              </w:r>
            </w:hyperlink>
            <w:r>
              <w:rPr>
                <w:rFonts w:eastAsia="Cambria" w:cs="Cambria"/>
                <w:b w:val="false"/>
                <w:bCs w:val="false"/>
                <w:i w:val="false"/>
                <w:iCs w:val="false"/>
                <w:sz w:val="18"/>
                <w:szCs w:val="18"/>
              </w:rPr>
              <w:t xml:space="preserve"> und </w:t>
            </w:r>
            <w:hyperlink w:anchor="k21">
              <w:r>
                <w:rPr>
                  <w:rStyle w:val="ListLabel112"/>
                  <w:rFonts w:eastAsia="Cambria" w:cs="Cambria"/>
                  <w:b w:val="false"/>
                  <w:bCs w:val="false"/>
                  <w:i w:val="false"/>
                  <w:iCs w:val="false"/>
                  <w:sz w:val="18"/>
                  <w:szCs w:val="18"/>
                </w:rPr>
                <w:t>21</w:t>
              </w:r>
            </w:hyperlink>
          </w:p>
        </w:tc>
      </w:tr>
      <w:tr>
        <w:trPr>
          <w:cantSplit w:val="true"/>
        </w:trPr>
        <w:tc>
          <w:tcPr>
            <w:tcW w:w="28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bin gerade gelandet</w:t>
            </w:r>
          </w:p>
        </w:tc>
        <w:tc>
          <w:tcPr>
            <w:tcW w:w="3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3">
              <w:r>
                <w:rPr>
                  <w:rStyle w:val="ListLabel112"/>
                  <w:rFonts w:eastAsia="Cambria" w:cs="Cambria"/>
                  <w:b w:val="false"/>
                  <w:bCs w:val="false"/>
                  <w:i w:val="false"/>
                  <w:iCs w:val="false"/>
                  <w:sz w:val="18"/>
                  <w:szCs w:val="18"/>
                </w:rPr>
                <w:t>23</w:t>
              </w:r>
            </w:hyperlink>
            <w:r>
              <w:rPr>
                <w:rFonts w:eastAsia="Cambria" w:cs="Cambria"/>
                <w:b w:val="false"/>
                <w:bCs w:val="false"/>
                <w:i w:val="false"/>
                <w:iCs w:val="false"/>
                <w:sz w:val="18"/>
                <w:szCs w:val="18"/>
              </w:rPr>
              <w:t xml:space="preserve"> und </w:t>
            </w:r>
            <w:hyperlink w:anchor="k24">
              <w:r>
                <w:rPr>
                  <w:rStyle w:val="ListLabel112"/>
                  <w:rFonts w:eastAsia="Cambria" w:cs="Cambria"/>
                  <w:b w:val="false"/>
                  <w:bCs w:val="false"/>
                  <w:i w:val="false"/>
                  <w:iCs w:val="false"/>
                  <w:sz w:val="18"/>
                  <w:szCs w:val="18"/>
                </w:rPr>
                <w:t>24</w:t>
              </w:r>
            </w:hyperlink>
          </w:p>
        </w:tc>
      </w:tr>
      <w:tr>
        <w:trPr>
          <w:cantSplit w:val="true"/>
        </w:trPr>
        <w:tc>
          <w:tcPr>
            <w:tcW w:w="28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habe meinen Job verloren</w:t>
            </w:r>
          </w:p>
        </w:tc>
        <w:tc>
          <w:tcPr>
            <w:tcW w:w="3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0">
              <w:r>
                <w:rPr>
                  <w:rStyle w:val="ListLabel112"/>
                  <w:rFonts w:eastAsia="Cambria" w:cs="Cambria"/>
                  <w:b w:val="false"/>
                  <w:bCs w:val="false"/>
                  <w:i w:val="false"/>
                  <w:iCs w:val="false"/>
                  <w:sz w:val="18"/>
                  <w:szCs w:val="18"/>
                </w:rPr>
                <w:t>30</w:t>
              </w:r>
            </w:hyperlink>
            <w:r>
              <w:rPr>
                <w:rFonts w:eastAsia="Cambria" w:cs="Cambria"/>
                <w:b w:val="false"/>
                <w:bCs w:val="false"/>
                <w:i w:val="false"/>
                <w:iCs w:val="false"/>
                <w:sz w:val="18"/>
                <w:szCs w:val="18"/>
              </w:rPr>
              <w:t xml:space="preserve"> (sofort)</w:t>
            </w:r>
          </w:p>
        </w:tc>
      </w:tr>
      <w:tr>
        <w:trPr>
          <w:cantSplit w:val="true"/>
        </w:trPr>
        <w:tc>
          <w:tcPr>
            <w:tcW w:w="28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denke an die Rückkehr</w:t>
            </w:r>
          </w:p>
        </w:tc>
        <w:tc>
          <w:tcPr>
            <w:tcW w:w="3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2">
              <w:r>
                <w:rPr>
                  <w:rStyle w:val="ListLabel112"/>
                  <w:rFonts w:eastAsia="Cambria" w:cs="Cambria"/>
                  <w:b w:val="false"/>
                  <w:bCs w:val="false"/>
                  <w:i w:val="false"/>
                  <w:iCs w:val="false"/>
                  <w:sz w:val="18"/>
                  <w:szCs w:val="18"/>
                </w:rPr>
                <w:t>42</w:t>
              </w:r>
            </w:hyperlink>
          </w:p>
        </w:tc>
      </w:tr>
    </w:tbl>
    <w:p>
      <w:pPr>
        <w:sectPr>
          <w:footerReference w:type="even" r:id="rId8"/>
          <w:footerReference w:type="default" r:id="rId9"/>
          <w:footerReference w:type="first" r:id="rId10"/>
          <w:type w:val="nextPage"/>
          <w:pgSz w:w="8640" w:h="12983"/>
          <w:pgMar w:left="1080" w:right="1080" w:gutter="0" w:header="0" w:top="1080" w:footer="708" w:bottom="1100"/>
          <w:pgNumType w:fmt="decimal"/>
          <w:formProt w:val="false"/>
          <w:textDirection w:val="lrTb"/>
          <w:docGrid w:type="default" w:linePitch="360" w:charSpace="4096"/>
        </w:sectPr>
        <w:pStyle w:val="Normal"/>
        <w:spacing w:lineRule="exact" w:line="180" w:before="0" w:after="0"/>
        <w:rPr/>
      </w:pPr>
      <w:r>
        <w:rPr/>
      </w:r>
    </w:p>
    <w:p>
      <w:pPr>
        <w:pStyle w:val="Heading1"/>
        <w:spacing w:before="0" w:after="360"/>
        <w:jc w:val="center"/>
        <w:rPr/>
      </w:pPr>
      <w:bookmarkStart w:id="4" w:name="__RefHeading___Toc56421_3769931028"/>
      <w:bookmarkEnd w:id="4"/>
      <w:r>
        <w:rPr>
          <w:rFonts w:eastAsia="Amazon Ember" w:cs="Amazon Ember" w:ascii="Amazon Ember" w:hAnsi="Amazon Ember"/>
          <w:b/>
          <w:bCs/>
          <w:color w:val="0000FF"/>
        </w:rPr>
        <w:t>TEIL UNIVERSAL — Bevor du dich entscheidest</w:t>
      </w:r>
    </w:p>
    <w:p>
      <w:pPr>
        <w:sectPr>
          <w:footerReference w:type="even" r:id="rId11"/>
          <w:footerReference w:type="default" r:id="rId12"/>
          <w:footerReference w:type="first" r:id="rId13"/>
          <w:type w:val="nextPage"/>
          <w:pgSz w:w="8640" w:h="12983"/>
          <w:pgMar w:left="1080" w:right="1080" w:gutter="0" w:header="0" w:top="1080" w:footer="708" w:bottom="1100"/>
          <w:pgNumType w:fmt="decimal"/>
          <w:formProt w:val="false"/>
          <w:vAlign w:val="center"/>
          <w:textDirection w:val="lrTb"/>
          <w:docGrid w:type="default" w:linePitch="360" w:charSpace="4096"/>
        </w:sectPr>
        <w:pStyle w:val="Normal"/>
        <w:spacing w:lineRule="exact" w:line="300" w:before="0" w:after="160"/>
        <w:ind w:left="400" w:right="400"/>
        <w:jc w:val="center"/>
        <w:rPr/>
      </w:pPr>
      <w:r>
        <w:rPr>
          <w:rFonts w:eastAsia="Cambria" w:cs="Cambria"/>
          <w:b w:val="false"/>
          <w:bCs w:val="false"/>
          <w:i/>
          <w:iCs/>
          <w:sz w:val="24"/>
          <w:szCs w:val="24"/>
        </w:rPr>
        <w:t>Bist du überhaupt bereit für einen Umzug ins Ausland, und welches der vier Länder passt zu dir? Dieser Teil klärt beides, bevor du dich in die Tiefe eines einzelnen Länder-Teils stürzt – und alles, was mit dem Verlassen Deutschlands zu tun hat, gehört hierher, unabhängig vom Ziel.</w:t>
      </w:r>
      <w:r>
        <w:br w:type="page"/>
      </w:r>
    </w:p>
    <w:p>
      <w:pPr>
        <w:pStyle w:val="Heading2"/>
        <w:keepNext w:val="true"/>
        <w:spacing w:before="0" w:after="300"/>
        <w:jc w:val="center"/>
        <w:rPr/>
      </w:pPr>
      <w:bookmarkStart w:id="5" w:name="__RefHeading___Toc56423_3769931028"/>
      <w:bookmarkStart w:id="6" w:name="k1"/>
      <w:bookmarkEnd w:id="5"/>
      <w:r>
        <w:rPr>
          <w:rFonts w:eastAsia="Amazon Ember" w:cs="Amazon Ember" w:ascii="Amazon Ember" w:hAnsi="Amazon Ember"/>
          <w:b/>
          <w:bCs/>
          <w:color w:val="0000FF"/>
          <w:sz w:val="36"/>
          <w:szCs w:val="36"/>
        </w:rPr>
        <w:t>Kapitel 1: Bist du überhaupt bereit dafür?</w:t>
      </w:r>
      <w:bookmarkEnd w:id="6"/>
    </w:p>
    <w:p>
      <w:pPr>
        <w:pStyle w:val="Normal"/>
        <w:keepNext w:val="false"/>
        <w:keepLines w:val="false"/>
        <w:spacing w:lineRule="exact" w:line="288" w:before="0" w:after="140"/>
        <w:jc w:val="left"/>
        <w:rPr/>
      </w:pPr>
      <w:r>
        <w:rPr>
          <w:rFonts w:eastAsia="Cambria" w:cs="Cambria"/>
          <w:b w:val="false"/>
          <w:bCs w:val="false"/>
          <w:i w:val="false"/>
          <w:iCs w:val="false"/>
          <w:sz w:val="22"/>
          <w:szCs w:val="22"/>
        </w:rPr>
        <w:t>Um 23:47 Uhr sitzt du am Küchentisch, der Laptop-Bildschirm ist das einzige Licht im Raum, und der zwölfte geöffnete Tab heißt „Auswandern: USA oder doch lieber Kanada?“. Das Glas Wein daneben ist seit einer Stunde nicht mehr angerührt. Die drängendste Frage in diesem Moment ist aber gar nicht die nach dem Land. Es ist die Frage, ob du – mit deiner finanziellen Lage, deinem Beruf, deiner Familie, deiner Fähigkeit, mit Unsicherheit zu leben – überhaupt bereit für diesen Schritt bist, egal wohin er am Ende führt.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53"/>
              </w:numPr>
              <w:spacing w:lineRule="exact" w:line="264" w:before="0" w:after="50"/>
              <w:rPr/>
            </w:pPr>
            <w:r>
              <w:rPr>
                <w:rFonts w:eastAsia="Cambria" w:cs="Cambria"/>
                <w:b w:val="false"/>
                <w:bCs w:val="false"/>
                <w:i w:val="false"/>
                <w:iCs w:val="false"/>
                <w:sz w:val="20"/>
                <w:szCs w:val="20"/>
              </w:rPr>
              <w:t>Die Frage „Bin ich bereit?“ kommt vor der Frage „Wohin?“ – sie betrifft alle vier Zielländer gleichermaßen.</w:t>
            </w:r>
          </w:p>
          <w:p>
            <w:pPr>
              <w:pStyle w:val="ListParagraph"/>
              <w:numPr>
                <w:ilvl w:val="0"/>
                <w:numId w:val="1"/>
              </w:numPr>
              <w:spacing w:lineRule="exact" w:line="264" w:before="0" w:after="50"/>
              <w:rPr/>
            </w:pPr>
            <w:r>
              <w:rPr>
                <w:rFonts w:eastAsia="Cambria" w:cs="Cambria"/>
                <w:b w:val="false"/>
                <w:bCs w:val="false"/>
                <w:i w:val="false"/>
                <w:iCs w:val="false"/>
                <w:sz w:val="20"/>
                <w:szCs w:val="20"/>
              </w:rPr>
              <w:t>Acht Faktoren hängen nachweislich mit gelungener Anpassung im Ausland zusammen: Finanzen, Risikotoleranz, berufliche Übertragbarkeit, Familie, Sprache, frühere Auslandserfahrung, soziales Netz, Erwartungsmanagement.</w:t>
            </w:r>
          </w:p>
          <w:p>
            <w:pPr>
              <w:pStyle w:val="ListParagraph"/>
              <w:numPr>
                <w:ilvl w:val="0"/>
                <w:numId w:val="1"/>
              </w:numPr>
              <w:spacing w:lineRule="exact" w:line="264" w:before="0" w:after="50"/>
              <w:rPr/>
            </w:pPr>
            <w:r>
              <w:rPr>
                <w:rFonts w:eastAsia="Cambria" w:cs="Cambria"/>
                <w:b w:val="false"/>
                <w:bCs w:val="false"/>
                <w:i w:val="false"/>
                <w:iCs w:val="false"/>
                <w:sz w:val="20"/>
                <w:szCs w:val="20"/>
              </w:rPr>
              <w:t>Die oft zitierte Zahl, wonach 25 bis 40 % aller Auswanderer scheitern, ist ein widerlegter Mythos ohne belastbare Quelle.</w:t>
            </w:r>
          </w:p>
          <w:p>
            <w:pPr>
              <w:pStyle w:val="ListParagraph"/>
              <w:numPr>
                <w:ilvl w:val="0"/>
                <w:numId w:val="1"/>
              </w:numPr>
              <w:spacing w:lineRule="exact" w:line="264" w:before="0" w:after="50"/>
              <w:rPr/>
            </w:pPr>
            <w:r>
              <w:rPr>
                <w:rFonts w:eastAsia="Cambria" w:cs="Cambria"/>
                <w:b w:val="false"/>
                <w:bCs w:val="false"/>
                <w:i w:val="false"/>
                <w:iCs w:val="false"/>
                <w:sz w:val="20"/>
                <w:szCs w:val="20"/>
              </w:rPr>
              <w:t>Das Bewertungs-Raster in diesem Kapitel ist zum Ausfüllen gedacht, nicht zum Bestehen oder Durchfallen: Ein Warnsignal heißt „hier genauer hinschauen“, nicht „lass es bleiben“.</w:t>
            </w:r>
          </w:p>
          <w:p>
            <w:pPr>
              <w:pStyle w:val="ListParagraph"/>
              <w:numPr>
                <w:ilvl w:val="0"/>
                <w:numId w:val="1"/>
              </w:numPr>
              <w:spacing w:lineRule="exact" w:line="264" w:before="0" w:after="50"/>
              <w:rPr/>
            </w:pPr>
            <w:r>
              <w:rPr>
                <w:rFonts w:eastAsia="Cambria" w:cs="Cambria"/>
                <w:b w:val="false"/>
                <w:bCs w:val="false"/>
                <w:i w:val="false"/>
                <w:iCs w:val="false"/>
                <w:sz w:val="20"/>
                <w:szCs w:val="20"/>
              </w:rPr>
              <w:t>Am Ende weißt du, wo du stehst. Die Länderwahl selbst folgt im nächsten Kapitel.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Warum diese Frage vor der Länderwahl steht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Dieses Buch gliedert sich in einen gemeinsamen Teil für alle vier Zielländer und vier eigene Länder-Teile für USA, Kanada, Australien und Neuseeland. Die meisten Auswanderungsratgeber steigen direkt bei der Visumskategorie ein – Formular, Frist, Gebühr. Wichtig, aber das überspringt eine Frage, die dir keine Länderverwaltung stellen kann: Bist du, unabhängig vom Zielland, überhaupt in der Verfassung für diesen Schritt?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Forschung zu Auslandsentsendungen und Migration – vor allem aus Personalpsychologie und Migrationsökonomie – hat in den vergangenen Jahrzehnten Faktoren identifiziert, die mit gelungener Anpassung im Ausland zusammenhängen. Keiner ist für sich ein Ausschlusskriterium oder eine Garantie, zusammengenommen ergeben sie aber ein brauchbares Bild davon, wo du stehst – bevor du dich mit H-1B-Lotterien, Punktesystemen oder Mangelberufslisten beschäftigst. Dieses Kapitel ordnet die Faktoren in ein Raster zum Ausfüllen und räumt vorher mit der bekanntesten Falle auf: einer Zahl, die es so nie gegeben hat.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Egal ob du allein ziehst, mit Partner oder mit Kindern im Schulalter: Die acht Faktoren gelten unabhängig davon, ob am Ende die USA, Kanada, Australien oder Neuseeland auf deiner Liste stehen. Das nächste Kapitel vergleicht die vier Länder entlang objektiver Kriterien wie Einwanderungssystem, Gesundheitsversorgung und Steuerlast; dieses Kapitel fragt nach etwas, das keine Behörde und keine Scorecard beantworten kann: Passt der Schritt an sich zu deinem Leben, so wie es gerade ist?</w:t>
      </w:r>
    </w:p>
    <w:p>
      <w:pPr>
        <w:pStyle w:val="Heading3"/>
        <w:keepNext w:val="true"/>
        <w:spacing w:before="280" w:after="100"/>
        <w:jc w:val="center"/>
        <w:rPr/>
      </w:pPr>
      <w:r>
        <w:rPr>
          <w:rFonts w:eastAsia="Amazon Ember" w:cs="Amazon Ember" w:ascii="Amazon Ember" w:hAnsi="Amazon Ember"/>
          <w:b/>
          <w:bCs/>
          <w:color w:val="0000FF"/>
          <w:sz w:val="36"/>
          <w:szCs w:val="36"/>
        </w:rPr>
        <w:t>Plus und Minus einer ehrlichen Bestandsaufnahme</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Deckt blinde Flecken auf, bevor sie zu teuren Überraschungen werden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Ersetzt keine rechtliche, steuerliche oder psychologische Fachberatung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Schafft eine gemeinsame Gesprächsgrundlage für Partner und Familie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niedriger Wert kann kurzfristig verunsichern, wenn man ihn falsch liest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Nimmt einer vagen Angst die Kontur und macht sie konkret bearbeitbar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validierter psychometrischer Test, sondern eine strukturierte Selbstauskunft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Lässt sich beliebig oft wiederholen, ohne Kosten oder Anmeldung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Ehrliche Antworten setzen voraus, dass du dir selbst nichts vormachst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Verbreiteter Irrtum: die angebliche Scheiterquote von 25 bis 40 %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sich mit Auswandern beschäftigt, stößt früher oder später auf eine Zahl, die sich hartnäckig hält: 25 bis 40 % aller Auswanderer würden scheitern und vorzeitig zurückkehren. Sie taucht in Foren, Ratgebern und gelegentlich auch in seriös wirkenden Artikeln auf, meist ohne Quellenangabe oder mit einem vagen Verweis auf „Studien“.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Migrationsforscherin Anne-Wil Harzing ist dieser Zahl in den 1990er-Jahren nachgegangen und wurde in einer 1979 erschienenen, selbst unbelegten Publikation zweier Unternehmensberater fündig – dem einzigen auffindbaren Ursprung. Seither wurde die Zahl in Fachartikeln und Ratgebern immer wieder zitiert, ohne dass jemand sie neu geprüft hätte: ein klassischer Fall von Zitierketten, die sich gegenseitig scheinbar bestätigen, ohne dass am Anfang je eine echte Erhebung stand.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Belastbarer, aber deutlich enger gefasst, sind Umfragen unter Unternehmen zu ihren entsandten Fach- und Führungskräften: Danach werden familiäre Anpassungsprobleme als Grund für rund ein Drittel der vorzeitig abgebrochenen Auslandsentsendungen genannt – aber das betrifft ausschließlich bezahlte Firmenentsendungen mit Rückkehrgarantie, nicht die freiwillige, private Auswanderung, um die es in diesem Buch geht, und die zugrunde liegenden Erhebungen sind inzwischen ein Jahrzehnt oder älter.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ehrliche Bilanz bedeutet das: Es gibt schlicht keine verlässliche Zahl dafür, wie viele private Auswanderer scheitern oder was „Scheitern“ überhaupt genau bedeutet – eine vorzeitige Rückkehr aus finanzieller Not ist etwas anderes als eine bewusste, gut vorbereitete Rückkehr nach zwei erfüllten Jahren im Ausland. Diese Unsicherheit ist selbst eine nützliche Information. Sie verschiebt den Blick weg von einer angsteinflößenden oder falsch beruhigenden Pseudo-Statistik hin zu den tatsächlich prüfbaren Faktoren in deinem eigenen Leben.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Es gibt keine verlässliche Zahl dafür, wie viele Auswanderer scheitern. Was zählt, ist nicht eine zitierte Statistik, sondern deine eigene, ehrliche Einschätzung der acht Faktoren in diesem Kapitel.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Bewertungs-Raster: acht Faktoren, eine ehrliche Bestandsaufnahme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folgende Tabelle fasst acht Faktoren zusammen, die in der Forschung zu Auslandsaufenthalten wiederholt mit gelungener Anpassung, Zufriedenheit oder – umgekehrt – mit Abbruch und Rückkehr in Verbindung stehen. Fülle sie in Ruhe aus, wenn möglich gemeinsam mit Partner oder Partnerin: Eine ehrliche 2 ist mehr wert als eine geschönte 4. Trage in die letzte Spalte eine Zahl von 1 (trifft kaum zu) bis 5 (trifft voll zu) ein – ein niedriger Wert ist kein Abbruchgrund, sondern eine Arbeitsliste.</w:t>
      </w:r>
    </w:p>
    <w:tbl>
      <w:tblPr>
        <w:tblW w:w="6480" w:type="dxa"/>
        <w:jc w:val="left"/>
        <w:tblInd w:w="0" w:type="dxa"/>
        <w:tblLayout w:type="fixed"/>
        <w:tblCellMar>
          <w:top w:w="50" w:type="dxa"/>
          <w:left w:w="80" w:type="dxa"/>
          <w:bottom w:w="50" w:type="dxa"/>
          <w:right w:w="80" w:type="dxa"/>
        </w:tblCellMar>
      </w:tblPr>
      <w:tblGrid>
        <w:gridCol w:w="1200"/>
        <w:gridCol w:w="1927"/>
        <w:gridCol w:w="2403"/>
        <w:gridCol w:w="949"/>
      </w:tblGrid>
      <w:tr>
        <w:trPr>
          <w:tblHeader w:val="true"/>
          <w:cantSplit w:val="true"/>
        </w:trPr>
        <w:tc>
          <w:tcPr>
            <w:tcW w:w="120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Faktor</w:t>
            </w:r>
          </w:p>
        </w:tc>
        <w:tc>
          <w:tcPr>
            <w:tcW w:w="192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Leitfrage zum Ausfüllen</w:t>
            </w:r>
          </w:p>
        </w:tc>
        <w:tc>
          <w:tcPr>
            <w:tcW w:w="240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Warnsignal</w:t>
            </w:r>
          </w:p>
        </w:tc>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Einschätzung (1–5)</w:t>
            </w:r>
          </w:p>
        </w:tc>
      </w:tr>
      <w:tr>
        <w:trPr>
          <w:cantSplit w:val="true"/>
        </w:trPr>
        <w:tc>
          <w:tcPr>
            <w:tcW w:w="1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Finanzielle Rücklage</w:t>
            </w:r>
          </w:p>
        </w:tc>
        <w:tc>
          <w:tcPr>
            <w:tcW w:w="19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Hast du mindestens 3–6 Monatsausgaben am Zielort plus Umzugskosten als Puffer, unabhängig vom ersten Gehalt?</w:t>
            </w:r>
          </w:p>
        </w:tc>
        <w:tc>
          <w:tcPr>
            <w:tcW w:w="24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Rücklage hängt vollständig vom pünktlichen ersten Gehaltseingang im Ausland ab</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
          </w:p>
        </w:tc>
      </w:tr>
      <w:tr>
        <w:trPr>
          <w:cantSplit w:val="true"/>
        </w:trPr>
        <w:tc>
          <w:tcPr>
            <w:tcW w:w="1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Risikotoleranz</w:t>
            </w:r>
          </w:p>
        </w:tc>
        <w:tc>
          <w:tcPr>
            <w:tcW w:w="19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gehst du grundsätzlich mit Unsicherheit und Plänen um, die sich kurzfristig ändern?</w:t>
            </w:r>
          </w:p>
        </w:tc>
        <w:tc>
          <w:tcPr>
            <w:tcW w:w="24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Schon kleinere Planänderungen im Alltag belasten dich stark</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
          </w:p>
        </w:tc>
      </w:tr>
      <w:tr>
        <w:trPr>
          <w:cantSplit w:val="true"/>
        </w:trPr>
        <w:tc>
          <w:tcPr>
            <w:tcW w:w="1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Berufliche Übertragbarkeit</w:t>
            </w:r>
          </w:p>
        </w:tc>
        <w:tc>
          <w:tcPr>
            <w:tcW w:w="19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Ist dein Abschluss oder deine Berufszulassung im Zielland anerkennungsfähig, und kennst du die Dauer des Verfahrens?</w:t>
            </w:r>
          </w:p>
        </w:tc>
        <w:tc>
          <w:tcPr>
            <w:tcW w:w="24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Das Anerkennungsverfahren deines Berufs hast du noch nicht geprüft</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
          </w:p>
        </w:tc>
      </w:tr>
      <w:tr>
        <w:trPr>
          <w:cantSplit w:val="true"/>
        </w:trPr>
        <w:tc>
          <w:tcPr>
            <w:tcW w:w="1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Zustimmung von Partner/Kindern</w:t>
            </w:r>
          </w:p>
        </w:tc>
        <w:tc>
          <w:tcPr>
            <w:tcW w:w="19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Steht die ganze Familie hinter dem Plan, nicht nur du allein?</w:t>
            </w:r>
          </w:p>
        </w:tc>
        <w:tc>
          <w:tcPr>
            <w:tcW w:w="24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Partner oder ältere Kinder sind unentschlossen oder dagegen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
          </w:p>
        </w:tc>
      </w:tr>
      <w:tr>
        <w:trPr>
          <w:cantSplit w:val="true"/>
        </w:trPr>
        <w:tc>
          <w:tcPr>
            <w:tcW w:w="1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Sprachniveau</w:t>
            </w:r>
          </w:p>
        </w:tc>
        <w:tc>
          <w:tcPr>
            <w:tcW w:w="19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Reicht dein Englisch für Behördengänge und Fachjargon, nicht nur für Small Talk im Urlaub?</w:t>
            </w:r>
          </w:p>
        </w:tc>
        <w:tc>
          <w:tcPr>
            <w:tcW w:w="24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Schon Behördendeutsch bereitet dir auf Deutsch Mühe</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
          </w:p>
        </w:tc>
      </w:tr>
      <w:tr>
        <w:trPr>
          <w:cantSplit w:val="true"/>
        </w:trPr>
        <w:tc>
          <w:tcPr>
            <w:tcW w:w="1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Frühere Auslandserfahrung</w:t>
            </w:r>
          </w:p>
        </w:tc>
        <w:tc>
          <w:tcPr>
            <w:tcW w:w="19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Hast du schon einmal mehrere Monate am Stück im Ausland gelebt, gearbeitet oder studiert?</w:t>
            </w:r>
          </w:p>
        </w:tc>
        <w:tc>
          <w:tcPr>
            <w:tcW w:w="24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Bezugspunkt dafür, wie sich Monate fern der Heimat anfühlen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
          </w:p>
        </w:tc>
      </w:tr>
      <w:tr>
        <w:trPr>
          <w:cantSplit w:val="true"/>
        </w:trPr>
        <w:tc>
          <w:tcPr>
            <w:tcW w:w="1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Soziales Unterstützungsnetz</w:t>
            </w:r>
          </w:p>
        </w:tc>
        <w:tc>
          <w:tcPr>
            <w:tcW w:w="19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Kennst du bereits jemanden vor Ort oder eine Community, digital oder persönlich?</w:t>
            </w:r>
          </w:p>
        </w:tc>
        <w:tc>
          <w:tcPr>
            <w:tcW w:w="24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einzige Verbindung zum Zielland oder zu bestehenden Communitys</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
          </w:p>
        </w:tc>
      </w:tr>
      <w:tr>
        <w:trPr>
          <w:cantSplit w:val="true"/>
        </w:trPr>
        <w:tc>
          <w:tcPr>
            <w:tcW w:w="1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Erwartungsmanagement</w:t>
            </w:r>
          </w:p>
        </w:tc>
        <w:tc>
          <w:tcPr>
            <w:tcW w:w="19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Stützt sich deine Vorstellung vom Alltag auf Recherche – oder vor allem auf Filme und Urlaubserinnerungen?</w:t>
            </w:r>
          </w:p>
        </w:tc>
        <w:tc>
          <w:tcPr>
            <w:tcW w:w="24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Deine Erwartung speist sich hauptsächlich aus zwei Wochen Ferienreise</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Jonas Ritter (fiktives Beispiel, nur in diesem und dem folgenden Kapitel verwendet), 33, Wirtschaftsinformatiker aus Freiburg, füllt das Raster mit seiner Partnerin Sarah, 30, Ergotherapeutin, und Tochter Mila, 4, gemeinsam aus. Bei der finanziellen Rücklage tragen beide eine 4 ein – sie haben bewusst zwölf statt sechs Monatsausgaben zurückgelegt. Unangenehmer wird es bei der beruflichen Übertragbarkeit: Sarah hat noch nicht geprüft, ob ihre Ausbildung im Zielland überhaupt anerkannt wird, und trägt ehrlich eine 2 ein. Das ist für die beiden kein Abbruchgrund, aber eine klare Aufgabe vor jeder weiteren Planung: die zuständige Anerkennungsstelle kontaktieren, bevor sie sich mit Visakategorien beschäftigen.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Finanzielle Rücklage und Risikotoleranz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finanzielle Rücklage gibt es keine amtliche deutsche Empfehlung – weder Auswärtiges Amt noch Bundesverwaltungsamt nennen eine feste Zahl. In der Praxis von Finanz- und Umzugsberatern hat sich eine Faustregel durchgesetzt: 3–6 Monatsausgaben am Zielort als Kernpuffer, dazu die eigentlichen Umzugskosten und ein Aufschlag von 3–5 % für Wechselkursschwankungen. Manche Ratgeber nennen für ein einzelnes Auswanderungsvorhaben Beispielsummen zwischen rund 8.500 $ für günstige und 42.000 $ für teure Ziele – Illustrationsbeispiele einzelner Blogs, keine geprüfte Norm, stark abhängig davon, ob du mit gesichertem Jobangebot ziehst oder ohne.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Rechne nicht mit fremden Blog-Beispielsummen, sondern mit deiner eigenen Zielort-Kalkulation: Miete, Krankenversicherung, Kaution, Erstausstattung und die erste Zeit ohne Einkommen, falls sich der Jobstart verzögert. Eine Rücklage, die von einem pünktlichen ersten Gehalt abhängt, ist keine Rücklage.</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Eine grobe eigene Rechnung geht so: Nimm die erwartete Monatsmiete am Zielort, addiere die geschätzten monatlichen Lebenshaltungskosten für deine Haushaltsgröße und multipliziere die Summe mit sechs. Addiere die einmaligen Umzugskosten – Flüge, Transport, Kaution, Erstausstattung – sowie einen Puffer von 3–5 % für einen ungünstigen Wechselkurs zwischen Planung und Umzug. Das Ergebnis ist keine amtlich geprüfte Zahl, aber eine ehrlichere Grundlage als jede fremde Beispielsumme, weil sie auf deinen eigenen Zahlen beruht, nicht auf den Lebenshaltungskosten eines unbekannten Blog-Autors in einer anderen Stadt.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Risikotoleranz lässt sich weder trainieren noch moralisch bewerten – sie gilt in der Migrationsforschung als relativ stabiler Persönlichkeitszug, ähnlich den großen Persönlichkeitsdimensionen der Psychologie. Menschen mit höherer Risikoaversion zeigen über viele untersuchte Länder hinweg im Schnitt eine geringere Umzugsbereitschaft; Offenheit für neue Erfahrungen und Extraversion hängen dagegen positiv damit zusammen. Diese Frage im Raster ist also kein Eignungstest, sondern ein ehrlicher Blick in den Spiegel: Wie reagierst du normalerweise, wenn ein Plan durcheinandergerät? Wer hier eine 2 einträgt, kann trotzdem auswandern – sollte aber bei Zielort und Vorbereitung bewusst mehr Struktur und Vorhersehbarkeit einplanen als jemand mit hoher Risikotoleranz.</w:t>
      </w:r>
    </w:p>
    <w:p>
      <w:pPr>
        <w:pStyle w:val="Heading3"/>
        <w:keepNext w:val="true"/>
        <w:spacing w:before="280" w:after="100"/>
        <w:jc w:val="center"/>
        <w:rPr/>
      </w:pPr>
      <w:r>
        <w:rPr>
          <w:rFonts w:eastAsia="Amazon Ember" w:cs="Amazon Ember" w:ascii="Amazon Ember" w:hAnsi="Amazon Ember"/>
          <w:b/>
          <w:bCs/>
          <w:color w:val="0000FF"/>
          <w:sz w:val="36"/>
          <w:szCs w:val="36"/>
        </w:rPr>
        <w:t>Berufliche Übertragbarkeit und Sprachniveau</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Von allen acht Faktoren ist die berufliche Übertragbarkeit am objektivsten prüfbar – und wird trotzdem am häufigsten nur „gefühlt“ statt recherchiert. Ob ein Abschluss oder eine Berufszulassung im Zielland anerkannt wird und wie lange das Verfahren dauert, ist eine der am besten belegten Stellschrauben für den Erfolg nach der Migration. Wie groß dieser Hebel sein kann, zeigt eine Studie zu einer deutschen Anerkennungsreform für Zuwanderer aus Nicht-EU-Staaten. Sie erhöhte den Anteil anerkannter ausländischer Qualifikationen um 15 %, die Beschäftigung in reglementierten Berufen um 18,6 % und die Löhne in diesen Berufen um 4 %. Die Studie betrifft zwar den umgekehrten Weg – Zuwanderung nach Deutschland –, zeigt aber, wie stark formale Anerkennung wirkt, in welche Richtung auch immer man wandert. Die konkreten Anerkennungsstellen für USA, Kanada, Australien und Neuseeland findest du im jeweiligen Länder-Teil; hier zählt nur, dir ehrlich einzugestehen, ob du das schon geprüft hast.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 alle vier Zielländer überwiegend englischsprachig sind, betrifft Sprachniveau hier selten die Fremdsprachigkeit an sich, sondern Nuancen: Fachjargon, Amtsenglisch, Alltagsidiome, ironische Untertöne. Mehrere Studien zeigen, dass gute Kenntnisse der Landessprache mit leichterem sozialem Einleben und weniger Kommunikationsstress zusammenhängen, aber nur schwach mit beruflicher Leistung oder Jobzufriedenheit. Ein gutes Fach-Englisch schützt dich also nicht davor, dich beim Elternabend oder beim Small Talk am Gartenzaun erst einmal fremd zu fühlen – und umgekehrt sagt ein holpriger erster Small Talk nichts über deine berufliche Eignung aus.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berufliche Übertragbarkeit lohnt sich als erster Schritt eine gezielte Suche nach der zuständigen Anerkennungsstelle für deinen Beruf im wahrscheinlichsten Zielland – bei reglementierten Berufen wie Medizin, Pflege, Lehramt oder bestimmten Ingenieursberufen gibt es fast immer eine eigene Prüfbehörde mit eigenem Verfahren und eigener Bearbeitungszeit; bei vielen anderen Berufen zählt der Abschluss selbst weniger als die nachweisbare Berufserfahrung. Notiere dir dabei nicht nur, ob eine Anerkennung grundsätzlich möglich ist, sondern auch, wie lange sie realistisch dauert – diese Zahl brauchst du später ohnehin für die Zeitplanung im jeweiligen Länder-Teil.</w:t>
      </w:r>
    </w:p>
    <w:p>
      <w:pPr>
        <w:pStyle w:val="Heading3"/>
        <w:keepNext w:val="true"/>
        <w:spacing w:before="280" w:after="100"/>
        <w:jc w:val="center"/>
        <w:rPr/>
      </w:pPr>
      <w:r>
        <w:rPr>
          <w:rFonts w:eastAsia="Amazon Ember" w:cs="Amazon Ember" w:ascii="Amazon Ember" w:hAnsi="Amazon Ember"/>
          <w:b/>
          <w:bCs/>
          <w:color w:val="0000FF"/>
          <w:sz w:val="36"/>
          <w:szCs w:val="36"/>
        </w:rPr>
        <w:t>Partner, Kinder und das soziale Netz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Kein Faktor wird in der Forschung zu Auslandsentsendungen so oft genannt wie die Familie. In Befragungen von Unternehmen ist Widerstand des Partners oder der Partnerin der mit Abstand häufigste Grund, ein Auslandsangebot abzulehnen – noch vor Gehalt oder Karrierebedenken. Das heißt nicht „Familie dagegen gleich Scheitern“: Partner können durch aktiven Aufbau eines eigenen sozialen Netzes am Zielort auch stabilisierend wirken, und die Forschungslage zum tatsächlichen Nettoeffekt gilt selbst unter Fachleuten als uneinheitlich. Wichtig ist, die Zustimmung nicht stillschweigend vorauszusetzen, sondern aktiv einzuholen – von jedem, der mitzieht, einschließlich älterer Kinder.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zitierten Zahlen zu Partnerwiderstand und Abbruchgründen stammen fast ausschließlich aus Befragungen zu bezahlten Firmenentsendungen mit Rückkehrgarantie, nicht aus Studien zu freiwilliger Privatauswanderung. Die Übertragung ist plausibel – bei einer Auswanderung auf eigenes finanzielles Risiko, ohne das Sicherheitsnetz eines Konzerns, wiegt Familienzustimmung eher noch schwerer, nicht leichter.</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verwandter, aber eigenständiger Faktor ist das soziale Unterstützungsnetz: Emotionale und praktische Unterstützung – durch Familie, Freunde oder eine Community am Zielort – wirkt in mehreren Studien nachweislich schützend gegen Einsamkeit und psychische Belastung im Ausland. Das muss beim Start kein bestehender Freundeskreis vor Ort sein; ein Online-Netzwerk deutscher Auswanderer, ein erster Kontakt über den künftigen Arbeitgeber oder eine Kirchengemeinde zählen bereits. Wer hier eine niedrige Zahl einträgt, sollte diesen Punkt schon vor dem Umzug aktiv angehen, nicht erst danach.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das Gespräch mit Partner oder Familie helfen vier konkrete Fragen mehr als ein allgemeines „Seid ihr dabei?“:</w:t>
      </w:r>
    </w:p>
    <w:p>
      <w:pPr>
        <w:pStyle w:val="ListParagraph"/>
        <w:numPr>
          <w:ilvl w:val="0"/>
          <w:numId w:val="1"/>
        </w:numPr>
        <w:spacing w:lineRule="exact" w:line="288" w:before="0" w:after="60"/>
        <w:rPr/>
      </w:pPr>
      <w:r>
        <w:rPr>
          <w:rFonts w:eastAsia="Cambria" w:cs="Cambria"/>
          <w:b w:val="false"/>
          <w:bCs w:val="false"/>
          <w:i w:val="false"/>
          <w:iCs w:val="false"/>
          <w:sz w:val="22"/>
          <w:szCs w:val="22"/>
        </w:rPr>
        <w:t>Was würde dir am Zielort am meisten fehlen, und wie könnten wir das ausgleichen oder ersetzen?</w:t>
      </w:r>
    </w:p>
    <w:p>
      <w:pPr>
        <w:pStyle w:val="ListParagraph"/>
        <w:numPr>
          <w:ilvl w:val="0"/>
          <w:numId w:val="1"/>
        </w:numPr>
        <w:spacing w:lineRule="exact" w:line="288" w:before="0" w:after="60"/>
        <w:rPr/>
      </w:pPr>
      <w:r>
        <w:rPr>
          <w:rFonts w:eastAsia="Cambria" w:cs="Cambria"/>
          <w:b w:val="false"/>
          <w:bCs w:val="false"/>
          <w:i w:val="false"/>
          <w:iCs w:val="false"/>
          <w:sz w:val="22"/>
          <w:szCs w:val="22"/>
        </w:rPr>
        <w:t>Woran würdest du in einem Jahr erkennen, dass sich der Umzug für dich persönlich gelohnt hat?</w:t>
      </w:r>
    </w:p>
    <w:p>
      <w:pPr>
        <w:pStyle w:val="ListParagraph"/>
        <w:numPr>
          <w:ilvl w:val="0"/>
          <w:numId w:val="1"/>
        </w:numPr>
        <w:spacing w:lineRule="exact" w:line="288" w:before="0" w:after="60"/>
        <w:rPr/>
      </w:pPr>
      <w:r>
        <w:rPr>
          <w:rFonts w:eastAsia="Cambria" w:cs="Cambria"/>
          <w:b w:val="false"/>
          <w:bCs w:val="false"/>
          <w:i w:val="false"/>
          <w:iCs w:val="false"/>
          <w:sz w:val="22"/>
          <w:szCs w:val="22"/>
        </w:rPr>
        <w:t>Welcher Teil dieses Plans macht dir am meisten Sorgen, auch wenn er dir albern vorkommt?</w:t>
      </w:r>
    </w:p>
    <w:p>
      <w:pPr>
        <w:pStyle w:val="ListParagraph"/>
        <w:numPr>
          <w:ilvl w:val="0"/>
          <w:numId w:val="1"/>
        </w:numPr>
        <w:spacing w:lineRule="exact" w:line="288" w:before="0" w:after="60"/>
        <w:rPr/>
      </w:pPr>
      <w:r>
        <w:rPr>
          <w:rFonts w:eastAsia="Cambria" w:cs="Cambria"/>
          <w:b w:val="false"/>
          <w:bCs w:val="false"/>
          <w:i w:val="false"/>
          <w:iCs w:val="false"/>
          <w:sz w:val="22"/>
          <w:szCs w:val="22"/>
        </w:rPr>
        <w:t>Was bräuchtest du, damit deine Antwort von einer 2 zu einer 4 wird?</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Diese Fragen ersetzen keine ausführliche Aussprache, holen aber aus einem diffusen Bauchgefühl etwas Konkretes heraus, worüber sich reden lässt – das gilt für den Partner ebenso wie für ein Kind ab etwa zwölf Jahren, das seine Bedenken sonst leicht herunterschluckt, um niemanden zu enttäuschen.</w:t>
      </w:r>
    </w:p>
    <w:p>
      <w:pPr>
        <w:pStyle w:val="Heading3"/>
        <w:keepNext w:val="true"/>
        <w:spacing w:before="280" w:after="100"/>
        <w:jc w:val="center"/>
        <w:rPr/>
      </w:pPr>
      <w:r>
        <w:rPr>
          <w:rFonts w:eastAsia="Amazon Ember" w:cs="Amazon Ember" w:ascii="Amazon Ember" w:hAnsi="Amazon Ember"/>
          <w:b/>
          <w:bCs/>
          <w:color w:val="0000FF"/>
          <w:sz w:val="36"/>
          <w:szCs w:val="36"/>
        </w:rPr>
        <w:t>Frühere Erfahrung und Erwartungsmanagement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t>
      </w:r>
      <w:r>
        <w:rPr>
          <w:rFonts w:eastAsia="Cambria" w:cs="Cambria"/>
          <w:b w:val="false"/>
          <w:bCs w:val="false"/>
          <w:i w:val="false"/>
          <w:iCs w:val="false"/>
          <w:sz w:val="22"/>
          <w:szCs w:val="22"/>
        </w:rPr>
        <w:t>Ich habe ja schon mal ein Auslandssemester gemacht, das wird schon“ – dieser Gedanke ist verbreitet, aber nur teilweise durch Forschung gedeckt. Eine Meta-Analyse mehrerer Studien fand frühere Auslandserfahrung insgesamt als eher schwachen Prädiktor für die generelle Anpassung im Ausland, allerdings mit klarerem, wenn auch moderatem Effekt auf die Anpassung im Job und im täglichen Umgang mit anderen. Ihr größter nachweisbarer Nutzen liegt woanders: Sie unterstützt vor allem eines, realistische statt idealisierte Erwartungen zu bilden – und das führt zum letzten, vielleicht wichtigsten Faktor.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Theorie der erfüllten Erwartungen aus der Organisationspsychologie zeigt, auf Auslandsaufenthalte übertragen, einen klaren Zusammenhang: Je mehr sich die tatsächliche Erfahrung mit der vorherigen Erwartung deckt, desto höher fallen Zufriedenheit und Anpassung aus. Entscheidend ist nicht die Erwartung an sich, sondern die Richtung des Fehlers – unerwartet hohe Schwierigkeiten belasten psychisch deutlich stärker als Schwierigkeiten, mit denen von vornherein gerechnet wurde. Wer sich also vorab bewusst mit den unschönen Seiten des Ziellandes beschäftigt – bürokratischen Hürden, Einsamkeitsphasen, einem holprigen ersten Jahr –, ist am Ende besser dran als jemand, der sich nur Hochglanzbilder ausgemalt hat.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Realistische Erwartungen entstehen nicht durch Wunschdenken, sondern durch konkrete Arbeit: ungeschönte Erfahrungsberichte lesen, in denen auch Rückschläge vorkommen, nicht nur schöne Fotos; mit Menschen sprechen, die schon dort leben, auch über unbequeme Themen wie Einsamkeit oder Behördenfrust; wo machbar, das Zielland vor der endgültigen Entscheidung mit einer längeren Reise abseits des Urlaubsprogramms kennenlernen – ein Wocheneinkauf im Supermarkt und ein Behördengang sagen oft mehr über den künftigen Alltag aus als eine Woche Sightseeing. Wer das bewusst tut, trägt in der letzten Zeile des Rasters keine geschönte 5 ein, sondern eine ehrliche, gut begründete Zahl.</w:t>
      </w:r>
    </w:p>
    <w:p>
      <w:pPr>
        <w:pStyle w:val="Heading3"/>
        <w:keepNext w:val="true"/>
        <w:spacing w:before="280" w:after="100"/>
        <w:jc w:val="center"/>
        <w:rPr/>
      </w:pPr>
      <w:r>
        <w:rPr>
          <w:rFonts w:eastAsia="Amazon Ember" w:cs="Amazon Ember" w:ascii="Amazon Ember" w:hAnsi="Amazon Ember"/>
          <w:b/>
          <w:bCs/>
          <w:color w:val="0000FF"/>
          <w:sz w:val="36"/>
          <w:szCs w:val="36"/>
        </w:rPr>
        <w:t>Was dein Ergebnis bedeutet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Raster ist kein psychometrisch validierter Test – ein wissenschaftlich geprüftes Selbsttest-Verfahren speziell für private Auswanderer aus Deutschland gibt es schlicht nicht; die zugrunde liegende Forschung stammt größtenteils aus der Personalauswahl für Firmenentsendungen. Trotzdem ist es nützlich, weil es acht real belegte Einflussfaktoren an einem Ort versammelt, die sonst leicht übersehen werden.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Zwei oder drei niedrige Werte sind kein Grund, den Plan zu begraben – sie sind eine Liste offener Aufgaben. Problematisch wird es erst, wenn sich niedrige Werte über mehrere zentrale Faktoren häufen (etwa Finanzen, Familienzustimmung und Erwartungsmanagement zugleich) und du keinen konkreten Plan hast, sie anzugehen.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Sinnvoll ist es, das Raster an drei Zeitpunkten erneut auszufüllen, nicht nur einmal:</w:t>
      </w:r>
    </w:p>
    <w:p>
      <w:pPr>
        <w:pStyle w:val="ListParagraph"/>
        <w:numPr>
          <w:ilvl w:val="0"/>
          <w:numId w:val="1"/>
        </w:numPr>
        <w:spacing w:lineRule="exact" w:line="288" w:before="0" w:after="60"/>
        <w:rPr/>
      </w:pPr>
      <w:r>
        <w:rPr>
          <w:rFonts w:eastAsia="Cambria" w:cs="Cambria"/>
          <w:b w:val="false"/>
          <w:bCs w:val="false"/>
          <w:i w:val="false"/>
          <w:iCs w:val="false"/>
          <w:sz w:val="22"/>
          <w:szCs w:val="22"/>
        </w:rPr>
        <w:t>Nach der ersten groben Recherche zu Visum, Beruf und Zielort, wenn aus vagen Vermutungen erste belastbare Fakten geworden sind.</w:t>
      </w:r>
    </w:p>
    <w:p>
      <w:pPr>
        <w:pStyle w:val="ListParagraph"/>
        <w:numPr>
          <w:ilvl w:val="0"/>
          <w:numId w:val="1"/>
        </w:numPr>
        <w:spacing w:lineRule="exact" w:line="288" w:before="0" w:after="60"/>
        <w:rPr/>
      </w:pPr>
      <w:r>
        <w:rPr>
          <w:rFonts w:eastAsia="Cambria" w:cs="Cambria"/>
          <w:b w:val="false"/>
          <w:bCs w:val="false"/>
          <w:i w:val="false"/>
          <w:iCs w:val="false"/>
          <w:sz w:val="22"/>
          <w:szCs w:val="22"/>
        </w:rPr>
        <w:t>Nach einem konkreten Jobangebot oder einer Einladung zur Antragstellung, wenn aus einer Idee ein Termin mit echten Fristen wird.</w:t>
      </w:r>
    </w:p>
    <w:p>
      <w:pPr>
        <w:pStyle w:val="ListParagraph"/>
        <w:numPr>
          <w:ilvl w:val="0"/>
          <w:numId w:val="1"/>
        </w:numPr>
        <w:spacing w:lineRule="exact" w:line="288" w:before="0" w:after="60"/>
        <w:rPr/>
      </w:pPr>
      <w:r>
        <w:rPr>
          <w:rFonts w:eastAsia="Cambria" w:cs="Cambria"/>
          <w:b w:val="false"/>
          <w:bCs w:val="false"/>
          <w:i w:val="false"/>
          <w:iCs w:val="false"/>
          <w:sz w:val="22"/>
          <w:szCs w:val="22"/>
        </w:rPr>
        <w:t>Etwa sechs Monate vor dem geplanten Abflug, wenn Rücklage, Wohnungssuche und Familienlage noch einmal einem Realitätscheck standhalten sollten.</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Wert, der sich zwischen zwei Durchgängen deutlich verschlechtert – etwa weil die Rücklage durch unerwartete Kosten geschmolzen ist –, ist ein wichtigeres Signal als ein einzelner niedriger Wert beim ersten Ausfüllen. Das Raster ist ein lebendiges Werkzeug, kein einmaliger Test.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Bevor du einen kostenpflichtigen privaten Auswanderungsberater beauftragst, nutze die kostenlose Erstberatung des Raphaelswerks e. V., eines vom Bundesverwaltungsamt zertifizierten Fachverbands der Caritas mit langer Tradition. Der Online-Fragebogen „Auswanderungslotse“ liefert eine erste, unverbindliche Orientierung – er ersetzt keine rechtliche oder steuerliche Beratung, ist aber ein guter, gebührenfreier erster Schritt.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Fülle das Raster aus – wenn du nicht allein auswanderst, ausdrücklich gemeinsam mit allen, die mitziehen. Sprich offen über jede Zahl unter 3, statt sie zu übergehen. Am Ende zählt keine Gesamtpunktzahl, die du irgendwie erreichen oder verfehlen müsstest – ein solcher Schwellenwert wäre nur eine neue Version der widerlegten Scheiterquote vom Anfang dieses Kapitels. Was zählt: dass du für jedes Warnsignal einen nächsten Schritt kennst, bevor du dich endgültig festlegst.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diese Bestandsaufnahme ehrlich macht, geht nicht schwächer, sondern besser vorbereitet in die nächste Frage dieses Buches: Welches der vier Länder passt überhaupt zu dir?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Bewertungs-Raster ausgefüllt, wenn möglich gemeinsam mit Partner oder Familie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Finanzielle Rücklage anhand der eigenen Zielort-Kosten kalkuliert, nicht anhand fremder Beispielsummen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Anerkennungsfähigkeit des eigenen Berufsabschlusses grob recherchiert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Offenes Gespräch mit Partner und älteren Kindern über Zustimmung und Bedenken geführt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Eigenes Englisch-Niveau für Fachjargon und Behördengänge ehrlich eingeschätzt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Erste Ansätze für ein soziales Netz am möglichen Zielort gesucht (Online-Community, Kontakt über Arbeitgeber)</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Bewusst mit den unschönen Seiten des Ziellandes auseinandergesetzt, nicht nur mit Hochglanzbildern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Kostenlose Erstberatung (zum Beispiel Raphaelswerk) in Betracht gezogen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Raster nach einigen Wochen Recherche ein zweites Mal ausgefüllt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Auswärtiges Amt — Fragenkatalog „Ich möchte aus Deutschland auswandern“ (</w:t>
      </w:r>
      <w:hyperlink r:id="rId14">
        <w:r>
          <w:rPr>
            <w:rStyle w:val="ListLabel113"/>
            <w:rFonts w:eastAsia="Cambria" w:cs="Cambria"/>
            <w:b w:val="false"/>
            <w:bCs w:val="false"/>
            <w:i w:val="false"/>
            <w:iCs w:val="false"/>
            <w:color w:val="0563C1"/>
            <w:sz w:val="22"/>
            <w:szCs w:val="22"/>
            <w:u w:val="single"/>
          </w:rPr>
          <w:t>auswaertiges-amt.de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Bundesverwaltungsamt — Checkliste für die Auswanderung, Basiswissen für den Schritt ins Ausland (</w:t>
      </w:r>
      <w:hyperlink r:id="rId15">
        <w:r>
          <w:rPr>
            <w:rStyle w:val="ListLabel113"/>
            <w:rFonts w:eastAsia="Cambria" w:cs="Cambria"/>
            <w:b w:val="false"/>
            <w:bCs w:val="false"/>
            <w:i w:val="false"/>
            <w:iCs w:val="false"/>
            <w:color w:val="0563C1"/>
            <w:sz w:val="22"/>
            <w:szCs w:val="22"/>
            <w:u w:val="single"/>
          </w:rPr>
          <w:t>bva.bund.de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Raphaelswerk e. V. — Beratung Auswanderung, Auswanderungslotse (</w:t>
      </w:r>
      <w:hyperlink r:id="rId16">
        <w:r>
          <w:rPr>
            <w:rStyle w:val="ListLabel113"/>
            <w:rFonts w:eastAsia="Cambria" w:cs="Cambria"/>
            <w:b w:val="false"/>
            <w:bCs w:val="false"/>
            <w:i w:val="false"/>
            <w:iCs w:val="false"/>
            <w:color w:val="0563C1"/>
            <w:sz w:val="22"/>
            <w:szCs w:val="22"/>
            <w:u w:val="single"/>
          </w:rPr>
          <w:t>raphaelswerk.de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Harzing, A.-W. — The Persistent Myth of High Expatriate Failure Rates (</w:t>
      </w:r>
      <w:hyperlink r:id="rId17">
        <w:r>
          <w:rPr>
            <w:rStyle w:val="ListLabel113"/>
            <w:rFonts w:eastAsia="Cambria" w:cs="Cambria"/>
            <w:b w:val="false"/>
            <w:bCs w:val="false"/>
            <w:i w:val="false"/>
            <w:iCs w:val="false"/>
            <w:color w:val="0563C1"/>
            <w:sz w:val="22"/>
            <w:szCs w:val="22"/>
            <w:u w:val="single"/>
          </w:rPr>
          <w:t>harzing.com</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IZA Institute of Labor Economics — Discussion Paper 17444 zur beruflichen Anerkennung (</w:t>
      </w:r>
      <w:hyperlink r:id="rId18">
        <w:r>
          <w:rPr>
            <w:rStyle w:val="ListLabel113"/>
            <w:rFonts w:eastAsia="Cambria" w:cs="Cambria"/>
            <w:b w:val="false"/>
            <w:bCs w:val="false"/>
            <w:i w:val="false"/>
            <w:iCs w:val="false"/>
            <w:color w:val="0563C1"/>
            <w:sz w:val="22"/>
            <w:szCs w:val="22"/>
            <w:u w:val="single"/>
          </w:rPr>
          <w:t>iza.org</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 zitierten Forschungsergebnisse sind Momentaufnahmen einzelner Studien, keine abschließenden Wahrheiten, und stammen größtenteils aus der Forschung zu Firmenentsendungen, nicht zu freiwilliger Privatauswanderung. Die genannten Anlaufstellen können ihr Angebot ändern; prüfe vor einer Beratung die aktuellen Angaben auf den jeweiligen Webseiten.</w:t>
            </w:r>
          </w:p>
        </w:tc>
      </w:tr>
    </w:tbl>
    <w:p>
      <w:pPr>
        <w:pStyle w:val="Normal"/>
        <w:spacing w:lineRule="exact" w:line="220" w:before="0" w:after="0"/>
        <w:rPr/>
      </w:pPr>
      <w:r>
        <w:rPr/>
      </w:r>
      <w:r>
        <w:br w:type="page"/>
      </w:r>
    </w:p>
    <w:p>
      <w:pPr>
        <w:pStyle w:val="Heading2"/>
        <w:keepNext w:val="true"/>
        <w:spacing w:before="0" w:after="300"/>
        <w:jc w:val="center"/>
        <w:rPr/>
      </w:pPr>
      <w:bookmarkStart w:id="7" w:name="__RefHeading___Toc56425_3769931028"/>
      <w:bookmarkStart w:id="8" w:name="k2"/>
      <w:bookmarkEnd w:id="7"/>
      <w:r>
        <w:rPr>
          <w:rFonts w:eastAsia="Amazon Ember" w:cs="Amazon Ember" w:ascii="Amazon Ember" w:hAnsi="Amazon Ember"/>
          <w:b/>
          <w:bCs/>
          <w:color w:val="0000FF"/>
          <w:sz w:val="36"/>
          <w:szCs w:val="36"/>
        </w:rPr>
        <w:t>Kapitel 2: Welches Land passt zu dir?</w:t>
      </w:r>
      <w:bookmarkEnd w:id="8"/>
    </w:p>
    <w:p>
      <w:pPr>
        <w:pStyle w:val="Normal"/>
        <w:keepNext w:val="false"/>
        <w:keepLines w:val="false"/>
        <w:spacing w:lineRule="exact" w:line="288" w:before="0" w:after="140"/>
        <w:jc w:val="left"/>
        <w:rPr/>
      </w:pPr>
      <w:r>
        <w:rPr>
          <w:rFonts w:eastAsia="Cambria" w:cs="Cambria"/>
          <w:b w:val="false"/>
          <w:bCs w:val="false"/>
          <w:i w:val="false"/>
          <w:iCs w:val="false"/>
          <w:sz w:val="22"/>
          <w:szCs w:val="22"/>
        </w:rPr>
        <w:t>Du hast das Bewertungs-Raster aus dem vorigen Kapitel ausgefüllt, deine Familie steht hinter dem Plan, deine Rücklage ist kalkuliert – und trotzdem weißt du noch nicht, ob es die USA, Kanada, Australien oder Neuseeland werden soll. Viele Leser entscheiden diese Frage aus dem Bauch heraus: Ein Freund lebt schon dort, ein Film hat einen bestimmten Ort geprägt, das Klima klingt verlockend. Das ist kein schlechter Startpunkt, aber ein unvollständiger. Dieses Kapitel legt die wichtigsten strukturellen Unterschiede zwischen den vier Ländern offen – und gibt dir ein Werkzeug an die Hand, deine eigenen Prioritäten systematisch dagegenzuhalten.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Die vier Länder unterscheiden sich stärker, als die gemeinsame Sprache Englisch vermuten lässt: Einwanderungssystem, Gesundheitssystem und Besteuerungsprinzip sind grundverschieden.</w:t>
            </w:r>
          </w:p>
          <w:p>
            <w:pPr>
              <w:pStyle w:val="ListParagraph"/>
              <w:numPr>
                <w:ilvl w:val="0"/>
                <w:numId w:val="1"/>
              </w:numPr>
              <w:spacing w:lineRule="exact" w:line="264" w:before="0" w:after="50"/>
              <w:rPr/>
            </w:pPr>
            <w:r>
              <w:rPr>
                <w:rFonts w:eastAsia="Cambria" w:cs="Cambria"/>
                <w:b w:val="false"/>
                <w:bCs w:val="false"/>
                <w:i w:val="false"/>
                <w:iCs w:val="false"/>
                <w:sz w:val="20"/>
                <w:szCs w:val="20"/>
              </w:rPr>
              <w:t>USA: Sponsoring durch den Arbeitgeber oder eine Lotterie, kein Punktesystem. Kanada, Australien und Neuseeland: Punktesysteme mit einer kalkulierbaren Mindestschwelle.</w:t>
            </w:r>
          </w:p>
          <w:p>
            <w:pPr>
              <w:pStyle w:val="ListParagraph"/>
              <w:numPr>
                <w:ilvl w:val="0"/>
                <w:numId w:val="1"/>
              </w:numPr>
              <w:spacing w:lineRule="exact" w:line="264" w:before="0" w:after="50"/>
              <w:rPr/>
            </w:pPr>
            <w:r>
              <w:rPr>
                <w:rFonts w:eastAsia="Cambria" w:cs="Cambria"/>
                <w:b w:val="false"/>
                <w:bCs w:val="false"/>
                <w:i w:val="false"/>
                <w:iCs w:val="false"/>
                <w:sz w:val="20"/>
                <w:szCs w:val="20"/>
              </w:rPr>
              <w:t>Der wichtigste steuerliche Kontrast: Die USA besteuern nach Staatsbürgerschaft weltweit, die anderen drei Länder nach Wohnsitz.</w:t>
            </w:r>
          </w:p>
          <w:p>
            <w:pPr>
              <w:pStyle w:val="ListParagraph"/>
              <w:numPr>
                <w:ilvl w:val="0"/>
                <w:numId w:val="1"/>
              </w:numPr>
              <w:spacing w:lineRule="exact" w:line="264" w:before="0" w:after="50"/>
              <w:rPr/>
            </w:pPr>
            <w:r>
              <w:rPr>
                <w:rFonts w:eastAsia="Cambria" w:cs="Cambria"/>
                <w:b w:val="false"/>
                <w:bCs w:val="false"/>
                <w:i w:val="false"/>
                <w:iCs w:val="false"/>
                <w:sz w:val="20"/>
                <w:szCs w:val="20"/>
              </w:rPr>
              <w:t>Die gewichtete Scorecard am Ende dieses Kapitels ordnet deine persönlichen Prioritäten den vier Ländern zu.</w:t>
            </w:r>
          </w:p>
          <w:p>
            <w:pPr>
              <w:pStyle w:val="ListParagraph"/>
              <w:numPr>
                <w:ilvl w:val="0"/>
                <w:numId w:val="1"/>
              </w:numPr>
              <w:spacing w:lineRule="exact" w:line="264" w:before="0" w:after="50"/>
              <w:rPr/>
            </w:pPr>
            <w:r>
              <w:rPr>
                <w:rFonts w:eastAsia="Cambria" w:cs="Cambria"/>
                <w:b w:val="false"/>
                <w:bCs w:val="false"/>
                <w:i w:val="false"/>
                <w:iCs w:val="false"/>
                <w:sz w:val="20"/>
                <w:szCs w:val="20"/>
              </w:rPr>
              <w:t>Dieses Kapitel ist ein Startpunkt zur Eingrenzung, keine endgültige Entscheidung – für die Tiefe gehst du danach in den passenden Länder-Teil.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Vier Einwanderungssysteme, ein grundsätzlicher Unterschied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Kanada, Australien und Neuseeland haben strukturell verwandte Einwanderungssysteme: Alle drei arbeiten mit einem Punktesystem, das auf ein australisches Modell aus den 1980er-Jahren zurückgeht. Du sammelst Punkte für Alter, Sprachtest, Berufserfahrung und Ausbildung und musst eine Mindestschwelle erreichen, um zur Antragstellung eingeladen zu werden – bei Kanada über </w:t>
      </w:r>
      <w:r>
        <w:rPr>
          <w:rFonts w:eastAsia="Cambria" w:cs="Cambria"/>
          <w:b w:val="false"/>
          <w:bCs w:val="false"/>
          <w:i/>
          <w:iCs/>
          <w:sz w:val="22"/>
          <w:szCs w:val="22"/>
        </w:rPr>
        <w:t>Express Entry</w:t>
      </w:r>
      <w:r>
        <w:rPr>
          <w:rFonts w:eastAsia="Cambria" w:cs="Cambria"/>
          <w:b w:val="false"/>
          <w:bCs w:val="false"/>
          <w:i w:val="false"/>
          <w:iCs w:val="false"/>
          <w:sz w:val="22"/>
          <w:szCs w:val="22"/>
        </w:rPr>
        <w:t xml:space="preserve"> mit seinem </w:t>
      </w:r>
      <w:r>
        <w:rPr>
          <w:rFonts w:eastAsia="Cambria" w:cs="Cambria"/>
          <w:b w:val="false"/>
          <w:bCs w:val="false"/>
          <w:i/>
          <w:iCs/>
          <w:sz w:val="22"/>
          <w:szCs w:val="22"/>
        </w:rPr>
        <w:t>Comprehensive Ranking System</w:t>
      </w:r>
      <w:r>
        <w:rPr>
          <w:rFonts w:eastAsia="Cambria" w:cs="Cambria"/>
          <w:b w:val="false"/>
          <w:bCs w:val="false"/>
          <w:i w:val="false"/>
          <w:iCs w:val="false"/>
          <w:sz w:val="22"/>
          <w:szCs w:val="22"/>
        </w:rPr>
        <w:t xml:space="preserve">, bei Australien über die </w:t>
      </w:r>
      <w:r>
        <w:rPr>
          <w:rFonts w:eastAsia="Cambria" w:cs="Cambria"/>
          <w:b w:val="false"/>
          <w:bCs w:val="false"/>
          <w:i/>
          <w:iCs/>
          <w:sz w:val="22"/>
          <w:szCs w:val="22"/>
        </w:rPr>
        <w:t>General Skilled Migration</w:t>
      </w:r>
      <w:r>
        <w:rPr>
          <w:rFonts w:eastAsia="Cambria" w:cs="Cambria"/>
          <w:b w:val="false"/>
          <w:bCs w:val="false"/>
          <w:i w:val="false"/>
          <w:iCs w:val="false"/>
          <w:sz w:val="22"/>
          <w:szCs w:val="22"/>
        </w:rPr>
        <w:t xml:space="preserve"> mit ihren nummerierten Subclasses, bei Neuseeland über die </w:t>
      </w:r>
      <w:r>
        <w:rPr>
          <w:rFonts w:eastAsia="Cambria" w:cs="Cambria"/>
          <w:b w:val="false"/>
          <w:bCs w:val="false"/>
          <w:i/>
          <w:iCs/>
          <w:sz w:val="22"/>
          <w:szCs w:val="22"/>
        </w:rPr>
        <w:t>Skilled Migrant Category</w:t>
      </w:r>
      <w:r>
        <w:rPr>
          <w:rFonts w:eastAsia="Cambria" w:cs="Cambria"/>
          <w:b w:val="false"/>
          <w:bCs w:val="false"/>
          <w:i w:val="false"/>
          <w:iCs w:val="false"/>
          <w:sz w:val="22"/>
          <w:szCs w:val="22"/>
        </w:rPr>
        <w:t xml:space="preserve">. Neuseeland ergänzt das um die </w:t>
      </w:r>
      <w:r>
        <w:rPr>
          <w:rFonts w:eastAsia="Cambria" w:cs="Cambria"/>
          <w:b w:val="false"/>
          <w:bCs w:val="false"/>
          <w:i/>
          <w:iCs/>
          <w:sz w:val="22"/>
          <w:szCs w:val="22"/>
        </w:rPr>
        <w:t>Green List</w:t>
      </w:r>
      <w:r>
        <w:rPr>
          <w:rFonts w:eastAsia="Cambria" w:cs="Cambria"/>
          <w:b w:val="false"/>
          <w:bCs w:val="false"/>
          <w:i w:val="false"/>
          <w:iCs w:val="false"/>
          <w:sz w:val="22"/>
          <w:szCs w:val="22"/>
        </w:rPr>
        <w:t>, eine Mangelberufe-Liste, deren Angehörige unter bestimmten Voraussetzungen ganz ohne Punktesystem direkt einen Antrag auf Daueraufenthalt stellen können.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USA folgen einem grundsätzlich anderen Modell: kein allgemeines Scoring, sondern Sponsoring durch einen Arbeitgeber oder Familienangehörige, dazu separat die </w:t>
      </w:r>
      <w:r>
        <w:rPr>
          <w:rFonts w:eastAsia="Cambria" w:cs="Cambria"/>
          <w:b w:val="false"/>
          <w:bCs w:val="false"/>
          <w:i/>
          <w:iCs/>
          <w:sz w:val="22"/>
          <w:szCs w:val="22"/>
        </w:rPr>
        <w:t>Diversity Visa Lottery</w:t>
      </w:r>
      <w:r>
        <w:rPr>
          <w:rFonts w:eastAsia="Cambria" w:cs="Cambria"/>
          <w:b w:val="false"/>
          <w:bCs w:val="false"/>
          <w:i w:val="false"/>
          <w:iCs w:val="false"/>
          <w:sz w:val="22"/>
          <w:szCs w:val="22"/>
        </w:rPr>
        <w:t>, die für Deutschland in der Praxis kaum relevant ist. Die bekannteste Arbeitgeberkategorie, das H-1B-Visum, wird per Losverfahren unter allen Bewerbern vergeben, nicht nach Punkten – wer die formalen Voraussetzungen erfüllt, hat trotzdem keine Garantie auf eine Einladung.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heißt nicht, dass die drei Punktesysteme ein Selbstläufer wären. Die Mindestschwellen steigen tendenziell mit der Nachfrage: Wer heute mit einem Score knapp über der gesetzlichen Mindestpunktzahl rechnet, kann in einem Jahr trotzdem leer ausgehen, weil andere Bewerber im selben Zeitraum mehr Punkte mitbringen. Der Unterschied zum US-Modell ist also nicht „sicher gegen unsicher“, sondern „im Voraus kalkulierbar gegen kaum kalkulierbar“: Bei Kanada, Australien und Neuseeland kannst du deinen Score schon heute mit den offiziellen Rechnern ermitteln und gezielt daran arbeiten (Sprachtest wiederholen, zusätzliche Berufserfahrung sammeln); bei der US-Lotterie hilft das nicht, dort zählt bei gleicher Qualifikation der Zufall.</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Für Leser mit einem klar kalkulierbaren Profil – gutem Sprachtest, anerkanntem Abschluss, relevanter Berufserfahrung – sind Kanada, Australien und Neuseeland tendenziell besser im Voraus einschätzbar als der US-Weg. Wer dagegen bereits ein konkretes Jobangebot eines US-Arbeitgebers hat, sollte sich davon nicht abschrecken lassen: Ein bestehendes Angebot verschiebt die Rechnung erheblich.</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 Punktesystem gegen Sponsoring</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Punktesysteme lassen sich mit offiziellen Rechnern selbst simulieren, lange vor der Antragstellung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Mindestschwellen steigen mit der Nachfrage und sind nicht garantiert stabil</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US-Sponsoring braucht keinen Mindest-Score, nur einen Arbeitgeber, der dich will</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US-Lotterie bleibt Zufall, selbst bei optimaler Qualifikation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Jobangebot kann den gesamten US-Weg erheblich beschleunigen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Punktesysteme belohnen vor allem junge, gut ausgebildete Einzelpersonen stärker als ältere Bewerber oder Familien mit nur einem Hauptverdiener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Familienangehörige haben in den USA einen eigenen, etablierten Weg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fehlender Score-Faktor (etwa das Alter) lässt sich bei Punktesystemen kaum kurzfristig ausgleichen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Wie lange dauert es bis zum unbefristeten Aufenthaltstitel?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direkter Vergleich der Wartezeiten ist verlockend, aber mit Vorsicht zu genießen: Die vier Länder messen unterschiedliche Startpunkte. Die USA rechnen meist ab Beginn des Arbeitsmarktverfahrens, Kanada und Australien ab dem Zeitpunkt der Einladung zur Antragstellung – nicht ab dem ersten Eintrag in den Bewerber-Pool, der zusätzliche, kaum pauschal bezifferbare Zeit kosten kann.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Deutsche mit den gängigen beruflichen Kategorien liegen die groben Richtwerte (Stand September 2026) bei: USA über die Kategorien EB-1 oder </w:t>
      </w:r>
      <w:r>
        <w:rPr>
          <w:rFonts w:eastAsia="Cambria" w:cs="Cambria"/>
          <w:b w:val="false"/>
          <w:bCs w:val="false"/>
          <w:i/>
          <w:iCs/>
          <w:sz w:val="22"/>
          <w:szCs w:val="22"/>
        </w:rPr>
        <w:t>National Interest Waiver</w:t>
      </w:r>
      <w:r>
        <w:rPr>
          <w:rFonts w:eastAsia="Cambria" w:cs="Cambria"/>
          <w:b w:val="false"/>
          <w:bCs w:val="false"/>
          <w:i w:val="false"/>
          <w:iCs w:val="false"/>
          <w:sz w:val="22"/>
          <w:szCs w:val="22"/>
        </w:rPr>
        <w:t xml:space="preserve"> rund 1–2,5 Jahre, über EB-2 oder EB-3 mit vorgeschaltetem Arbeitsmarktverfahren eher 2,5–4,5 Jahre. Kanada bearbeitet Anträge nach Einladung in der Regel innerhalb von rund 6 Monaten, wobei die Wartezeit bis zur Einladung selbst vom eigenen Punktescore abhängt. Australien braucht bei der unabhängigen Kategorie in der Hälfte der Fälle rund 6 Monate, in 9 von 10 Fällen bis zu 15 Monate; bei der staatlich nominierten Variante meist etwas weniger, zuzüglich 4–14 Wochen für die Nominierung selbst. Neuseeland ist bei der regulären Kategorie mit rund 2–4 Monaten am schnellsten, bei der Green List rund 6–10 Monate.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 Zeiten ändern sich schnell und hängen stark von deiner konkreten Kategorie ab. Behandle sie als grobe Orientierung, nicht als Zusage – die aktuellen, verlässlichen Werte findest du im jeweiligen Länder-Teil und auf den offiziellen Behördenseiten.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Bei den USA kommt eine zusätzliche Unsicherheit hinzu, die es bei den anderen drei Ländern so nicht gibt: Für einige Kategorien und Herkunftsländer legt der monatlich veröffentlichte </w:t>
      </w:r>
      <w:r>
        <w:rPr>
          <w:rFonts w:eastAsia="Cambria" w:cs="Cambria"/>
          <w:b w:val="false"/>
          <w:bCs w:val="false"/>
          <w:i/>
          <w:iCs/>
          <w:sz w:val="22"/>
          <w:szCs w:val="22"/>
        </w:rPr>
        <w:t>Visa Bulletin</w:t>
      </w:r>
      <w:r>
        <w:rPr>
          <w:rFonts w:eastAsia="Cambria" w:cs="Cambria"/>
          <w:b w:val="false"/>
          <w:bCs w:val="false"/>
          <w:i w:val="false"/>
          <w:iCs w:val="false"/>
          <w:sz w:val="22"/>
          <w:szCs w:val="22"/>
        </w:rPr>
        <w:t xml:space="preserve"> des Außenministeriums fest, ob überhaupt ein Antrag gestellt werden darf, unabhängig davon, wie weit dein eigenes Verfahren sonst fortgeschritten ist. Für Deutschland sind die gängigen Kategorien meist, aber nicht garantiert dauerhaft ohne Wartezeit offen – ein Rückschritt ist möglich und kommt gelegentlich vor. Dieser Punkt gehört, mit dem dann aktuellen Stand, ausführlich in den USA-Teil dieses Buches.</w:t>
      </w:r>
    </w:p>
    <w:p>
      <w:pPr>
        <w:pStyle w:val="Heading3"/>
        <w:keepNext w:val="true"/>
        <w:spacing w:before="280" w:after="100"/>
        <w:jc w:val="center"/>
        <w:rPr/>
      </w:pPr>
      <w:r>
        <w:rPr>
          <w:rFonts w:eastAsia="Amazon Ember" w:cs="Amazon Ember" w:ascii="Amazon Ember" w:hAnsi="Amazon Ember"/>
          <w:b/>
          <w:bCs/>
          <w:color w:val="0000FF"/>
          <w:sz w:val="36"/>
          <w:szCs w:val="36"/>
        </w:rPr>
        <w:t>Gesundheitssystem: vier verschiedene Modelle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Kaum ein Bereich unterscheidet sich zwischen den vier Ländern so grundlegend wie die Gesundheitsversorgung – und kaum einer weicht so stark vom gewohnten deutschen System ab. Die USA haben kein universelles System: Die Mehrheit ist über den Arbeitgeber versichert, dazu kommen staatliche Programme für Ältere und Einkommensschwache sowie ein offener Markt für den Direktkauf einer Police – ein Teil der Bevölkerung bleibt schlicht unversichert. Wer in die USA zieht, muss sich aktiv und meist zügig selbst um Versicherungsschutz kümmern.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Kanada und Neuseeland liegen näher am deutschen Gefühl „automatisch abgesichert“: Beide haben ein universelles, steuerfinanziertes System – in Kanada von den Provinzen verwaltet, in Neuseeland zentral über die staatliche Gesundheitsbehörde. Allerdings deckt auch dieses System nicht alles ab: Zahnmedizin, Augenheilkunde und Medikamente sind in Kanada je nach Provinz nur teilweise erstattet. Australien betreibt ein Mischsystem aus dem universellen </w:t>
      </w:r>
      <w:r>
        <w:rPr>
          <w:rFonts w:eastAsia="Cambria" w:cs="Cambria"/>
          <w:b w:val="false"/>
          <w:bCs w:val="false"/>
          <w:i/>
          <w:iCs/>
          <w:sz w:val="22"/>
          <w:szCs w:val="22"/>
        </w:rPr>
        <w:t>Medicare</w:t>
      </w:r>
      <w:r>
        <w:rPr>
          <w:rFonts w:eastAsia="Cambria" w:cs="Cambria"/>
          <w:b w:val="false"/>
          <w:bCs w:val="false"/>
          <w:i w:val="false"/>
          <w:iCs w:val="false"/>
          <w:sz w:val="22"/>
          <w:szCs w:val="22"/>
        </w:rPr>
        <w:t xml:space="preserve"> für Kernleistungen und einer verbreiteten, aber optionalen privaten Zusatzversicherung – strukturell näher am deutschen Nebeneinander von gesetzlicher und privater Absicherung als die anderen drei Länder.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Details zu Wartezeiten, eventuellen zwischenstaatlichen Abkommen und den konkreten Kosten gehören in das Gesundheitskapitel des jeweiligen Länder-Teils – sie unterscheiden sich zu stark, um sie hier pauschal zusammenzufassen.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Was das für deine Entscheidung bedeutet, hängt stark davon ab, wie du selbst tickst. Wer Sicherheit durch ein automatisches, staatlich organisiertes System braucht und keine Lust auf eigene Versicherungsentscheidungen hat, fühlt sich in Kanada oder Neuseeland vermutlich schneller zu Hause. Wer ohnehin gewohnt ist, private Zusatzversicherungen selbst zu vergleichen, findet in Australien ein System, das dem deutschen erstaunlich ähnlich funktioniert. Und wer in die USA zieht, sollte die Krankenversicherung nicht als Nebensache, sondern als eigenständigen, zeitkritischen Programmpunkt direkt nach der Zusage behandeln – das Kapitel im USA-Teil zeigt, wie das konkret abläuft.</w:t>
      </w:r>
    </w:p>
    <w:p>
      <w:pPr>
        <w:pStyle w:val="Heading3"/>
        <w:keepNext w:val="true"/>
        <w:spacing w:before="280" w:after="100"/>
        <w:jc w:val="center"/>
        <w:rPr/>
      </w:pPr>
      <w:r>
        <w:rPr>
          <w:rFonts w:eastAsia="Amazon Ember" w:cs="Amazon Ember" w:ascii="Amazon Ember" w:hAnsi="Amazon Ember"/>
          <w:b/>
          <w:bCs/>
          <w:color w:val="0000FF"/>
          <w:sz w:val="36"/>
          <w:szCs w:val="36"/>
        </w:rPr>
        <w:t>Steuerlast und das Besteuerungsprinzip</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einen groben Belastungsvergleich eignet sich der Steuerkeil (englisch </w:t>
      </w:r>
      <w:r>
        <w:rPr>
          <w:rFonts w:eastAsia="Cambria" w:cs="Cambria"/>
          <w:b w:val="false"/>
          <w:bCs w:val="false"/>
          <w:i/>
          <w:iCs/>
          <w:sz w:val="22"/>
          <w:szCs w:val="22"/>
        </w:rPr>
        <w:t>Tax Wedge</w:t>
      </w:r>
      <w:r>
        <w:rPr>
          <w:rFonts w:eastAsia="Cambria" w:cs="Cambria"/>
          <w:b w:val="false"/>
          <w:bCs w:val="false"/>
          <w:i w:val="false"/>
          <w:iCs w:val="false"/>
          <w:sz w:val="22"/>
          <w:szCs w:val="22"/>
        </w:rPr>
        <w:t xml:space="preserve">) der OECD am besten: Er addiert Einkommensteuer sowie Arbeitnehmer- und Arbeitgeber-Sozialabgaben abzüglich Familienleistungen und setzt sie ins Verhältnis zu den gesamten Arbeitskosten, für eine kinderlose Einzelperson beim Durchschnittslohn. Nach der OECD-Publikation </w:t>
      </w:r>
      <w:r>
        <w:rPr>
          <w:rFonts w:eastAsia="Cambria" w:cs="Cambria"/>
          <w:b w:val="false"/>
          <w:bCs w:val="false"/>
          <w:i/>
          <w:iCs/>
          <w:sz w:val="22"/>
          <w:szCs w:val="22"/>
        </w:rPr>
        <w:t>Taxing Wages</w:t>
      </w:r>
      <w:r>
        <w:rPr>
          <w:rFonts w:eastAsia="Cambria" w:cs="Cambria"/>
          <w:b w:val="false"/>
          <w:bCs w:val="false"/>
          <w:i w:val="false"/>
          <w:iCs w:val="false"/>
          <w:sz w:val="22"/>
          <w:szCs w:val="22"/>
        </w:rPr>
        <w:t xml:space="preserve"> liegen die USA bei 30,1 %, Kanada bei 32,0 % und Australien bei 29,6 % (jeweils 2024), Neuseeland mit 18,5 % (2025) deutlich darunter – zum Vergleich: Deutschland liegt bei 49,3 % (2025), der OECD-Durchschnitt bei 35,1 %. Neuseeland hat damit die mit Abstand niedrigste Gesamt-Abgabenlast der vier Länder, was du aber immer zusammen mit dem Leistungsumfang bei Rente und Gesundheit betrachten solltest, nicht isoliert als „billigstes 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Wichtiger als die Höhe ist für viele Auswanderer ein strukturelles Detail, das leicht übersehen wird: das Besteuerungsprinzip selbst. Kanada, Australien und Neuseeland besteuern nach dem Wohnsitzprinzip (</w:t>
      </w:r>
      <w:r>
        <w:rPr>
          <w:rFonts w:eastAsia="Cambria" w:cs="Cambria"/>
          <w:b w:val="false"/>
          <w:bCs w:val="false"/>
          <w:i/>
          <w:iCs/>
          <w:sz w:val="22"/>
          <w:szCs w:val="22"/>
        </w:rPr>
        <w:t>residence-based taxation</w:t>
      </w:r>
      <w:r>
        <w:rPr>
          <w:rFonts w:eastAsia="Cambria" w:cs="Cambria"/>
          <w:b w:val="false"/>
          <w:bCs w:val="false"/>
          <w:i w:val="false"/>
          <w:iCs w:val="false"/>
          <w:sz w:val="22"/>
          <w:szCs w:val="22"/>
        </w:rPr>
        <w:t>): Wer dort keinen Wohnsitz mehr hat, ist grundsätzlich auch nicht mehr steuerpflichtig gegenüber diesem Land, unabhängig vom Pass. Die USA dagegen besteuern nach dem Staatsbürgerschaftsprinzip (</w:t>
      </w:r>
      <w:r>
        <w:rPr>
          <w:rFonts w:eastAsia="Cambria" w:cs="Cambria"/>
          <w:b w:val="false"/>
          <w:bCs w:val="false"/>
          <w:i/>
          <w:iCs/>
          <w:sz w:val="22"/>
          <w:szCs w:val="22"/>
        </w:rPr>
        <w:t>citizenship-based taxation</w:t>
      </w:r>
      <w:r>
        <w:rPr>
          <w:rFonts w:eastAsia="Cambria" w:cs="Cambria"/>
          <w:b w:val="false"/>
          <w:bCs w:val="false"/>
          <w:i w:val="false"/>
          <w:iCs w:val="false"/>
          <w:sz w:val="22"/>
          <w:szCs w:val="22"/>
        </w:rPr>
        <w:t>) – das gilt nicht nur für US-Staatsbürger, sondern auch für Inhaber der Green Card. Diese Pflicht gegenüber der US-Steuerbehörde IRS bleibt bestehen, selbst wenn du längst wieder in Deutschland oder einem Drittland lebst, und endet erst mit einem formellen Verzicht auf Staatsbürgerschaft oder Green Card.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Wer die USA nach Jahren wieder verlässt, sei damit automatisch aus der US-Steuerpflicht heraus. Tatsächlich bleibt sie bestehen, bis der Status formell aufgegeben wird – ein Verfahren mit eigenen Gebühren und eigenem Papierkram, das der USA-Teil dieses Buches im Detail behandelt.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Nur die USA besteuern unter den vier Zielländern nach Staatsbürgerschaft, nicht nach Wohnsitz. Wer offenhalten will, eines Tages zurück nach Deutschland zu ziehen, sollte diesen Unterschied früh verstehen, nicht erst beim ersten Steuerbescheid nach der Rückkehr.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Lebenshaltungskosten und Wohnort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häufig genutzter, wenn auch nicht amtlicher Anhaltspunkt für Lebenshaltungskosten ist der Index des Portals Numbeo, der auf nutzergenerierten Preisangaben beruht und New York als Referenzwert 100 setzt. Im Länderdurchschnitt liegen die USA bei 69,7 (plus Miete 54,8), Australien bei 71,4 (53,9), Kanada bei 61,3 (46,6) und Neuseeland bei 60,2 (43,9) – zum Vergleich Deutschland bei 68,0 (47,0).</w:t>
      </w:r>
    </w:p>
    <w:tbl>
      <w:tblPr>
        <w:tblW w:w="6480" w:type="dxa"/>
        <w:jc w:val="left"/>
        <w:tblInd w:w="0" w:type="dxa"/>
        <w:tblLayout w:type="fixed"/>
        <w:tblCellMar>
          <w:top w:w="50" w:type="dxa"/>
          <w:left w:w="80" w:type="dxa"/>
          <w:bottom w:w="50" w:type="dxa"/>
          <w:right w:w="80" w:type="dxa"/>
        </w:tblCellMar>
      </w:tblPr>
      <w:tblGrid>
        <w:gridCol w:w="2310"/>
        <w:gridCol w:w="2621"/>
        <w:gridCol w:w="1549"/>
      </w:tblGrid>
      <w:tr>
        <w:trPr>
          <w:tblHeader w:val="true"/>
          <w:cantSplit w:val="true"/>
        </w:trPr>
        <w:tc>
          <w:tcPr>
            <w:tcW w:w="231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Land</w:t>
            </w:r>
          </w:p>
        </w:tc>
        <w:tc>
          <w:tcPr>
            <w:tcW w:w="262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Cost-of-Living-Index (NY = 100)</w:t>
            </w:r>
          </w:p>
        </w:tc>
        <w:tc>
          <w:tcPr>
            <w:tcW w:w="15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 Miete</w:t>
            </w:r>
          </w:p>
        </w:tc>
      </w:tr>
      <w:tr>
        <w:trPr>
          <w:cantSplit w:val="true"/>
        </w:trPr>
        <w:tc>
          <w:tcPr>
            <w:tcW w:w="2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USA</w:t>
            </w:r>
          </w:p>
        </w:tc>
        <w:tc>
          <w:tcPr>
            <w:tcW w:w="26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69,7</w:t>
            </w:r>
          </w:p>
        </w:tc>
        <w:tc>
          <w:tcPr>
            <w:tcW w:w="15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54,8</w:t>
            </w:r>
          </w:p>
        </w:tc>
      </w:tr>
      <w:tr>
        <w:trPr>
          <w:cantSplit w:val="true"/>
        </w:trPr>
        <w:tc>
          <w:tcPr>
            <w:tcW w:w="2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w:t>
            </w:r>
          </w:p>
        </w:tc>
        <w:tc>
          <w:tcPr>
            <w:tcW w:w="26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71,4</w:t>
            </w:r>
          </w:p>
        </w:tc>
        <w:tc>
          <w:tcPr>
            <w:tcW w:w="15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53,9</w:t>
            </w:r>
          </w:p>
        </w:tc>
      </w:tr>
      <w:tr>
        <w:trPr>
          <w:cantSplit w:val="true"/>
        </w:trPr>
        <w:tc>
          <w:tcPr>
            <w:tcW w:w="2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Deutschland (Vergleich)</w:t>
            </w:r>
          </w:p>
        </w:tc>
        <w:tc>
          <w:tcPr>
            <w:tcW w:w="26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68,0</w:t>
            </w:r>
          </w:p>
        </w:tc>
        <w:tc>
          <w:tcPr>
            <w:tcW w:w="15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47,0</w:t>
            </w:r>
          </w:p>
        </w:tc>
      </w:tr>
      <w:tr>
        <w:trPr>
          <w:cantSplit w:val="true"/>
        </w:trPr>
        <w:tc>
          <w:tcPr>
            <w:tcW w:w="2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w:t>
            </w:r>
          </w:p>
        </w:tc>
        <w:tc>
          <w:tcPr>
            <w:tcW w:w="26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61,3</w:t>
            </w:r>
          </w:p>
        </w:tc>
        <w:tc>
          <w:tcPr>
            <w:tcW w:w="15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46,6</w:t>
            </w:r>
          </w:p>
        </w:tc>
      </w:tr>
      <w:tr>
        <w:trPr>
          <w:cantSplit w:val="true"/>
        </w:trPr>
        <w:tc>
          <w:tcPr>
            <w:tcW w:w="2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w:t>
            </w:r>
          </w:p>
        </w:tc>
        <w:tc>
          <w:tcPr>
            <w:tcW w:w="26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60,2</w:t>
            </w:r>
          </w:p>
        </w:tc>
        <w:tc>
          <w:tcPr>
            <w:tcW w:w="15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43,9</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Diese Länderdurchschnitte verdecken allerdings enorme Unterschiede zwischen einzelnen Städten. New York und San Francisco gehören zu den teuersten Orten der Welt, während Städte wie Houston oder Austin deutlich günstiger sind; Toronto und Vancouver liegen etwa auf deutschem Großstadtniveau, Auckland und Wellington eher darunter. Die Wahl der Stadt innerhalb eines Landes wirkt auf dein verfügbares Einkommen oft stärker als die Wahl zwischen den vier Ländern selbst – ein Punkt, den die jeweiligen Länder-Teile mit konkreten Städten vertiefen.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Numbeo-Werte stammen aus nutzergenerierten Umfragedaten, nicht aus amtlicher Statistik. Nutze sie als Orientierung für die Größenordnung, nicht als exakte Rechengrundlage für deinen persönlichen Finanzplan.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Distanz, Flugzeit und Zeitverschiebung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Faktor, der bei der Entscheidung leicht untergeht, weil er sich nicht in eine Tabelle mit Gehältern und Steuern packen lässt: wie weit weg du tatsächlich sein wirst. Kanada liegt von den drei neuen Zielländern am nächsten an Deutschland – Toronto in rund 8 Stunden Flugzeit, Vancouver in etwas über 10. Die USA liegen je nach Küste ähnlich nah bis etwas weiter entfernt: Ostküstenstädte in rund 8–9 Stunden, die Westküste in rund 11 Stunden, jeweils meist als Direktflug. Australien und Neuseeland sind ohne Nonstop-Verbindung ab Deutschland erreichbar; nach Sydney vergehen inklusive Zwischenstopp knapp 20 Stunden, nach Auckland rund 24 Stunden.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Zeitverschiebung verstärkt diesen Effekt zusätzlich: Die USA und Kanada liegen, je nach Zeitzone, 6–9 Stunden hinter Deutschland zurück – ein Telefonat am Feierabend ist dort noch früher Nachmittag. Australien liegt 8–9 Stunden voraus, Neuseeland sogar 11–12 Stunden voraus – nahezu eine vollständige Tag-Nacht-Umkehr. Für spontane Videoanrufe mit Eltern oder Geschwistern in Deutschland, für kurzfristige Heimflüge im Notfall oder für den x-ten verpassten Geburtstag ist das ein Unterschied, der sich erst im Alltag zeigt, aber schwer wiegt – überlege dir ehrlich, wie wichtig dir kurzfristige Erreichbarkeit ist, bevor du dich für ein Land auf der anderen Seite der Erde entscheidest.</w:t>
      </w:r>
    </w:p>
    <w:p>
      <w:pPr>
        <w:pStyle w:val="Heading3"/>
        <w:keepNext w:val="true"/>
        <w:spacing w:before="280" w:after="100"/>
        <w:jc w:val="center"/>
        <w:rPr/>
      </w:pPr>
      <w:r>
        <w:rPr>
          <w:rFonts w:eastAsia="Amazon Ember" w:cs="Amazon Ember" w:ascii="Amazon Ember" w:hAnsi="Amazon Ember"/>
          <w:b/>
          <w:bCs/>
          <w:color w:val="0000FF"/>
          <w:sz w:val="36"/>
          <w:szCs w:val="36"/>
        </w:rPr>
        <w:t>Klima und Landschaft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Beim Klima gibt es kein objektiv „besseres“ Land, nur die Frage, was zu dir passt. Die USA bieten auf einer einzigen Landmasse fast jedes Klima der Welt, von subtropisch im Südosten über trockene Wüste im Südwesten bis kontinental-kalt im Norden – die Wahl des Bundesstaats entscheidet hier mehr als die Wahl des Landes. Kanada ist überwiegend kalt-kontinental mit langen, deutlich strengeren Wintern als in Deutschland, mit Ausnahme der milderen Pazifikküste um Vancouver. Australien ist im Landesinneren größtenteils trocken bis wüstenhaft, tropisch im Norden – dort, wo die meisten Einwanderer tatsächlich leben, an den Küsten um Sydney, Melbourne und Perth, herrscht dagegen ein gemäßigtes bis mediterranes Klima. Neuseeland ist durchgehend gemäßigt-ozeanisch, mild und regenreich, mit spürbar weniger Extremen als die anderen drei Länder. Wer harte, verlässliche Winter mit Schnee vermisst, findet sie eher in Kanada oder in den nördlichen und höher gelegenen US-Bundesstaaten als in Australien oder Neuseeland; wer im Gegenteil möglichst nie wieder einen deutschen Novembernieselregen erleben will, sollte genauer hinschauen, denn sowohl die neuseeländische Nordinsel als auch weite Teile Kanadas sind selbst dafür bekannt, ziemlich viel Regen abzubekommen.</w:t>
      </w:r>
    </w:p>
    <w:p>
      <w:pPr>
        <w:pStyle w:val="Heading3"/>
        <w:keepNext w:val="true"/>
        <w:spacing w:before="280" w:after="100"/>
        <w:jc w:val="center"/>
        <w:rPr/>
      </w:pPr>
      <w:r>
        <w:rPr>
          <w:rFonts w:eastAsia="Amazon Ember" w:cs="Amazon Ember" w:ascii="Amazon Ember" w:hAnsi="Amazon Ember"/>
          <w:b/>
          <w:bCs/>
          <w:color w:val="0000FF"/>
          <w:sz w:val="36"/>
          <w:szCs w:val="36"/>
        </w:rPr>
        <w:t>Wie groß ist die deutsche Community vor Ort?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weicher, aber für viele Auswanderer spürbarer Faktor ist, wie viele Deutsche bereits im Zielland leben – als möglicher Anknüpfungspunkt für die ersten Monate, nicht als Ersatz für die Integration vor Ort. Die verfügbaren Zahlen sind allerdings mit Vorsicht zu lesen, weil jedes Land etwas anderes zählt. In den USA lebten 2024 rund 519.200 Personen mit deutscher Staatsangehörigkeit, wobei die Zuzüge aus Deutschland zuletzt auf den niedrigsten Stand seit 20 Jahren gefallen sind. Für Australien zählte der Zensus 2021 knapp 108.000 in Deutschland geborene Personen. Für Kanada kursiert eine Zahl von rund 126.500 Personen deutscher Staatsangehörigkeit oder Herkunft, aus einer nicht direkt amtlich geprüften Sekundärquelle. Für Neuseeland gibt es keine belastbare aktuelle Zahl – ältere Erhebungen und kursierende Schätzungen widersprechen sich zu stark, um zitiert zu werden. Nimm diesen Punkt als groben Anhaltspunkt, nicht als entscheidendes Kriterium: Eine große deutsche Community vor Ort kann den Einstieg erleichtern, ersetzt aber weder eigene Sprachkenntnisse noch echte Freundschaften mit Menschen aus dem Zielland.</w:t>
      </w:r>
    </w:p>
    <w:p>
      <w:pPr>
        <w:pStyle w:val="Heading3"/>
        <w:keepNext w:val="true"/>
        <w:spacing w:before="280" w:after="100"/>
        <w:jc w:val="center"/>
        <w:rPr/>
      </w:pPr>
      <w:r>
        <w:rPr>
          <w:rFonts w:eastAsia="Amazon Ember" w:cs="Amazon Ember" w:ascii="Amazon Ember" w:hAnsi="Amazon Ember"/>
          <w:b/>
          <w:bCs/>
          <w:color w:val="0000FF"/>
          <w:sz w:val="36"/>
          <w:szCs w:val="36"/>
        </w:rPr>
        <w:t>Doppelte Staatsbürgerschaft: eine gute Nachricht vorweg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Punkt, der viele Leser beunruhigt, bevor sie ihn recherchiert haben, lässt sich schnell klären: Seit der Reform des deutschen Staatsangehörigkeitsrechts im Juni 2024 führt eine Einbürgerung in den USA, Kanada, Australien oder Neuseeland nicht mehr automatisch zum Verlust der deutschen Staatsangehörigkeit, und eine vorherige Beibehaltungsgenehmigung ist nicht mehr nötig. Alle vier Zielländer erlauben Mehrstaatigkeit ausdrücklich und verlangen bei der eigenen Einbürgerung keinen wirksamen Verzicht auf die bisherige Staatsangehörigkeit. In dieser Frage unterscheiden sich die vier Länder also kaum – ein beruhigender Gleichstand, kein Auswahlkriterium. Den konkreten Weg zur jeweiligen Staatsbürgerschaft beschreibt der Länder-Teil deines Wunschlandes.</w:t>
      </w:r>
    </w:p>
    <w:p>
      <w:pPr>
        <w:pStyle w:val="Heading3"/>
        <w:keepNext w:val="true"/>
        <w:spacing w:before="280" w:after="100"/>
        <w:jc w:val="center"/>
        <w:rPr/>
      </w:pPr>
      <w:r>
        <w:rPr>
          <w:rFonts w:eastAsia="Amazon Ember" w:cs="Amazon Ember" w:ascii="Amazon Ember" w:hAnsi="Amazon Ember"/>
          <w:b/>
          <w:bCs/>
          <w:color w:val="0000FF"/>
          <w:sz w:val="36"/>
          <w:szCs w:val="36"/>
        </w:rPr>
        <w:t>Die gewichtete Vergleichs-Scorecard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folgende Tabelle übersetzt die wichtigsten Unterschiede aus diesem Kapitel in eine Punktzahl von 1 (ungünstig) bis 5 (günstig) je Land – eine vereinfachte, eigene Einordnung der oben genannten Fakten, kein amtliches Ranking. Trage zuerst in die zweite Spalte ein, wie wichtig dir jedes Kriterium persönlich ist (1 = unwichtig, 5 = entscheidend). Multipliziere diese Gewichtung anschließend für jedes Land mit dem jeweiligen Punktwert aus der dritten Spalte und trage die vier Ergebnisse in die letzte Spalte ein. Bei der Klimazeile gibt es bewusst keine vorgegebenen Punkte – trage dort ein, was deiner eigenen Präferenz entspricht.</w:t>
      </w:r>
    </w:p>
    <w:tbl>
      <w:tblPr>
        <w:tblW w:w="6480" w:type="dxa"/>
        <w:jc w:val="left"/>
        <w:tblInd w:w="0" w:type="dxa"/>
        <w:tblLayout w:type="fixed"/>
        <w:tblCellMar>
          <w:top w:w="50" w:type="dxa"/>
          <w:left w:w="80" w:type="dxa"/>
          <w:bottom w:w="50" w:type="dxa"/>
          <w:right w:w="80" w:type="dxa"/>
        </w:tblCellMar>
      </w:tblPr>
      <w:tblGrid>
        <w:gridCol w:w="1765"/>
        <w:gridCol w:w="950"/>
        <w:gridCol w:w="1889"/>
        <w:gridCol w:w="1875"/>
      </w:tblGrid>
      <w:tr>
        <w:trPr>
          <w:tblHeader w:val="true"/>
          <w:cantSplit w:val="true"/>
        </w:trPr>
        <w:tc>
          <w:tcPr>
            <w:tcW w:w="176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Kriterium</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Gewichtung (1–5)</w:t>
            </w:r>
          </w:p>
        </w:tc>
        <w:tc>
          <w:tcPr>
            <w:tcW w:w="188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Punkte je Land (USA / Kanada / Australien / Neuseeland)</w:t>
            </w:r>
          </w:p>
        </w:tc>
        <w:tc>
          <w:tcPr>
            <w:tcW w:w="187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 Ergebnis (Gewichtung × Punkte)</w:t>
            </w:r>
          </w:p>
        </w:tc>
      </w:tr>
      <w:tr>
        <w:trPr>
          <w:cantSplit w:val="true"/>
        </w:trPr>
        <w:tc>
          <w:tcPr>
            <w:tcW w:w="1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Planbarkeit des Einwanderungswegs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
          </w:p>
        </w:tc>
        <w:tc>
          <w:tcPr>
            <w:tcW w:w="18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USA 2</w:t>
            </w:r>
            <w:r>
              <w:rPr>
                <w:sz w:val="18"/>
                <w:szCs w:val="18"/>
              </w:rPr>
              <w:br/>
            </w:r>
            <w:r>
              <w:rPr>
                <w:rFonts w:eastAsia="Cambria" w:cs="Cambria"/>
                <w:b w:val="false"/>
                <w:bCs w:val="false"/>
                <w:i w:val="false"/>
                <w:iCs w:val="false"/>
                <w:sz w:val="18"/>
                <w:szCs w:val="18"/>
              </w:rPr>
              <w:t>Kanada 5</w:t>
            </w:r>
            <w:r>
              <w:rPr>
                <w:sz w:val="18"/>
                <w:szCs w:val="18"/>
              </w:rPr>
              <w:br/>
            </w:r>
            <w:r>
              <w:rPr>
                <w:rFonts w:eastAsia="Cambria" w:cs="Cambria"/>
                <w:b w:val="false"/>
                <w:bCs w:val="false"/>
                <w:i w:val="false"/>
                <w:iCs w:val="false"/>
                <w:sz w:val="18"/>
                <w:szCs w:val="18"/>
              </w:rPr>
              <w:t>Australien 4</w:t>
            </w:r>
            <w:r>
              <w:rPr>
                <w:sz w:val="18"/>
                <w:szCs w:val="18"/>
              </w:rPr>
              <w:br/>
            </w:r>
            <w:r>
              <w:rPr>
                <w:rFonts w:eastAsia="Cambria" w:cs="Cambria"/>
                <w:b w:val="false"/>
                <w:bCs w:val="false"/>
                <w:i w:val="false"/>
                <w:iCs w:val="false"/>
                <w:sz w:val="18"/>
                <w:szCs w:val="18"/>
              </w:rPr>
              <w:t>Neuseeland 4</w:t>
            </w:r>
          </w:p>
        </w:tc>
        <w:tc>
          <w:tcPr>
            <w:tcW w:w="18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USA:</w:t>
            </w:r>
            <w:r>
              <w:rPr>
                <w:sz w:val="18"/>
                <w:szCs w:val="18"/>
              </w:rPr>
              <w:br/>
            </w:r>
            <w:r>
              <w:rPr>
                <w:rFonts w:eastAsia="Cambria" w:cs="Cambria"/>
                <w:b w:val="false"/>
                <w:bCs w:val="false"/>
                <w:i w:val="false"/>
                <w:iCs w:val="false"/>
                <w:sz w:val="18"/>
                <w:szCs w:val="18"/>
              </w:rPr>
              <w:t>Kanada:</w:t>
            </w:r>
            <w:r>
              <w:rPr>
                <w:sz w:val="18"/>
                <w:szCs w:val="18"/>
              </w:rPr>
              <w:br/>
            </w:r>
            <w:r>
              <w:rPr>
                <w:rFonts w:eastAsia="Cambria" w:cs="Cambria"/>
                <w:b w:val="false"/>
                <w:bCs w:val="false"/>
                <w:i w:val="false"/>
                <w:iCs w:val="false"/>
                <w:sz w:val="18"/>
                <w:szCs w:val="18"/>
              </w:rPr>
              <w:t>Australien:</w:t>
            </w:r>
            <w:r>
              <w:rPr>
                <w:sz w:val="18"/>
                <w:szCs w:val="18"/>
              </w:rPr>
              <w:br/>
            </w:r>
            <w:r>
              <w:rPr>
                <w:rFonts w:eastAsia="Cambria" w:cs="Cambria"/>
                <w:b w:val="false"/>
                <w:bCs w:val="false"/>
                <w:i w:val="false"/>
                <w:iCs w:val="false"/>
                <w:sz w:val="18"/>
                <w:szCs w:val="18"/>
              </w:rPr>
              <w:t>Neuseeland:</w:t>
            </w:r>
          </w:p>
        </w:tc>
      </w:tr>
      <w:tr>
        <w:trPr>
          <w:cantSplit w:val="true"/>
        </w:trPr>
        <w:tc>
          <w:tcPr>
            <w:tcW w:w="1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Geschwindigkeit bis zum unbefristeten Titel</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
          </w:p>
        </w:tc>
        <w:tc>
          <w:tcPr>
            <w:tcW w:w="18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USA 2</w:t>
            </w:r>
            <w:r>
              <w:rPr>
                <w:sz w:val="18"/>
                <w:szCs w:val="18"/>
              </w:rPr>
              <w:br/>
            </w:r>
            <w:r>
              <w:rPr>
                <w:rFonts w:eastAsia="Cambria" w:cs="Cambria"/>
                <w:b w:val="false"/>
                <w:bCs w:val="false"/>
                <w:i w:val="false"/>
                <w:iCs w:val="false"/>
                <w:sz w:val="18"/>
                <w:szCs w:val="18"/>
              </w:rPr>
              <w:t>Kanada 4</w:t>
            </w:r>
            <w:r>
              <w:rPr>
                <w:sz w:val="18"/>
                <w:szCs w:val="18"/>
              </w:rPr>
              <w:br/>
            </w:r>
            <w:r>
              <w:rPr>
                <w:rFonts w:eastAsia="Cambria" w:cs="Cambria"/>
                <w:b w:val="false"/>
                <w:bCs w:val="false"/>
                <w:i w:val="false"/>
                <w:iCs w:val="false"/>
                <w:sz w:val="18"/>
                <w:szCs w:val="18"/>
              </w:rPr>
              <w:t>Australien 4</w:t>
            </w:r>
            <w:r>
              <w:rPr>
                <w:sz w:val="18"/>
                <w:szCs w:val="18"/>
              </w:rPr>
              <w:br/>
            </w:r>
            <w:r>
              <w:rPr>
                <w:rFonts w:eastAsia="Cambria" w:cs="Cambria"/>
                <w:b w:val="false"/>
                <w:bCs w:val="false"/>
                <w:i w:val="false"/>
                <w:iCs w:val="false"/>
                <w:sz w:val="18"/>
                <w:szCs w:val="18"/>
              </w:rPr>
              <w:t>Neuseeland 5</w:t>
            </w:r>
          </w:p>
        </w:tc>
        <w:tc>
          <w:tcPr>
            <w:tcW w:w="18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USA:</w:t>
            </w:r>
            <w:r>
              <w:rPr>
                <w:sz w:val="18"/>
                <w:szCs w:val="18"/>
              </w:rPr>
              <w:br/>
            </w:r>
            <w:r>
              <w:rPr>
                <w:rFonts w:eastAsia="Cambria" w:cs="Cambria"/>
                <w:b w:val="false"/>
                <w:bCs w:val="false"/>
                <w:i w:val="false"/>
                <w:iCs w:val="false"/>
                <w:sz w:val="18"/>
                <w:szCs w:val="18"/>
              </w:rPr>
              <w:t>Kanada:</w:t>
            </w:r>
            <w:r>
              <w:rPr>
                <w:sz w:val="18"/>
                <w:szCs w:val="18"/>
              </w:rPr>
              <w:br/>
            </w:r>
            <w:r>
              <w:rPr>
                <w:rFonts w:eastAsia="Cambria" w:cs="Cambria"/>
                <w:b w:val="false"/>
                <w:bCs w:val="false"/>
                <w:i w:val="false"/>
                <w:iCs w:val="false"/>
                <w:sz w:val="18"/>
                <w:szCs w:val="18"/>
              </w:rPr>
              <w:t>Australien:</w:t>
            </w:r>
            <w:r>
              <w:rPr>
                <w:sz w:val="18"/>
                <w:szCs w:val="18"/>
              </w:rPr>
              <w:br/>
            </w:r>
            <w:r>
              <w:rPr>
                <w:rFonts w:eastAsia="Cambria" w:cs="Cambria"/>
                <w:b w:val="false"/>
                <w:bCs w:val="false"/>
                <w:i w:val="false"/>
                <w:iCs w:val="false"/>
                <w:sz w:val="18"/>
                <w:szCs w:val="18"/>
              </w:rPr>
              <w:t>Neuseeland:</w:t>
            </w:r>
          </w:p>
        </w:tc>
      </w:tr>
      <w:tr>
        <w:trPr>
          <w:cantSplit w:val="true"/>
        </w:trPr>
        <w:tc>
          <w:tcPr>
            <w:tcW w:w="1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Automatische Gesundheitsabsicherung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
          </w:p>
        </w:tc>
        <w:tc>
          <w:tcPr>
            <w:tcW w:w="18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USA 1</w:t>
            </w:r>
            <w:r>
              <w:rPr>
                <w:sz w:val="18"/>
                <w:szCs w:val="18"/>
              </w:rPr>
              <w:br/>
            </w:r>
            <w:r>
              <w:rPr>
                <w:rFonts w:eastAsia="Cambria" w:cs="Cambria"/>
                <w:b w:val="false"/>
                <w:bCs w:val="false"/>
                <w:i w:val="false"/>
                <w:iCs w:val="false"/>
                <w:sz w:val="18"/>
                <w:szCs w:val="18"/>
              </w:rPr>
              <w:t>Kanada 5</w:t>
            </w:r>
            <w:r>
              <w:rPr>
                <w:sz w:val="18"/>
                <w:szCs w:val="18"/>
              </w:rPr>
              <w:br/>
            </w:r>
            <w:r>
              <w:rPr>
                <w:rFonts w:eastAsia="Cambria" w:cs="Cambria"/>
                <w:b w:val="false"/>
                <w:bCs w:val="false"/>
                <w:i w:val="false"/>
                <w:iCs w:val="false"/>
                <w:sz w:val="18"/>
                <w:szCs w:val="18"/>
              </w:rPr>
              <w:t>Australien 4</w:t>
            </w:r>
            <w:r>
              <w:rPr>
                <w:sz w:val="18"/>
                <w:szCs w:val="18"/>
              </w:rPr>
              <w:br/>
            </w:r>
            <w:r>
              <w:rPr>
                <w:rFonts w:eastAsia="Cambria" w:cs="Cambria"/>
                <w:b w:val="false"/>
                <w:bCs w:val="false"/>
                <w:i w:val="false"/>
                <w:iCs w:val="false"/>
                <w:sz w:val="18"/>
                <w:szCs w:val="18"/>
              </w:rPr>
              <w:t>Neuseeland 5</w:t>
            </w:r>
          </w:p>
        </w:tc>
        <w:tc>
          <w:tcPr>
            <w:tcW w:w="18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USA:</w:t>
            </w:r>
            <w:r>
              <w:rPr>
                <w:sz w:val="18"/>
                <w:szCs w:val="18"/>
              </w:rPr>
              <w:br/>
            </w:r>
            <w:r>
              <w:rPr>
                <w:rFonts w:eastAsia="Cambria" w:cs="Cambria"/>
                <w:b w:val="false"/>
                <w:bCs w:val="false"/>
                <w:i w:val="false"/>
                <w:iCs w:val="false"/>
                <w:sz w:val="18"/>
                <w:szCs w:val="18"/>
              </w:rPr>
              <w:t>Kanada:</w:t>
            </w:r>
            <w:r>
              <w:rPr>
                <w:sz w:val="18"/>
                <w:szCs w:val="18"/>
              </w:rPr>
              <w:br/>
            </w:r>
            <w:r>
              <w:rPr>
                <w:rFonts w:eastAsia="Cambria" w:cs="Cambria"/>
                <w:b w:val="false"/>
                <w:bCs w:val="false"/>
                <w:i w:val="false"/>
                <w:iCs w:val="false"/>
                <w:sz w:val="18"/>
                <w:szCs w:val="18"/>
              </w:rPr>
              <w:t>Australien:</w:t>
            </w:r>
            <w:r>
              <w:rPr>
                <w:sz w:val="18"/>
                <w:szCs w:val="18"/>
              </w:rPr>
              <w:br/>
            </w:r>
            <w:r>
              <w:rPr>
                <w:rFonts w:eastAsia="Cambria" w:cs="Cambria"/>
                <w:b w:val="false"/>
                <w:bCs w:val="false"/>
                <w:i w:val="false"/>
                <w:iCs w:val="false"/>
                <w:sz w:val="18"/>
                <w:szCs w:val="18"/>
              </w:rPr>
              <w:t>Neuseeland:</w:t>
            </w:r>
          </w:p>
        </w:tc>
      </w:tr>
      <w:tr>
        <w:trPr>
          <w:cantSplit w:val="true"/>
        </w:trPr>
        <w:tc>
          <w:tcPr>
            <w:tcW w:w="1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Niedrige Steuer- und Abgabenlast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
          </w:p>
        </w:tc>
        <w:tc>
          <w:tcPr>
            <w:tcW w:w="18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USA 3</w:t>
            </w:r>
            <w:r>
              <w:rPr>
                <w:sz w:val="18"/>
                <w:szCs w:val="18"/>
              </w:rPr>
              <w:br/>
            </w:r>
            <w:r>
              <w:rPr>
                <w:rFonts w:eastAsia="Cambria" w:cs="Cambria"/>
                <w:b w:val="false"/>
                <w:bCs w:val="false"/>
                <w:i w:val="false"/>
                <w:iCs w:val="false"/>
                <w:sz w:val="18"/>
                <w:szCs w:val="18"/>
              </w:rPr>
              <w:t>Kanada 2</w:t>
            </w:r>
            <w:r>
              <w:rPr>
                <w:sz w:val="18"/>
                <w:szCs w:val="18"/>
              </w:rPr>
              <w:br/>
            </w:r>
            <w:r>
              <w:rPr>
                <w:rFonts w:eastAsia="Cambria" w:cs="Cambria"/>
                <w:b w:val="false"/>
                <w:bCs w:val="false"/>
                <w:i w:val="false"/>
                <w:iCs w:val="false"/>
                <w:sz w:val="18"/>
                <w:szCs w:val="18"/>
              </w:rPr>
              <w:t>Australien 4</w:t>
            </w:r>
            <w:r>
              <w:rPr>
                <w:sz w:val="18"/>
                <w:szCs w:val="18"/>
              </w:rPr>
              <w:br/>
            </w:r>
            <w:r>
              <w:rPr>
                <w:rFonts w:eastAsia="Cambria" w:cs="Cambria"/>
                <w:b w:val="false"/>
                <w:bCs w:val="false"/>
                <w:i w:val="false"/>
                <w:iCs w:val="false"/>
                <w:sz w:val="18"/>
                <w:szCs w:val="18"/>
              </w:rPr>
              <w:t>Neuseeland 5</w:t>
            </w:r>
          </w:p>
        </w:tc>
        <w:tc>
          <w:tcPr>
            <w:tcW w:w="18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USA:</w:t>
            </w:r>
            <w:r>
              <w:rPr>
                <w:sz w:val="18"/>
                <w:szCs w:val="18"/>
              </w:rPr>
              <w:br/>
            </w:r>
            <w:r>
              <w:rPr>
                <w:rFonts w:eastAsia="Cambria" w:cs="Cambria"/>
                <w:b w:val="false"/>
                <w:bCs w:val="false"/>
                <w:i w:val="false"/>
                <w:iCs w:val="false"/>
                <w:sz w:val="18"/>
                <w:szCs w:val="18"/>
              </w:rPr>
              <w:t>Kanada:</w:t>
            </w:r>
            <w:r>
              <w:rPr>
                <w:sz w:val="18"/>
                <w:szCs w:val="18"/>
              </w:rPr>
              <w:br/>
            </w:r>
            <w:r>
              <w:rPr>
                <w:rFonts w:eastAsia="Cambria" w:cs="Cambria"/>
                <w:b w:val="false"/>
                <w:bCs w:val="false"/>
                <w:i w:val="false"/>
                <w:iCs w:val="false"/>
                <w:sz w:val="18"/>
                <w:szCs w:val="18"/>
              </w:rPr>
              <w:t>Australien:</w:t>
            </w:r>
            <w:r>
              <w:rPr>
                <w:sz w:val="18"/>
                <w:szCs w:val="18"/>
              </w:rPr>
              <w:br/>
            </w:r>
            <w:r>
              <w:rPr>
                <w:rFonts w:eastAsia="Cambria" w:cs="Cambria"/>
                <w:b w:val="false"/>
                <w:bCs w:val="false"/>
                <w:i w:val="false"/>
                <w:iCs w:val="false"/>
                <w:sz w:val="18"/>
                <w:szCs w:val="18"/>
              </w:rPr>
              <w:t>Neuseeland:</w:t>
            </w:r>
          </w:p>
        </w:tc>
      </w:tr>
      <w:tr>
        <w:trPr>
          <w:cantSplit w:val="true"/>
        </w:trPr>
        <w:tc>
          <w:tcPr>
            <w:tcW w:w="1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Niedrige Lebenshaltungskosten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
          </w:p>
        </w:tc>
        <w:tc>
          <w:tcPr>
            <w:tcW w:w="18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USA 2</w:t>
            </w:r>
            <w:r>
              <w:rPr>
                <w:sz w:val="18"/>
                <w:szCs w:val="18"/>
              </w:rPr>
              <w:br/>
            </w:r>
            <w:r>
              <w:rPr>
                <w:rFonts w:eastAsia="Cambria" w:cs="Cambria"/>
                <w:b w:val="false"/>
                <w:bCs w:val="false"/>
                <w:i w:val="false"/>
                <w:iCs w:val="false"/>
                <w:sz w:val="18"/>
                <w:szCs w:val="18"/>
              </w:rPr>
              <w:t>Kanada 4</w:t>
            </w:r>
            <w:r>
              <w:rPr>
                <w:sz w:val="18"/>
                <w:szCs w:val="18"/>
              </w:rPr>
              <w:br/>
            </w:r>
            <w:r>
              <w:rPr>
                <w:rFonts w:eastAsia="Cambria" w:cs="Cambria"/>
                <w:b w:val="false"/>
                <w:bCs w:val="false"/>
                <w:i w:val="false"/>
                <w:iCs w:val="false"/>
                <w:sz w:val="18"/>
                <w:szCs w:val="18"/>
              </w:rPr>
              <w:t>Australien 1</w:t>
            </w:r>
            <w:r>
              <w:rPr>
                <w:sz w:val="18"/>
                <w:szCs w:val="18"/>
              </w:rPr>
              <w:br/>
            </w:r>
            <w:r>
              <w:rPr>
                <w:rFonts w:eastAsia="Cambria" w:cs="Cambria"/>
                <w:b w:val="false"/>
                <w:bCs w:val="false"/>
                <w:i w:val="false"/>
                <w:iCs w:val="false"/>
                <w:sz w:val="18"/>
                <w:szCs w:val="18"/>
              </w:rPr>
              <w:t>Neuseeland 5</w:t>
            </w:r>
          </w:p>
        </w:tc>
        <w:tc>
          <w:tcPr>
            <w:tcW w:w="18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USA:</w:t>
            </w:r>
            <w:r>
              <w:rPr>
                <w:sz w:val="18"/>
                <w:szCs w:val="18"/>
              </w:rPr>
              <w:br/>
            </w:r>
            <w:r>
              <w:rPr>
                <w:rFonts w:eastAsia="Cambria" w:cs="Cambria"/>
                <w:b w:val="false"/>
                <w:bCs w:val="false"/>
                <w:i w:val="false"/>
                <w:iCs w:val="false"/>
                <w:sz w:val="18"/>
                <w:szCs w:val="18"/>
              </w:rPr>
              <w:t>Kanada:</w:t>
            </w:r>
            <w:r>
              <w:rPr>
                <w:sz w:val="18"/>
                <w:szCs w:val="18"/>
              </w:rPr>
              <w:br/>
            </w:r>
            <w:r>
              <w:rPr>
                <w:rFonts w:eastAsia="Cambria" w:cs="Cambria"/>
                <w:b w:val="false"/>
                <w:bCs w:val="false"/>
                <w:i w:val="false"/>
                <w:iCs w:val="false"/>
                <w:sz w:val="18"/>
                <w:szCs w:val="18"/>
              </w:rPr>
              <w:t>Australien:</w:t>
            </w:r>
            <w:r>
              <w:rPr>
                <w:sz w:val="18"/>
                <w:szCs w:val="18"/>
              </w:rPr>
              <w:br/>
            </w:r>
            <w:r>
              <w:rPr>
                <w:rFonts w:eastAsia="Cambria" w:cs="Cambria"/>
                <w:b w:val="false"/>
                <w:bCs w:val="false"/>
                <w:i w:val="false"/>
                <w:iCs w:val="false"/>
                <w:sz w:val="18"/>
                <w:szCs w:val="18"/>
              </w:rPr>
              <w:t>Neuseeland:</w:t>
            </w:r>
          </w:p>
        </w:tc>
      </w:tr>
      <w:tr>
        <w:trPr>
          <w:cantSplit w:val="true"/>
        </w:trPr>
        <w:tc>
          <w:tcPr>
            <w:tcW w:w="1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Nähe zu Deutschland (Flugzeit)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
          </w:p>
        </w:tc>
        <w:tc>
          <w:tcPr>
            <w:tcW w:w="18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USA 4</w:t>
            </w:r>
            <w:r>
              <w:rPr>
                <w:sz w:val="18"/>
                <w:szCs w:val="18"/>
              </w:rPr>
              <w:br/>
            </w:r>
            <w:r>
              <w:rPr>
                <w:rFonts w:eastAsia="Cambria" w:cs="Cambria"/>
                <w:b w:val="false"/>
                <w:bCs w:val="false"/>
                <w:i w:val="false"/>
                <w:iCs w:val="false"/>
                <w:sz w:val="18"/>
                <w:szCs w:val="18"/>
              </w:rPr>
              <w:t>Kanada 5</w:t>
            </w:r>
            <w:r>
              <w:rPr>
                <w:sz w:val="18"/>
                <w:szCs w:val="18"/>
              </w:rPr>
              <w:br/>
            </w:r>
            <w:r>
              <w:rPr>
                <w:rFonts w:eastAsia="Cambria" w:cs="Cambria"/>
                <w:b w:val="false"/>
                <w:bCs w:val="false"/>
                <w:i w:val="false"/>
                <w:iCs w:val="false"/>
                <w:sz w:val="18"/>
                <w:szCs w:val="18"/>
              </w:rPr>
              <w:t>Australien 2</w:t>
            </w:r>
            <w:r>
              <w:rPr>
                <w:sz w:val="18"/>
                <w:szCs w:val="18"/>
              </w:rPr>
              <w:br/>
            </w:r>
            <w:r>
              <w:rPr>
                <w:rFonts w:eastAsia="Cambria" w:cs="Cambria"/>
                <w:b w:val="false"/>
                <w:bCs w:val="false"/>
                <w:i w:val="false"/>
                <w:iCs w:val="false"/>
                <w:sz w:val="18"/>
                <w:szCs w:val="18"/>
              </w:rPr>
              <w:t>Neuseeland 1</w:t>
            </w:r>
          </w:p>
        </w:tc>
        <w:tc>
          <w:tcPr>
            <w:tcW w:w="18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USA:</w:t>
            </w:r>
            <w:r>
              <w:rPr>
                <w:sz w:val="18"/>
                <w:szCs w:val="18"/>
              </w:rPr>
              <w:br/>
            </w:r>
            <w:r>
              <w:rPr>
                <w:rFonts w:eastAsia="Cambria" w:cs="Cambria"/>
                <w:b w:val="false"/>
                <w:bCs w:val="false"/>
                <w:i w:val="false"/>
                <w:iCs w:val="false"/>
                <w:sz w:val="18"/>
                <w:szCs w:val="18"/>
              </w:rPr>
              <w:t>Kanada:</w:t>
            </w:r>
            <w:r>
              <w:rPr>
                <w:sz w:val="18"/>
                <w:szCs w:val="18"/>
              </w:rPr>
              <w:br/>
            </w:r>
            <w:r>
              <w:rPr>
                <w:rFonts w:eastAsia="Cambria" w:cs="Cambria"/>
                <w:b w:val="false"/>
                <w:bCs w:val="false"/>
                <w:i w:val="false"/>
                <w:iCs w:val="false"/>
                <w:sz w:val="18"/>
                <w:szCs w:val="18"/>
              </w:rPr>
              <w:t>Australien:</w:t>
            </w:r>
            <w:r>
              <w:rPr>
                <w:sz w:val="18"/>
                <w:szCs w:val="18"/>
              </w:rPr>
              <w:br/>
            </w:r>
            <w:r>
              <w:rPr>
                <w:rFonts w:eastAsia="Cambria" w:cs="Cambria"/>
                <w:b w:val="false"/>
                <w:bCs w:val="false"/>
                <w:i w:val="false"/>
                <w:iCs w:val="false"/>
                <w:sz w:val="18"/>
                <w:szCs w:val="18"/>
              </w:rPr>
              <w:t>Neuseeland:</w:t>
            </w:r>
          </w:p>
        </w:tc>
      </w:tr>
      <w:tr>
        <w:trPr>
          <w:cantSplit w:val="true"/>
        </w:trPr>
        <w:tc>
          <w:tcPr>
            <w:tcW w:w="1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Klima nach eigener Präferenz</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
          </w:p>
        </w:tc>
        <w:tc>
          <w:tcPr>
            <w:tcW w:w="18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 eigener Einschätzung eintragen</w:t>
            </w:r>
          </w:p>
        </w:tc>
        <w:tc>
          <w:tcPr>
            <w:tcW w:w="18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USA:</w:t>
            </w:r>
            <w:r>
              <w:rPr>
                <w:sz w:val="18"/>
                <w:szCs w:val="18"/>
              </w:rPr>
              <w:br/>
            </w:r>
            <w:r>
              <w:rPr>
                <w:rFonts w:eastAsia="Cambria" w:cs="Cambria"/>
                <w:b w:val="false"/>
                <w:bCs w:val="false"/>
                <w:i w:val="false"/>
                <w:iCs w:val="false"/>
                <w:sz w:val="18"/>
                <w:szCs w:val="18"/>
              </w:rPr>
              <w:t>Kanada:</w:t>
            </w:r>
            <w:r>
              <w:rPr>
                <w:sz w:val="18"/>
                <w:szCs w:val="18"/>
              </w:rPr>
              <w:br/>
            </w:r>
            <w:r>
              <w:rPr>
                <w:rFonts w:eastAsia="Cambria" w:cs="Cambria"/>
                <w:b w:val="false"/>
                <w:bCs w:val="false"/>
                <w:i w:val="false"/>
                <w:iCs w:val="false"/>
                <w:sz w:val="18"/>
                <w:szCs w:val="18"/>
              </w:rPr>
              <w:t>Australien:</w:t>
            </w:r>
            <w:r>
              <w:rPr>
                <w:sz w:val="18"/>
                <w:szCs w:val="18"/>
              </w:rPr>
              <w:br/>
            </w:r>
            <w:r>
              <w:rPr>
                <w:rFonts w:eastAsia="Cambria" w:cs="Cambria"/>
                <w:b w:val="false"/>
                <w:bCs w:val="false"/>
                <w:i w:val="false"/>
                <w:iCs w:val="false"/>
                <w:sz w:val="18"/>
                <w:szCs w:val="18"/>
              </w:rPr>
              <w:t>Neuseeland:</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Addiere am Ende jede der vier Spalten getrennt für USA, Kanada, Australien und Neuseeland. Auf Papier oder in einer Tabellenkalkulation hast du mehr Platz als diese Buchseite; ergänze dort gern weitere eigene Kriterien, etwa ein bestehendes Jobangebot, Familie oder Freunde vor Ort oder eine bestimmte Berufschance, die diese allgemeine Übersicht nicht abbilden kann. Das Land mit der höchsten Summe verdient eine genauere Prüfung zuerst – es ist damit noch keine endgültige Entscheidung, sondern eine begründete Reihenfolge.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So könnte das in der Praxis aussehen: Wer als Gewichtung die automatische Gesundheitsabsicherung und die Nähe zu Deutschland jeweils mit 5 versieht, alles andere aber nur mit 2 oder 3, landet am Ende bei Kanada – dort punkten beide hoch gewichteten Kriterien gleichzeitig. Wer dagegen vor allem auf niedrige Steuer- und Abgabenlast und niedrige Lebenshaltungskosten Wert legt und die Entfernung niedrig gewichtet, weil ohnehin nur einmal im Jahr geflogen werden soll, landet eher bei Neuseeland. Und wer die Geschwindigkeit bis zum unbefristeten Titel hoch gewichtet, weil zum Beispiel schon ein befristeter Vertrag im Zielland tickt, wird die USA in dieser Übersicht tendenziell hintenanstellen – es sei denn, ein konkretes Jobangebot verändert die Rechnung, wie oben beim Einwanderungssystem beschrieben.</w:t>
      </w:r>
    </w:p>
    <w:p>
      <w:pPr>
        <w:pStyle w:val="Heading3"/>
        <w:keepNext w:val="true"/>
        <w:spacing w:before="280" w:after="100"/>
        <w:jc w:val="center"/>
        <w:rPr/>
      </w:pPr>
      <w:r>
        <w:rPr>
          <w:rFonts w:eastAsia="Amazon Ember" w:cs="Amazon Ember" w:ascii="Amazon Ember" w:hAnsi="Amazon Ember"/>
          <w:b/>
          <w:bCs/>
          <w:color w:val="0000FF"/>
          <w:sz w:val="36"/>
          <w:szCs w:val="36"/>
        </w:rPr>
        <w:t>Wenn du dich zwischen zwei Ländern nicht entscheiden kannst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Landen am Ende zwei Länder mit einer sehr ähnlichen Summe nebeneinander, ist das kein Rechenfehler, sondern ein ehrliches Ergebnis: Beide passen ungefähr gleich gut zu deinen Prioritäten, zumindest auf dieser groben Ebene. In diesem Fall helfen drei Fragen weiter, die keine Tabelle beantworten kann. Erstens: Bei welchem der beiden Länder-Teile in diesem Buch fällt dir beim Lesen ein konkreterer, realistischerer nächster Schritt ein – ein Formular, eine Stadt, ein Ansprechpartner? Zweitens: Kennst du bereits jemanden, der in einem der beiden Länder lebt und mit dem du einmal ehrlich sprechen könntest, bevor du dich festlegst? Drittens: Welches der beiden Ergebnisse überrascht dich mehr – und was sagt diese Überraschung über eine Priorität aus, die du in der Scorecard vielleicht zu niedrig gewichtet hast? Ein Unentschieden ist selten ein Zeichen dafür, dass die Entscheidung unmöglich ist; meistens zeigt es nur, dass ein Kriterium fehlt, das dir wichtiger ist, als du zunächst dachtest. Manchmal löst sich ein scheinbares Patt auch von selbst, sobald ein einzelner, sehr persönlicher Punkt dazukommt, den keine Tabelle vorwegnehmen kann – ein Jobangebot, das nur in einem der beiden Länder auf dem Tisch liegt, oder die Erkenntnis, dass eines der beiden Länder für deinen Beruf ein deutlich einfacheres Anerkennungsverfahren hat als das andere.</w:t>
      </w:r>
    </w:p>
    <w:p>
      <w:pPr>
        <w:pStyle w:val="Heading3"/>
        <w:keepNext w:val="true"/>
        <w:spacing w:before="280" w:after="100"/>
        <w:jc w:val="center"/>
        <w:rPr/>
      </w:pPr>
      <w:r>
        <w:rPr>
          <w:rFonts w:eastAsia="Amazon Ember" w:cs="Amazon Ember" w:ascii="Amazon Ember" w:hAnsi="Amazon Ember"/>
          <w:b/>
          <w:bCs/>
          <w:color w:val="0000FF"/>
          <w:sz w:val="36"/>
          <w:szCs w:val="36"/>
        </w:rPr>
        <w:t>Was dieser Vergleich nicht ersetzt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Diese Scorecard ist bewusst grob. Sie kann kein konkretes Jobangebot, keine bereits dort lebende Familie und keine sehr persönliche Präferenz ersetzen, die sich in keiner Tabelle abbilden lässt. Sie ist ein Startpunkt zur Eingrenzung auf ein oder zwei Favoriten – nicht das letzte Wort. Sobald du eine Vorauswahl getroffen hast, lohnt sich die volle Tiefe des jeweiligen Länder-Teils: konkrete Visumswege, Städte, Kosten und die typischen Fallen, die diese Übersicht nicht zeigen kann.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Nimm dir für das Ausfüllen bewusst Zeit und mach es nicht nebenbei am Handy. Die Gewichtung in der zweiten Spalte ist der eigentlich schwierige Teil dieser Übung, nicht die Multiplikation danach: Die meisten Menschen haben ein diffuses Gefühl, dass ihnen „irgendwie alles wichtig“ ist, bis sie gezwungen werden, Prioritäten tatsächlich gegeneinander abzuwägen. Wenn du mit Partner oder Familie ausfüllst, lohnt es sich, die Gewichtung zunächst getrennt vorzunehmen und die Ergebnisse erst danach zu vergleichen – große Abweichungen bei einzelnen Kriterien sind oft aufschlussreicher als die fertige Summe selbst.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 Prioritäten in der Scorecard gewichtet (1–5 je Kriterium)</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Alle vier Länder-Ergebnisse ausgerechnet und verglichen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 hier nicht abgebildete Kriterien ergänzt (Jobangebot, Familie, Freunde vor Ort)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Besteuerungsprinzip des jeweiligen Favoriten verstanden, besonders bei den USA</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Ein bis zwei Favoriten festgelegt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Entsprechenden Länder-Teil dieses Buches vollständig gelesen, bevor eine Entscheidung fällt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OECD — Taxing Wages, Steuerkeil-Vergleich (</w:t>
      </w:r>
      <w:hyperlink r:id="rId19">
        <w:r>
          <w:rPr>
            <w:rStyle w:val="ListLabel113"/>
            <w:rFonts w:eastAsia="Cambria" w:cs="Cambria"/>
            <w:b w:val="false"/>
            <w:bCs w:val="false"/>
            <w:i w:val="false"/>
            <w:iCs w:val="false"/>
            <w:color w:val="0563C1"/>
            <w:sz w:val="22"/>
            <w:szCs w:val="22"/>
            <w:u w:val="single"/>
          </w:rPr>
          <w:t>oecd.org</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Bundesministerium der Justiz — Gesetze im Internet, Staatsangehörigkeitsgesetz (</w:t>
      </w:r>
      <w:hyperlink r:id="rId20">
        <w:r>
          <w:rPr>
            <w:rStyle w:val="ListLabel113"/>
            <w:rFonts w:eastAsia="Cambria" w:cs="Cambria"/>
            <w:b w:val="false"/>
            <w:bCs w:val="false"/>
            <w:i w:val="false"/>
            <w:iCs w:val="false"/>
            <w:color w:val="0563C1"/>
            <w:sz w:val="22"/>
            <w:szCs w:val="22"/>
            <w:u w:val="single"/>
          </w:rPr>
          <w:t>gesetze-im-internet.de/stag</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Refugees and Citizenship Canada — Express Entry (</w:t>
      </w:r>
      <w:hyperlink r:id="rId21">
        <w:r>
          <w:rPr>
            <w:rStyle w:val="ListLabel113"/>
            <w:rFonts w:eastAsia="Cambria" w:cs="Cambria"/>
            <w:b w:val="false"/>
            <w:bCs w:val="false"/>
            <w:i w:val="false"/>
            <w:iCs w:val="false"/>
            <w:color w:val="0563C1"/>
            <w:sz w:val="22"/>
            <w:szCs w:val="22"/>
            <w:u w:val="single"/>
          </w:rPr>
          <w:t>canada.ca</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Home Affairs Australien — General Skilled Migration (</w:t>
      </w:r>
      <w:hyperlink r:id="rId22">
        <w:r>
          <w:rPr>
            <w:rStyle w:val="ListLabel113"/>
            <w:rFonts w:eastAsia="Cambria" w:cs="Cambria"/>
            <w:b w:val="false"/>
            <w:bCs w:val="false"/>
            <w:i w:val="false"/>
            <w:iCs w:val="false"/>
            <w:color w:val="0563C1"/>
            <w:sz w:val="22"/>
            <w:szCs w:val="22"/>
            <w:u w:val="single"/>
          </w:rPr>
          <w:t>immi.homeaffairs.gov.au</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New Zealand — Skilled Migrant Category, Green List (</w:t>
      </w:r>
      <w:hyperlink r:id="rId23">
        <w:r>
          <w:rPr>
            <w:rStyle w:val="ListLabel113"/>
            <w:rFonts w:eastAsia="Cambria" w:cs="Cambria"/>
            <w:b w:val="false"/>
            <w:bCs w:val="false"/>
            <w:i w:val="false"/>
            <w:iCs w:val="false"/>
            <w:color w:val="0563C1"/>
            <w:sz w:val="22"/>
            <w:szCs w:val="22"/>
            <w:u w:val="single"/>
          </w:rPr>
          <w:t>immigration.govt.nz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Numbeo — Cost of Living Rankings (</w:t>
      </w:r>
      <w:hyperlink r:id="rId24">
        <w:r>
          <w:rPr>
            <w:rStyle w:val="ListLabel113"/>
            <w:rFonts w:eastAsia="Cambria" w:cs="Cambria"/>
            <w:b w:val="false"/>
            <w:bCs w:val="false"/>
            <w:i w:val="false"/>
            <w:iCs w:val="false"/>
            <w:color w:val="0563C1"/>
            <w:sz w:val="22"/>
            <w:szCs w:val="22"/>
            <w:u w:val="single"/>
          </w:rPr>
          <w:t>numbeo.com</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Bearbeitungszeiten, Steuersätze und Lebenshaltungskosten ändern sich häufig und teils kurzfristig; die genannten Werte sind Richtwerte zum Zeitpunkt der Recherche. Prüfe vor einer Entscheidung die aktuellen Angaben im jeweiligen Länder-Teil und auf den offiziellen Behördenseiten.</w:t>
            </w:r>
          </w:p>
        </w:tc>
      </w:tr>
    </w:tbl>
    <w:p>
      <w:pPr>
        <w:sectPr>
          <w:footerReference w:type="even" r:id="rId25"/>
          <w:footerReference w:type="default" r:id="rId26"/>
          <w:footerReference w:type="first" r:id="rId27"/>
          <w:type w:val="nextPage"/>
          <w:pgSz w:w="8640" w:h="12983"/>
          <w:pgMar w:left="1080" w:right="1080" w:gutter="0" w:header="0" w:top="1080" w:footer="708" w:bottom="1100"/>
          <w:pgNumType w:fmt="decimal"/>
          <w:formProt w:val="false"/>
          <w:textDirection w:val="lrTb"/>
          <w:docGrid w:type="default" w:linePitch="360" w:charSpace="4096"/>
        </w:sectPr>
        <w:pStyle w:val="Normal"/>
        <w:spacing w:lineRule="exact" w:line="220" w:before="0" w:after="0"/>
        <w:rPr/>
      </w:pPr>
      <w:r>
        <w:rPr/>
      </w:r>
    </w:p>
    <w:p>
      <w:pPr>
        <w:pStyle w:val="Heading1"/>
        <w:spacing w:before="0" w:after="360"/>
        <w:jc w:val="center"/>
        <w:rPr/>
      </w:pPr>
      <w:bookmarkStart w:id="9" w:name="__RefHeading___Toc56427_3769931028"/>
      <w:bookmarkEnd w:id="9"/>
      <w:r>
        <w:rPr>
          <w:rFonts w:eastAsia="Amazon Ember" w:cs="Amazon Ember" w:ascii="Amazon Ember" w:hAnsi="Amazon Ember"/>
          <w:b/>
          <w:bCs/>
          <w:color w:val="0000FF"/>
        </w:rPr>
        <w:t>TEIL I — Die Entscheidung</w:t>
      </w:r>
    </w:p>
    <w:p>
      <w:pPr>
        <w:sectPr>
          <w:footerReference w:type="even" r:id="rId28"/>
          <w:footerReference w:type="default" r:id="rId29"/>
          <w:footerReference w:type="first" r:id="rId30"/>
          <w:type w:val="nextPage"/>
          <w:pgSz w:w="8640" w:h="12983"/>
          <w:pgMar w:left="1080" w:right="1080" w:gutter="0" w:header="0" w:top="1080" w:footer="708" w:bottom="1100"/>
          <w:pgNumType w:fmt="decimal"/>
          <w:formProt w:val="false"/>
          <w:vAlign w:val="center"/>
          <w:textDirection w:val="lrTb"/>
          <w:docGrid w:type="default" w:linePitch="360" w:charSpace="4096"/>
        </w:sectPr>
        <w:pStyle w:val="Normal"/>
        <w:spacing w:lineRule="exact" w:line="300" w:before="0" w:after="160"/>
        <w:ind w:left="400" w:right="400"/>
        <w:jc w:val="center"/>
        <w:rPr/>
      </w:pPr>
      <w:r>
        <w:rPr>
          <w:rFonts w:eastAsia="Cambria" w:cs="Cambria"/>
          <w:b w:val="false"/>
          <w:bCs w:val="false"/>
          <w:i/>
          <w:iCs/>
          <w:sz w:val="24"/>
          <w:szCs w:val="24"/>
        </w:rPr>
        <w:t>Bevor du Kisten packst, rechnest du. Dieser Teil zeigt beide Seiten der Medaille, die häufigsten Fallen und einen Weg, mit Zahlen statt Bauchgefühl zu entscheiden.</w:t>
      </w:r>
      <w:r>
        <w:br w:type="page"/>
      </w:r>
    </w:p>
    <w:p>
      <w:pPr>
        <w:pStyle w:val="Heading2"/>
        <w:keepNext w:val="true"/>
        <w:spacing w:before="0" w:after="300"/>
        <w:jc w:val="center"/>
        <w:rPr/>
      </w:pPr>
      <w:bookmarkStart w:id="10" w:name="__RefHeading___Toc56429_3769931028"/>
      <w:bookmarkStart w:id="11" w:name="k1_Copy_1"/>
      <w:bookmarkEnd w:id="10"/>
      <w:r>
        <w:rPr>
          <w:rFonts w:eastAsia="Amazon Ember" w:cs="Amazon Ember" w:ascii="Amazon Ember" w:hAnsi="Amazon Ember"/>
          <w:b/>
          <w:bCs/>
          <w:color w:val="0000FF"/>
          <w:sz w:val="36"/>
          <w:szCs w:val="36"/>
        </w:rPr>
        <w:t>Kapitel 1: Die ehrliche Bilanz: Was für die USA spricht und was dagegen</w:t>
      </w:r>
      <w:bookmarkEnd w:id="11"/>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Auf dem Küchentisch liegt ein Offer Letter aus Michigan, daneben ein Blatt Papier mit zwei Spalten: dafür, dagegen. Das Jahresgehalt sieht auf den ersten Blick nach dem Doppelten des deutschen Gehalts aus – bis die zweite Spalte wächst: Krankenversicherung, Kündigungsschutz, Urlaubstage, die Entfernung zu den Eltern. Genau diese Rechnung macht dieses Kapitel, Thema für Thema, ohne Werbesprache und ohne Abschreckung.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Die USA bieten oft deutlich höhere Brutto- und Nettogehälter, aber ohne das deutsche soziale Netz: kein Kündigungsschutz, kaum gesetzlicher Urlaub, Krankenversicherung hängt am Job.</w:t>
            </w:r>
          </w:p>
          <w:p>
            <w:pPr>
              <w:pStyle w:val="ListParagraph"/>
              <w:numPr>
                <w:ilvl w:val="0"/>
                <w:numId w:val="1"/>
              </w:numPr>
              <w:spacing w:lineRule="exact" w:line="264" w:before="0" w:after="50"/>
              <w:rPr/>
            </w:pPr>
            <w:r>
              <w:rPr>
                <w:rFonts w:eastAsia="Cambria" w:cs="Cambria"/>
                <w:b w:val="false"/>
                <w:bCs w:val="false"/>
                <w:i w:val="false"/>
                <w:iCs w:val="false"/>
                <w:sz w:val="20"/>
                <w:szCs w:val="20"/>
              </w:rPr>
              <w:t>Rechne immer netto nach Steuern, Krankenversicherungsprämie und Wohnkosten – nicht das Bruttogehalt vergleichen (Kapitel </w:t>
            </w:r>
            <w:hyperlink w:anchor="k3">
              <w:r>
                <w:rPr>
                  <w:rStyle w:val="ListLabel114"/>
                  <w:rFonts w:eastAsia="Cambria" w:cs="Cambria"/>
                  <w:b w:val="false"/>
                  <w:bCs w:val="false"/>
                  <w:i w:val="false"/>
                  <w:iCs w:val="false"/>
                  <w:sz w:val="20"/>
                  <w:szCs w:val="20"/>
                </w:rPr>
                <w:t>3</w:t>
              </w:r>
            </w:hyperlink>
            <w:r>
              <w:rPr>
                <w:rFonts w:eastAsia="Cambria" w:cs="Cambria"/>
                <w:b w:val="false"/>
                <w:bCs w:val="false"/>
                <w:i w:val="false"/>
                <w:iCs w:val="false"/>
                <w:sz w:val="20"/>
                <w:szCs w:val="20"/>
              </w:rPr>
              <w:t>).</w:t>
            </w:r>
          </w:p>
          <w:p>
            <w:pPr>
              <w:pStyle w:val="ListParagraph"/>
              <w:numPr>
                <w:ilvl w:val="0"/>
                <w:numId w:val="1"/>
              </w:numPr>
              <w:spacing w:lineRule="exact" w:line="264" w:before="0" w:after="50"/>
              <w:rPr/>
            </w:pPr>
            <w:r>
              <w:rPr>
                <w:rFonts w:eastAsia="Cambria" w:cs="Cambria"/>
                <w:b w:val="false"/>
                <w:bCs w:val="false"/>
                <w:i w:val="false"/>
                <w:iCs w:val="false"/>
                <w:sz w:val="20"/>
                <w:szCs w:val="20"/>
              </w:rPr>
              <w:t>Bei einem Arbeitgeber-Visum hängen Einkommen, Krankenversicherung und Aufenthaltsstatus am selben Arbeitgeber: Ein Jobverlust trifft mehrere Fristen gleichzeitig.</w:t>
            </w:r>
          </w:p>
          <w:p>
            <w:pPr>
              <w:pStyle w:val="ListParagraph"/>
              <w:numPr>
                <w:ilvl w:val="0"/>
                <w:numId w:val="1"/>
              </w:numPr>
              <w:spacing w:lineRule="exact" w:line="264" w:before="0" w:after="50"/>
              <w:rPr/>
            </w:pPr>
            <w:r>
              <w:rPr>
                <w:rFonts w:eastAsia="Cambria" w:cs="Cambria"/>
                <w:b w:val="false"/>
                <w:bCs w:val="false"/>
                <w:i w:val="false"/>
                <w:iCs w:val="false"/>
                <w:sz w:val="20"/>
                <w:szCs w:val="20"/>
              </w:rPr>
              <w:t>Am stärksten vermissen Zugezogene die Verlässlichkeit des deutschen Sozialstaats sowie echte, tief gewachsene Freundschaften und die Nähe zur Familie.</w:t>
            </w:r>
          </w:p>
          <w:p>
            <w:pPr>
              <w:pStyle w:val="ListParagraph"/>
              <w:numPr>
                <w:ilvl w:val="0"/>
                <w:numId w:val="1"/>
              </w:numPr>
              <w:spacing w:lineRule="exact" w:line="264" w:before="0" w:after="50"/>
              <w:rPr/>
            </w:pPr>
            <w:r>
              <w:rPr>
                <w:rFonts w:eastAsia="Cambria" w:cs="Cambria"/>
                <w:b w:val="false"/>
                <w:bCs w:val="false"/>
                <w:i w:val="false"/>
                <w:iCs w:val="false"/>
                <w:sz w:val="20"/>
                <w:szCs w:val="20"/>
              </w:rPr>
              <w:t>Am meisten profitieren Fachkräfte in gefragten Berufen mit Arbeitgeber-Sponsoring; wer vor allem Sicherheit und ein enges Familiennetz braucht, sollte genauer rechnen.</w:t>
            </w:r>
          </w:p>
          <w:p>
            <w:pPr>
              <w:pStyle w:val="ListParagraph"/>
              <w:numPr>
                <w:ilvl w:val="0"/>
                <w:numId w:val="1"/>
              </w:numPr>
              <w:spacing w:lineRule="exact" w:line="264" w:before="0" w:after="50"/>
              <w:rPr/>
            </w:pPr>
            <w:r>
              <w:rPr>
                <w:rFonts w:eastAsia="Cambria" w:cs="Cambria"/>
                <w:b w:val="false"/>
                <w:bCs w:val="false"/>
                <w:i w:val="false"/>
                <w:iCs w:val="false"/>
                <w:sz w:val="20"/>
                <w:szCs w:val="20"/>
              </w:rPr>
              <w:t>Der amerikanische Traum ist real, aber selektiv: mehr Chance auf Aufstieg, aber auch mehr eigenes Risiko.</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Karriere und Einkommen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erste Blick gilt dem Gehalt, und die Bilanz fällt meist positiv aus: US-Gehälter liegen für Fachkräfte oft merklich über deutschem Niveau, und Bonus, Aktienzuteilungen sowie der Arbeitgeberzuschuss zur Altersvorsorge (401(k)-Match) heben die Gesamtvergütung häufig um ein Viertel bis ein Drittel über das Grundgehalt. Ein Rechenbeispiel aus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 xml:space="preserve"> kommt bei 150.000 $ Grundgehalt auf ein Gesamtpaket von rund 211.000 $. Ein Arbeitgeberwechsel bringt ohne Tarifstufen oft einen spürbaren Gehaltssprung; Beförderung und Verhandlung liegen stärker in deiner eigenen Hand als in Deutschland. Wer in Deutschland gelernt hat, dass man über Geld lieber schweigt als verhandelt, muss hier umdenken: Wer nicht fragt, bekommt selten mehr, und Zurückhaltung gilt nicht als Bescheidenheit, sondern als Desinteresse.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außerhalb der Tech-Branche gilt das: Ein Maschinenbauingenieur verdient bundesweit im Median 104.110 $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 spürbar mehr als das deutsche Pendant, wenn auch regional stark schwankend.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Kehrseite: Ein 13. Gehalt kennt das System nicht, Erfolg musst du selbst sichtbar machen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 und 2026 ist der Tech-Arbeitsmarkt so hart wie lange nicht – von Januar bis August 2026 kündigten US-Unternehmen laut einer Beratung 155.126 Tech-Stellen an, 52 % mehr als im Vorjahr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Ein Arbeitgeber-Visum bindet zudem Einkommen und Aufenthalt an denselben Arbeitgeber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Verhandle das Gesamtpaket, nicht nur das Grundgehalt. Sign-on-Bonus, Aktienzuteilungen und der Arbeitgeberzuschuss zur Altersvorsorge sind oft beweglicher als die Grundgehaltszahl und machen im Rechenbeispiel aus Kapitel </w:t>
            </w:r>
            <w:hyperlink w:anchor="k29">
              <w:r>
                <w:rPr>
                  <w:rStyle w:val="ListLabel114"/>
                  <w:rFonts w:eastAsia="Cambria" w:cs="Cambria"/>
                  <w:b w:val="false"/>
                  <w:bCs w:val="false"/>
                  <w:i w:val="false"/>
                  <w:iCs w:val="false"/>
                  <w:sz w:val="20"/>
                  <w:szCs w:val="20"/>
                </w:rPr>
                <w:t>29</w:t>
              </w:r>
            </w:hyperlink>
            <w:r>
              <w:rPr>
                <w:rFonts w:eastAsia="Cambria" w:cs="Cambria"/>
                <w:b w:val="false"/>
                <w:bCs w:val="false"/>
                <w:i w:val="false"/>
                <w:iCs w:val="false"/>
                <w:sz w:val="20"/>
                <w:szCs w:val="20"/>
              </w:rPr>
              <w:t xml:space="preserve"> einen erheblichen Teil der Gesamtvergütung aus.</w:t>
            </w:r>
          </w:p>
        </w:tc>
      </w:tr>
    </w:tbl>
    <w:p>
      <w:pPr>
        <w:pStyle w:val="Normal"/>
        <w:spacing w:lineRule="exact" w:line="220" w:before="0" w:after="0"/>
        <w:rPr/>
      </w:pPr>
      <w:r>
        <w:rPr/>
      </w:r>
    </w:p>
    <w:tbl>
      <w:tblPr>
        <w:tblW w:w="6480" w:type="dxa"/>
        <w:jc w:val="left"/>
        <w:tblInd w:w="0" w:type="dxa"/>
        <w:tblLayout w:type="fixed"/>
        <w:tblCellMar>
          <w:top w:w="50" w:type="dxa"/>
          <w:left w:w="80" w:type="dxa"/>
          <w:bottom w:w="50" w:type="dxa"/>
          <w:right w:w="80" w:type="dxa"/>
        </w:tblCellMar>
      </w:tblPr>
      <w:tblGrid>
        <w:gridCol w:w="3315"/>
        <w:gridCol w:w="3164"/>
      </w:tblGrid>
      <w:tr>
        <w:trPr>
          <w:tblHeader w:val="true"/>
          <w:cantSplit w:val="true"/>
        </w:trPr>
        <w:tc>
          <w:tcPr>
            <w:tcW w:w="331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16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3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Höhere Grund- und Gesamtgehälter, Verhandlungsspielraum</w:t>
            </w:r>
          </w:p>
        </w:tc>
        <w:tc>
          <w:tcPr>
            <w:tcW w:w="31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13. Gehalt, kein Tarifsystem</w:t>
            </w:r>
          </w:p>
        </w:tc>
      </w:tr>
      <w:tr>
        <w:trPr>
          <w:cantSplit w:val="true"/>
        </w:trPr>
        <w:tc>
          <w:tcPr>
            <w:tcW w:w="33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Schneller Aufstieg und Jobwechsel ohne Sozialauswahl</w:t>
            </w:r>
          </w:p>
        </w:tc>
        <w:tc>
          <w:tcPr>
            <w:tcW w:w="31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Gehalt und Aufenthalt hängen am selben Arbeitgeber</w:t>
            </w:r>
          </w:p>
        </w:tc>
      </w:tr>
      <w:tr>
        <w:trPr>
          <w:cantSplit w:val="true"/>
        </w:trPr>
        <w:tc>
          <w:tcPr>
            <w:tcW w:w="33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Bonus, Aktien und 401(k)-Match heben das Paket an</w:t>
            </w:r>
          </w:p>
        </w:tc>
        <w:tc>
          <w:tcPr>
            <w:tcW w:w="31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2026 härterer Arbeitsmarkt, besonders in der Tech-Branche</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Details und Rechenmodell: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 xml:space="preserve">,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xml:space="preserve"> und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Steuern und Abgaben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Niedrige Einstiegssteuersätze in den USA bedeuten automatisch mehr Netto als in Deutschland. Tatsächlich fehlt in dieser Rechnung, was in Deutschland längst über die Sozialversicherung mitläuft und in den USA separat aus der eigenen Tasche kommt – allen voran die Krankenversicherung.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US-Einkommensteuer beginnt niedriger, mit hohem Standardabzug: 2026 sind das 16.100 $ für Einzelpersonen und 32.200 $ für Ehepaare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Von 120.000 $ Bruttoeinkommen bleiben einer Einzelperson je nach Bundesstaat etwa 71 bis 78 % übrig; acht Bundesstaaten, darunter Texas, Florida und Tennessee, erheben gar keine Einkommensteuer auf Löhne. Zum Vergleich (grobe eigene Rechnung,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In Deutschland bleiben bei entsprechendem Bruttoeinkommen rund 58 % netto – darin sind allerdings Kranken-, Pflege- und Arbeitslosenversicherung schon enthalten, während du sie in den USA zusätzlich zahlst.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Fallen stecken im Kleingedruckten: Du veranlagst dich selbst, ohne Steuerbescheid; sobald du steuerlich ansässig bist, schuldest du Steuern auf dein weltweites Einkommen und musst deutsche Konten und Vermögen bei US-Behörden melden (FBAR, Form 8938) – Versäumnis kostet bis in den sechsstelligen Bereich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Vergleiche nie Bruttogehälter über den Atlantik. Erst wenn du Steuern, Krankenversicherungsprämie, Selbstbehalt und die realen Wohnkosten am Zielort abziehst, siehst du, ob ein US-Angebot wirklich mehr Netto bringt als der deutsche Job (Kapitel </w:t>
            </w:r>
            <w:hyperlink w:anchor="k3">
              <w:r>
                <w:rPr>
                  <w:rStyle w:val="ListLabel114"/>
                  <w:rFonts w:eastAsia="Cambria" w:cs="Cambria"/>
                  <w:b w:val="false"/>
                  <w:bCs w:val="false"/>
                  <w:i w:val="false"/>
                  <w:iCs w:val="false"/>
                  <w:sz w:val="20"/>
                  <w:szCs w:val="20"/>
                </w:rPr>
                <w:t>3</w:t>
              </w:r>
            </w:hyperlink>
            <w:r>
              <w:rPr>
                <w:rFonts w:eastAsia="Cambria" w:cs="Cambria"/>
                <w:b w:val="false"/>
                <w:bCs w:val="false"/>
                <w:i w:val="false"/>
                <w:iCs w:val="false"/>
                <w:sz w:val="20"/>
                <w:szCs w:val="20"/>
              </w:rPr>
              <w:t>, Kapitel </w:t>
            </w:r>
            <w:hyperlink w:anchor="k28">
              <w:r>
                <w:rPr>
                  <w:rStyle w:val="ListLabel114"/>
                  <w:rFonts w:eastAsia="Cambria" w:cs="Cambria"/>
                  <w:b w:val="false"/>
                  <w:bCs w:val="false"/>
                  <w:i w:val="false"/>
                  <w:iCs w:val="false"/>
                  <w:sz w:val="20"/>
                  <w:szCs w:val="20"/>
                </w:rPr>
                <w:t>28</w:t>
              </w:r>
            </w:hyperlink>
            <w:r>
              <w:rPr>
                <w:rFonts w:eastAsia="Cambria" w:cs="Cambria"/>
                <w:b w:val="false"/>
                <w:bCs w:val="false"/>
                <w:i w:val="false"/>
                <w:iCs w:val="false"/>
                <w:sz w:val="20"/>
                <w:szCs w:val="20"/>
              </w:rPr>
              <w:t>).</w:t>
            </w:r>
          </w:p>
        </w:tc>
      </w:tr>
    </w:tbl>
    <w:p>
      <w:pPr>
        <w:pStyle w:val="Normal"/>
        <w:spacing w:lineRule="exact" w:line="220" w:before="0" w:after="0"/>
        <w:rPr/>
      </w:pPr>
      <w:r>
        <w:rPr/>
      </w:r>
    </w:p>
    <w:tbl>
      <w:tblPr>
        <w:tblW w:w="6480" w:type="dxa"/>
        <w:jc w:val="left"/>
        <w:tblInd w:w="0" w:type="dxa"/>
        <w:tblLayout w:type="fixed"/>
        <w:tblCellMar>
          <w:top w:w="50" w:type="dxa"/>
          <w:left w:w="80" w:type="dxa"/>
          <w:bottom w:w="50" w:type="dxa"/>
          <w:right w:w="80" w:type="dxa"/>
        </w:tblCellMar>
      </w:tblPr>
      <w:tblGrid>
        <w:gridCol w:w="3061"/>
        <w:gridCol w:w="3418"/>
      </w:tblGrid>
      <w:tr>
        <w:trPr>
          <w:tblHeader w:val="true"/>
          <w:cantSplit w:val="true"/>
        </w:trPr>
        <w:tc>
          <w:tcPr>
            <w:tcW w:w="306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41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0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Hoher Standardabzug, niedrige Einstiegssätze</w:t>
            </w:r>
          </w:p>
        </w:tc>
        <w:tc>
          <w:tcPr>
            <w:tcW w:w="34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Selbstveranlagung: Rechnung und Fristen liegen bei dir</w:t>
            </w:r>
          </w:p>
        </w:tc>
      </w:tr>
      <w:tr>
        <w:trPr>
          <w:cantSplit w:val="true"/>
        </w:trPr>
        <w:tc>
          <w:tcPr>
            <w:tcW w:w="30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Acht Bundesstaaten ohne Einkommensteuer auf Löhne</w:t>
            </w:r>
          </w:p>
        </w:tc>
        <w:tc>
          <w:tcPr>
            <w:tcW w:w="34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Weltweites Einkommen und Meldepflichten mit hohen Strafen</w:t>
            </w:r>
          </w:p>
        </w:tc>
      </w:tr>
      <w:tr>
        <w:trPr>
          <w:cantSplit w:val="true"/>
        </w:trPr>
        <w:tc>
          <w:tcPr>
            <w:tcW w:w="30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Rentenversicherung und Medicare zusammen nur 7,65 %</w:t>
            </w:r>
          </w:p>
        </w:tc>
        <w:tc>
          <w:tcPr>
            <w:tcW w:w="34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Krankenversicherung kommt zur Steuerlast noch hinzu</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Rechenbeispiele und Meldepflichten: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deutsche Seite (Wegzug, Rente):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Krankenversicherung und Absicherung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Deutschland ist die Krankenversicherung Pflicht und unabhängig vom Job; in den USA hängt sie am Arbeitgeber, der im Schnitt rund 84 % der Prämie für Einzelpersonen und 74 % für Familien trägt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Dazu kommen der Selbstbehalt (</w:t>
      </w:r>
      <w:r>
        <w:rPr>
          <w:rFonts w:eastAsia="Cambria" w:cs="Cambria"/>
          <w:b w:val="false"/>
          <w:bCs w:val="false"/>
          <w:i/>
          <w:iCs/>
          <w:sz w:val="22"/>
          <w:szCs w:val="22"/>
        </w:rPr>
        <w:t>Deductible</w:t>
      </w:r>
      <w:r>
        <w:rPr>
          <w:rFonts w:eastAsia="Cambria" w:cs="Cambria"/>
          <w:b w:val="false"/>
          <w:bCs w:val="false"/>
          <w:i w:val="false"/>
          <w:iCs w:val="false"/>
          <w:sz w:val="22"/>
          <w:szCs w:val="22"/>
        </w:rPr>
        <w:t>, im Schnitt 1.886 $) und Zuzahlungen bis zu einer Jahreshöchstgrenze der Eigenkosten (</w:t>
      </w:r>
      <w:r>
        <w:rPr>
          <w:rFonts w:eastAsia="Cambria" w:cs="Cambria"/>
          <w:b w:val="false"/>
          <w:bCs w:val="false"/>
          <w:i/>
          <w:iCs/>
          <w:sz w:val="22"/>
          <w:szCs w:val="22"/>
        </w:rPr>
        <w:t>Out-of-Pocket Maximum</w:t>
      </w:r>
      <w:r>
        <w:rPr>
          <w:rFonts w:eastAsia="Cambria" w:cs="Cambria"/>
          <w:b w:val="false"/>
          <w:bCs w:val="false"/>
          <w:i w:val="false"/>
          <w:iCs w:val="false"/>
          <w:sz w:val="22"/>
          <w:szCs w:val="22"/>
        </w:rPr>
        <w:t>, im Schnitt 4.423 $), die dein Risiko im Netzwerk wenigstens deckelt.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größte Falle kommt gleich zu Beginn: Zwischen Landung und Versicherungsbeginn liegt oft eine Wartefrist von bis zu 90 Tagen; mit Anmeldefristen und Arbeitsbeginn zusammen werden daraus schnell drei bis vier Monate ohne US-Deckung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In der Praxis heißt das: Der erste verstauchte Knöchel oder die erste fiebrige Nacht treffen dich oft, bevor die Versicherungskarte überhaupt im Briefkasten liegt. Verlierst du den Job, kannst du die Deckung über die Fortführung der Arbeitgeberversicherung (COBRA) fortsetzen, zahlst dann aber die volle Prämie plus 2 % – rechnerisch rund 790 $ im Monat für eine Einzelperson.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Job, Krankenversicherung und bei einem Arbeitsvisum der Aufenthaltsstatus hängen an derselben Stelle: Ein Stellenabbau trifft dich doppelt, weil die Frist für einen neuen Sponsor (Kapitel </w:t>
            </w:r>
            <w:hyperlink w:anchor="k30">
              <w:r>
                <w:rPr>
                  <w:rStyle w:val="ListLabel114"/>
                  <w:rFonts w:eastAsia="Cambria" w:cs="Cambria"/>
                  <w:b w:val="false"/>
                  <w:bCs w:val="false"/>
                  <w:i w:val="false"/>
                  <w:iCs w:val="false"/>
                  <w:sz w:val="20"/>
                  <w:szCs w:val="20"/>
                </w:rPr>
                <w:t>30</w:t>
              </w:r>
            </w:hyperlink>
            <w:r>
              <w:rPr>
                <w:rFonts w:eastAsia="Cambria" w:cs="Cambria"/>
                <w:b w:val="false"/>
                <w:bCs w:val="false"/>
                <w:i w:val="false"/>
                <w:iCs w:val="false"/>
                <w:sz w:val="20"/>
                <w:szCs w:val="20"/>
              </w:rPr>
              <w:t>) parallel zur Frage läuft, wie du die Familie krankenversichert hältst. Plane beides zusammen, nicht getrennt.</w:t>
            </w:r>
          </w:p>
        </w:tc>
      </w:tr>
    </w:tbl>
    <w:p>
      <w:pPr>
        <w:pStyle w:val="Normal"/>
        <w:spacing w:lineRule="exact" w:line="220" w:before="0" w:after="0"/>
        <w:rPr/>
      </w:pPr>
      <w:r>
        <w:rPr/>
      </w:r>
    </w:p>
    <w:tbl>
      <w:tblPr>
        <w:tblW w:w="6480" w:type="dxa"/>
        <w:jc w:val="left"/>
        <w:tblInd w:w="0" w:type="dxa"/>
        <w:tblLayout w:type="fixed"/>
        <w:tblCellMar>
          <w:top w:w="50" w:type="dxa"/>
          <w:left w:w="80" w:type="dxa"/>
          <w:bottom w:w="50" w:type="dxa"/>
          <w:right w:w="80" w:type="dxa"/>
        </w:tblCellMar>
      </w:tblPr>
      <w:tblGrid>
        <w:gridCol w:w="2790"/>
        <w:gridCol w:w="3689"/>
      </w:tblGrid>
      <w:tr>
        <w:trPr>
          <w:tblHeader w:val="true"/>
          <w:cantSplit w:val="true"/>
        </w:trPr>
        <w:tc>
          <w:tcPr>
            <w:tcW w:w="279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68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27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 trägt den Großteil der Prämie</w:t>
            </w:r>
          </w:p>
        </w:tc>
        <w:tc>
          <w:tcPr>
            <w:tcW w:w="36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Deckung hängt am Job, Lücke von bis zu vier Monaten am Anfang</w:t>
            </w:r>
          </w:p>
        </w:tc>
      </w:tr>
      <w:tr>
        <w:trPr>
          <w:cantSplit w:val="true"/>
        </w:trPr>
        <w:tc>
          <w:tcPr>
            <w:tcW w:w="27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Out-of-Pocket-Maximum deckelt das Jahresrisiko</w:t>
            </w:r>
          </w:p>
        </w:tc>
        <w:tc>
          <w:tcPr>
            <w:tcW w:w="36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Selbstbehalt und Zuzahlungen kommen zur Prämie hinzu</w:t>
            </w:r>
          </w:p>
        </w:tc>
      </w:tr>
      <w:tr>
        <w:trPr>
          <w:cantSplit w:val="true"/>
        </w:trPr>
        <w:tc>
          <w:tcPr>
            <w:tcW w:w="27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Vorsorge meist ohne Zuzahlung</w:t>
            </w:r>
          </w:p>
        </w:tc>
        <w:tc>
          <w:tcPr>
            <w:tcW w:w="36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COBRA nach Jobverlust kostet die volle Prämie</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Ausführlich: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xml:space="preserve"> (System und Kosten), Kapitel </w:t>
      </w:r>
      <w:hyperlink w:anchor="k18">
        <w:r>
          <w:rPr>
            <w:rStyle w:val="ListLabel115"/>
            <w:rFonts w:eastAsia="Cambria" w:cs="Cambria"/>
            <w:b w:val="false"/>
            <w:bCs w:val="false"/>
            <w:i w:val="false"/>
            <w:iCs w:val="false"/>
            <w:sz w:val="22"/>
            <w:szCs w:val="22"/>
          </w:rPr>
          <w:t>18</w:t>
        </w:r>
      </w:hyperlink>
      <w:r>
        <w:rPr>
          <w:rFonts w:eastAsia="Cambria" w:cs="Cambria"/>
          <w:b w:val="false"/>
          <w:bCs w:val="false"/>
          <w:i w:val="false"/>
          <w:iCs w:val="false"/>
          <w:sz w:val="22"/>
          <w:szCs w:val="22"/>
        </w:rPr>
        <w:t xml:space="preserve"> (Vorbereitung in Deutschland).</w:t>
      </w:r>
    </w:p>
    <w:p>
      <w:pPr>
        <w:pStyle w:val="Heading3"/>
        <w:keepNext w:val="true"/>
        <w:spacing w:before="280" w:after="100"/>
        <w:jc w:val="center"/>
        <w:rPr/>
      </w:pPr>
      <w:r>
        <w:rPr>
          <w:rFonts w:eastAsia="Amazon Ember" w:cs="Amazon Ember" w:ascii="Amazon Ember" w:hAnsi="Amazon Ember"/>
          <w:b/>
          <w:bCs/>
          <w:color w:val="0000FF"/>
          <w:sz w:val="36"/>
          <w:szCs w:val="36"/>
        </w:rPr>
        <w:t>Urlaub, Arbeitszeit und Kündigungsschutz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Hier zeigt sich der größte kulturelle Bruch: In fast allen Bundesstaaten gilt Kündigung ohne Grund (</w:t>
      </w:r>
      <w:r>
        <w:rPr>
          <w:rFonts w:eastAsia="Cambria" w:cs="Cambria"/>
          <w:b w:val="false"/>
          <w:bCs w:val="false"/>
          <w:i/>
          <w:iCs/>
          <w:sz w:val="22"/>
          <w:szCs w:val="22"/>
        </w:rPr>
        <w:t>At-will Employment</w:t>
      </w:r>
      <w:r>
        <w:rPr>
          <w:rFonts w:eastAsia="Cambria" w:cs="Cambria"/>
          <w:b w:val="false"/>
          <w:bCs w:val="false"/>
          <w:i w:val="false"/>
          <w:iCs w:val="false"/>
          <w:sz w:val="22"/>
          <w:szCs w:val="22"/>
        </w:rPr>
        <w:t>) – weder du noch dein Arbeitgeber braucht einen Grund oder eine Frist; ein Kündigungsschutzgesetz wie in Deutschland gibt es nicht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 Verbreiteter Irrtum: Ein unterschriebenes Angebotsschreiben (</w:t>
      </w:r>
      <w:r>
        <w:rPr>
          <w:rFonts w:eastAsia="Cambria" w:cs="Cambria"/>
          <w:b w:val="false"/>
          <w:bCs w:val="false"/>
          <w:i/>
          <w:iCs/>
          <w:sz w:val="22"/>
          <w:szCs w:val="22"/>
        </w:rPr>
        <w:t>Offer Letter</w:t>
      </w:r>
      <w:r>
        <w:rPr>
          <w:rFonts w:eastAsia="Cambria" w:cs="Cambria"/>
          <w:b w:val="false"/>
          <w:bCs w:val="false"/>
          <w:i w:val="false"/>
          <w:iCs w:val="false"/>
          <w:sz w:val="22"/>
          <w:szCs w:val="22"/>
        </w:rPr>
        <w:t>) fühlt sich ähnlich verbindlich an wie ein deutscher Arbeitsvertrag. Tatsächlich ist es in den meisten Bundesstaaten wenig mehr als eine Absichtserklärung, die beide Seiten jederzeit wieder aufkündigen können. Gesetzlichen Urlaub, bezahlte Feiertage oder Krankheitstage schreibt kein Bundesgesetz vor; im Schnitt bekommst du im ersten Jahr 11 bezahlte Urlaubstage, nach zehn Jahren 18 – in Deutschland sind es mindestens 20, meist 25 bis 30. Auch Elternzeit ist bundesweit nur 12 Wochen unbezahlt garantiert, verglichen mit bis zu drei Jahren Elternzeit und Elterngeld in Deutschland.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Gegenrechnung: Diese Flexibilität beschleunigt Jobwechsel und Beförderung, und wer verhandelt, kann Urlaubstage, Sign-on-Bonus und Homeoffice oft mitverhandeln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2904"/>
        <w:gridCol w:w="3575"/>
      </w:tblGrid>
      <w:tr>
        <w:trPr>
          <w:tblHeader w:val="true"/>
          <w:cantSplit w:val="true"/>
        </w:trPr>
        <w:tc>
          <w:tcPr>
            <w:tcW w:w="290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57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29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Schneller Wechsel und Aufstieg ohne Tarifstufen</w:t>
            </w:r>
          </w:p>
        </w:tc>
        <w:tc>
          <w:tcPr>
            <w:tcW w:w="35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Kündigungsschutz; bei Visum hängt der Aufenthalt am Job</w:t>
            </w:r>
          </w:p>
        </w:tc>
      </w:tr>
      <w:tr>
        <w:trPr>
          <w:cantSplit w:val="true"/>
        </w:trPr>
        <w:tc>
          <w:tcPr>
            <w:tcW w:w="29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Urlaub, Bonus und Homeoffice oft verhandelbar</w:t>
            </w:r>
          </w:p>
        </w:tc>
        <w:tc>
          <w:tcPr>
            <w:tcW w:w="35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11 bezahlte Urlaubstage im ersten Jahr im Schnitt</w:t>
            </w:r>
          </w:p>
        </w:tc>
      </w:tr>
      <w:tr>
        <w:trPr>
          <w:cantSplit w:val="true"/>
        </w:trPr>
        <w:tc>
          <w:tcPr>
            <w:tcW w:w="29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Flache Hierarchien, häufiges Feedback</w:t>
            </w:r>
          </w:p>
        </w:tc>
        <w:tc>
          <w:tcPr>
            <w:tcW w:w="35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Elternzeit bundesweit nur 12 Wochen, unbezahlt</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Arbeitsrecht im Detail: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 Jobverlust und Statusfristen: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Wohnen und Raum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Wohnraum ist in weiten Teilen der USA günstiger und großzügiger als in deutschen Großstädten – ein Median-Einfamilienhaus in Columbus oder Detroit kostet deutlich weniger als eine vergleichbare Wohnung in München, und die dreißigjährige Zinsbindung schützt vor steigenden Raten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Die Kehrseite: Staatlich abgesicherte Kredite mit kleiner Anzahlung (FHA) stehen Visa-Inhabern seit Mai 2025 nicht mehr offen, und reguläre Kredite verlangen meist Sozialversicherungsnummer, US-Kredithistorie und oft ein Jahr Visum-Restlaufzeit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Kauf und Verkauf kosten zusammen rund 10 % des Preises; bei 500.000 $ sind das rund 50.000 $, die bei einem erzwungenen Umzug nach einem Stellenabbau meist verloren sind.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Deshalb gilt fast überall dieselbe Regel: Miete zuerst; kaufe erst, wenn Job und Status stabil sind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xml:space="preserve"> bis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Mehr Wohnraum fürs Geld außerhalb der Küstenmetropolen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FHA-Kredite für Visa-Inhaber gestrichen; hohe Anzahlung nötig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Dreißig Jahre fester Zins schützt vor steigenden Raten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Kauf- und Verkaufskosten von zusammen rund 10 %</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Acht Bundesstaaten ohne Einkommensteuer senken die Gesamtlast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Job- und Visumrisiko macht einen schnellen Verkauf teuer</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Regionen, Mieten, Kauf: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xml:space="preserve"> bis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Alltag und Service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Alltag ist freundlicher inszeniert, als Deutsche es gewohnt sind: guter Kundenservice, großzügige Rückgabefristen bei Ketten wie Costco oder Target, keine Meldepflicht beim Umzug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Dafür kostet er mehr, als das Preisschild zeigt: Die Verkaufssteuer (</w:t>
      </w:r>
      <w:r>
        <w:rPr>
          <w:rFonts w:eastAsia="Cambria" w:cs="Cambria"/>
          <w:b w:val="false"/>
          <w:bCs w:val="false"/>
          <w:i/>
          <w:iCs/>
          <w:sz w:val="22"/>
          <w:szCs w:val="22"/>
        </w:rPr>
        <w:t>Sales Tax</w:t>
      </w:r>
      <w:r>
        <w:rPr>
          <w:rFonts w:eastAsia="Cambria" w:cs="Cambria"/>
          <w:b w:val="false"/>
          <w:bCs w:val="false"/>
          <w:i w:val="false"/>
          <w:iCs w:val="false"/>
          <w:sz w:val="22"/>
          <w:szCs w:val="22"/>
        </w:rPr>
        <w:t>) steht nicht im Preis, und im Restaurant kommen 18 bis 20 % Trinkgeld dazu – zusammen oft ein Viertel Aufschlag auf die Kartenpreise. Außerhalb weniger Großstädte wie New York, Boston oder Chicago brauchst du praktisch überall ein Auto, weil Supermarkt, Schule und Arbeit weit auseinanderliegen (Kapitel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Was dafür fehlt, ist deutsche Alltagsbürokratie: kein Einwohnermeldeamt, keine Anmeldepflicht, dafür ein Führerschein oder ein Personalausweis des Bundesstaats (</w:t>
      </w:r>
      <w:r>
        <w:rPr>
          <w:rFonts w:eastAsia="Cambria" w:cs="Cambria"/>
          <w:b w:val="false"/>
          <w:bCs w:val="false"/>
          <w:i/>
          <w:iCs/>
          <w:sz w:val="22"/>
          <w:szCs w:val="22"/>
        </w:rPr>
        <w:t>State ID</w:t>
      </w:r>
      <w:r>
        <w:rPr>
          <w:rFonts w:eastAsia="Cambria" w:cs="Cambria"/>
          <w:b w:val="false"/>
          <w:bCs w:val="false"/>
          <w:i w:val="false"/>
          <w:iCs w:val="false"/>
          <w:sz w:val="22"/>
          <w:szCs w:val="22"/>
        </w:rPr>
        <w:t>) als übliches Ausweisdokument.</w:t>
      </w:r>
    </w:p>
    <w:tbl>
      <w:tblPr>
        <w:tblW w:w="6480" w:type="dxa"/>
        <w:jc w:val="left"/>
        <w:tblInd w:w="0" w:type="dxa"/>
        <w:tblLayout w:type="fixed"/>
        <w:tblCellMar>
          <w:top w:w="50" w:type="dxa"/>
          <w:left w:w="80" w:type="dxa"/>
          <w:bottom w:w="50" w:type="dxa"/>
          <w:right w:w="80" w:type="dxa"/>
        </w:tblCellMar>
      </w:tblPr>
      <w:tblGrid>
        <w:gridCol w:w="3094"/>
        <w:gridCol w:w="3385"/>
      </w:tblGrid>
      <w:tr>
        <w:trPr>
          <w:tblHeader w:val="true"/>
          <w:cantSplit w:val="true"/>
        </w:trPr>
        <w:tc>
          <w:tcPr>
            <w:tcW w:w="309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38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Freundlicher, lösungsorientierter Kundenservice</w:t>
            </w:r>
          </w:p>
        </w:tc>
        <w:tc>
          <w:tcPr>
            <w:tcW w:w="33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Sales Tax und Trinkgeld addieren real rund 25–30 %</w:t>
            </w:r>
          </w:p>
        </w:tc>
      </w:tr>
      <w:tr>
        <w:trPr>
          <w:cantSplit w:val="true"/>
        </w:trPr>
        <w:tc>
          <w:tcPr>
            <w:tcW w:w="3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Großzügige Rückgabefristen bei vielen Ketten</w:t>
            </w:r>
          </w:p>
        </w:tc>
        <w:tc>
          <w:tcPr>
            <w:tcW w:w="33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Auto ist der Alltag meist nicht zu organisieren</w:t>
            </w:r>
          </w:p>
        </w:tc>
      </w:tr>
      <w:tr>
        <w:trPr>
          <w:cantSplit w:val="true"/>
        </w:trPr>
        <w:tc>
          <w:tcPr>
            <w:tcW w:w="3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Meldepflicht, wenig Alltagsbürokratie</w:t>
            </w:r>
          </w:p>
        </w:tc>
        <w:tc>
          <w:tcPr>
            <w:tcW w:w="33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Klagekultur und Haftungsverzichte (</w:t>
            </w:r>
            <w:r>
              <w:rPr>
                <w:rFonts w:eastAsia="Cambria" w:cs="Cambria"/>
                <w:b w:val="false"/>
                <w:bCs w:val="false"/>
                <w:i/>
                <w:iCs/>
                <w:sz w:val="18"/>
                <w:szCs w:val="18"/>
              </w:rPr>
              <w:t>Waivers</w:t>
            </w:r>
            <w:r>
              <w:rPr>
                <w:rFonts w:eastAsia="Cambria" w:cs="Cambria"/>
                <w:b w:val="false"/>
                <w:bCs w:val="false"/>
                <w:i w:val="false"/>
                <w:iCs w:val="false"/>
                <w:sz w:val="18"/>
                <w:szCs w:val="18"/>
              </w:rPr>
              <w:t>)</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Umgangsformen, Trinkgeld und Auto: Kapitel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 xml:space="preserve"> und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Familie, Kinder und Schule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Öffentliche Schulen sind kostenlos, verlangen weder Sozialversicherungsnummer noch Statusnachweis, bieten an der High School ein großes Kurswahlangebot und laufen bis in den Nachmittag mit Sport und Clubs an der Schule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 Der Haken: Die Adresse bestimmt die Schule, deren Qualität stark an der örtlichen Grundsteuer hängt – gefragte Schulbezirke kosten beim Kauf oder Mieten spürbar mehr. Sommerferien dauern 10 bis 12 Wochen statt sechs, Lockdown-Übungen gehören zum Schulalltag, und ein Umzug in den letzten beiden High-School-Jahren ist schwierig, weil das amerikanische Abschlusszeugnis nicht automatisch dem Abitur entspricht.</w:t>
      </w:r>
    </w:p>
    <w:tbl>
      <w:tblPr>
        <w:tblW w:w="6480" w:type="dxa"/>
        <w:jc w:val="left"/>
        <w:tblInd w:w="0" w:type="dxa"/>
        <w:tblLayout w:type="fixed"/>
        <w:tblCellMar>
          <w:top w:w="50" w:type="dxa"/>
          <w:left w:w="80" w:type="dxa"/>
          <w:bottom w:w="50" w:type="dxa"/>
          <w:right w:w="80" w:type="dxa"/>
        </w:tblCellMar>
      </w:tblPr>
      <w:tblGrid>
        <w:gridCol w:w="3212"/>
        <w:gridCol w:w="3267"/>
      </w:tblGrid>
      <w:tr>
        <w:trPr>
          <w:tblHeader w:val="true"/>
          <w:cantSplit w:val="true"/>
        </w:trPr>
        <w:tc>
          <w:tcPr>
            <w:tcW w:w="321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6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Kostenlose öffentliche Schulen, keine SSN nötig</w:t>
            </w:r>
          </w:p>
        </w:tc>
        <w:tc>
          <w:tcPr>
            <w:tcW w:w="32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Schulqualität hängt am Wohnort und an der Grundsteuer</w:t>
            </w:r>
          </w:p>
        </w:tc>
      </w:tr>
      <w:tr>
        <w:trPr>
          <w:cantSplit w:val="true"/>
        </w:trPr>
        <w:tc>
          <w:tcPr>
            <w:tcW w:w="32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Breites Kursangebot, Sport und Clubs an der Schule</w:t>
            </w:r>
          </w:p>
        </w:tc>
        <w:tc>
          <w:tcPr>
            <w:tcW w:w="32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10–12 Wochen Sommerferien: Betreuung kostet extra</w:t>
            </w:r>
          </w:p>
        </w:tc>
      </w:tr>
      <w:tr>
        <w:trPr>
          <w:cantSplit w:val="true"/>
        </w:trPr>
        <w:tc>
          <w:tcPr>
            <w:tcW w:w="32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Gemeinsamer Schulweg statt früher Aufteilung nach Klasse 4</w:t>
            </w:r>
          </w:p>
        </w:tc>
        <w:tc>
          <w:tcPr>
            <w:tcW w:w="32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Umzug kurz vor dem Abschluss schwierig; Diploma ist nicht das Abitur</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Schulwahl, Anmeldung, Sprache: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 xml:space="preserve"> bis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Natur und Klima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Kaum ein Land bietet so viel klimatische und landschaftliche Auswahl: von Wüstenhitze in Phoenix über milde Küsten in Kalifornien bis zu Winterstürmen im Mittleren Westen ist für jeden Geschmack etwas dabei – du kannst den Wohnort bewusst danach wählen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Der Preis dieser Vielfalt: ein reales Naturgefahren-Risiko, das jede Metropolregion unterschiedlich trifft – Hurrikane an der Golfküste, Waldbrände in Kalifornien und Colorado, Erdbeben an der Westküste, Tornados im mittleren Süden, extreme Hitze in Phoenix und Houston. Das schlägt sich direkt in der Hausversicherung nieder: 300.000 $ Deckung kosten in Florida im Schnitt 6.432 $ im Jahr, in Kalifornien 2.040 $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2901"/>
        <w:gridCol w:w="3578"/>
      </w:tblGrid>
      <w:tr>
        <w:trPr>
          <w:tblHeader w:val="true"/>
          <w:cantSplit w:val="true"/>
        </w:trPr>
        <w:tc>
          <w:tcPr>
            <w:tcW w:w="290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57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29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Große Auswahl an Klima und Landschaft</w:t>
            </w:r>
          </w:p>
        </w:tc>
        <w:tc>
          <w:tcPr>
            <w:tcW w:w="35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Reale Risiken: Hurrikan, Waldbrand, Erdbeben, Tornado, Hitze</w:t>
            </w:r>
          </w:p>
        </w:tc>
      </w:tr>
      <w:tr>
        <w:trPr>
          <w:cantSplit w:val="true"/>
        </w:trPr>
        <w:tc>
          <w:tcPr>
            <w:tcW w:w="29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Bewusste Wahl von warm bis vier Jahreszeiten möglich</w:t>
            </w:r>
          </w:p>
        </w:tc>
        <w:tc>
          <w:tcPr>
            <w:tcW w:w="35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Hausversicherung teils drei- bis vierfach so teuer wie anderswo</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Regionale Risikoprofile: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Versicherbarkeit beim Kauf: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Gesellschaft und Politik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Alltägliche Freundlichkeit fällt Deutschen oft leicht: offene Gespräche mit Fremden, große Toleranz gegenüber Akzenten und Zuwanderung, starkes Ehrenamt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 bleibt aber oft oberflächlich, denn echte Freundschaften brauchen hier mehr Zeit als in Deutschland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 Politisch ist die Gesellschaft stärker polarisiert, als die meisten Deutschen es kennen; das Buch bewertet das nicht, nennt aber die Folgen: Waffen, Wahlen oder Gesundheitspolitik sind bei Fremden kein Small Talk, und als Nichtstaatsbürger unterliegst du zusätzlichen Einschränkungen, etwa bei Waffenbesitz und Wahlspenden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Kapitel </w:t>
      </w:r>
      <w:hyperlink w:anchor="k40">
        <w:r>
          <w:rPr>
            <w:rStyle w:val="ListLabel115"/>
            <w:rFonts w:eastAsia="Cambria" w:cs="Cambria"/>
            <w:b w:val="false"/>
            <w:bCs w:val="false"/>
            <w:i w:val="false"/>
            <w:iCs w:val="false"/>
            <w:sz w:val="22"/>
            <w:szCs w:val="22"/>
          </w:rPr>
          <w:t>40</w:t>
        </w:r>
      </w:hyperlink>
      <w:r>
        <w:rPr>
          <w:rFonts w:eastAsia="Cambria" w:cs="Cambria"/>
          <w:b w:val="false"/>
          <w:bCs w:val="false"/>
          <w:i w:val="false"/>
          <w:iCs w:val="false"/>
          <w:sz w:val="22"/>
          <w:szCs w:val="22"/>
        </w:rPr>
        <w:t>). Dazu kommt echter Föderalismus: 50 Bundesstaaten, 50 Regelwerke, von der Verkaufssteuer bis zum Wettbewerbsverbot im Arbeitsvertrag. Religion und Staat sind strikt getrennt, eine Kirchensteuer gibt es nicht, und Vielfalt ist in den meisten Metropolregionen Alltag: Ein deutscher Akzent fällt dort kaum auf.</w:t>
      </w:r>
    </w:p>
    <w:tbl>
      <w:tblPr>
        <w:tblW w:w="6480" w:type="dxa"/>
        <w:jc w:val="left"/>
        <w:tblInd w:w="0" w:type="dxa"/>
        <w:tblLayout w:type="fixed"/>
        <w:tblCellMar>
          <w:top w:w="50" w:type="dxa"/>
          <w:left w:w="80" w:type="dxa"/>
          <w:bottom w:w="50" w:type="dxa"/>
          <w:right w:w="80" w:type="dxa"/>
        </w:tblCellMar>
      </w:tblPr>
      <w:tblGrid>
        <w:gridCol w:w="3070"/>
        <w:gridCol w:w="3409"/>
      </w:tblGrid>
      <w:tr>
        <w:trPr>
          <w:tblHeader w:val="true"/>
          <w:cantSplit w:val="true"/>
        </w:trPr>
        <w:tc>
          <w:tcPr>
            <w:tcW w:w="307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40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0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Offene Alltagskultur, hohe Toleranz gegenüber Zuwanderung</w:t>
            </w:r>
          </w:p>
        </w:tc>
        <w:tc>
          <w:tcPr>
            <w:tcW w:w="34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Politische Polarisierung prägt viele Gespräche</w:t>
            </w:r>
          </w:p>
        </w:tc>
      </w:tr>
      <w:tr>
        <w:trPr>
          <w:cantSplit w:val="true"/>
        </w:trPr>
        <w:tc>
          <w:tcPr>
            <w:tcW w:w="30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Starkes Ehrenamt und Nachbarschaftshilfe</w:t>
            </w:r>
          </w:p>
        </w:tc>
        <w:tc>
          <w:tcPr>
            <w:tcW w:w="34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Als Nichtstaatsbürger: Grenzen bei Waffen und Wahlspenden</w:t>
            </w:r>
          </w:p>
        </w:tc>
      </w:tr>
      <w:tr>
        <w:trPr>
          <w:cantSplit w:val="true"/>
        </w:trPr>
        <w:tc>
          <w:tcPr>
            <w:tcW w:w="30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Direkte, schnelle Kontakte im Alltag</w:t>
            </w:r>
          </w:p>
        </w:tc>
        <w:tc>
          <w:tcPr>
            <w:tcW w:w="34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50 Bundesstaaten, 50 Regelwerke – wenig Einheitlichkeit</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Umgangsformen: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Recht im Alltag: Kapitel </w:t>
      </w:r>
      <w:hyperlink w:anchor="k40">
        <w:r>
          <w:rPr>
            <w:rStyle w:val="ListLabel115"/>
            <w:rFonts w:eastAsia="Cambria" w:cs="Cambria"/>
            <w:b w:val="false"/>
            <w:bCs w:val="false"/>
            <w:i w:val="false"/>
            <w:iCs w:val="false"/>
            <w:sz w:val="22"/>
            <w:szCs w:val="22"/>
          </w:rPr>
          <w:t>40</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Sicherheit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Beim Thema Sicherheit hilft nur ein nüchterner Blick auf Zahlen statt auf Schlagzeilen. Nach Daten der Weltbank, die sich auf Erhebungen des UN-Büros für Drogen- und Verbrechensbekämpfung (UNODC) stützen, lag die Rate vorsätzlicher Tötungsdelikte in den USA 2023 bei rund 5,8 je 100.000 Einwohner, in Deutschland bei rund 0,9 – gesamtstaatlich ein deutlicher Unterschied. Diese Zahl verdeckt enorme regionale Unterschiede: Sicherheit hängt in den USA stärker als in Deutschland vom Viertel, der Stadt und dem Bundesstaat ab, nicht vom Landesdurchschnitt. Waffenrecht ist zudem Ländersache: In mehr als der Hälfte der Bundesstaaten darf man ohne Erlaubnisschein verdeckt eine Waffe tragen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Kapitel </w:t>
      </w:r>
      <w:hyperlink w:anchor="k40">
        <w:r>
          <w:rPr>
            <w:rStyle w:val="ListLabel115"/>
            <w:rFonts w:eastAsia="Cambria" w:cs="Cambria"/>
            <w:b w:val="false"/>
            <w:bCs w:val="false"/>
            <w:i w:val="false"/>
            <w:iCs w:val="false"/>
            <w:sz w:val="22"/>
            <w:szCs w:val="22"/>
          </w:rPr>
          <w:t>40</w:t>
        </w:r>
      </w:hyperlink>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Viele Vororte und Kleinstädte mit sehr niedriger Kriminalität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Landesweite Tötungsrate rund sechsmal höher als in Deutschland</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Community-Polizeiarbeit und Nachbarschaftsnetzwerke verbreitet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Waffenrecht ist Ländersache und stark uneinheitlich</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Praktische Folgen für Nachbarschaft, Kinder und Alltag: Kapitel </w:t>
      </w:r>
      <w:hyperlink w:anchor="k40">
        <w:r>
          <w:rPr>
            <w:rStyle w:val="ListLabel115"/>
            <w:rFonts w:eastAsia="Cambria" w:cs="Cambria"/>
            <w:b w:val="false"/>
            <w:bCs w:val="false"/>
            <w:i w:val="false"/>
            <w:iCs w:val="false"/>
            <w:sz w:val="22"/>
            <w:szCs w:val="22"/>
          </w:rPr>
          <w:t>40</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Nähe zur Heimat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Entfernung ist die Konstante, die sich nicht wegrechnen lässt: Ein Flug nach Deutschland dauert von den meisten Zielorten 8 bis 11 Stunden, dazu kommt die Zeitverschiebung. Wer im Großraum einer der Nonstop-Städte landet – etwa Atlanta, Boston, Chicago, Detroit, New York, Charlotte oder Raleigh–Durham –, spart Umsteigezeit und Stress; ohne Nonstop-Verbindung, etwa ab Phoenix oder Columbus, wird jede Reise zur Tagesangelegenheit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Deutsche Auslandsschulen, Konsulate und Goethe-Institute konzentrieren sich auf wenige Großräume; abseits davon bleibt die deutsche Community klein. Kurzfristige Besuche bei Krankheit oder einem Notfall sind teuer und aufwendig – ein Punkt, den viele erst nach dem Umzug wirklich spüren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 Kapitel </w:t>
      </w:r>
      <w:hyperlink w:anchor="k33">
        <w:r>
          <w:rPr>
            <w:rStyle w:val="ListLabel115"/>
            <w:rFonts w:eastAsia="Cambria" w:cs="Cambria"/>
            <w:b w:val="false"/>
            <w:bCs w:val="false"/>
            <w:i w:val="false"/>
            <w:iCs w:val="false"/>
            <w:sz w:val="22"/>
            <w:szCs w:val="22"/>
          </w:rPr>
          <w:t>33</w:t>
        </w:r>
      </w:hyperlink>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3326"/>
        <w:gridCol w:w="3153"/>
      </w:tblGrid>
      <w:tr>
        <w:trPr>
          <w:tblHeader w:val="true"/>
          <w:cantSplit w:val="true"/>
        </w:trPr>
        <w:tc>
          <w:tcPr>
            <w:tcW w:w="332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15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3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Direktflüge ab vielen großen Metropolregionen</w:t>
            </w:r>
          </w:p>
        </w:tc>
        <w:tc>
          <w:tcPr>
            <w:tcW w:w="31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8–11 Stunden Flugzeit plus Zeitverschiebung</w:t>
            </w:r>
          </w:p>
        </w:tc>
      </w:tr>
      <w:tr>
        <w:trPr>
          <w:cantSplit w:val="true"/>
        </w:trPr>
        <w:tc>
          <w:tcPr>
            <w:tcW w:w="33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Schulen, Konsulate und Goethe-Institute in Großräumen</w:t>
            </w:r>
          </w:p>
        </w:tc>
        <w:tc>
          <w:tcPr>
            <w:tcW w:w="31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Spontanbesuche bei Notfällen kaum möglich</w:t>
            </w:r>
          </w:p>
        </w:tc>
      </w:tr>
      <w:tr>
        <w:trPr>
          <w:cantSplit w:val="true"/>
        </w:trPr>
        <w:tc>
          <w:tcPr>
            <w:tcW w:w="33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Videotelefonie hält den Alltagskontakt einfach</w:t>
            </w:r>
          </w:p>
        </w:tc>
        <w:tc>
          <w:tcPr>
            <w:tcW w:w="31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Kleinere Orte ohne Nonstop-Flug und ohne deutsche Community</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Wohnortwahl, Flugverbindungen: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Heimweh, Anschluss: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 xml:space="preserve"> und </w:t>
      </w:r>
      <w:hyperlink w:anchor="k33">
        <w:r>
          <w:rPr>
            <w:rStyle w:val="ListLabel115"/>
            <w:rFonts w:eastAsia="Cambria" w:cs="Cambria"/>
            <w:b w:val="false"/>
            <w:bCs w:val="false"/>
            <w:i w:val="false"/>
            <w:iCs w:val="false"/>
            <w:sz w:val="22"/>
            <w:szCs w:val="22"/>
          </w:rPr>
          <w:t>33</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 zieht mit H-1B-Status nach Auburn Hills bei Detroit: Markus, 38, als Maschinenbauingenieur, Anna, 36, zunächst ohne eigene Arbeitserlaubnis, mit Lena (9) und Jonas (5). Die Plus-Seite: Markus verdient deutlich mehr als in Deutschland, und Michigan besteuert mit rund 4,25 % moderat. Als die erste Gehaltsabrechnung kommt, rechnet Anna am Küchentisch zweimal nach, weil ihr die Zahl zu schön vorkommt, um wahr zu sein. Die Minus-Seite zeigt sich schnell: Bis die Krankenversicherung greift, vergehen elf Wochen, die Kinder erhalten zunächst nur eine Steuernummer für Ausländer (ITIN) statt der Sozialversicherungsnummer (SSN) und bringen der Familie 3.400 $ weniger Kindergutschrift als geplant, und die Wohnungssuche richtet sich zuerst nach dem Schulbezirk, nicht nach dem Budget. Die Brandts mieten im ersten Jahr, bevor sie über einen Hauskauf entscheiden – für sie überwiegt trotz der Fallstricke das höhere Gehalt und die berufliche Perspektive.</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Miriam und Tobias Scholz (fiktiv) wagen mit dem E-2-Visum (Kapitel </w:t>
            </w:r>
            <w:hyperlink w:anchor="k9">
              <w:r>
                <w:rPr>
                  <w:rStyle w:val="ListLabel114"/>
                  <w:rFonts w:eastAsia="Cambria" w:cs="Cambria"/>
                  <w:b w:val="false"/>
                  <w:bCs w:val="false"/>
                  <w:i w:val="false"/>
                  <w:iCs w:val="false"/>
                  <w:sz w:val="20"/>
                  <w:szCs w:val="20"/>
                </w:rPr>
                <w:t>9</w:t>
              </w:r>
            </w:hyperlink>
            <w:r>
              <w:rPr>
                <w:rFonts w:eastAsia="Cambria" w:cs="Cambria"/>
                <w:b w:val="false"/>
                <w:bCs w:val="false"/>
                <w:i w:val="false"/>
                <w:iCs w:val="false"/>
                <w:sz w:val="20"/>
                <w:szCs w:val="20"/>
              </w:rPr>
              <w:t>) den Schritt in den Großraum Raleigh–Durham: Miriam, 39, baut dort eine Dependance ihrer Designagentur auf, Tobias, 41, arbeitet zunächst für einen deutschen Auftraggeber weiter, die Kinder Ida (8) und Ben (3) kommen mit. Die Plus-Seite: unternehmerische Freiheit und ein wachsender Standort mit Universitäten und deutschen Firmen in der Nähe. Die Minus-Seite: Als Selbständige tragen sie die volle Krankenversicherungsprämie selbst, ein soziales Netz wie in Deutschland fehlt vollständig, und das Visum hängt am Fortbestand des Unternehmens – ein Rückschlag im Geschäft wäre zugleich ein Aufenthaltsrisiko.</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Wer profitiert, wer nicht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stärksten profitieren Fachkräfte in gefragten Berufen mit Arbeitgeber-Sponsoring, die Eigenverantwortung gegen höheres Gehalt und schnelleren Aufstieg tauschen – etwa Sabine Keller (fiktiv), die als Softwareentwicklerin mit H-1B nach Seattle zieht und dort spürbar mehr verdient als in München, obwohl 2026 ausgerechnet die Tech-Branche unter Druck steht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Geeignet ist er auch für alleinstehende Berufseinsteiger wie Felix Wagner (fiktiv), der über Studium und anschließende Arbeitserlaubnis einsteigt und noch keine feste Bindung an Ort oder Schule mitbringt, sowie für Fachkräfte mit konzerninternem Transfer wie Jan Hoffmann (fiktiv), dessen Versetzung nach Phoenix an einen bereits laufenden Fertigungsstandort führt, nicht an eine bloße Ankündigung. Wer dagegen einer reinen Absichtserklärung auf einer PowerPoint-Folie folgt, sollte doppelt nachfragen, wie fest der Boden unter dem neuen Standort schon wirklich steht.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Weniger geeignet ist der Schritt für alle, die planbare Sicherheit höher gewichten als Gehalt: Wer chronisch erkrankt und auf ein planbares Gesundheitssystem angewiesen ist, pflegebedürftige Eltern in Deutschland hat, Kündigungsschutz und mehrere Wochen Urlaub nicht missen will oder sich schwertut, ohne enges soziales Netz neu anzufangen, sollte besonders kritisch rechnen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 Familien mit Teenagern kurz vor dem Schulabschluss sollten zusätzlich den Umzugszeitpunkt genau prüfen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 und wer nur wegen einer einzelnen Chance geht, ohne Plan B, sollte sich vorher fragen, wie er auf einen Stellenabbau reagiert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Was Auswanderer am häufigsten vermissen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Eine repräsentative Umfrage dazu gibt es nicht, aber die Themen, die sich durch praktisch jedes Kapitel dieses Buches ziehen, zeichnen ein klares Bild. Am häufigsten genannt wird die Verlässlichkeit des deutschen Sozialstaats: gesetzliche Krankenversicherung ohne Selbstbehalt, Kündigungsschutz, mehrere Wochen bezahlter Urlaub. Dicht dahinter folgen echte, tief gewachsene Freundschaften – amerikanische Freundlichkeit ist real, bleibt aber oft an der Oberfläche, und ein „We should get together sometime” ist selten wörtlich gemeint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 Viele vermissen außerdem die kurzen Wege eines Alltags ohne Auto und schlicht die räumliche Nähe zu Eltern und Geschwistern, die bei Krankheit, an Feiertagen oder an einem gewöhnlichen Sonntag fehlt – dem spontanen Kaffee und Kuchen bei den Eltern, für den in den USA erst ein Flug gebucht werden müsste. Wer das vorher weiß, kann gezielt gegensteuern: mit Videoanrufen, geplanten Besuchen, einer deutschsprachigen Community vor Ort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 und einer realistischen Erwartung an die erste Zeit (Kapitel </w:t>
      </w:r>
      <w:hyperlink w:anchor="k33">
        <w:r>
          <w:rPr>
            <w:rStyle w:val="ListLabel115"/>
            <w:rFonts w:eastAsia="Cambria" w:cs="Cambria"/>
            <w:b w:val="false"/>
            <w:bCs w:val="false"/>
            <w:i w:val="false"/>
            <w:iCs w:val="false"/>
            <w:sz w:val="22"/>
            <w:szCs w:val="22"/>
          </w:rPr>
          <w:t>33</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Keine der beiden Seiten dieser Bilanz ist grundsätzlich richtig oder falsch. Entscheidend ist, welches Risiko du eingehen willst: das deutsche Risiko eines flacheren Einkommens oder das amerikanische Risiko eines dünneren Auffangnetzes.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amerikanische Traum: nüchtern betrachtet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t>
      </w:r>
      <w:r>
        <w:rPr>
          <w:rFonts w:eastAsia="Cambria" w:cs="Cambria"/>
          <w:b w:val="false"/>
          <w:bCs w:val="false"/>
          <w:i w:val="false"/>
          <w:iCs w:val="false"/>
          <w:sz w:val="22"/>
          <w:szCs w:val="22"/>
        </w:rPr>
        <w:t>Der amerikanische Traum” steht für das Versprechen, dass Leistung und Fleiß über die Herkunft entscheiden, nicht Startvorteile. Für gut ausgebildete Einwanderer mit Arbeitgeber-Sponsoring hat es einen realen Kern: Der Weg über Arbeitsvisum, Green Card oder Studium funktioniert, jedes Jahr kommen zahlreiche deutsche und andere Fachkräfte genau so ins Land, und viele verdienen und steigen schneller auf, als es in Deutschland üblich wäre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xml:space="preserve"> bis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nüchterne Teil der Bilanz: Individualismus und Optimismus prägen die Gesellschaft, bedeuten aber auch, dass der Staat weniger auffängt als in Deutschland – bei Krankheit, Arbeitslosigkeit oder im Ruhestand bist du stärker auf dich selbst gestellt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Kapitel </w:t>
      </w:r>
      <w:hyperlink w:anchor="k39">
        <w:r>
          <w:rPr>
            <w:rStyle w:val="ListLabel115"/>
            <w:rFonts w:eastAsia="Cambria" w:cs="Cambria"/>
            <w:b w:val="false"/>
            <w:bCs w:val="false"/>
            <w:i w:val="false"/>
            <w:iCs w:val="false"/>
            <w:sz w:val="22"/>
            <w:szCs w:val="22"/>
          </w:rPr>
          <w:t>39</w:t>
        </w:r>
      </w:hyperlink>
      <w:r>
        <w:rPr>
          <w:rFonts w:eastAsia="Cambria" w:cs="Cambria"/>
          <w:b w:val="false"/>
          <w:bCs w:val="false"/>
          <w:i w:val="false"/>
          <w:iCs w:val="false"/>
          <w:sz w:val="22"/>
          <w:szCs w:val="22"/>
        </w:rPr>
        <w:t>). Der amerikanische Traum ist damit weder Marketing noch Mythos, sondern ein reales Angebot mit realem Preis: mehr Chance, aber auch mehr eigenes Risiko.</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Deutlich höhere Gehälter und schnellerer beruflicher Aufstieg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Kündigungsschutz; bei Arbeitsvisum hängt der Aufenthalt am Job</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Niedrigere Einstiegssteuern, acht Staaten ganz ohne Einkommensteuer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Krankenversicherung hängt am Arbeitgeber, mit Lücke am Anfang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Mehr und oft günstigerer Wohnraum außerhalb der Küstenmetropolen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Kaufkosten von rund 10 % erschweren einen schnellen Wiederverkauf</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Kostenlose, gute öffentliche Schulen mit großer Kurswahl</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Schulqualität hängt am Wohnort; nur 10–12 Wochen Ferienbetreuung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Offene, freundliche Alltagskultur und großes Ehrenamt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Politische Polarisierung, 50 unterschiedliche Rechtsordnungen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Große klimatische und landschaftliche Vielfalt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Naturgefahren und Versicherungskosten regional sehr hoch</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Direktflüge und deutsche Communitys in großen Metropolregionen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8–11 Stunden Distanz zur Familie, kaum spontane Besuche</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Nutze diese Bilanz als Startpunkt, nicht als Endergebnis: Trage deine eigenen Zahlen in das Rechenmodell aus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 xml:space="preserve"> ein, bevor du eine Zusage unterschreibst, und sprich mit deinem Partner oder deiner Partnerin offen über die Punkte, die für euch am schwersten wiegen – das ist selten dieselbe Reihenfolge wie bei einer allgemeinen Liste. Plane von Anfang an mit der Möglichkeit, dass sich die Bilanz nach ein paar Jahren ändert: durch Stellenwechsel, Green Card oder auch die Entscheidung, zurückzukehren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 Zahlen für Gehalt, Steuern, Krankenversicherung und Wohnkosten mit dem Rechenmodell aus Kapitel </w:t>
            </w:r>
            <w:hyperlink w:anchor="k3">
              <w:r>
                <w:rPr>
                  <w:rStyle w:val="ListLabel114"/>
                  <w:rFonts w:eastAsia="Cambria" w:cs="Cambria"/>
                  <w:b w:val="false"/>
                  <w:bCs w:val="false"/>
                  <w:i w:val="false"/>
                  <w:iCs w:val="false"/>
                  <w:sz w:val="20"/>
                  <w:szCs w:val="20"/>
                </w:rPr>
                <w:t>3</w:t>
              </w:r>
            </w:hyperlink>
            <w:r>
              <w:rPr>
                <w:rFonts w:eastAsia="Cambria" w:cs="Cambria"/>
                <w:b w:val="false"/>
                <w:bCs w:val="false"/>
                <w:i w:val="false"/>
                <w:iCs w:val="false"/>
                <w:sz w:val="20"/>
                <w:szCs w:val="20"/>
              </w:rPr>
              <w:t xml:space="preserve"> durchgerechnet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Mit Partner oder Familie die drei wichtigsten Plus- und die drei wichtigsten Minuspunkte persönlich gewichtet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Geprüft, ob und über welchen Weg der Arbeitgeber ein Visum sponsert (Kapitel </w:t>
            </w:r>
            <w:hyperlink w:anchor="k4">
              <w:r>
                <w:rPr>
                  <w:rStyle w:val="ListLabel114"/>
                  <w:rFonts w:eastAsia="Cambria" w:cs="Cambria"/>
                  <w:b w:val="false"/>
                  <w:bCs w:val="false"/>
                  <w:i w:val="false"/>
                  <w:iCs w:val="false"/>
                  <w:sz w:val="20"/>
                  <w:szCs w:val="20"/>
                </w:rPr>
                <w:t>4</w:t>
              </w:r>
            </w:hyperlink>
            <w:r>
              <w:rPr>
                <w:rFonts w:eastAsia="Cambria" w:cs="Cambria"/>
                <w:b w:val="false"/>
                <w:bCs w:val="false"/>
                <w:i w:val="false"/>
                <w:iCs w:val="false"/>
                <w:sz w:val="20"/>
                <w:szCs w:val="20"/>
              </w:rPr>
              <w:t xml:space="preserve"> und </w:t>
            </w:r>
            <w:hyperlink w:anchor="k5">
              <w:r>
                <w:rPr>
                  <w:rStyle w:val="ListLabel114"/>
                  <w:rFonts w:eastAsia="Cambria" w:cs="Cambria"/>
                  <w:b w:val="false"/>
                  <w:bCs w:val="false"/>
                  <w:i w:val="false"/>
                  <w:iCs w:val="false"/>
                  <w:sz w:val="20"/>
                  <w:szCs w:val="20"/>
                </w:rPr>
                <w:t>5</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Die Lücke bei der Krankenversicherung nach der Landung realistisch eingeplant (Kapitel </w:t>
            </w:r>
            <w:hyperlink w:anchor="k26">
              <w:r>
                <w:rPr>
                  <w:rStyle w:val="ListLabel114"/>
                  <w:rFonts w:eastAsia="Cambria" w:cs="Cambria"/>
                  <w:b w:val="false"/>
                  <w:bCs w:val="false"/>
                  <w:i w:val="false"/>
                  <w:iCs w:val="false"/>
                  <w:sz w:val="20"/>
                  <w:szCs w:val="20"/>
                </w:rPr>
                <w:t>26</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Wohnort und Schulbezirk vorläufig recherchiert, bevor Jobangebote verglichen werden (Kapitel </w:t>
            </w:r>
            <w:hyperlink w:anchor="k12">
              <w:r>
                <w:rPr>
                  <w:rStyle w:val="ListLabel114"/>
                  <w:rFonts w:eastAsia="Cambria" w:cs="Cambria"/>
                  <w:b w:val="false"/>
                  <w:bCs w:val="false"/>
                  <w:i w:val="false"/>
                  <w:iCs w:val="false"/>
                  <w:sz w:val="20"/>
                  <w:szCs w:val="20"/>
                </w:rPr>
                <w:t>12</w:t>
              </w:r>
            </w:hyperlink>
            <w:r>
              <w:rPr>
                <w:rFonts w:eastAsia="Cambria" w:cs="Cambria"/>
                <w:b w:val="false"/>
                <w:bCs w:val="false"/>
                <w:i w:val="false"/>
                <w:iCs w:val="false"/>
                <w:sz w:val="20"/>
                <w:szCs w:val="20"/>
              </w:rPr>
              <w:t>, Kapitel </w:t>
            </w:r>
            <w:hyperlink w:anchor="k36">
              <w:r>
                <w:rPr>
                  <w:rStyle w:val="ListLabel114"/>
                  <w:rFonts w:eastAsia="Cambria" w:cs="Cambria"/>
                  <w:b w:val="false"/>
                  <w:bCs w:val="false"/>
                  <w:i w:val="false"/>
                  <w:iCs w:val="false"/>
                  <w:sz w:val="20"/>
                  <w:szCs w:val="20"/>
                </w:rPr>
                <w:t>36</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Geklärt, wie oft und wie schnell Besuche bei der Familie in Deutschland realistisch möglich sind</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Überlegt, wie viel Eigenverantwortung bei Gesundheit, Vorsorge und Jobwechsel für dich tragbar ist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Einen ungefähren Zeithorizont für den USA-Aufenthalt festgelegt: einige Jahre, unbefristet oder offen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Arbeitsvisa im Überblick (</w:t>
      </w:r>
      <w:hyperlink r:id="rId31">
        <w:r>
          <w:rPr>
            <w:rStyle w:val="ListLabel113"/>
            <w:rFonts w:eastAsia="Cambria" w:cs="Cambria"/>
            <w:b w:val="false"/>
            <w:bCs w:val="false"/>
            <w:i w:val="false"/>
            <w:iCs w:val="false"/>
            <w:color w:val="0563C1"/>
            <w:sz w:val="22"/>
            <w:szCs w:val="22"/>
            <w:u w:val="single"/>
          </w:rPr>
          <w:t>uscis.gov/working-in-the-united-states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Steuersätze und Standardabzug (</w:t>
      </w:r>
      <w:hyperlink r:id="rId32">
        <w:r>
          <w:rPr>
            <w:rStyle w:val="ListLabel113"/>
            <w:rFonts w:eastAsia="Cambria" w:cs="Cambria"/>
            <w:b w:val="false"/>
            <w:bCs w:val="false"/>
            <w:i w:val="false"/>
            <w:iCs w:val="false"/>
            <w:color w:val="0563C1"/>
            <w:sz w:val="22"/>
            <w:szCs w:val="22"/>
            <w:u w:val="single"/>
          </w:rPr>
          <w:t>irs.gov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hyperlink r:id="rId33">
        <w:r>
          <w:rPr>
            <w:rStyle w:val="ListLabel113"/>
            <w:rFonts w:eastAsia="Cambria" w:cs="Cambria"/>
            <w:b w:val="false"/>
            <w:bCs w:val="false"/>
            <w:i w:val="false"/>
            <w:iCs w:val="false"/>
            <w:color w:val="0563C1"/>
            <w:sz w:val="22"/>
            <w:szCs w:val="22"/>
            <w:u w:val="single"/>
          </w:rPr>
          <w:t>healthcare.gov</w:t>
        </w:r>
      </w:hyperlink>
      <w:r>
        <w:rPr>
          <w:rFonts w:eastAsia="Cambria" w:cs="Cambria"/>
          <w:b w:val="false"/>
          <w:bCs w:val="false"/>
          <w:i w:val="false"/>
          <w:iCs w:val="false"/>
          <w:sz w:val="22"/>
          <w:szCs w:val="22"/>
        </w:rPr>
        <w:t xml:space="preserve"> — Krankenversicherung und Marktplatz</w:t>
      </w:r>
    </w:p>
    <w:p>
      <w:pPr>
        <w:pStyle w:val="ListParagraph"/>
        <w:numPr>
          <w:ilvl w:val="0"/>
          <w:numId w:val="1"/>
        </w:numPr>
        <w:spacing w:lineRule="exact" w:line="288" w:before="0" w:after="60"/>
        <w:rPr/>
      </w:pPr>
      <w:r>
        <w:rPr>
          <w:rFonts w:eastAsia="Cambria" w:cs="Cambria"/>
          <w:b w:val="false"/>
          <w:bCs w:val="false"/>
          <w:i w:val="false"/>
          <w:iCs w:val="false"/>
          <w:sz w:val="22"/>
          <w:szCs w:val="22"/>
        </w:rPr>
        <w:t>Weltbank / UNODC — Kriminalstatistik im Ländervergleich (</w:t>
      </w:r>
      <w:hyperlink r:id="rId34">
        <w:r>
          <w:rPr>
            <w:rStyle w:val="ListLabel113"/>
            <w:rFonts w:eastAsia="Cambria" w:cs="Cambria"/>
            <w:b w:val="false"/>
            <w:bCs w:val="false"/>
            <w:i w:val="false"/>
            <w:iCs w:val="false"/>
            <w:color w:val="0563C1"/>
            <w:sz w:val="22"/>
            <w:szCs w:val="22"/>
            <w:u w:val="single"/>
          </w:rPr>
          <w:t>data.worldbank.org</w:t>
        </w:r>
      </w:hyperlink>
      <w:r>
        <w:rPr>
          <w:rFonts w:eastAsia="Cambria" w:cs="Cambria"/>
          <w:b w:val="false"/>
          <w:bCs w:val="false"/>
          <w:i w:val="false"/>
          <w:iCs w:val="false"/>
          <w:sz w:val="22"/>
          <w:szCs w:val="22"/>
        </w:rPr>
        <w:t>, Suche: intentional homicides)</w:t>
      </w:r>
    </w:p>
    <w:p>
      <w:pPr>
        <w:pStyle w:val="ListParagraph"/>
        <w:numPr>
          <w:ilvl w:val="0"/>
          <w:numId w:val="1"/>
        </w:numPr>
        <w:spacing w:lineRule="exact" w:line="288" w:before="0" w:after="60"/>
        <w:rPr/>
      </w:pPr>
      <w:r>
        <w:rPr>
          <w:rFonts w:eastAsia="Cambria" w:cs="Cambria"/>
          <w:b w:val="false"/>
          <w:bCs w:val="false"/>
          <w:i w:val="false"/>
          <w:iCs w:val="false"/>
          <w:sz w:val="22"/>
          <w:szCs w:val="22"/>
        </w:rPr>
        <w:t>Bureau of Labor Statistics — Gehälter und Berufsausblick (</w:t>
      </w:r>
      <w:hyperlink r:id="rId35">
        <w:r>
          <w:rPr>
            <w:rStyle w:val="ListLabel113"/>
            <w:rFonts w:eastAsia="Cambria" w:cs="Cambria"/>
            <w:b w:val="false"/>
            <w:bCs w:val="false"/>
            <w:i w:val="false"/>
            <w:iCs w:val="false"/>
            <w:color w:val="0563C1"/>
            <w:sz w:val="22"/>
            <w:szCs w:val="22"/>
            <w:u w:val="single"/>
          </w:rPr>
          <w:t>bls.gov/oes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Freddie Mac — Hypothekenzinsen (</w:t>
      </w:r>
      <w:hyperlink r:id="rId36">
        <w:r>
          <w:rPr>
            <w:rStyle w:val="ListLabel113"/>
            <w:rFonts w:eastAsia="Cambria" w:cs="Cambria"/>
            <w:b w:val="false"/>
            <w:bCs w:val="false"/>
            <w:i w:val="false"/>
            <w:iCs w:val="false"/>
            <w:color w:val="0563C1"/>
            <w:sz w:val="22"/>
            <w:szCs w:val="22"/>
            <w:u w:val="single"/>
          </w:rPr>
          <w:t>freddiemac.com/pmms</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Bilanz beruht auf den Zahlen der Faktenblätter und der bereits vorliegenden Kapitel, Stand September 2026. Am schnellsten ändern sich: die Gebühren und das Losverfahren beim H-1B (Kapitel </w:t>
            </w:r>
            <w:hyperlink w:anchor="k5">
              <w:r>
                <w:rPr>
                  <w:rStyle w:val="ListLabel114"/>
                  <w:rFonts w:eastAsia="Cambria" w:cs="Cambria"/>
                  <w:b w:val="false"/>
                  <w:bCs w:val="false"/>
                  <w:i w:val="false"/>
                  <w:iCs w:val="false"/>
                  <w:sz w:val="20"/>
                  <w:szCs w:val="20"/>
                </w:rPr>
                <w:t>5</w:t>
              </w:r>
            </w:hyperlink>
            <w:r>
              <w:rPr>
                <w:rFonts w:eastAsia="Cambria" w:cs="Cambria"/>
                <w:b w:val="false"/>
                <w:bCs w:val="false"/>
                <w:i w:val="false"/>
                <w:iCs w:val="false"/>
                <w:sz w:val="20"/>
                <w:szCs w:val="20"/>
              </w:rPr>
              <w:t>), die Krankenversicherungs-Zuschüsse ab 2027 (Kapitel </w:t>
            </w:r>
            <w:hyperlink w:anchor="k26">
              <w:r>
                <w:rPr>
                  <w:rStyle w:val="ListLabel114"/>
                  <w:rFonts w:eastAsia="Cambria" w:cs="Cambria"/>
                  <w:b w:val="false"/>
                  <w:bCs w:val="false"/>
                  <w:i w:val="false"/>
                  <w:iCs w:val="false"/>
                  <w:sz w:val="20"/>
                  <w:szCs w:val="20"/>
                </w:rPr>
                <w:t>26</w:t>
              </w:r>
            </w:hyperlink>
            <w:r>
              <w:rPr>
                <w:rFonts w:eastAsia="Cambria" w:cs="Cambria"/>
                <w:b w:val="false"/>
                <w:bCs w:val="false"/>
                <w:i w:val="false"/>
                <w:iCs w:val="false"/>
                <w:sz w:val="20"/>
                <w:szCs w:val="20"/>
              </w:rPr>
              <w:t>), die Hypothekenzinsen (Kapitel </w:t>
            </w:r>
            <w:hyperlink w:anchor="k14">
              <w:r>
                <w:rPr>
                  <w:rStyle w:val="ListLabel114"/>
                  <w:rFonts w:eastAsia="Cambria" w:cs="Cambria"/>
                  <w:b w:val="false"/>
                  <w:bCs w:val="false"/>
                  <w:i w:val="false"/>
                  <w:iCs w:val="false"/>
                  <w:sz w:val="20"/>
                  <w:szCs w:val="20"/>
                </w:rPr>
                <w:t>14</w:t>
              </w:r>
            </w:hyperlink>
            <w:r>
              <w:rPr>
                <w:rFonts w:eastAsia="Cambria" w:cs="Cambria"/>
                <w:b w:val="false"/>
                <w:bCs w:val="false"/>
                <w:i w:val="false"/>
                <w:iCs w:val="false"/>
                <w:sz w:val="20"/>
                <w:szCs w:val="20"/>
              </w:rPr>
              <w:t>) und die politische Lage rund um Einwanderung. Prüfe vor einer Entscheidung die aktuellen Zahlen im jeweiligen Vertiefungskapitel.</w:t>
            </w:r>
          </w:p>
        </w:tc>
      </w:tr>
    </w:tbl>
    <w:p>
      <w:pPr>
        <w:pStyle w:val="Normal"/>
        <w:spacing w:lineRule="exact" w:line="220" w:before="0" w:after="0"/>
        <w:rPr/>
      </w:pPr>
      <w:r>
        <w:rPr/>
      </w:r>
      <w:r>
        <w:br w:type="page"/>
      </w:r>
    </w:p>
    <w:p>
      <w:pPr>
        <w:pStyle w:val="Heading2"/>
        <w:keepNext w:val="true"/>
        <w:spacing w:before="0" w:after="300"/>
        <w:jc w:val="center"/>
        <w:rPr/>
      </w:pPr>
      <w:bookmarkStart w:id="12" w:name="__RefHeading___Toc56431_3769931028"/>
      <w:bookmarkStart w:id="13" w:name="k2_Copy_1"/>
      <w:bookmarkEnd w:id="12"/>
      <w:r>
        <w:rPr>
          <w:rFonts w:eastAsia="Amazon Ember" w:cs="Amazon Ember" w:ascii="Amazon Ember" w:hAnsi="Amazon Ember"/>
          <w:b/>
          <w:bCs/>
          <w:color w:val="0000FF"/>
          <w:sz w:val="36"/>
          <w:szCs w:val="36"/>
        </w:rPr>
        <w:t>Kapitel 2: Die 25 größten Fallen</w:t>
      </w:r>
      <w:bookmarkEnd w:id="13"/>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Job ist unterschrieben, die Kisten sind bestellt, der Flug gebucht – und dann taucht eine Frage auf, an die bisher niemand gedacht hat: Was passiert, wenn der Arbeitgeber kündigt? Wenn das Kind in vier Jahren 21 wird? Wenn die vertraute Waschmaschine einfach an der amerikanischen Steckdose stehen bleibt? Die teuersten Fehler beim Umzug in die USA sind selten exotisch. Sie stehen, gut sichtbar, in den Fachkapiteln dieses Buchs – nur eben verteilt auf vierzig Kapitel. Dieses Kapitel bündelt die 25 Fallen, in die Auswanderer am häufigsten laufen: mit Ursache, Preis und Ausweg.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Die teuersten Fehler beim Umzug in die USA liegen selten im Exotischen, sondern bei Visum, Geld, Wohnen und Familie – und stehen im Detail in den Fachkapiteln dieses Buchs.</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Manche Fallen liegen außerhalb deiner Kontrolle (Lotterie, Kündigung, das </w:t>
            </w:r>
            <w:r>
              <w:rPr>
                <w:rFonts w:eastAsia="Cambria" w:cs="Cambria"/>
                <w:b w:val="false"/>
                <w:bCs w:val="false"/>
                <w:i/>
                <w:iCs/>
                <w:sz w:val="20"/>
                <w:szCs w:val="20"/>
              </w:rPr>
              <w:t>Age-out</w:t>
            </w:r>
            <w:r>
              <w:rPr>
                <w:rFonts w:eastAsia="Cambria" w:cs="Cambria"/>
                <w:b w:val="false"/>
                <w:bCs w:val="false"/>
                <w:i w:val="false"/>
                <w:iCs w:val="false"/>
                <w:sz w:val="20"/>
                <w:szCs w:val="20"/>
              </w:rPr>
              <w:t xml:space="preserve"> der Kinder mit 21), die meisten lassen sich mit Vorlauf entschärfen.</w:t>
            </w:r>
          </w:p>
          <w:p>
            <w:pPr>
              <w:pStyle w:val="ListParagraph"/>
              <w:numPr>
                <w:ilvl w:val="0"/>
                <w:numId w:val="1"/>
              </w:numPr>
              <w:spacing w:lineRule="exact" w:line="264" w:before="0" w:after="50"/>
              <w:rPr/>
            </w:pPr>
            <w:r>
              <w:rPr>
                <w:rFonts w:eastAsia="Cambria" w:cs="Cambria"/>
                <w:b w:val="false"/>
                <w:bCs w:val="false"/>
                <w:i w:val="false"/>
                <w:iCs w:val="false"/>
                <w:sz w:val="20"/>
                <w:szCs w:val="20"/>
              </w:rPr>
              <w:t>Eine Rücklage, Fristen im Kalender und ein Berater, der beide Länder kennt, verhindern die teuersten Überraschungen.</w:t>
            </w:r>
          </w:p>
          <w:p>
            <w:pPr>
              <w:pStyle w:val="ListParagraph"/>
              <w:numPr>
                <w:ilvl w:val="0"/>
                <w:numId w:val="1"/>
              </w:numPr>
              <w:spacing w:lineRule="exact" w:line="264" w:before="0" w:after="50"/>
              <w:rPr/>
            </w:pPr>
            <w:r>
              <w:rPr>
                <w:rFonts w:eastAsia="Cambria" w:cs="Cambria"/>
                <w:b w:val="false"/>
                <w:bCs w:val="false"/>
                <w:i w:val="false"/>
                <w:iCs w:val="false"/>
                <w:sz w:val="20"/>
                <w:szCs w:val="20"/>
              </w:rPr>
              <w:t>Jede der 25 Fallen verweist auf das Kapitel mit dem vollständigen Vorgehen.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Visum, Status und Arbeitgeber (Fallen 1–6)</w:t>
      </w:r>
    </w:p>
    <w:p>
      <w:pPr>
        <w:pStyle w:val="ListParagraph"/>
        <w:numPr>
          <w:ilvl w:val="0"/>
          <w:numId w:val="54"/>
        </w:numPr>
        <w:spacing w:lineRule="exact" w:line="288" w:before="0" w:after="60"/>
        <w:rPr/>
      </w:pPr>
      <w:r>
        <w:rPr>
          <w:rFonts w:eastAsia="Cambria" w:cs="Cambria"/>
          <w:b/>
          <w:bCs/>
          <w:i w:val="false"/>
          <w:iCs w:val="false"/>
          <w:sz w:val="22"/>
          <w:szCs w:val="22"/>
        </w:rPr>
        <w:t>Das Visum hängt am Arbeitgeber.</w:t>
      </w:r>
      <w:r>
        <w:rPr>
          <w:rFonts w:eastAsia="Cambria" w:cs="Cambria"/>
          <w:b w:val="false"/>
          <w:bCs w:val="false"/>
          <w:i w:val="false"/>
          <w:iCs w:val="false"/>
          <w:sz w:val="22"/>
          <w:szCs w:val="22"/>
        </w:rPr>
        <w:t xml:space="preserve"> Verbreiteter Irrtum: Ein genehmigtes Arbeitsvisum fühlt sich an wie eine langfristige Zusage, im Land bleiben zu dürfen. Tatsächlich ist es an eine einzige Stelle gekettet. Warum das passiert: H-1B, L-1, E-2 und die meisten Arbeitsvisa sind an einen einzigen Sponsor gebunden; ohne ihn erlischt der Status. Was es kostet: Nach einem Jobverlust bleiben dir derzeit bis zu 60 Tage, um einen neuen Sponsor, einen Statuswechsel oder die Ausreise zu organisieren – reicht das nicht, verlierst du Wohnung, Schule der Kinder und oft das laufende Green-Card-Verfahren. So vermeidest du es: Baue früh eine Rücklage von mindestens sechs Monatsfixkosten auf, halte dein berufliches Netzwerk aktiv, und kläre die </w:t>
      </w:r>
      <w:r>
        <w:rPr>
          <w:rFonts w:eastAsia="Cambria" w:cs="Cambria"/>
          <w:b w:val="false"/>
          <w:bCs w:val="false"/>
          <w:i/>
          <w:iCs/>
          <w:sz w:val="22"/>
          <w:szCs w:val="22"/>
        </w:rPr>
        <w:t>Portabilität</w:t>
      </w:r>
      <w:r>
        <w:rPr>
          <w:rFonts w:eastAsia="Cambria" w:cs="Cambria"/>
          <w:b w:val="false"/>
          <w:bCs w:val="false"/>
          <w:i w:val="false"/>
          <w:iCs w:val="false"/>
          <w:sz w:val="22"/>
          <w:szCs w:val="22"/>
        </w:rPr>
        <w:t xml:space="preserve"> nach AC21 mit dem neuen Arbeitgeber, bevor du kündigst (siehe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xml:space="preserve">,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 xml:space="preserve"> und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p>
      <w:pPr>
        <w:pStyle w:val="ListParagraph"/>
        <w:numPr>
          <w:ilvl w:val="0"/>
          <w:numId w:val="2"/>
        </w:numPr>
        <w:spacing w:lineRule="exact" w:line="288" w:before="0" w:after="60"/>
        <w:rPr/>
      </w:pPr>
      <w:r>
        <w:rPr>
          <w:rFonts w:eastAsia="Cambria" w:cs="Cambria"/>
          <w:b/>
          <w:bCs/>
          <w:i w:val="false"/>
          <w:iCs w:val="false"/>
          <w:sz w:val="22"/>
          <w:szCs w:val="22"/>
        </w:rPr>
        <w:t>Lotterie- und Gebührenrisiko.</w:t>
      </w:r>
      <w:r>
        <w:rPr>
          <w:rFonts w:eastAsia="Cambria" w:cs="Cambria"/>
          <w:b w:val="false"/>
          <w:bCs w:val="false"/>
          <w:i w:val="false"/>
          <w:iCs w:val="false"/>
          <w:sz w:val="22"/>
          <w:szCs w:val="22"/>
        </w:rPr>
        <w:t xml:space="preserve"> Warum das passiert: Der H-1B ist gedeckelt; wer nicht bei einer Hochschule oder Forschungseinrichtung (</w:t>
      </w:r>
      <w:r>
        <w:rPr>
          <w:rFonts w:eastAsia="Cambria" w:cs="Cambria"/>
          <w:b w:val="false"/>
          <w:bCs w:val="false"/>
          <w:i/>
          <w:iCs/>
          <w:sz w:val="22"/>
          <w:szCs w:val="22"/>
        </w:rPr>
        <w:t>Cap-exempt</w:t>
      </w:r>
      <w:r>
        <w:rPr>
          <w:rFonts w:eastAsia="Cambria" w:cs="Cambria"/>
          <w:b w:val="false"/>
          <w:bCs w:val="false"/>
          <w:i w:val="false"/>
          <w:iCs w:val="false"/>
          <w:sz w:val="22"/>
          <w:szCs w:val="22"/>
        </w:rPr>
        <w:t>) arbeitet, braucht ein Los aus der jährlichen Lotterie im März. Was es kostet: Registrierung, Anwalt und Behördengebühren fallen oft schon vor der Auslosung an, mehrere Tausend Dollar, die bei einer Niete verloren sind, dazu ein weiteres Jahr Wartezeit; zusätzlich drohen politisch diskutierte Zusatzzahlungen, deren Umsetzung sich laufend ändert. Bei dieser Lotterie zahlst du die Teilnahmegebühr so oder so, gewinnst du nicht, bleibt nur der Trost, es im nächsten Jahr wieder zu versuchen. So vermeidest du es: Frage nach Cap-exempt-Arbeitgebern, sondiere Alternativen wie L-1 oder O-1, und plane finanziell wie zeitlich für mindestens einen gescheiterten Anlauf (siehe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xml:space="preserve"> und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w:t>
      </w:r>
    </w:p>
    <w:p>
      <w:pPr>
        <w:pStyle w:val="ListParagraph"/>
        <w:numPr>
          <w:ilvl w:val="0"/>
          <w:numId w:val="2"/>
        </w:numPr>
        <w:spacing w:lineRule="exact" w:line="288" w:before="0" w:after="60"/>
        <w:rPr/>
      </w:pPr>
      <w:r>
        <w:rPr>
          <w:rFonts w:eastAsia="Cambria" w:cs="Cambria"/>
          <w:b/>
          <w:bCs/>
          <w:i w:val="false"/>
          <w:iCs w:val="false"/>
          <w:sz w:val="22"/>
          <w:szCs w:val="22"/>
        </w:rPr>
        <w:t>Der Partner sitzt ohne Arbeitserlaubnis da.</w:t>
      </w:r>
      <w:r>
        <w:rPr>
          <w:rFonts w:eastAsia="Cambria" w:cs="Cambria"/>
          <w:b w:val="false"/>
          <w:bCs w:val="false"/>
          <w:i w:val="false"/>
          <w:iCs w:val="false"/>
          <w:sz w:val="22"/>
          <w:szCs w:val="22"/>
        </w:rPr>
        <w:t xml:space="preserve"> Warum das passiert: H-4-Ehepartner dürfen erst arbeiten, wenn eine I-140 genehmigt ist oder der H-1B über sechs Jahre hinaus verlängert wurde; bei F-2 und O-3 gilt ein generelles Arbeitsverbot. Was es kostet: Jahre ohne eigenes Einkommen, ein Karrierebruch und häufig Einsamkeit, während der Alltag an einem einzigen Gehalt hängt. So vermeidest du es: Rechne das Haushaltsbudget mit nur einem Einkommen, prüfe Cap-exempt-Arbeitgeber mit Programmen für mitreisende Partner, kläre die Berufslizenz des Partners vor der Arbeitserlaubnis, und plane die Wartezeit mit Kursen, Ehrenamt und Kontakten (siehe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 xml:space="preserve">,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 xml:space="preserve"> und </w:t>
      </w:r>
      <w:hyperlink w:anchor="k33">
        <w:r>
          <w:rPr>
            <w:rStyle w:val="ListLabel115"/>
            <w:rFonts w:eastAsia="Cambria" w:cs="Cambria"/>
            <w:b w:val="false"/>
            <w:bCs w:val="false"/>
            <w:i w:val="false"/>
            <w:iCs w:val="false"/>
            <w:sz w:val="22"/>
            <w:szCs w:val="22"/>
          </w:rPr>
          <w:t>33</w:t>
        </w:r>
      </w:hyperlink>
      <w:r>
        <w:rPr>
          <w:rFonts w:eastAsia="Cambria" w:cs="Cambria"/>
          <w:b w:val="false"/>
          <w:bCs w:val="false"/>
          <w:i w:val="false"/>
          <w:iCs w:val="false"/>
          <w:sz w:val="22"/>
          <w:szCs w:val="22"/>
        </w:rPr>
        <w:t>).</w:t>
      </w:r>
    </w:p>
    <w:p>
      <w:pPr>
        <w:pStyle w:val="ListParagraph"/>
        <w:numPr>
          <w:ilvl w:val="0"/>
          <w:numId w:val="2"/>
        </w:numPr>
        <w:spacing w:lineRule="exact" w:line="288" w:before="0" w:after="60"/>
        <w:rPr/>
      </w:pPr>
      <w:r>
        <w:rPr>
          <w:rFonts w:eastAsia="Cambria" w:cs="Cambria"/>
          <w:b/>
          <w:bCs/>
          <w:i w:val="false"/>
          <w:iCs w:val="false"/>
          <w:sz w:val="22"/>
          <w:szCs w:val="22"/>
        </w:rPr>
        <w:t>Kinder werden 21 – das Age-out.</w:t>
      </w:r>
      <w:r>
        <w:rPr>
          <w:rFonts w:eastAsia="Cambria" w:cs="Cambria"/>
          <w:b w:val="false"/>
          <w:bCs w:val="false"/>
          <w:i w:val="false"/>
          <w:iCs w:val="false"/>
          <w:sz w:val="22"/>
          <w:szCs w:val="22"/>
        </w:rPr>
        <w:t xml:space="preserve"> Warum das passiert: Der abgeleitete Status eines Kindes endet unabhängig vom Green-Card-Verfahren der Eltern exakt am 21. Geburtstag; der </w:t>
      </w:r>
      <w:r>
        <w:rPr>
          <w:rFonts w:eastAsia="Cambria" w:cs="Cambria"/>
          <w:b w:val="false"/>
          <w:bCs w:val="false"/>
          <w:i/>
          <w:iCs/>
          <w:sz w:val="22"/>
          <w:szCs w:val="22"/>
        </w:rPr>
        <w:t>Child Status Protection Act</w:t>
      </w:r>
      <w:r>
        <w:rPr>
          <w:rFonts w:eastAsia="Cambria" w:cs="Cambria"/>
          <w:b w:val="false"/>
          <w:bCs w:val="false"/>
          <w:i w:val="false"/>
          <w:iCs w:val="false"/>
          <w:sz w:val="22"/>
          <w:szCs w:val="22"/>
        </w:rPr>
        <w:t xml:space="preserve"> schützt nur die Green-Card-Berechtigung, nicht den H-4. Was es kostet: Ohne rechtzeitigen Statuswechsel, etwa in ein eigenes Studienvisum, verliert das Kind mitten im College seinen rechtmäßigen Aufenthalt. So vermeidest du es: Rechne beim Einreisealter jedes Kindes den 21. Geburtstag aus, besprich den Zeitplan mit der Kanzlei, sobald ein Kind 17 ist, und kläre frühzeitig Alternativen wie ein eigenes F-1-Studium (siehe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 xml:space="preserve"> und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w:t>
      </w:r>
    </w:p>
    <w:p>
      <w:pPr>
        <w:pStyle w:val="ListParagraph"/>
        <w:numPr>
          <w:ilvl w:val="0"/>
          <w:numId w:val="2"/>
        </w:numPr>
        <w:spacing w:lineRule="exact" w:line="288" w:before="0" w:after="60"/>
        <w:rPr/>
      </w:pPr>
      <w:r>
        <w:rPr>
          <w:rFonts w:eastAsia="Cambria" w:cs="Cambria"/>
          <w:b/>
          <w:bCs/>
          <w:i w:val="false"/>
          <w:iCs w:val="false"/>
          <w:sz w:val="22"/>
          <w:szCs w:val="22"/>
        </w:rPr>
        <w:t>Green-Card-Wartezeiten werden unterschätzt.</w:t>
      </w:r>
      <w:r>
        <w:rPr>
          <w:rFonts w:eastAsia="Cambria" w:cs="Cambria"/>
          <w:b w:val="false"/>
          <w:bCs w:val="false"/>
          <w:i w:val="false"/>
          <w:iCs w:val="false"/>
          <w:sz w:val="22"/>
          <w:szCs w:val="22"/>
        </w:rPr>
        <w:t xml:space="preserve"> Warum das passiert: Der Regelweg über den Arbeitgeber durchläuft Arbeitsmarktprüfung, Petition und Statusanpassung; allein die PERM-Phase dauert rund 2,5–4,5 Jahre, Selbstpetitionen wie NIW oder EB-1A werden nur zu rund 41 bis 49 % genehmigt. Was es kostet: Wer die Green Card einplant, etwa für einen Hauskauf oder die Berufslizenz des Partners, verschiebt Entscheidungen um Jahre, wenn das Verfahren länger dauert als gedacht. So vermeidest du es: Plane dein Leben zunächst so, als bliebe der befristete Status dauerhaft, starte das Verfahren früh über den Arbeitgeber, und beobachte dein Herkunftsland im monatlichen Visa Bulletin (siehe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xml:space="preserve"> und </w:t>
      </w:r>
      <w:hyperlink w:anchor="k7">
        <w:r>
          <w:rPr>
            <w:rStyle w:val="ListLabel115"/>
            <w:rFonts w:eastAsia="Cambria" w:cs="Cambria"/>
            <w:b w:val="false"/>
            <w:bCs w:val="false"/>
            <w:i w:val="false"/>
            <w:iCs w:val="false"/>
            <w:sz w:val="22"/>
            <w:szCs w:val="22"/>
          </w:rPr>
          <w:t>7</w:t>
        </w:r>
      </w:hyperlink>
      <w:r>
        <w:rPr>
          <w:rFonts w:eastAsia="Cambria" w:cs="Cambria"/>
          <w:b w:val="false"/>
          <w:bCs w:val="false"/>
          <w:i w:val="false"/>
          <w:iCs w:val="false"/>
          <w:sz w:val="22"/>
          <w:szCs w:val="22"/>
        </w:rPr>
        <w:t>).</w:t>
      </w:r>
    </w:p>
    <w:p>
      <w:pPr>
        <w:pStyle w:val="ListParagraph"/>
        <w:numPr>
          <w:ilvl w:val="0"/>
          <w:numId w:val="2"/>
        </w:numPr>
        <w:spacing w:lineRule="exact" w:line="288" w:before="0" w:after="60"/>
        <w:rPr/>
      </w:pPr>
      <w:r>
        <w:rPr>
          <w:rFonts w:eastAsia="Cambria" w:cs="Cambria"/>
          <w:b/>
          <w:bCs/>
          <w:i w:val="false"/>
          <w:iCs w:val="false"/>
          <w:sz w:val="22"/>
          <w:szCs w:val="22"/>
        </w:rPr>
        <w:t>Kein Kündigungsschutz, dafür eine scharfe 60-Tage-Frist.</w:t>
      </w:r>
      <w:r>
        <w:rPr>
          <w:rFonts w:eastAsia="Cambria" w:cs="Cambria"/>
          <w:b w:val="false"/>
          <w:bCs w:val="false"/>
          <w:i w:val="false"/>
          <w:iCs w:val="false"/>
          <w:sz w:val="22"/>
          <w:szCs w:val="22"/>
        </w:rPr>
        <w:t xml:space="preserve"> Warum das passiert: In den USA gilt fast überall </w:t>
      </w:r>
      <w:r>
        <w:rPr>
          <w:rFonts w:eastAsia="Cambria" w:cs="Cambria"/>
          <w:b w:val="false"/>
          <w:bCs w:val="false"/>
          <w:i/>
          <w:iCs/>
          <w:sz w:val="22"/>
          <w:szCs w:val="22"/>
        </w:rPr>
        <w:t>At-will Employment</w:t>
      </w:r>
      <w:r>
        <w:rPr>
          <w:rFonts w:eastAsia="Cambria" w:cs="Cambria"/>
          <w:b w:val="false"/>
          <w:bCs w:val="false"/>
          <w:i w:val="false"/>
          <w:iCs w:val="false"/>
          <w:sz w:val="22"/>
          <w:szCs w:val="22"/>
        </w:rPr>
        <w:t xml:space="preserve"> – beide Seiten können das Arbeitsverhältnis fristlos und ohne Grund beenden, ein Kündigungsschutzgesetz wie in Deutschland gibt es nicht. Der Abschied kann ähnlich schnell kommen, wie die Begrüßung freundlich war. Was es kostet: Ein </w:t>
      </w:r>
      <w:r>
        <w:rPr>
          <w:rFonts w:eastAsia="Cambria" w:cs="Cambria"/>
          <w:b w:val="false"/>
          <w:bCs w:val="false"/>
          <w:i/>
          <w:iCs/>
          <w:sz w:val="22"/>
          <w:szCs w:val="22"/>
        </w:rPr>
        <w:t>Performance Improvement Plan</w:t>
      </w:r>
      <w:r>
        <w:rPr>
          <w:rFonts w:eastAsia="Cambria" w:cs="Cambria"/>
          <w:b w:val="false"/>
          <w:bCs w:val="false"/>
          <w:i w:val="false"/>
          <w:iCs w:val="false"/>
          <w:sz w:val="22"/>
          <w:szCs w:val="22"/>
        </w:rPr>
        <w:t xml:space="preserve"> bereitet eine Kündigung oft nur vor, verhindert sie nicht, und mit dem Visum läuft parallel die 60-Tage-Frist aus Falle 1 – zwei Uhren gleichzeitig. So vermeidest du es: Verstehe ein Angebotsschreiben nie als Jobgarantie, sichere dich mit einer Rücklage ab, und dokumentiere Probleme am Arbeitsplatz frühzeitig schriftlich (siehe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 xml:space="preserve"> und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Zähle bei Falle 4 nicht das Kalenderjahr, sondern den genauen Geburtstag. Wer mit 19 einreist, hat nur zwei Jahre bis zum Age-out, nicht drei; Verzögerungen im Green-Card-Verfahren verschieben den Stichtag nicht. Trage das Datum ein, sobald das Visum feststeht, nicht erst kurz vorher.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Geld, Steuern und Vorsorge (Fallen 7–11)</w:t>
      </w:r>
    </w:p>
    <w:p>
      <w:pPr>
        <w:pStyle w:val="ListParagraph"/>
        <w:numPr>
          <w:ilvl w:val="0"/>
          <w:numId w:val="55"/>
        </w:numPr>
        <w:spacing w:lineRule="exact" w:line="288" w:before="0" w:after="60"/>
        <w:rPr/>
      </w:pPr>
      <w:r>
        <w:rPr>
          <w:rFonts w:eastAsia="Cambria" w:cs="Cambria"/>
          <w:b/>
          <w:bCs/>
          <w:i w:val="false"/>
          <w:iCs w:val="false"/>
          <w:sz w:val="22"/>
          <w:szCs w:val="22"/>
        </w:rPr>
        <w:t>Doppelbesteuerung, FBAR und die PFIC-Falle.</w:t>
      </w:r>
      <w:r>
        <w:rPr>
          <w:rFonts w:eastAsia="Cambria" w:cs="Cambria"/>
          <w:b w:val="false"/>
          <w:bCs w:val="false"/>
          <w:i w:val="false"/>
          <w:iCs w:val="false"/>
          <w:sz w:val="22"/>
          <w:szCs w:val="22"/>
        </w:rPr>
        <w:t xml:space="preserve"> Warum das passiert: Sobald du als US-Steueransässiger giltst – durch Green Card oder den Tage-Test, unabhängig vom Visum –, zählt dein weltweites Einkommen, und deutsche Fonds und ETFs werden zur hoch besteuerten </w:t>
      </w:r>
      <w:r>
        <w:rPr>
          <w:rFonts w:eastAsia="Cambria" w:cs="Cambria"/>
          <w:b w:val="false"/>
          <w:bCs w:val="false"/>
          <w:i/>
          <w:iCs/>
          <w:sz w:val="22"/>
          <w:szCs w:val="22"/>
        </w:rPr>
        <w:t>Passive Foreign Investment Company</w:t>
      </w:r>
      <w:r>
        <w:rPr>
          <w:rFonts w:eastAsia="Cambria" w:cs="Cambria"/>
          <w:b w:val="false"/>
          <w:bCs w:val="false"/>
          <w:i w:val="false"/>
          <w:iCs w:val="false"/>
          <w:sz w:val="22"/>
          <w:szCs w:val="22"/>
        </w:rPr>
        <w:t xml:space="preserve"> (PFIC). Was es kostet: Auslandskonten über 10.000 $ müssen jährlich per FBAR gemeldet werden, Strafen reichen bis in den sechsstelligen Bereich; PFIC-Erträge werden zum Höchstsatz plus Zinsen nachversteuert. So vermeidest du es: Verkaufe deutsche Fondssparpläne vor dem steuerlichen Zuzug, liste alle Konten mit Höchstständen auf, und investiere danach nur noch in US-Fonds (siehe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 xml:space="preserve"> und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w:t>
      </w:r>
    </w:p>
    <w:p>
      <w:pPr>
        <w:pStyle w:val="ListParagraph"/>
        <w:numPr>
          <w:ilvl w:val="0"/>
          <w:numId w:val="56"/>
        </w:numPr>
        <w:spacing w:lineRule="exact" w:line="288" w:before="0" w:after="60"/>
        <w:rPr/>
      </w:pPr>
      <w:r>
        <w:rPr>
          <w:rFonts w:eastAsia="Cambria" w:cs="Cambria"/>
          <w:b/>
          <w:bCs/>
          <w:i w:val="false"/>
          <w:iCs w:val="false"/>
          <w:sz w:val="22"/>
          <w:szCs w:val="22"/>
        </w:rPr>
        <w:t>Die Riester-Falle – differenzierter, als der Name klingt.</w:t>
      </w:r>
      <w:r>
        <w:rPr>
          <w:rFonts w:eastAsia="Cambria" w:cs="Cambria"/>
          <w:b w:val="false"/>
          <w:bCs w:val="false"/>
          <w:i w:val="false"/>
          <w:iCs w:val="false"/>
          <w:sz w:val="22"/>
          <w:szCs w:val="22"/>
        </w:rPr>
        <w:t xml:space="preserve"> Warum das passiert: Viele Auswanderer fürchten, der Wegzug löse automatisch eine Rückzahlung der Riester-Zulagen aus – tatsächlich läuft ein bestehender Vertrag während der Ansparphase unbeschränkt weiter, ohne sofortige Folgen. Was es kostet: Kritisch wird es erst in der Auszahlungsphase – wohnst du dann außerhalb der EU und des EWR, muss der Anbieter Zulagen und Steuervorteile einbehalten und an den Fiskus abführen, ein spürbarer Betrag. So vermeidest du es: Fasse einen laufenden Vertrag während des Aufbaus nicht an, kalkuliere den Abzug realistisch ein, falls du die Rente in den USA antreten willst, und beachte, dass ab 2027 keine neuen Riester-Verträge mehr abgeschlossen werden (siehe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w:t>
      </w:r>
    </w:p>
    <w:p>
      <w:pPr>
        <w:pStyle w:val="ListParagraph"/>
        <w:numPr>
          <w:ilvl w:val="0"/>
          <w:numId w:val="57"/>
        </w:numPr>
        <w:spacing w:lineRule="exact" w:line="288" w:before="0" w:after="60"/>
        <w:rPr/>
      </w:pPr>
      <w:r>
        <w:rPr>
          <w:rFonts w:eastAsia="Cambria" w:cs="Cambria"/>
          <w:b/>
          <w:bCs/>
          <w:i w:val="false"/>
          <w:iCs w:val="false"/>
          <w:sz w:val="22"/>
          <w:szCs w:val="22"/>
        </w:rPr>
        <w:t>Die Rentenlücke zwischen zwei Systemen.</w:t>
      </w:r>
      <w:r>
        <w:rPr>
          <w:rFonts w:eastAsia="Cambria" w:cs="Cambria"/>
          <w:b w:val="false"/>
          <w:bCs w:val="false"/>
          <w:i w:val="false"/>
          <w:iCs w:val="false"/>
          <w:sz w:val="22"/>
          <w:szCs w:val="22"/>
        </w:rPr>
        <w:t xml:space="preserve"> Warum das passiert: Die deutsche Rente und die US-</w:t>
      </w:r>
      <w:r>
        <w:rPr>
          <w:rFonts w:eastAsia="Cambria" w:cs="Cambria"/>
          <w:b w:val="false"/>
          <w:bCs w:val="false"/>
          <w:i/>
          <w:iCs/>
          <w:sz w:val="22"/>
          <w:szCs w:val="22"/>
        </w:rPr>
        <w:t>Social Security</w:t>
      </w:r>
      <w:r>
        <w:rPr>
          <w:rFonts w:eastAsia="Cambria" w:cs="Cambria"/>
          <w:b w:val="false"/>
          <w:bCs w:val="false"/>
          <w:i w:val="false"/>
          <w:iCs w:val="false"/>
          <w:sz w:val="22"/>
          <w:szCs w:val="22"/>
        </w:rPr>
        <w:t xml:space="preserve"> zählen für die Wartezeit zwar zusammen, zahlen aber getrennt und nach eigenen Regeln; Medicare kommt erst mit 65 Jahren und setzt bestimmte Aufenthaltsjahre voraus. Was es kostet: Wer nur auf ein System setzt, hat im Ruhestand oft weniger als geplant, besonders bei wenigen US-Beitragsjahren unterhalb der 40 </w:t>
      </w:r>
      <w:r>
        <w:rPr>
          <w:rFonts w:eastAsia="Cambria" w:cs="Cambria"/>
          <w:b w:val="false"/>
          <w:bCs w:val="false"/>
          <w:i/>
          <w:iCs/>
          <w:sz w:val="22"/>
          <w:szCs w:val="22"/>
        </w:rPr>
        <w:t>Credits</w:t>
      </w:r>
      <w:r>
        <w:rPr>
          <w:rFonts w:eastAsia="Cambria" w:cs="Cambria"/>
          <w:b w:val="false"/>
          <w:bCs w:val="false"/>
          <w:i w:val="false"/>
          <w:iCs w:val="false"/>
          <w:sz w:val="22"/>
          <w:szCs w:val="22"/>
        </w:rPr>
        <w:t>. So vermeidest du es: Nimm mindestens den Arbeitgeber-</w:t>
      </w:r>
      <w:r>
        <w:rPr>
          <w:rFonts w:eastAsia="Cambria" w:cs="Cambria"/>
          <w:b w:val="false"/>
          <w:bCs w:val="false"/>
          <w:i/>
          <w:iCs/>
          <w:sz w:val="22"/>
          <w:szCs w:val="22"/>
        </w:rPr>
        <w:t>Match</w:t>
      </w:r>
      <w:r>
        <w:rPr>
          <w:rFonts w:eastAsia="Cambria" w:cs="Cambria"/>
          <w:b w:val="false"/>
          <w:bCs w:val="false"/>
          <w:i w:val="false"/>
          <w:iCs w:val="false"/>
          <w:sz w:val="22"/>
          <w:szCs w:val="22"/>
        </w:rPr>
        <w:t xml:space="preserve"> beim 401(k) mit, prüfe freiwillige deutsche Rentenbeiträge, und rechne beide Renten mit einem Berater durch, der beide Systeme kennt (siehe Kapitel </w:t>
      </w:r>
      <w:hyperlink w:anchor="k39">
        <w:r>
          <w:rPr>
            <w:rStyle w:val="ListLabel115"/>
            <w:rFonts w:eastAsia="Cambria" w:cs="Cambria"/>
            <w:b w:val="false"/>
            <w:bCs w:val="false"/>
            <w:i w:val="false"/>
            <w:iCs w:val="false"/>
            <w:sz w:val="22"/>
            <w:szCs w:val="22"/>
          </w:rPr>
          <w:t>39</w:t>
        </w:r>
      </w:hyperlink>
      <w:r>
        <w:rPr>
          <w:rFonts w:eastAsia="Cambria" w:cs="Cambria"/>
          <w:b w:val="false"/>
          <w:bCs w:val="false"/>
          <w:i w:val="false"/>
          <w:iCs w:val="false"/>
          <w:sz w:val="22"/>
          <w:szCs w:val="22"/>
        </w:rPr>
        <w:t>).</w:t>
      </w:r>
    </w:p>
    <w:p>
      <w:pPr>
        <w:pStyle w:val="ListParagraph"/>
        <w:numPr>
          <w:ilvl w:val="0"/>
          <w:numId w:val="58"/>
        </w:numPr>
        <w:spacing w:lineRule="exact" w:line="288" w:before="0" w:after="60"/>
        <w:rPr/>
      </w:pPr>
      <w:r>
        <w:rPr>
          <w:rFonts w:eastAsia="Cambria" w:cs="Cambria"/>
          <w:b/>
          <w:bCs/>
          <w:i w:val="false"/>
          <w:iCs w:val="false"/>
          <w:sz w:val="22"/>
          <w:szCs w:val="22"/>
        </w:rPr>
        <w:t>Wegzug und Abmeldung in Deutschland verschlafen.</w:t>
      </w:r>
      <w:r>
        <w:rPr>
          <w:rFonts w:eastAsia="Cambria" w:cs="Cambria"/>
          <w:b w:val="false"/>
          <w:bCs w:val="false"/>
          <w:i w:val="false"/>
          <w:iCs w:val="false"/>
          <w:sz w:val="22"/>
          <w:szCs w:val="22"/>
        </w:rPr>
        <w:t xml:space="preserve"> Warum das passiert: Die Meldebehörde verlangt die Abmeldung binnen zwei Wochen nach dem Auszug, und viele Verträge – Rundfunkbeitrag, Versicherungen, Konten – enden nicht automatisch, sondern erst durch aktives Handeln. Was es kostet: bis zu 1.000 € Bußgeld für eine verspätete Abmeldung, dazu weiterlaufende Beiträge und Rundfunkgebühr, die sich über Monate summieren. So vermeidest du es: Erstelle eine Liste aller laufenden Verträge, melde dich rechtzeitig ab, lass dir eine Abmeldebescheinigung ausstellen und kopiere sie, und benenne einen Zustellungsbevollmächtigten für das Finanzamt (siehe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 xml:space="preserve"> und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w:t>
      </w:r>
    </w:p>
    <w:p>
      <w:pPr>
        <w:pStyle w:val="ListParagraph"/>
        <w:numPr>
          <w:ilvl w:val="0"/>
          <w:numId w:val="59"/>
        </w:numPr>
        <w:spacing w:lineRule="exact" w:line="288" w:before="0" w:after="60"/>
        <w:rPr/>
      </w:pPr>
      <w:r>
        <w:rPr>
          <w:rFonts w:eastAsia="Cambria" w:cs="Cambria"/>
          <w:b/>
          <w:bCs/>
          <w:i w:val="false"/>
          <w:iCs w:val="false"/>
          <w:sz w:val="22"/>
          <w:szCs w:val="22"/>
        </w:rPr>
        <w:t>Fehlende Kredithistorie blockiert den Start.</w:t>
      </w:r>
      <w:r>
        <w:rPr>
          <w:rFonts w:eastAsia="Cambria" w:cs="Cambria"/>
          <w:b w:val="false"/>
          <w:bCs w:val="false"/>
          <w:i w:val="false"/>
          <w:iCs w:val="false"/>
          <w:sz w:val="22"/>
          <w:szCs w:val="22"/>
        </w:rPr>
        <w:t xml:space="preserve"> Warum das passiert: Die Schufa zählt in den USA nicht; der </w:t>
      </w:r>
      <w:r>
        <w:rPr>
          <w:rFonts w:eastAsia="Cambria" w:cs="Cambria"/>
          <w:b w:val="false"/>
          <w:bCs w:val="false"/>
          <w:i/>
          <w:iCs/>
          <w:sz w:val="22"/>
          <w:szCs w:val="22"/>
        </w:rPr>
        <w:t>Credit Score</w:t>
      </w:r>
      <w:r>
        <w:rPr>
          <w:rFonts w:eastAsia="Cambria" w:cs="Cambria"/>
          <w:b w:val="false"/>
          <w:bCs w:val="false"/>
          <w:i w:val="false"/>
          <w:iCs w:val="false"/>
          <w:sz w:val="22"/>
          <w:szCs w:val="22"/>
        </w:rPr>
        <w:t xml:space="preserve"> (meist FICO-Score) entsteht erst vor Ort durch Kredite, Kreditkarten und pünktliche Zahlungen – am ersten Tag hast du keinen schlechten Score, sondern gar keinen. Was es kostet: Ohne Score sind Mietwohnungen, Handyverträge und günstige Kredite schwerer zu bekommen oder teurer, etwa durch höhere Kaution oder Vorauszahlung. So vermeidest du es: Beantrage früh eine besicherte Kreditkarte, zahle sie pünktlich und vollständig zurück, kündige die erste Karte später nicht vorschnell, und plane die ersten Monate mit alternativen Nachweisen (siehe Kapitel </w:t>
      </w:r>
      <w:hyperlink w:anchor="k24">
        <w:r>
          <w:rPr>
            <w:rStyle w:val="ListLabel115"/>
            <w:rFonts w:eastAsia="Cambria" w:cs="Cambria"/>
            <w:b w:val="false"/>
            <w:bCs w:val="false"/>
            <w:i w:val="false"/>
            <w:iCs w:val="false"/>
            <w:sz w:val="22"/>
            <w:szCs w:val="22"/>
          </w:rPr>
          <w:t>24</w:t>
        </w:r>
      </w:hyperlink>
      <w:r>
        <w:rPr>
          <w:rFonts w:eastAsia="Cambria" w:cs="Cambria"/>
          <w:b w:val="false"/>
          <w:bCs w:val="false"/>
          <w:i w:val="false"/>
          <w:iCs w:val="false"/>
          <w:sz w:val="22"/>
          <w:szCs w:val="22"/>
        </w:rPr>
        <w:t xml:space="preserve"> und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PFIC-Regel aus Falle 7 greift ab dem Tag deiner steuerlichen Ansässigkeit, nicht erst ab dem Umzug selbst. Wer sich vorher schon lange in den USA aufhält, hat die Falle oft ausgelöst, bevor der Umzugswagen überhaupt gebucht ist. Kläre den Stichtag mit einem Steuerberater, der beide Länder kennt.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Wohnen, Umzug und Alltagstechnik (Fallen 12–16)</w:t>
      </w:r>
    </w:p>
    <w:p>
      <w:pPr>
        <w:pStyle w:val="ListParagraph"/>
        <w:numPr>
          <w:ilvl w:val="0"/>
          <w:numId w:val="60"/>
        </w:numPr>
        <w:spacing w:lineRule="exact" w:line="288" w:before="0" w:after="60"/>
        <w:rPr/>
      </w:pPr>
      <w:r>
        <w:rPr>
          <w:rFonts w:eastAsia="Cambria" w:cs="Cambria"/>
          <w:b/>
          <w:bCs/>
          <w:i w:val="false"/>
          <w:iCs w:val="false"/>
          <w:sz w:val="22"/>
          <w:szCs w:val="22"/>
        </w:rPr>
        <w:t>Mieten ohne Score.</w:t>
      </w:r>
      <w:r>
        <w:rPr>
          <w:rFonts w:eastAsia="Cambria" w:cs="Cambria"/>
          <w:b w:val="false"/>
          <w:bCs w:val="false"/>
          <w:i w:val="false"/>
          <w:iCs w:val="false"/>
          <w:sz w:val="22"/>
          <w:szCs w:val="22"/>
        </w:rPr>
        <w:t xml:space="preserve"> Warum das passiert: Hausverwaltungen prüfen Einkommen, Visum und vor allem den Credit Score; Neuankömmlinge haben oft alles außer Letzterem. Ein fehlender Score wirkt auf viele Vermieter wie eine unbeschriebene Seite – manche lesen darin ein Risiko, wo eigentlich nur ein Neuanfang steht. Was es kostet: Als Faustregel verlangen Vermieter das Dreifache der Monatsmiete als Bruttoeinkommen, in New York sogar das Vierzigfache als Jahreseinkommen; ohne Score kommen Bürgschaftsdienste mit 40–130 % einer Monatsmiete oder Vorauszahlungen von zwei bis zwölf Monatsmieten hinzu. So vermeidest du es: Bewirb dich mit Arbeitsvertrag, Einkommensnachweis und einem Angebot für Vorauszahlung oder Bürgschaftsdienst, statt auf einen persönlichen Bürgen zu hoffen, den kaum eine Verwaltung akzeptiert (siehe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w:t>
      </w:r>
    </w:p>
    <w:p>
      <w:pPr>
        <w:pStyle w:val="ListParagraph"/>
        <w:numPr>
          <w:ilvl w:val="0"/>
          <w:numId w:val="61"/>
        </w:numPr>
        <w:spacing w:lineRule="exact" w:line="288" w:before="0" w:after="60"/>
        <w:rPr/>
      </w:pPr>
      <w:r>
        <w:rPr>
          <w:rFonts w:eastAsia="Cambria" w:cs="Cambria"/>
          <w:b/>
          <w:bCs/>
          <w:i w:val="false"/>
          <w:iCs w:val="false"/>
          <w:sz w:val="22"/>
          <w:szCs w:val="22"/>
        </w:rPr>
        <w:t>Die Kosten des Umzugs selbst.</w:t>
      </w:r>
      <w:r>
        <w:rPr>
          <w:rFonts w:eastAsia="Cambria" w:cs="Cambria"/>
          <w:b w:val="false"/>
          <w:bCs w:val="false"/>
          <w:i w:val="false"/>
          <w:iCs w:val="false"/>
          <w:sz w:val="22"/>
          <w:szCs w:val="22"/>
        </w:rPr>
        <w:t xml:space="preserve"> Warum das passiert: Zwischen Sammelladung, Container, Luftfracht und Zwischenlagerung entstehen leicht mehrere Tausend Euro, und ein Umzugszuschuss des Arbeitgebers ist in den USA steuerpflichtiger Lohn – ein </w:t>
      </w:r>
      <w:r>
        <w:rPr>
          <w:rFonts w:eastAsia="Cambria" w:cs="Cambria"/>
          <w:b w:val="false"/>
          <w:bCs w:val="false"/>
          <w:i/>
          <w:iCs/>
          <w:sz w:val="22"/>
          <w:szCs w:val="22"/>
        </w:rPr>
        <w:t>Gross-up</w:t>
      </w:r>
      <w:r>
        <w:rPr>
          <w:rFonts w:eastAsia="Cambria" w:cs="Cambria"/>
          <w:b w:val="false"/>
          <w:bCs w:val="false"/>
          <w:i w:val="false"/>
          <w:iCs w:val="false"/>
          <w:sz w:val="22"/>
          <w:szCs w:val="22"/>
        </w:rPr>
        <w:t xml:space="preserve"> zur Nettoaufstockung verteuert ihn für den Arbeitgeber um etwa 30–55 %. Was es kostet: Ein 20-Fuß-Container kostet ab Deutschland etwa 4.000–7.500 €, eine Sammelladung 2.500–6.000 €, jeweils ohne Zustellung; die Schiffsreise dauert vier bis zwölf Wochen. So vermeidest du es: Verhandle brutto und netto getrennt, reduziere das Volumen vor dem Angebot, wähle die Nebensaison, und plane eine möbellose Übergangszeit fest ein (siehe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w:t>
      </w:r>
    </w:p>
    <w:p>
      <w:pPr>
        <w:pStyle w:val="ListParagraph"/>
        <w:numPr>
          <w:ilvl w:val="0"/>
          <w:numId w:val="62"/>
        </w:numPr>
        <w:spacing w:lineRule="exact" w:line="288" w:before="0" w:after="60"/>
        <w:rPr/>
      </w:pPr>
      <w:r>
        <w:rPr>
          <w:rFonts w:eastAsia="Cambria" w:cs="Cambria"/>
          <w:b/>
          <w:bCs/>
          <w:i w:val="false"/>
          <w:iCs w:val="false"/>
          <w:sz w:val="22"/>
          <w:szCs w:val="22"/>
        </w:rPr>
        <w:t>Deutsche 230-V-Geräte funktionieren nicht einfach so.</w:t>
      </w:r>
      <w:r>
        <w:rPr>
          <w:rFonts w:eastAsia="Cambria" w:cs="Cambria"/>
          <w:b w:val="false"/>
          <w:bCs w:val="false"/>
          <w:i w:val="false"/>
          <w:iCs w:val="false"/>
          <w:sz w:val="22"/>
          <w:szCs w:val="22"/>
        </w:rPr>
        <w:t xml:space="preserve"> Warum das passiert: Die US-Steckdose liefert 120 V bei 60 Hz statt 230 V bei 50 Hz; ein Adapter ändert nur die Steckerform, nicht die Spannung, und Geräte mit Heizelement, Motor oder fester Frequenz vertragen das nicht. Die Lieblings-Kaffeemaschine aus dem Hochzeitsgeschenk dankt das mit einem kurzen Surren, einem Hauch verschmortem Plastik – und Stille. Was es kostet: Mitgenommene Küchengeräte, Lampen oder die alte Stereoanlage werden im schlechtesten Fall zum teuren Sperrmüll; ein Spannungswandler lohnt sich bei Geräten über 1.000 Watt ohnehin kaum. So vermeidest du es: Prüfe vor dem Packen das Typenschild jedes Geräts auf „100–240 V“, nimm nur Geräte mit diesem Bereich mit, und plane Küchengeräte, Lampen und größere Elektrogeräte als Neukauf vor Ort ein (siehe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w:t>
      </w:r>
    </w:p>
    <w:p>
      <w:pPr>
        <w:pStyle w:val="ListParagraph"/>
        <w:numPr>
          <w:ilvl w:val="0"/>
          <w:numId w:val="63"/>
        </w:numPr>
        <w:spacing w:lineRule="exact" w:line="288" w:before="0" w:after="60"/>
        <w:rPr/>
      </w:pPr>
      <w:r>
        <w:rPr>
          <w:rFonts w:eastAsia="Cambria" w:cs="Cambria"/>
          <w:b/>
          <w:bCs/>
          <w:i w:val="false"/>
          <w:iCs w:val="false"/>
          <w:sz w:val="22"/>
          <w:szCs w:val="22"/>
        </w:rPr>
        <w:t>Zu früh ein Haus kaufen.</w:t>
      </w:r>
      <w:r>
        <w:rPr>
          <w:rFonts w:eastAsia="Cambria" w:cs="Cambria"/>
          <w:b w:val="false"/>
          <w:bCs w:val="false"/>
          <w:i w:val="false"/>
          <w:iCs w:val="false"/>
          <w:sz w:val="22"/>
          <w:szCs w:val="22"/>
        </w:rPr>
        <w:t xml:space="preserve"> Warum das passiert: Nach Jahren des Mietens in Deutschland fühlt sich Kaufen nach dem folgerichtigen nächsten Schritt an, noch bevor du Viertel, Schulbezirk und Pendelwege wirklich kennst. Was es kostet: Kauf und Verkauf zusammen verschlingen rund 10 % des Preises, und viele Finanzierungen setzen eine Restlaufzeit des Visums von mindestens zwölf Monaten und oft zwei Jahre US-Arbeitshistorie voraus; ein zu früher Kauf bindet dich, wenn Job oder Status sich ändern. So vermeidest du es: Miete mindestens das erste Jahr, baue nebenbei deine Kredithistorie auf, und rechne erst danach Kaufen gegen Mieten (siehe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 xml:space="preserve"> und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w:t>
      </w:r>
    </w:p>
    <w:p>
      <w:pPr>
        <w:pStyle w:val="ListParagraph"/>
        <w:numPr>
          <w:ilvl w:val="0"/>
          <w:numId w:val="64"/>
        </w:numPr>
        <w:spacing w:lineRule="exact" w:line="288" w:before="0" w:after="60"/>
        <w:rPr/>
      </w:pPr>
      <w:r>
        <w:rPr>
          <w:rFonts w:eastAsia="Cambria" w:cs="Cambria"/>
          <w:b/>
          <w:bCs/>
          <w:i w:val="false"/>
          <w:iCs w:val="false"/>
          <w:sz w:val="22"/>
          <w:szCs w:val="22"/>
        </w:rPr>
        <w:t>Die Schulwahl ist die Wohnortwahl.</w:t>
      </w:r>
      <w:r>
        <w:rPr>
          <w:rFonts w:eastAsia="Cambria" w:cs="Cambria"/>
          <w:b w:val="false"/>
          <w:bCs w:val="false"/>
          <w:i w:val="false"/>
          <w:iCs w:val="false"/>
          <w:sz w:val="22"/>
          <w:szCs w:val="22"/>
        </w:rPr>
        <w:t xml:space="preserve"> Warum das passiert: Die öffentliche Schule richtet sich strikt nach dem Schulbezirk (</w:t>
      </w:r>
      <w:r>
        <w:rPr>
          <w:rFonts w:eastAsia="Cambria" w:cs="Cambria"/>
          <w:b w:val="false"/>
          <w:bCs w:val="false"/>
          <w:i/>
          <w:iCs/>
          <w:sz w:val="22"/>
          <w:szCs w:val="22"/>
        </w:rPr>
        <w:t>School District</w:t>
      </w:r>
      <w:r>
        <w:rPr>
          <w:rFonts w:eastAsia="Cambria" w:cs="Cambria"/>
          <w:b w:val="false"/>
          <w:bCs w:val="false"/>
          <w:i w:val="false"/>
          <w:iCs w:val="false"/>
          <w:sz w:val="22"/>
          <w:szCs w:val="22"/>
        </w:rPr>
        <w:t>) der Wohnadresse, nicht nach der Stadt insgesamt; wer die Adresse wählt, wählt damit auch die Schule der Kinder. Was es kostet: Gefragte Schulbezirke kosten beim Mieten und Kaufen einen spürbaren Aufschlag, ein späterer Umzug bedeutet für die Kinder meist auch einen Schulwechsel. So vermeidest du es: Prüfe Schulbezirke schon bei der Wohnungssuche statt danach, nutze Bewertungsportale nur als groben Anhaltspunkt, und sprich mit anderen Eltern vor Ort, bevor du dich festlegst (siehe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xml:space="preserve"> und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Familie, Gesundheit und Behörden (Fallen 17–20)</w:t>
      </w:r>
    </w:p>
    <w:p>
      <w:pPr>
        <w:pStyle w:val="ListParagraph"/>
        <w:numPr>
          <w:ilvl w:val="0"/>
          <w:numId w:val="65"/>
        </w:numPr>
        <w:spacing w:lineRule="exact" w:line="288" w:before="0" w:after="60"/>
        <w:rPr/>
      </w:pPr>
      <w:r>
        <w:rPr>
          <w:rFonts w:eastAsia="Cambria" w:cs="Cambria"/>
          <w:b/>
          <w:bCs/>
          <w:i w:val="false"/>
          <w:iCs w:val="false"/>
          <w:sz w:val="22"/>
          <w:szCs w:val="22"/>
        </w:rPr>
        <w:t>Versicherungslücken beim Übergang.</w:t>
      </w:r>
      <w:r>
        <w:rPr>
          <w:rFonts w:eastAsia="Cambria" w:cs="Cambria"/>
          <w:b w:val="false"/>
          <w:bCs w:val="false"/>
          <w:i w:val="false"/>
          <w:iCs w:val="false"/>
          <w:sz w:val="22"/>
          <w:szCs w:val="22"/>
        </w:rPr>
        <w:t xml:space="preserve"> Warum das passiert: Zwischen dem Ende der deutschen Absicherung und dem Start der US-Krankenversicherung liegen oft drei bis vier Monate, weil Arbeitgeberpläne bis zu 90 Tage Wartefrist verlangen dürfen und die Deckung meist erst zum Monatsersten beginnt. Was es kostet: Ein Unfall oder eine Geburt in dieser Lücke kann Zehntausende Dollar aus eigener Tasche kosten. So vermeidest du es: Kündige die freiwillige deutsche Mitgliedschaft nie auf Verdacht, sondern erst nach Nachweis einer Anschlusslösung, schließe für die Übergangszeit eine Auslandskrankenversicherung ab, und verhandle „Deckung ab Tag eins“ beim Jobangebot (siehe Kapitel </w:t>
      </w:r>
      <w:hyperlink w:anchor="k18">
        <w:r>
          <w:rPr>
            <w:rStyle w:val="ListLabel115"/>
            <w:rFonts w:eastAsia="Cambria" w:cs="Cambria"/>
            <w:b w:val="false"/>
            <w:bCs w:val="false"/>
            <w:i w:val="false"/>
            <w:iCs w:val="false"/>
            <w:sz w:val="22"/>
            <w:szCs w:val="22"/>
          </w:rPr>
          <w:t>18</w:t>
        </w:r>
      </w:hyperlink>
      <w:r>
        <w:rPr>
          <w:rFonts w:eastAsia="Cambria" w:cs="Cambria"/>
          <w:b w:val="false"/>
          <w:bCs w:val="false"/>
          <w:i w:val="false"/>
          <w:iCs w:val="false"/>
          <w:sz w:val="22"/>
          <w:szCs w:val="22"/>
        </w:rPr>
        <w:t xml:space="preserve"> und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w:t>
      </w:r>
    </w:p>
    <w:p>
      <w:pPr>
        <w:pStyle w:val="ListParagraph"/>
        <w:numPr>
          <w:ilvl w:val="0"/>
          <w:numId w:val="66"/>
        </w:numPr>
        <w:spacing w:lineRule="exact" w:line="288" w:before="0" w:after="60"/>
        <w:rPr/>
      </w:pPr>
      <w:r>
        <w:rPr>
          <w:rFonts w:eastAsia="Cambria" w:cs="Cambria"/>
          <w:b/>
          <w:bCs/>
          <w:i w:val="false"/>
          <w:iCs w:val="false"/>
          <w:sz w:val="22"/>
          <w:szCs w:val="22"/>
        </w:rPr>
        <w:t>Kinderbetreuungskosten werden unterschätzt.</w:t>
      </w:r>
      <w:r>
        <w:rPr>
          <w:rFonts w:eastAsia="Cambria" w:cs="Cambria"/>
          <w:b w:val="false"/>
          <w:bCs w:val="false"/>
          <w:i w:val="false"/>
          <w:iCs w:val="false"/>
          <w:sz w:val="22"/>
          <w:szCs w:val="22"/>
        </w:rPr>
        <w:t xml:space="preserve"> Warum das passiert: Kinderbetreuung ist in den USA weder staatlich gedeckelt noch flächendeckend bezuschusst, und Au-pairs sind für Familien mit H-1B, L-1 oder E-2 kategorisch ausgeschlossen. Was es kostet: im Schnitt 13.184 $ im Jahr pro Kind, in Großstädten deutlich mehr, oft mit Wartelisten schon ab der Schwangerschaft; bezahlten Elternurlaub gibt es nur in zwölf Bundesstaaten. So vermeidest du es: Melde dich für Betreuungsplätze an, sobald die Schwangerschaft feststeht, vergleiche Kita-Alternativen, Tagesmutter und Au-pair-Ersatz, und plane die Betreuungskosten im Haushaltsbudget ein (siehe Kapitel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w:t>
      </w:r>
    </w:p>
    <w:p>
      <w:pPr>
        <w:pStyle w:val="ListParagraph"/>
        <w:numPr>
          <w:ilvl w:val="0"/>
          <w:numId w:val="67"/>
        </w:numPr>
        <w:spacing w:lineRule="exact" w:line="288" w:before="0" w:after="60"/>
        <w:rPr/>
      </w:pPr>
      <w:r>
        <w:rPr>
          <w:rFonts w:eastAsia="Cambria" w:cs="Cambria"/>
          <w:b/>
          <w:bCs/>
          <w:i w:val="false"/>
          <w:iCs w:val="false"/>
          <w:sz w:val="22"/>
          <w:szCs w:val="22"/>
        </w:rPr>
        <w:t>Geburt in den USA – Staatsbürgerschaft, Kosten, Fristen.</w:t>
      </w:r>
      <w:r>
        <w:rPr>
          <w:rFonts w:eastAsia="Cambria" w:cs="Cambria"/>
          <w:b w:val="false"/>
          <w:bCs w:val="false"/>
          <w:i w:val="false"/>
          <w:iCs w:val="false"/>
          <w:sz w:val="22"/>
          <w:szCs w:val="22"/>
        </w:rPr>
        <w:t xml:space="preserve"> Warum das passiert: Ein in den USA geborenes Kind ist mit der Geburt automatisch US-Bürger, unabhängig vom Visum der Eltern; das ändert nichts daran, dass die Rechnung dafür privat versichert werden muss. Was es kostet: im Schnitt rund 20.400 $ Gesamtrechnung, davon rund 2.743 $ Eigenanteil bei Arbeitgeberversicherung, mehr beim Kaiserschnitt; das Neugeborene muss binnen 30 Tagen im Versicherungsplan angemeldet werden. So vermeidest du es: Kläre den Versicherungsbeginn vor der Schwangerschaft, melde das Kind sofort nach der Geburt im Plan an, und beantrage parallel deutsche Geburtsurkunde und Reisepass für das zugleich deutsche Kind (siehe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xml:space="preserve"> und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w:t>
      </w:r>
    </w:p>
    <w:p>
      <w:pPr>
        <w:pStyle w:val="ListParagraph"/>
        <w:numPr>
          <w:ilvl w:val="0"/>
          <w:numId w:val="68"/>
        </w:numPr>
        <w:spacing w:lineRule="exact" w:line="288" w:before="0" w:after="60"/>
        <w:rPr/>
      </w:pPr>
      <w:r>
        <w:rPr>
          <w:rFonts w:eastAsia="Cambria" w:cs="Cambria"/>
          <w:b/>
          <w:bCs/>
          <w:i w:val="false"/>
          <w:iCs w:val="false"/>
          <w:sz w:val="22"/>
          <w:szCs w:val="22"/>
        </w:rPr>
        <w:t>Die Ämterkette blockiert den Start.</w:t>
      </w:r>
      <w:r>
        <w:rPr>
          <w:rFonts w:eastAsia="Cambria" w:cs="Cambria"/>
          <w:b w:val="false"/>
          <w:bCs w:val="false"/>
          <w:i w:val="false"/>
          <w:iCs w:val="false"/>
          <w:sz w:val="22"/>
          <w:szCs w:val="22"/>
        </w:rPr>
        <w:t xml:space="preserve"> Warum das passiert: Ohne Sozialversicherungsnummer (SSN) kein US-Bankkonto, ohne Bankkonto oft kein Handyvertrag mit Laufzeit, ohne beides manchmal keine Wohnung – die ersten Wochen hängen an einer strikten Reihenfolge, die viele Neuankömmlinge nicht kennen. Was es kostet: Wochen an Zeit und Umwegen über Prepaid-Tarife oder Bargeld, wenn die Reihenfolge missachtet wird. So vermeidest du es: Beantrage die SSN in der ersten Woche, informiere die Personalabteilung, dass sie noch fehlt, und überbrücke die Zwischenzeit mit Prepaid-Lösungen statt auf einen Vertrag zu warten (siehe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 xml:space="preserve"> und </w:t>
      </w:r>
      <w:hyperlink w:anchor="k24">
        <w:r>
          <w:rPr>
            <w:rStyle w:val="ListLabel115"/>
            <w:rFonts w:eastAsia="Cambria" w:cs="Cambria"/>
            <w:b w:val="false"/>
            <w:bCs w:val="false"/>
            <w:i w:val="false"/>
            <w:iCs w:val="false"/>
            <w:sz w:val="22"/>
            <w:szCs w:val="22"/>
          </w:rPr>
          <w:t>24</w:t>
        </w:r>
      </w:hyperlink>
      <w:r>
        <w:rPr>
          <w:rFonts w:eastAsia="Cambria" w:cs="Cambria"/>
          <w:b w:val="false"/>
          <w:bCs w:val="false"/>
          <w:i w:val="false"/>
          <w:iCs w:val="false"/>
          <w:sz w:val="22"/>
          <w:szCs w:val="22"/>
        </w:rPr>
        <w:t>).</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Ankommen, Alltag und Rückkehr (Fallen 21–25)</w:t>
      </w:r>
    </w:p>
    <w:p>
      <w:pPr>
        <w:pStyle w:val="ListParagraph"/>
        <w:numPr>
          <w:ilvl w:val="0"/>
          <w:numId w:val="69"/>
        </w:numPr>
        <w:spacing w:lineRule="exact" w:line="288" w:before="0" w:after="60"/>
        <w:rPr/>
      </w:pPr>
      <w:r>
        <w:rPr>
          <w:rFonts w:eastAsia="Cambria" w:cs="Cambria"/>
          <w:b/>
          <w:bCs/>
          <w:i w:val="false"/>
          <w:iCs w:val="false"/>
          <w:sz w:val="22"/>
          <w:szCs w:val="22"/>
        </w:rPr>
        <w:t>Einsamkeit nach dem Umzug.</w:t>
      </w:r>
      <w:r>
        <w:rPr>
          <w:rFonts w:eastAsia="Cambria" w:cs="Cambria"/>
          <w:b w:val="false"/>
          <w:bCs w:val="false"/>
          <w:i w:val="false"/>
          <w:iCs w:val="false"/>
          <w:sz w:val="22"/>
          <w:szCs w:val="22"/>
        </w:rPr>
        <w:t xml:space="preserve"> Warum das passiert: Kollegen, Schule und Nachbarschaft ersetzen nicht automatisch das über Jahre gewachsene Netz aus Familie und Freunden in Deutschland; wer sich zurückzieht, verlängert die Talsohle des Kulturschocks. Das zeigt sich oft nicht dramatisch, sondern leise: ein Samstagabend ohne eine einzige Nachricht auf dem Handy, während in Deutschland gerade alle beim Grillen zusammensitzen. Was es kostet: Neben dem emotionalen Preis leidet oft die Beziehung, besonders wenn ein Partner nicht arbeiten darf. So vermeidest du es: Suche aktiv Anschluss über Vereine, Nachbarschaft, Kirche oder Meetup-Gruppen, sprich offen über Heimweh statt es zu verdrängen, und hol dir Hilfe, wenn die Talsohle über Monate anhält (siehe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 xml:space="preserve"> und </w:t>
      </w:r>
      <w:hyperlink w:anchor="k33">
        <w:r>
          <w:rPr>
            <w:rStyle w:val="ListLabel115"/>
            <w:rFonts w:eastAsia="Cambria" w:cs="Cambria"/>
            <w:b w:val="false"/>
            <w:bCs w:val="false"/>
            <w:i w:val="false"/>
            <w:iCs w:val="false"/>
            <w:sz w:val="22"/>
            <w:szCs w:val="22"/>
          </w:rPr>
          <w:t>33</w:t>
        </w:r>
      </w:hyperlink>
      <w:r>
        <w:rPr>
          <w:rFonts w:eastAsia="Cambria" w:cs="Cambria"/>
          <w:b w:val="false"/>
          <w:bCs w:val="false"/>
          <w:i w:val="false"/>
          <w:iCs w:val="false"/>
          <w:sz w:val="22"/>
          <w:szCs w:val="22"/>
        </w:rPr>
        <w:t>).</w:t>
      </w:r>
    </w:p>
    <w:p>
      <w:pPr>
        <w:pStyle w:val="ListParagraph"/>
        <w:numPr>
          <w:ilvl w:val="0"/>
          <w:numId w:val="70"/>
        </w:numPr>
        <w:spacing w:lineRule="exact" w:line="288" w:before="0" w:after="60"/>
        <w:rPr/>
      </w:pPr>
      <w:r>
        <w:rPr>
          <w:rFonts w:eastAsia="Cambria" w:cs="Cambria"/>
          <w:b/>
          <w:bCs/>
          <w:i w:val="false"/>
          <w:iCs w:val="false"/>
          <w:sz w:val="22"/>
          <w:szCs w:val="22"/>
        </w:rPr>
        <w:t>Die Sprachbarriere der Kinder wird unterschätzt.</w:t>
      </w:r>
      <w:r>
        <w:rPr>
          <w:rFonts w:eastAsia="Cambria" w:cs="Cambria"/>
          <w:b w:val="false"/>
          <w:bCs w:val="false"/>
          <w:i w:val="false"/>
          <w:iCs w:val="false"/>
          <w:sz w:val="22"/>
          <w:szCs w:val="22"/>
        </w:rPr>
        <w:t xml:space="preserve"> Warum das passiert: Eltern unterschätzen oft, wie weit Alltagsenglisch von Schulenglisch entfernt ist; ein Kind kann sich auf dem Spielplatz gut verständigen und im Unterricht trotzdem nicht folgen. Was es kostet: Notenabfall, Frustration und im schlimmsten Fall eine falsche Einstufung, wenn Sprachprobleme mit Lernschwierigkeiten verwechselt werden. So vermeidest du es: Melde dein Kind beim </w:t>
      </w:r>
      <w:r>
        <w:rPr>
          <w:rFonts w:eastAsia="Cambria" w:cs="Cambria"/>
          <w:b w:val="false"/>
          <w:bCs w:val="false"/>
          <w:i/>
          <w:iCs/>
          <w:sz w:val="22"/>
          <w:szCs w:val="22"/>
        </w:rPr>
        <w:t>English-Learner</w:t>
      </w:r>
      <w:r>
        <w:rPr>
          <w:rFonts w:eastAsia="Cambria" w:cs="Cambria"/>
          <w:b w:val="false"/>
          <w:bCs w:val="false"/>
          <w:i w:val="false"/>
          <w:iCs w:val="false"/>
          <w:sz w:val="22"/>
          <w:szCs w:val="22"/>
        </w:rPr>
        <w:t xml:space="preserve">-Programm des Schulbezirks an, fülle den </w:t>
      </w:r>
      <w:r>
        <w:rPr>
          <w:rFonts w:eastAsia="Cambria" w:cs="Cambria"/>
          <w:b w:val="false"/>
          <w:bCs w:val="false"/>
          <w:i/>
          <w:iCs/>
          <w:sz w:val="22"/>
          <w:szCs w:val="22"/>
        </w:rPr>
        <w:t>Home Language Survey</w:t>
      </w:r>
      <w:r>
        <w:rPr>
          <w:rFonts w:eastAsia="Cambria" w:cs="Cambria"/>
          <w:b w:val="false"/>
          <w:bCs w:val="false"/>
          <w:i w:val="false"/>
          <w:iCs w:val="false"/>
          <w:sz w:val="22"/>
          <w:szCs w:val="22"/>
        </w:rPr>
        <w:t xml:space="preserve"> wahrheitsgemäß aus, und nutzt Bibliothek und Sprachtandems auch als Eltern (siehe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 xml:space="preserve"> und </w:t>
      </w:r>
      <w:hyperlink w:anchor="k37">
        <w:r>
          <w:rPr>
            <w:rStyle w:val="ListLabel115"/>
            <w:rFonts w:eastAsia="Cambria" w:cs="Cambria"/>
            <w:b w:val="false"/>
            <w:bCs w:val="false"/>
            <w:i w:val="false"/>
            <w:iCs w:val="false"/>
            <w:sz w:val="22"/>
            <w:szCs w:val="22"/>
          </w:rPr>
          <w:t>37</w:t>
        </w:r>
      </w:hyperlink>
      <w:r>
        <w:rPr>
          <w:rFonts w:eastAsia="Cambria" w:cs="Cambria"/>
          <w:b w:val="false"/>
          <w:bCs w:val="false"/>
          <w:i w:val="false"/>
          <w:iCs w:val="false"/>
          <w:sz w:val="22"/>
          <w:szCs w:val="22"/>
        </w:rPr>
        <w:t>).</w:t>
      </w:r>
    </w:p>
    <w:p>
      <w:pPr>
        <w:pStyle w:val="ListParagraph"/>
        <w:numPr>
          <w:ilvl w:val="0"/>
          <w:numId w:val="71"/>
        </w:numPr>
        <w:spacing w:lineRule="exact" w:line="288" w:before="0" w:after="60"/>
        <w:rPr/>
      </w:pPr>
      <w:r>
        <w:rPr>
          <w:rFonts w:eastAsia="Cambria" w:cs="Cambria"/>
          <w:b/>
          <w:bCs/>
          <w:i w:val="false"/>
          <w:iCs w:val="false"/>
          <w:sz w:val="22"/>
          <w:szCs w:val="22"/>
        </w:rPr>
        <w:t>Preise ohne Steuer und Trinkgeld.</w:t>
      </w:r>
      <w:r>
        <w:rPr>
          <w:rFonts w:eastAsia="Cambria" w:cs="Cambria"/>
          <w:b w:val="false"/>
          <w:bCs w:val="false"/>
          <w:i w:val="false"/>
          <w:iCs w:val="false"/>
          <w:sz w:val="22"/>
          <w:szCs w:val="22"/>
        </w:rPr>
        <w:t xml:space="preserve"> Warum das passiert: Preisschilder zeigen in den USA den Nettopreis; die Verkaufssteuer (</w:t>
      </w:r>
      <w:r>
        <w:rPr>
          <w:rFonts w:eastAsia="Cambria" w:cs="Cambria"/>
          <w:b w:val="false"/>
          <w:bCs w:val="false"/>
          <w:i/>
          <w:iCs/>
          <w:sz w:val="22"/>
          <w:szCs w:val="22"/>
        </w:rPr>
        <w:t>Sales Tax</w:t>
      </w:r>
      <w:r>
        <w:rPr>
          <w:rFonts w:eastAsia="Cambria" w:cs="Cambria"/>
          <w:b w:val="false"/>
          <w:bCs w:val="false"/>
          <w:i w:val="false"/>
          <w:iCs w:val="false"/>
          <w:sz w:val="22"/>
          <w:szCs w:val="22"/>
        </w:rPr>
        <w:t>) kommt erst an der Kasse dazu, und in Restaurants, Bars und beim Friseur ist Trinkgeld Teil des Lohns, keine Kür. Was es kostet: Rechne mit rund einem Viertel Aufschlag auf den angezeigten Preis; üblich sind 18–20 % Trinkgeld vom Betrag vor Steuer, weniger fällt unangenehm auf. So vermeidest du es: Kalkuliere von Anfang an mit dem Aufschlag, informiere dich über die Sales Tax deines Bundesstaats und Landkreises, und gib in Restaurants nie unter 15 % (siehe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w:t>
      </w:r>
    </w:p>
    <w:p>
      <w:pPr>
        <w:pStyle w:val="ListParagraph"/>
        <w:numPr>
          <w:ilvl w:val="0"/>
          <w:numId w:val="72"/>
        </w:numPr>
        <w:spacing w:lineRule="exact" w:line="288" w:before="0" w:after="60"/>
        <w:rPr/>
      </w:pPr>
      <w:r>
        <w:rPr>
          <w:rFonts w:eastAsia="Cambria" w:cs="Cambria"/>
          <w:b/>
          <w:bCs/>
          <w:i w:val="false"/>
          <w:iCs w:val="false"/>
          <w:sz w:val="22"/>
          <w:szCs w:val="22"/>
        </w:rPr>
        <w:t>DUI und Einwanderung.</w:t>
      </w:r>
      <w:r>
        <w:rPr>
          <w:rFonts w:eastAsia="Cambria" w:cs="Cambria"/>
          <w:b w:val="false"/>
          <w:bCs w:val="false"/>
          <w:i w:val="false"/>
          <w:iCs w:val="false"/>
          <w:sz w:val="22"/>
          <w:szCs w:val="22"/>
        </w:rPr>
        <w:t xml:space="preserve"> Warum das passiert: Trunkenheit am Steuer (</w:t>
      </w:r>
      <w:r>
        <w:rPr>
          <w:rFonts w:eastAsia="Cambria" w:cs="Cambria"/>
          <w:b w:val="false"/>
          <w:bCs w:val="false"/>
          <w:i/>
          <w:iCs/>
          <w:sz w:val="22"/>
          <w:szCs w:val="22"/>
        </w:rPr>
        <w:t>DUI</w:t>
      </w:r>
      <w:r>
        <w:rPr>
          <w:rFonts w:eastAsia="Cambria" w:cs="Cambria"/>
          <w:b w:val="false"/>
          <w:bCs w:val="false"/>
          <w:i w:val="false"/>
          <w:iCs w:val="false"/>
          <w:sz w:val="22"/>
          <w:szCs w:val="22"/>
        </w:rPr>
        <w:t>) wird in den USA strafrechtlich und einwanderungsrechtlich strenger behandelt als der vergleichbare Verstoß in Deutschland. Was es kostet: Neben Bußgeld und Führerscheinentzug drohen ein Visum-Widerruf und, bei Verletzten, einem Kind im Auto, entzogenem Führerschein oder Wiederholung, im Ernstfall sogar ein Abschiebegrund; danach wird auch bei Green-Card- und Einbürgerungsanträgen gefragt. Fast jede Drogenverurteilung wiegt noch schwerer. So vermeidest du es: Fahre nach Alkohol grundsätzlich nicht selbst, nutze feste Fahrdienste oder Rideshare, und meide Cannabis auch dort, wo einzelne Bundesstaaten es erlauben, denn bundesrechtlich bleibt es verboten (siehe Kapitel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 xml:space="preserve"> und </w:t>
      </w:r>
      <w:hyperlink w:anchor="k40">
        <w:r>
          <w:rPr>
            <w:rStyle w:val="ListLabel115"/>
            <w:rFonts w:eastAsia="Cambria" w:cs="Cambria"/>
            <w:b w:val="false"/>
            <w:bCs w:val="false"/>
            <w:i w:val="false"/>
            <w:iCs w:val="false"/>
            <w:sz w:val="22"/>
            <w:szCs w:val="22"/>
          </w:rPr>
          <w:t>40</w:t>
        </w:r>
      </w:hyperlink>
      <w:r>
        <w:rPr>
          <w:rFonts w:eastAsia="Cambria" w:cs="Cambria"/>
          <w:b w:val="false"/>
          <w:bCs w:val="false"/>
          <w:i w:val="false"/>
          <w:iCs w:val="false"/>
          <w:sz w:val="22"/>
          <w:szCs w:val="22"/>
        </w:rPr>
        <w:t>).</w:t>
      </w:r>
    </w:p>
    <w:p>
      <w:pPr>
        <w:pStyle w:val="ListParagraph"/>
        <w:numPr>
          <w:ilvl w:val="0"/>
          <w:numId w:val="73"/>
        </w:numPr>
        <w:spacing w:lineRule="exact" w:line="288" w:before="0" w:after="60"/>
        <w:rPr/>
      </w:pPr>
      <w:r>
        <w:rPr>
          <w:rFonts w:eastAsia="Cambria" w:cs="Cambria"/>
          <w:b/>
          <w:bCs/>
          <w:i w:val="false"/>
          <w:iCs w:val="false"/>
          <w:sz w:val="22"/>
          <w:szCs w:val="22"/>
        </w:rPr>
        <w:t>Krankenversicherung bei der Rückkehr vergessen.</w:t>
      </w:r>
      <w:r>
        <w:rPr>
          <w:rFonts w:eastAsia="Cambria" w:cs="Cambria"/>
          <w:b w:val="false"/>
          <w:bCs w:val="false"/>
          <w:i w:val="false"/>
          <w:iCs w:val="false"/>
          <w:sz w:val="22"/>
          <w:szCs w:val="22"/>
        </w:rPr>
        <w:t xml:space="preserve"> Warum das passiert: Wer Jahre in den USA privat oder über den Arbeitgeber versichert war, hat oft keine aktuelle Anwartschaft in der deutschen gesetzlichen Krankenversicherung mehr und unterschätzt, wie viel Vorlauf eine Rückkehr braucht. Was es kostet: Ohne rechtzeitige Klärung drohen Deckungslücken, ein teurer Wiedereinstieg in die private Versicherung oder Ablehnungen wegen Vorerkrankungen. So vermeidest du es: Kläre Krankenversicherung, letzte US-Steuererklärung und, bei langer Green-Card-Zeit, die </w:t>
      </w:r>
      <w:r>
        <w:rPr>
          <w:rFonts w:eastAsia="Cambria" w:cs="Cambria"/>
          <w:b w:val="false"/>
          <w:bCs w:val="false"/>
          <w:i/>
          <w:iCs/>
          <w:sz w:val="22"/>
          <w:szCs w:val="22"/>
        </w:rPr>
        <w:t>Exit Tax</w:t>
      </w:r>
      <w:r>
        <w:rPr>
          <w:rFonts w:eastAsia="Cambria" w:cs="Cambria"/>
          <w:b w:val="false"/>
          <w:bCs w:val="false"/>
          <w:i w:val="false"/>
          <w:iCs w:val="false"/>
          <w:sz w:val="22"/>
          <w:szCs w:val="22"/>
        </w:rPr>
        <w:t xml:space="preserve"> mit drei bis sechs Monaten Vorlauf, und richte den Rückkehrzeitpunkt am deutschen Schuljahr der Kinder aus (siehe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einzelner DUI-Eintrag aus Falle 24 kann Jahre später bei einer Green-Card- oder Einbürgerungsprüfung wieder auftauchen, selbst wenn die Strafe in den USA längst beglichen ist. Verschweige einen solchen Eintrag im Antrag niemals – das wiegt oft schwerer als der Vorfall selbst.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Wer diese 25 Fallen kennt, vermeidet die teuersten Fehler schon vor dem Abflug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Manche Fallen liegen außerhalb deiner Kontrolle: Lotterie, Age-out, Kündigung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meisten Kosten lassen sich mit Vorlauf auf ein Minimum drücken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Zwei Rechtssysteme gleichzeitig bedeuten dauerhaften Beratungsaufwand</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Fristen wie die 60-Tage-Regel oder die Anmeldefrist für Neugeborene sind planbar, sobald du sie kennst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Bürokratie in zwei Ländern verlangt Zeit, die du im Alltag erst einplanen musst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Jede Falle hier verweist auf ein Fachkapitel mit dem vollständigen Vorgehen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Eine Liste ersetzt keine individuelle Rechts- und Steuerberatung</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Lies dieses Kapitel nicht als Warnung vor der Auswanderung, sondern als Landkarte der Stolperstellen. Geh die Liste einmal mit deiner Situation durch und markiere, was zutreffen könnte: Familie mit Kindern, geplanter Hauskauf, laufender Fondssparplan. Details: Visum und Status in Kapitel </w:t>
      </w:r>
      <w:hyperlink w:anchor="k4">
        <w:r>
          <w:rPr>
            <w:rStyle w:val="ListLabel115"/>
            <w:rFonts w:eastAsia="Cambria" w:cs="Cambria"/>
            <w:b w:val="false"/>
            <w:bCs w:val="false"/>
            <w:i w:val="false"/>
            <w:iCs w:val="false"/>
            <w:sz w:val="22"/>
            <w:szCs w:val="22"/>
          </w:rPr>
          <w:t>4</w:t>
        </w:r>
      </w:hyperlink>
      <w:r>
        <w:rPr>
          <w:rFonts w:eastAsia="Cambria" w:cs="Cambria"/>
          <w:b w:val="false"/>
          <w:bCs w:val="false"/>
          <w:i w:val="false"/>
          <w:iCs w:val="false"/>
          <w:sz w:val="22"/>
          <w:szCs w:val="22"/>
        </w:rPr>
        <w:t xml:space="preserve"> bis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 Geld und Steuern in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 xml:space="preserve">,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 xml:space="preserve">,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xml:space="preserve"> und </w:t>
      </w:r>
      <w:hyperlink w:anchor="k39">
        <w:r>
          <w:rPr>
            <w:rStyle w:val="ListLabel115"/>
            <w:rFonts w:eastAsia="Cambria" w:cs="Cambria"/>
            <w:b w:val="false"/>
            <w:bCs w:val="false"/>
            <w:i w:val="false"/>
            <w:iCs w:val="false"/>
            <w:sz w:val="22"/>
            <w:szCs w:val="22"/>
          </w:rPr>
          <w:t>39</w:t>
        </w:r>
      </w:hyperlink>
      <w:r>
        <w:rPr>
          <w:rFonts w:eastAsia="Cambria" w:cs="Cambria"/>
          <w:b w:val="false"/>
          <w:bCs w:val="false"/>
          <w:i w:val="false"/>
          <w:iCs w:val="false"/>
          <w:sz w:val="22"/>
          <w:szCs w:val="22"/>
        </w:rPr>
        <w:t>, Wohnen und Ankommen in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xml:space="preserve"> bis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xml:space="preserve"> und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xml:space="preserve"> bis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 Familie und Alltag in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xml:space="preserve"> bis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 xml:space="preserve"> und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 Der Masterplan in Kapitel </w:t>
      </w:r>
      <w:hyperlink w:anchor="k15">
        <w:r>
          <w:rPr>
            <w:rStyle w:val="ListLabel115"/>
            <w:rFonts w:eastAsia="Cambria" w:cs="Cambria"/>
            <w:b w:val="false"/>
            <w:bCs w:val="false"/>
            <w:i w:val="false"/>
            <w:iCs w:val="false"/>
            <w:sz w:val="22"/>
            <w:szCs w:val="22"/>
          </w:rPr>
          <w:t>15</w:t>
        </w:r>
      </w:hyperlink>
      <w:r>
        <w:rPr>
          <w:rFonts w:eastAsia="Cambria" w:cs="Cambria"/>
          <w:b w:val="false"/>
          <w:bCs w:val="false"/>
          <w:i w:val="false"/>
          <w:iCs w:val="false"/>
          <w:sz w:val="22"/>
          <w:szCs w:val="22"/>
        </w:rPr>
        <w:t xml:space="preserve"> bringt alle Fristen anschließend in eine gemeinsame Zeitleiste.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Rücklage von mindestens sechs Monatsfixkosten aufbauen, bevor du kündigst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21. Geburtstag aller mitreisenden Kinder im Kalender notieren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Deutsche Fondssparpläne vor dem steuerlichen Zuzug mit einem Steuerberater klären (PFIC)</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Alle deutschen Verträge und Konten für die Abmeldung auflisten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Übergangsversicherung für die Lücke zwischen deutscher und US-Krankenversicherung abschließen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Erste besicherte Kreditkarte gleich nach der SSN beantragen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Schulbezirk vor der Wohnungssuche prüfen, nicht danach</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Typenschilder aller Elektrogeräte auf „100–240 V“ kontrollieren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Betreuungsplatz für Kinder so früh wie möglich anfragen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Sales Tax und Trinkgeld-Aufschlag ins Alltagsbudget einrechnen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Formulare und Statusfragen (</w:t>
      </w:r>
      <w:hyperlink r:id="rId37">
        <w:r>
          <w:rPr>
            <w:rStyle w:val="ListLabel113"/>
            <w:rFonts w:eastAsia="Cambria" w:cs="Cambria"/>
            <w:b w:val="false"/>
            <w:bCs w:val="false"/>
            <w:i w:val="false"/>
            <w:iCs w:val="false"/>
            <w:color w:val="0563C1"/>
            <w:sz w:val="22"/>
            <w:szCs w:val="22"/>
            <w:u w:val="single"/>
          </w:rPr>
          <w:t>uscis.gov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Doppelbesteuerungsabkommen Deutschland–USA (</w:t>
      </w:r>
      <w:hyperlink r:id="rId38">
        <w:r>
          <w:rPr>
            <w:rStyle w:val="ListLabel113"/>
            <w:rFonts w:eastAsia="Cambria" w:cs="Cambria"/>
            <w:b w:val="false"/>
            <w:bCs w:val="false"/>
            <w:i w:val="false"/>
            <w:iCs w:val="false"/>
            <w:color w:val="0563C1"/>
            <w:sz w:val="22"/>
            <w:szCs w:val="22"/>
            <w:u w:val="single"/>
          </w:rPr>
          <w:t>irs.gov/pub/irs-trty/germany.pdf</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Vergleich FBAR und Form 8938 (</w:t>
      </w:r>
      <w:hyperlink r:id="rId39">
        <w:r>
          <w:rPr>
            <w:rStyle w:val="ListLabel113"/>
            <w:rFonts w:eastAsia="Cambria" w:cs="Cambria"/>
            <w:b w:val="false"/>
            <w:bCs w:val="false"/>
            <w:i w:val="false"/>
            <w:iCs w:val="false"/>
            <w:color w:val="0563C1"/>
            <w:sz w:val="22"/>
            <w:szCs w:val="22"/>
            <w:u w:val="single"/>
          </w:rPr>
          <w:t>irs.gov/businesses/comparison-of-form-8938-and-fbar-requirements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Consumer Financial Protection Bureau – Credit Score und Verbraucherrechte (</w:t>
      </w:r>
      <w:hyperlink r:id="rId40">
        <w:r>
          <w:rPr>
            <w:rStyle w:val="ListLabel113"/>
            <w:rFonts w:eastAsia="Cambria" w:cs="Cambria"/>
            <w:b w:val="false"/>
            <w:bCs w:val="false"/>
            <w:i w:val="false"/>
            <w:iCs w:val="false"/>
            <w:color w:val="0563C1"/>
            <w:sz w:val="22"/>
            <w:szCs w:val="22"/>
            <w:u w:val="single"/>
          </w:rPr>
          <w:t>consumerfinance.gov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Child Care Aware of America – Kosten der Kinderbetreuung (</w:t>
      </w:r>
      <w:hyperlink r:id="rId41">
        <w:r>
          <w:rPr>
            <w:rStyle w:val="ListLabel113"/>
            <w:rFonts w:eastAsia="Cambria" w:cs="Cambria"/>
            <w:b w:val="false"/>
            <w:bCs w:val="false"/>
            <w:i w:val="false"/>
            <w:iCs w:val="false"/>
            <w:color w:val="0563C1"/>
            <w:sz w:val="22"/>
            <w:szCs w:val="22"/>
            <w:u w:val="single"/>
          </w:rPr>
          <w:t>childcareaware.org</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Bundesfinanzministerium – FAQ zur Reform der privaten Altersvorsorge (</w:t>
      </w:r>
      <w:hyperlink r:id="rId42">
        <w:r>
          <w:rPr>
            <w:rStyle w:val="ListLabel113"/>
            <w:rFonts w:eastAsia="Cambria" w:cs="Cambria"/>
            <w:b w:val="false"/>
            <w:bCs w:val="false"/>
            <w:i w:val="false"/>
            <w:iCs w:val="false"/>
            <w:color w:val="0563C1"/>
            <w:sz w:val="22"/>
            <w:szCs w:val="22"/>
            <w:u w:val="single"/>
          </w:rPr>
          <w:t>bundesfinanzministerium.de</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Gebühren, Fristen und Schwellenwerte – etwa die H-1B-Zusatzzahlung, die 60-Tage-Frist, FBAR-Grenzen oder Kinderbetreuungskosten – ändern sich häufig und teils durch laufende Gerichtsverfahren. Prüfe vor jeder Entscheidung die aktuellen Angaben im jeweiligen Fachkapitel und auf den offiziellen Seiten.</w:t>
            </w:r>
          </w:p>
        </w:tc>
      </w:tr>
    </w:tbl>
    <w:p>
      <w:pPr>
        <w:pStyle w:val="Normal"/>
        <w:spacing w:lineRule="exact" w:line="220" w:before="0" w:after="0"/>
        <w:rPr/>
      </w:pPr>
      <w:r>
        <w:rPr/>
      </w:r>
      <w:r>
        <w:br w:type="page"/>
      </w:r>
    </w:p>
    <w:p>
      <w:pPr>
        <w:pStyle w:val="Heading2"/>
        <w:keepNext w:val="true"/>
        <w:spacing w:before="0" w:after="300"/>
        <w:jc w:val="center"/>
        <w:rPr/>
      </w:pPr>
      <w:bookmarkStart w:id="14" w:name="__RefHeading___Toc56433_3769931028"/>
      <w:bookmarkStart w:id="15" w:name="k3"/>
      <w:bookmarkEnd w:id="14"/>
      <w:r>
        <w:rPr>
          <w:rFonts w:eastAsia="Amazon Ember" w:cs="Amazon Ember" w:ascii="Amazon Ember" w:hAnsi="Amazon Ember"/>
          <w:b/>
          <w:bCs/>
          <w:color w:val="0000FF"/>
          <w:sz w:val="36"/>
          <w:szCs w:val="36"/>
        </w:rPr>
        <w:t>Kapitel 3: Lohnt es sich für mich? Rechnen, prüfen, entscheiden</w:t>
      </w:r>
      <w:bookmarkEnd w:id="15"/>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Auf dem Küchentisch liegt ein Jobangebot aus Seattle: 145.000 $ im Jahr, fast das Doppelte des aktuellen deutschen Bruttogehalts. Die Excel-Tabelle mit dem Vergleich ist in zehn Minuten fertig – und komplett falsch, weil sie nur eine Zeile hat: das Bruttogehalt. Was am Ende jeden Monat auf dem Konto bleibt, entscheidet sich erst nach Steuern, Sozialabgaben, Krankenversicherung, Miete und, mit Kindern, nach der Kinderbetreuung. Zwischen dem ersten Eindruck „fast doppelt so viel“ und der ehrlichen Zahl liegen je nach Bundesstaat, Stadt und Familiengröße oft mehrere Zehntausend Dollar im Jahr – in beide Richtungen. Dieses Kapitel rechnet drei vereinfachte Beispiele durch, ordnet die Entscheidung in eine Matrix und bringt sie an den Familientisch, bevor sie auf dem Verhandlungstisch mit dem Arbeitgeber landet.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Vergleiche nie Brutto mit Brutto: Erst nach Steuern, Sozialabgaben, Krankenversicherung, Miete und Kinderbetreuung zeigt sich, was wirklich bleibt.</w:t>
            </w:r>
          </w:p>
          <w:p>
            <w:pPr>
              <w:pStyle w:val="ListParagraph"/>
              <w:numPr>
                <w:ilvl w:val="0"/>
                <w:numId w:val="1"/>
              </w:numPr>
              <w:spacing w:lineRule="exact" w:line="264" w:before="0" w:after="50"/>
              <w:rPr/>
            </w:pPr>
            <w:r>
              <w:rPr>
                <w:rFonts w:eastAsia="Cambria" w:cs="Cambria"/>
                <w:b w:val="false"/>
                <w:bCs w:val="false"/>
                <w:i w:val="false"/>
                <w:iCs w:val="false"/>
                <w:sz w:val="20"/>
                <w:szCs w:val="20"/>
              </w:rPr>
              <w:t>Drei vereinfachte Beispielrechnungen (Single, Paar, Familie mit zwei Kindern) zeigen den Rechenweg – und wie stark Bundesstaat, Stadt und Partnerstatus das Ergebnis verschieben.</w:t>
            </w:r>
          </w:p>
          <w:p>
            <w:pPr>
              <w:pStyle w:val="ListParagraph"/>
              <w:numPr>
                <w:ilvl w:val="0"/>
                <w:numId w:val="1"/>
              </w:numPr>
              <w:spacing w:lineRule="exact" w:line="264" w:before="0" w:after="50"/>
              <w:rPr/>
            </w:pPr>
            <w:r>
              <w:rPr>
                <w:rFonts w:eastAsia="Cambria" w:cs="Cambria"/>
                <w:b w:val="false"/>
                <w:bCs w:val="false"/>
                <w:i w:val="false"/>
                <w:iCs w:val="false"/>
                <w:sz w:val="20"/>
                <w:szCs w:val="20"/>
              </w:rPr>
              <w:t>Trenne Muss-, Kann- und Ausschlusskriterien in einer Entscheidungsmatrix, bevor Gefühl und Gehaltszahl durcheinandergeraten.</w:t>
            </w:r>
          </w:p>
          <w:p>
            <w:pPr>
              <w:pStyle w:val="ListParagraph"/>
              <w:numPr>
                <w:ilvl w:val="0"/>
                <w:numId w:val="1"/>
              </w:numPr>
              <w:spacing w:lineRule="exact" w:line="264" w:before="0" w:after="50"/>
              <w:rPr/>
            </w:pPr>
            <w:r>
              <w:rPr>
                <w:rFonts w:eastAsia="Cambria" w:cs="Cambria"/>
                <w:b w:val="false"/>
                <w:bCs w:val="false"/>
                <w:i w:val="false"/>
                <w:iCs w:val="false"/>
                <w:sz w:val="20"/>
                <w:szCs w:val="20"/>
              </w:rPr>
              <w:t>Der Familienrat gehört vor die Unterschrift: Partnerkarriere, Kinder je nach Lebensalter, Eltern in Deutschland, die Immobilie.</w:t>
            </w:r>
          </w:p>
          <w:p>
            <w:pPr>
              <w:pStyle w:val="ListParagraph"/>
              <w:numPr>
                <w:ilvl w:val="0"/>
                <w:numId w:val="1"/>
              </w:numPr>
              <w:spacing w:lineRule="exact" w:line="264" w:before="0" w:after="50"/>
              <w:rPr/>
            </w:pPr>
            <w:r>
              <w:rPr>
                <w:rFonts w:eastAsia="Cambria" w:cs="Cambria"/>
                <w:b w:val="false"/>
                <w:bCs w:val="false"/>
                <w:i w:val="false"/>
                <w:iCs w:val="false"/>
                <w:sz w:val="20"/>
                <w:szCs w:val="20"/>
              </w:rPr>
              <w:t>Verhandle mit dem Arbeitgeber, bevor du zusagst: Relocation, unabhängiger Anwalt, Green-Card-Sponsoring, Steuerberatung, Rückkehrklausel.</w:t>
            </w:r>
          </w:p>
          <w:p>
            <w:pPr>
              <w:pStyle w:val="ListParagraph"/>
              <w:numPr>
                <w:ilvl w:val="0"/>
                <w:numId w:val="1"/>
              </w:numPr>
              <w:spacing w:lineRule="exact" w:line="264" w:before="0" w:after="50"/>
              <w:rPr/>
            </w:pPr>
            <w:r>
              <w:rPr>
                <w:rFonts w:eastAsia="Cambria" w:cs="Cambria"/>
                <w:b w:val="false"/>
                <w:bCs w:val="false"/>
                <w:i w:val="false"/>
                <w:iCs w:val="false"/>
                <w:sz w:val="20"/>
                <w:szCs w:val="20"/>
              </w:rPr>
              <w:t>Denke in zwei bis drei Jahren statt „für immer“ – das nimmt Druck von der Entscheidung und lässt die Rückkehroption offen (Kapitel </w:t>
            </w:r>
            <w:hyperlink w:anchor="k42">
              <w:r>
                <w:rPr>
                  <w:rStyle w:val="ListLabel114"/>
                  <w:rFonts w:eastAsia="Cambria" w:cs="Cambria"/>
                  <w:b w:val="false"/>
                  <w:bCs w:val="false"/>
                  <w:i w:val="false"/>
                  <w:iCs w:val="false"/>
                  <w:sz w:val="20"/>
                  <w:szCs w:val="20"/>
                </w:rPr>
                <w:t>42</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Warum der Brutto-Vergleich in die Irre führt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Deutschland kennst du dein Netto aus der Gehaltsabrechnung; in den USA musst du es selbst zusammensetzen: Bund, Bundesstaat und oft die Kommune erheben Steuern, dazu kommen Sozialabgaben (</w:t>
      </w:r>
      <w:r>
        <w:rPr>
          <w:rFonts w:eastAsia="Cambria" w:cs="Cambria"/>
          <w:b w:val="false"/>
          <w:bCs w:val="false"/>
          <w:i/>
          <w:iCs/>
          <w:sz w:val="22"/>
          <w:szCs w:val="22"/>
        </w:rPr>
        <w:t>FICA</w:t>
      </w:r>
      <w:r>
        <w:rPr>
          <w:rFonts w:eastAsia="Cambria" w:cs="Cambria"/>
          <w:b w:val="false"/>
          <w:bCs w:val="false"/>
          <w:i w:val="false"/>
          <w:iCs w:val="false"/>
          <w:sz w:val="22"/>
          <w:szCs w:val="22"/>
        </w:rPr>
        <w:t>) und, anders als in der gesetzlichen Krankenversicherung, ein eigener Krankenversicherungsbeitrag, der nicht in den Abgaben steckt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Miete und, mit Kindern, Kinderbetreuung schwanken zusätzlich stark nach Ort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xml:space="preserve"> bis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xml:space="preserve"> und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 Ein Gehalt, das in Houston komfortabel ist, kann in San Francisco knapp werden. Wer das Bruttogehalt im Kopf einfach verdoppelt und schon die Sektkorken knallen lässt, hat die Rechnung meist zu früh beendet.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folgenden drei Rechnungen bauen auf den bereits geprüften Zahlen aus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xml:space="preserve">,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xml:space="preserve">,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 xml:space="preserve">,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xml:space="preserve"> und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 xml:space="preserve"> auf und führen sie erstmals zu einem vollständigen Netto-Vergleich zusammen. Sie sind bewusst vereinfacht: ohne 401(k) und Bonus, mit Durchschnittswerten statt deines konkreten Angebots, mit einer groben Näherung für die deutsche Seite. Die deutschen Zahlen stammen aus eigener Rechnung auf Basis des Einkommensteuertarifs und grober Sozialabgabenquoten; sie ersetzen keinen Gehaltsrechner.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Behalte zwei Dinge im Kopf: Erstens verschieben Bundesstaat und Stadt das Ergebnis stärker als das Gehalt selbst –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xml:space="preserve"> zeigt für dasselbe Bruttogehalt eine Spanne von mehreren Prozentpunkten Netto allein durch den Bundesstaat, und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 xml:space="preserve"> zeigt bei der Miete eine Spanne vom Zwei- bis Dreifachen zwischen günstigen und teuren Metropolregionen. Zweitens: Die Rechnung hier ist ein Ausgangspunkt für dein eigenes Angebot, kein Ersatz dafür. Trage dein tatsächliches Gehalt, deinen Zielstaat und deine reale Miete ein, sobald du sie kennst.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rechnet vereinfachte Beispiele, keine Steuer- oder Finanzberatung. Jede der drei Rechnungen lässt Faktoren weg, die bei dir anders ausfallen: 401(k) und Bonus, Aktienvergütung, Kirchensteuer, dein tatsächlicher deutscher Grenzsteuersatz, das Ehegattensplitting. Nutze die Beispiele als Ausgangspunkt für deine eigene Rechnung, nicht als Ergebnis.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Beispiel 1: Single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Eine ledige Fachkraft mit 120.000 $ Jahresgehalt zieht mit H-1B-Status nach Seattle, Washington. Nach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xml:space="preserve"> bleiben ihr dort, weil Inhaber eines Nichteinwanderervisums seit 1. Januar 2026 von der Pflegeabgabe </w:t>
      </w:r>
      <w:r>
        <w:rPr>
          <w:rFonts w:eastAsia="Cambria" w:cs="Cambria"/>
          <w:b w:val="false"/>
          <w:bCs w:val="false"/>
          <w:i/>
          <w:iCs/>
          <w:sz w:val="22"/>
          <w:szCs w:val="22"/>
        </w:rPr>
        <w:t>WA Cares</w:t>
      </w:r>
      <w:r>
        <w:rPr>
          <w:rFonts w:eastAsia="Cambria" w:cs="Cambria"/>
          <w:b w:val="false"/>
          <w:bCs w:val="false"/>
          <w:i w:val="false"/>
          <w:iCs w:val="false"/>
          <w:sz w:val="22"/>
          <w:szCs w:val="22"/>
        </w:rPr>
        <w:t xml:space="preserve"> befreit sind, netto 92.281 $ (76,9 %) nach Bundessteuer, Sozialabgaben und Staatsumlage. Davon gehen im Schnitt 1.440 $ Krankenversicherungsbeitrag ab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und die Miete für eine 1BR-Wohnung in Seattle, im Schnitt 2.217 $ im Monat oder 26.604 $ im Jahr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2936"/>
        <w:gridCol w:w="2203"/>
        <w:gridCol w:w="1341"/>
      </w:tblGrid>
      <w:tr>
        <w:trPr>
          <w:tblHeader w:val="true"/>
          <w:cantSplit w:val="true"/>
        </w:trPr>
        <w:tc>
          <w:tcPr>
            <w:tcW w:w="293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Posten pro Jahr</w:t>
            </w:r>
          </w:p>
        </w:tc>
        <w:tc>
          <w:tcPr>
            <w:tcW w:w="220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Deutschland (Näherung)</w:t>
            </w:r>
          </w:p>
        </w:tc>
        <w:tc>
          <w:tcPr>
            <w:tcW w:w="134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USA (Näherung)</w:t>
            </w:r>
          </w:p>
        </w:tc>
      </w:tr>
      <w:tr>
        <w:trPr>
          <w:cantSplit w:val="true"/>
        </w:trPr>
        <w:tc>
          <w:tcPr>
            <w:tcW w:w="29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Bruttogehalt</w:t>
            </w:r>
          </w:p>
        </w:tc>
        <w:tc>
          <w:tcPr>
            <w:tcW w:w="22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104.700 €</w:t>
            </w:r>
          </w:p>
        </w:tc>
        <w:tc>
          <w:tcPr>
            <w:tcW w:w="13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120.000 $</w:t>
            </w:r>
          </w:p>
        </w:tc>
      </w:tr>
      <w:tr>
        <w:trPr>
          <w:cantSplit w:val="true"/>
        </w:trPr>
        <w:tc>
          <w:tcPr>
            <w:tcW w:w="29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Steuern und Sozialabgaben</w:t>
            </w:r>
          </w:p>
        </w:tc>
        <w:tc>
          <w:tcPr>
            <w:tcW w:w="22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44.300 €</w:t>
            </w:r>
          </w:p>
        </w:tc>
        <w:tc>
          <w:tcPr>
            <w:tcW w:w="13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27.719 $</w:t>
            </w:r>
          </w:p>
        </w:tc>
      </w:tr>
      <w:tr>
        <w:trPr>
          <w:cantSplit w:val="true"/>
        </w:trPr>
        <w:tc>
          <w:tcPr>
            <w:tcW w:w="29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Netto nach Steuern</w:t>
            </w:r>
          </w:p>
        </w:tc>
        <w:tc>
          <w:tcPr>
            <w:tcW w:w="22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60.400 €</w:t>
            </w:r>
          </w:p>
        </w:tc>
        <w:tc>
          <w:tcPr>
            <w:tcW w:w="13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92.281 $</w:t>
            </w:r>
          </w:p>
        </w:tc>
      </w:tr>
      <w:tr>
        <w:trPr>
          <w:cantSplit w:val="true"/>
        </w:trPr>
        <w:tc>
          <w:tcPr>
            <w:tcW w:w="29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Krankenversicherung (Eigenanteil)</w:t>
            </w:r>
          </w:p>
        </w:tc>
        <w:tc>
          <w:tcPr>
            <w:tcW w:w="22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 Sozialabgaben enthalten</w:t>
            </w:r>
          </w:p>
        </w:tc>
        <w:tc>
          <w:tcPr>
            <w:tcW w:w="13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1.440 $</w:t>
            </w:r>
          </w:p>
        </w:tc>
      </w:tr>
      <w:tr>
        <w:trPr>
          <w:cantSplit w:val="true"/>
        </w:trPr>
        <w:tc>
          <w:tcPr>
            <w:tcW w:w="29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Miete</w:t>
            </w:r>
          </w:p>
        </w:tc>
        <w:tc>
          <w:tcPr>
            <w:tcW w:w="22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10.200 €</w:t>
            </w:r>
          </w:p>
        </w:tc>
        <w:tc>
          <w:tcPr>
            <w:tcW w:w="13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26.604 $</w:t>
            </w:r>
          </w:p>
        </w:tc>
      </w:tr>
      <w:tr>
        <w:trPr>
          <w:cantSplit w:val="true"/>
        </w:trPr>
        <w:tc>
          <w:tcPr>
            <w:tcW w:w="29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Verfügbares Einkommen</w:t>
            </w:r>
          </w:p>
        </w:tc>
        <w:tc>
          <w:tcPr>
            <w:tcW w:w="22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50.200 €</w:t>
            </w:r>
          </w:p>
        </w:tc>
        <w:tc>
          <w:tcPr>
            <w:tcW w:w="13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64.237 $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deutsche Seite rechnet mit dem umgerechneten Bruttogehalt von rund 104.700 €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und der dort bereits geprüften Näherung für Sozialabgaben und Steuern eines Ledigen ohne Kirchensteuer (Steuerklasse I, Faktenblatt R07). Für die Miete setzen wir eine 60-m²-Wohnung zum bundesweiten Durchschnitt für Neuverträge an (rund 11,40 € pro Quadratmeter kalt, September 2026, laut einem Immobilienportal), aufgerundet auf eine Warmmiete von rund 850 € im Monat. In diesem Beispiel bleibt der Single in Seattle trotz hoher Miete am Ende mehr übrig als in Deutschland – aber deutlich weniger, als der reine Brutto-Vergleich (120.000 $ gegen 104.700 €) suggeriert.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Wähle die ledige Fachkraft stattdessen eine günstigere Region wie Houston oder Austin statt Seattle, sinkt die Miete nach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 xml:space="preserve"> auf rund die Hälfte, während Bruttogehalt und Steuerlast ähnlich bleiben können. Die Stadtwahl wirkt in diesem Beispiel stärker auf das verfügbare Einkommen als jeder realistische Gehaltsunterschied zwischen zwei Jobangeboten. Wer über die Gehaltszahl verhandelt, aber die Postleitzahl ignoriert, verhandelt am falschen Hebel.</w:t>
      </w:r>
    </w:p>
    <w:p>
      <w:pPr>
        <w:pStyle w:val="Heading3"/>
        <w:keepNext w:val="true"/>
        <w:spacing w:before="280" w:after="100"/>
        <w:jc w:val="center"/>
        <w:rPr/>
      </w:pPr>
      <w:r>
        <w:rPr>
          <w:rFonts w:eastAsia="Amazon Ember" w:cs="Amazon Ember" w:ascii="Amazon Ember" w:hAnsi="Amazon Ember"/>
          <w:b/>
          <w:bCs/>
          <w:color w:val="0000FF"/>
          <w:sz w:val="36"/>
          <w:szCs w:val="36"/>
        </w:rPr>
        <w:t>Beispiel 2: Paar ohne Kinder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Paar mit zusammen 150.000 $ Jahreseinkommen, beide berufstätig, zieht ebenfalls nach Washington und veranlagt gemeinsam (</w:t>
      </w:r>
      <w:r>
        <w:rPr>
          <w:rFonts w:eastAsia="Cambria" w:cs="Cambria"/>
          <w:b w:val="false"/>
          <w:bCs w:val="false"/>
          <w:i/>
          <w:iCs/>
          <w:sz w:val="22"/>
          <w:szCs w:val="22"/>
        </w:rPr>
        <w:t>Married Filing Jointly</w:t>
      </w:r>
      <w:r>
        <w:rPr>
          <w:rFonts w:eastAsia="Cambria" w:cs="Cambria"/>
          <w:b w:val="false"/>
          <w:bCs w:val="false"/>
          <w:i w:val="false"/>
          <w:iCs w:val="false"/>
          <w:sz w:val="22"/>
          <w:szCs w:val="22"/>
        </w:rPr>
        <w:t>). Die Bundessteuer vor Kindergutschrift beträgt nach dem Tarif aus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xml:space="preserve"> bei diesem Einkommen 15.340 $, dazu FICA von 11.475 $ und die washingtonspezifischen Umlagen von 2.081 $ – macht 28.896 $ Abzüge und 121.104 $ Netto (80,7 %).</w:t>
      </w:r>
    </w:p>
    <w:tbl>
      <w:tblPr>
        <w:tblW w:w="6480" w:type="dxa"/>
        <w:jc w:val="left"/>
        <w:tblInd w:w="0" w:type="dxa"/>
        <w:tblLayout w:type="fixed"/>
        <w:tblCellMar>
          <w:top w:w="50" w:type="dxa"/>
          <w:left w:w="80" w:type="dxa"/>
          <w:bottom w:w="50" w:type="dxa"/>
          <w:right w:w="80" w:type="dxa"/>
        </w:tblCellMar>
      </w:tblPr>
      <w:tblGrid>
        <w:gridCol w:w="2980"/>
        <w:gridCol w:w="2196"/>
        <w:gridCol w:w="1304"/>
      </w:tblGrid>
      <w:tr>
        <w:trPr>
          <w:tblHeader w:val="true"/>
          <w:cantSplit w:val="true"/>
        </w:trPr>
        <w:tc>
          <w:tcPr>
            <w:tcW w:w="298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Posten pro Jahr</w:t>
            </w:r>
          </w:p>
        </w:tc>
        <w:tc>
          <w:tcPr>
            <w:tcW w:w="219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Deutschland (Näherung)</w:t>
            </w:r>
          </w:p>
        </w:tc>
        <w:tc>
          <w:tcPr>
            <w:tcW w:w="130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USA (Näherung)</w:t>
            </w:r>
          </w:p>
        </w:tc>
      </w:tr>
      <w:tr>
        <w:trPr>
          <w:cantSplit w:val="true"/>
        </w:trPr>
        <w:tc>
          <w:tcPr>
            <w:tcW w:w="29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Bruttogehalt (gemeinsam)</w:t>
            </w:r>
          </w:p>
        </w:tc>
        <w:tc>
          <w:tcPr>
            <w:tcW w:w="21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130.890 €</w:t>
            </w:r>
          </w:p>
        </w:tc>
        <w:tc>
          <w:tcPr>
            <w:tcW w:w="13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150.000 $</w:t>
            </w:r>
          </w:p>
        </w:tc>
      </w:tr>
      <w:tr>
        <w:trPr>
          <w:cantSplit w:val="true"/>
        </w:trPr>
        <w:tc>
          <w:tcPr>
            <w:tcW w:w="29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Steuern und Sozialabgaben</w:t>
            </w:r>
          </w:p>
        </w:tc>
        <w:tc>
          <w:tcPr>
            <w:tcW w:w="21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56.300 €</w:t>
            </w:r>
          </w:p>
        </w:tc>
        <w:tc>
          <w:tcPr>
            <w:tcW w:w="13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28.896 $</w:t>
            </w:r>
          </w:p>
        </w:tc>
      </w:tr>
      <w:tr>
        <w:trPr>
          <w:cantSplit w:val="true"/>
        </w:trPr>
        <w:tc>
          <w:tcPr>
            <w:tcW w:w="29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Netto nach Steuern</w:t>
            </w:r>
          </w:p>
        </w:tc>
        <w:tc>
          <w:tcPr>
            <w:tcW w:w="21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74.600 €</w:t>
            </w:r>
          </w:p>
        </w:tc>
        <w:tc>
          <w:tcPr>
            <w:tcW w:w="13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121.104 $</w:t>
            </w:r>
          </w:p>
        </w:tc>
      </w:tr>
      <w:tr>
        <w:trPr>
          <w:cantSplit w:val="true"/>
        </w:trPr>
        <w:tc>
          <w:tcPr>
            <w:tcW w:w="29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Krankenversicherung (Eigenanteil)</w:t>
            </w:r>
          </w:p>
        </w:tc>
        <w:tc>
          <w:tcPr>
            <w:tcW w:w="21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 Sozialabgaben enthalten</w:t>
            </w:r>
          </w:p>
        </w:tc>
        <w:tc>
          <w:tcPr>
            <w:tcW w:w="13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6.850 $</w:t>
            </w:r>
          </w:p>
        </w:tc>
      </w:tr>
      <w:tr>
        <w:trPr>
          <w:cantSplit w:val="true"/>
        </w:trPr>
        <w:tc>
          <w:tcPr>
            <w:tcW w:w="29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Miete</w:t>
            </w:r>
          </w:p>
        </w:tc>
        <w:tc>
          <w:tcPr>
            <w:tcW w:w="21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12.600 €</w:t>
            </w:r>
          </w:p>
        </w:tc>
        <w:tc>
          <w:tcPr>
            <w:tcW w:w="13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26.604 $</w:t>
            </w:r>
          </w:p>
        </w:tc>
      </w:tr>
      <w:tr>
        <w:trPr>
          <w:cantSplit w:val="true"/>
        </w:trPr>
        <w:tc>
          <w:tcPr>
            <w:tcW w:w="29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Verfügbares Einkommen</w:t>
            </w:r>
          </w:p>
        </w:tc>
        <w:tc>
          <w:tcPr>
            <w:tcW w:w="21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62.000 €</w:t>
            </w:r>
          </w:p>
        </w:tc>
        <w:tc>
          <w:tcPr>
            <w:tcW w:w="13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87.650 $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Krankenversicherung setzen wir den Familientarif an (Ø 6.850 $,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er deckt eigentlich auch Kinder ab, ein eigener Durchschnitt für „Paar ohne Kinder“ liegt nicht vor, der Wert ist also eher eine vorsichtige Obergrenze. Für die deutsche Seite übertragen wir näherungsweise die Abgabenquote aus der 120.000-€-Zeile in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xml:space="preserve"> (rund 43 %) auf das etwas höhere gemeinsame Einkommen von 130.890 €; das Ehegattensplitting würde die tatsächliche Quote eher senken, der höhere Grenzsteuersatz sie eher heben – beide Effekte gleichen sich näherungsweise aus. Die Miete rechnet mit 75 m² zum bundesweiten Durchschnitt.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Zwei Einkommen bringen bei der gemeinsamen Veranlagung einen spürbaren Vorteil gegenüber dem Single-Beispiel: Ein zweites Gehalt landet in den unteren, günstigeren Stufen des gemeinsamen Tarifs, nicht in der höchsten Stufe des ersten. Das gilt aber nur, wenn beide Partner tatsächlich arbeiten dürfen – bei H-4 ist das keineswegs sicher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Beispiel 3: Familie mit zwei Kindern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Verdient ein Elternteil 150.000 $ im Michigan, während der andere mit H-4-Status zunächst nicht arbeiten darf – wie im Beispiel von Familie Brandt aus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 xml:space="preserve"> und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xml:space="preserve"> –, bleiben nach Bundessteuer, FICA und Michigan-Steuer 118.796 $ (79,2 %), weil die Kinder ohne Sozialversicherungsnummer nur die kleine Gutschrift von 500 $ statt 2.200 $ je Kind erhalten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Miete und Krankenversicherung übernehmen wir aus denselben Kapiteln: 2.400 $ im Monat für das Reihenhaus (28.800 $ im Jahr,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 und 6.850 $ Krankenversicherungsbeitrag im Familientarif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Kinderbetreuung fällt hier nicht an, weil der Partner zu Hause bleibt.</w:t>
      </w:r>
    </w:p>
    <w:tbl>
      <w:tblPr>
        <w:tblW w:w="6480" w:type="dxa"/>
        <w:jc w:val="left"/>
        <w:tblInd w:w="0" w:type="dxa"/>
        <w:tblLayout w:type="fixed"/>
        <w:tblCellMar>
          <w:top w:w="50" w:type="dxa"/>
          <w:left w:w="80" w:type="dxa"/>
          <w:bottom w:w="50" w:type="dxa"/>
          <w:right w:w="80" w:type="dxa"/>
        </w:tblCellMar>
      </w:tblPr>
      <w:tblGrid>
        <w:gridCol w:w="2822"/>
        <w:gridCol w:w="1682"/>
        <w:gridCol w:w="1976"/>
      </w:tblGrid>
      <w:tr>
        <w:trPr>
          <w:tblHeader w:val="true"/>
          <w:cantSplit w:val="true"/>
        </w:trPr>
        <w:tc>
          <w:tcPr>
            <w:tcW w:w="282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Posten pro Jahr</w:t>
            </w:r>
          </w:p>
        </w:tc>
        <w:tc>
          <w:tcPr>
            <w:tcW w:w="168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Deutschland (Näherung)</w:t>
            </w:r>
          </w:p>
        </w:tc>
        <w:tc>
          <w:tcPr>
            <w:tcW w:w="197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USA (Näherung)</w:t>
            </w:r>
          </w:p>
        </w:tc>
      </w:tr>
      <w:tr>
        <w:trPr>
          <w:cantSplit w:val="true"/>
        </w:trPr>
        <w:tc>
          <w:tcPr>
            <w:tcW w:w="28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Bruttogehalt</w:t>
            </w:r>
          </w:p>
        </w:tc>
        <w:tc>
          <w:tcPr>
            <w:tcW w:w="16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130.890 €</w:t>
            </w:r>
          </w:p>
        </w:tc>
        <w:tc>
          <w:tcPr>
            <w:tcW w:w="19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150.000 $</w:t>
            </w:r>
          </w:p>
        </w:tc>
      </w:tr>
      <w:tr>
        <w:trPr>
          <w:cantSplit w:val="true"/>
        </w:trPr>
        <w:tc>
          <w:tcPr>
            <w:tcW w:w="28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Steuern und Sozialabgaben</w:t>
            </w:r>
          </w:p>
        </w:tc>
        <w:tc>
          <w:tcPr>
            <w:tcW w:w="16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56.300 €</w:t>
            </w:r>
          </w:p>
        </w:tc>
        <w:tc>
          <w:tcPr>
            <w:tcW w:w="19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31.204 $</w:t>
            </w:r>
          </w:p>
        </w:tc>
      </w:tr>
      <w:tr>
        <w:trPr>
          <w:cantSplit w:val="true"/>
        </w:trPr>
        <w:tc>
          <w:tcPr>
            <w:tcW w:w="28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Netto nach Steuern</w:t>
            </w:r>
          </w:p>
        </w:tc>
        <w:tc>
          <w:tcPr>
            <w:tcW w:w="16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74.600 €</w:t>
            </w:r>
          </w:p>
        </w:tc>
        <w:tc>
          <w:tcPr>
            <w:tcW w:w="19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118.796 $</w:t>
            </w:r>
          </w:p>
        </w:tc>
      </w:tr>
      <w:tr>
        <w:trPr>
          <w:cantSplit w:val="true"/>
        </w:trPr>
        <w:tc>
          <w:tcPr>
            <w:tcW w:w="28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Kindergeld (zusätzliche Zahlung)</w:t>
            </w:r>
          </w:p>
        </w:tc>
        <w:tc>
          <w:tcPr>
            <w:tcW w:w="16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+ 6.216 €</w:t>
            </w:r>
          </w:p>
        </w:tc>
        <w:tc>
          <w:tcPr>
            <w:tcW w:w="19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entfällt (wirkt bereits in der Steuer)</w:t>
            </w:r>
          </w:p>
        </w:tc>
      </w:tr>
      <w:tr>
        <w:trPr>
          <w:cantSplit w:val="true"/>
        </w:trPr>
        <w:tc>
          <w:tcPr>
            <w:tcW w:w="28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Krankenversicherung (Eigenanteil)</w:t>
            </w:r>
          </w:p>
        </w:tc>
        <w:tc>
          <w:tcPr>
            <w:tcW w:w="16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 Sozialabgaben enthalten</w:t>
            </w:r>
          </w:p>
        </w:tc>
        <w:tc>
          <w:tcPr>
            <w:tcW w:w="19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6.850 $</w:t>
            </w:r>
          </w:p>
        </w:tc>
      </w:tr>
      <w:tr>
        <w:trPr>
          <w:cantSplit w:val="true"/>
        </w:trPr>
        <w:tc>
          <w:tcPr>
            <w:tcW w:w="28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Miete</w:t>
            </w:r>
          </w:p>
        </w:tc>
        <w:tc>
          <w:tcPr>
            <w:tcW w:w="16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26.760 €</w:t>
            </w:r>
          </w:p>
        </w:tc>
        <w:tc>
          <w:tcPr>
            <w:tcW w:w="19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28.800 $</w:t>
            </w:r>
          </w:p>
        </w:tc>
      </w:tr>
      <w:tr>
        <w:trPr>
          <w:cantSplit w:val="true"/>
        </w:trPr>
        <w:tc>
          <w:tcPr>
            <w:tcW w:w="28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Verfügbares Einkommen (vor Kinderbetreuung)</w:t>
            </w:r>
          </w:p>
        </w:tc>
        <w:tc>
          <w:tcPr>
            <w:tcW w:w="16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54.100 €</w:t>
            </w:r>
          </w:p>
        </w:tc>
        <w:tc>
          <w:tcPr>
            <w:tcW w:w="19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83.146 $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deutsche Miete nehmen wir, weil Familie Brandt aus dem Raum Stuttgart stammt, das Niveau einer deutschen Großstadt an (rund 18 € pro Quadratmeter, Durchschnitt der acht größten Städte, September 2026) statt des bundesweiten Durchschnitts – der Vergleich zeigt also, was diese Familie in Stuttgart gezahlt hätte, gegen das, was sie im Großraum Detroit tatsächlich zahlt. Das deutsche Kindergeld (259 € je Kind und Monat, Kapitel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 ist eine eigenständige Zahlung, kein Steuerabzug; die US-Kindergutschrift wirkt dagegen direkt in der Steuerrechnung und wurde bereits eingerechnet.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Dürfte der Partner arbeiten, kämen ein zweites Gehalt, aber auch Kinderbetreuungskosten von im Schnitt 13.184 $ je Kind und Jahr hinzu (Kapitel </w:t>
            </w:r>
            <w:hyperlink w:anchor="k38">
              <w:r>
                <w:rPr>
                  <w:rStyle w:val="ListLabel114"/>
                  <w:rFonts w:eastAsia="Cambria" w:cs="Cambria"/>
                  <w:b w:val="false"/>
                  <w:bCs w:val="false"/>
                  <w:i w:val="false"/>
                  <w:iCs w:val="false"/>
                  <w:sz w:val="20"/>
                  <w:szCs w:val="20"/>
                </w:rPr>
                <w:t>38</w:t>
              </w:r>
            </w:hyperlink>
            <w:r>
              <w:rPr>
                <w:rFonts w:eastAsia="Cambria" w:cs="Cambria"/>
                <w:b w:val="false"/>
                <w:bCs w:val="false"/>
                <w:i w:val="false"/>
                <w:iCs w:val="false"/>
                <w:sz w:val="20"/>
                <w:szCs w:val="20"/>
              </w:rPr>
              <w:t>) – bei zwei Kindern 26.368 $, die einen großen Teil des Zugewinns aufzehren. Für Au-pairs gilt: Familien mit H-1B, L-1 oder E-2 kommen dafür nicht infrage (Kapitel </w:t>
            </w:r>
            <w:hyperlink w:anchor="k38">
              <w:r>
                <w:rPr>
                  <w:rStyle w:val="ListLabel114"/>
                  <w:rFonts w:eastAsia="Cambria" w:cs="Cambria"/>
                  <w:b w:val="false"/>
                  <w:bCs w:val="false"/>
                  <w:i w:val="false"/>
                  <w:iCs w:val="false"/>
                  <w:sz w:val="20"/>
                  <w:szCs w:val="20"/>
                </w:rPr>
                <w:t>38</w:t>
              </w:r>
            </w:hyperlink>
            <w:r>
              <w:rPr>
                <w:rFonts w:eastAsia="Cambria" w:cs="Cambria"/>
                <w:b w:val="false"/>
                <w:bCs w:val="false"/>
                <w:i w:val="false"/>
                <w:iCs w:val="false"/>
                <w:sz w:val="20"/>
                <w:szCs w:val="20"/>
              </w:rPr>
              <w:t>). Rechne ein zweites Einkommen deshalb nicht ungeprüft in dein Budget ein, sondern erst, wenn Betreuung und Arbeitserlaubnis geklärt sind.</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die drei Rechnungen zeigen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Zum Vergleich in einer Währung, zur groben Orientierung: 1 € entsprach im Herbst 2026 etwa 1,1 bis 1,2 $ (EZB-Kurs 18. September 2026: 1,1460 $; bitte tagesaktuell prüfen). Umgerechnet blieben der Single-Beispielperson in Deutschland rund 57.500 $, dem Paar rund 71.000 $ und der Familie rund 62.000 $ (jeweils vor deutscher Kinderbetreuung) – gegenüber 64.237 $, 87.650 $ und 83.146 $ in den gerechneten US-Beispielen. In allen drei Fällen bleibt netto mehr übrig als der Brutto-Vergleich zeigt, aber deutlich weniger als er suggeriert, und der Abstand hängt stark vom Wohnort ab: Ein Umzug von einer teuren deutschen Großstadt in eine günstige US-Region wie den Großraum Detroit vergrößert die Lücke; ein Umzug nach San Francisco oder New York verkleinert sie oder kehrt sie um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xml:space="preserve"> und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Netto vor Brutto. Die einzige Zahl, die zählt, ist das, was am Monatsende übrig bleibt – nicht das Jahresgehalt im Angebotsschreiben.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Entscheidungsmatrix: Muss, Kann, Ausschluss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Bevor die Zahlen zu einer Entscheidung werden, sortiere sie. Eine Matrix mit drei Kategorien trennt, was wirklich zählt, von dem, worüber ihr nur diskutiert.</w:t>
      </w:r>
    </w:p>
    <w:tbl>
      <w:tblPr>
        <w:tblW w:w="6480" w:type="dxa"/>
        <w:jc w:val="left"/>
        <w:tblInd w:w="0" w:type="dxa"/>
        <w:tblLayout w:type="fixed"/>
        <w:tblCellMar>
          <w:top w:w="50" w:type="dxa"/>
          <w:left w:w="80" w:type="dxa"/>
          <w:bottom w:w="50" w:type="dxa"/>
          <w:right w:w="80" w:type="dxa"/>
        </w:tblCellMar>
      </w:tblPr>
      <w:tblGrid>
        <w:gridCol w:w="1351"/>
        <w:gridCol w:w="2264"/>
        <w:gridCol w:w="2865"/>
      </w:tblGrid>
      <w:tr>
        <w:trPr>
          <w:tblHeader w:val="true"/>
          <w:cantSplit w:val="true"/>
        </w:trPr>
        <w:tc>
          <w:tcPr>
            <w:tcW w:w="135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Kategorie</w:t>
            </w:r>
          </w:p>
        </w:tc>
        <w:tc>
          <w:tcPr>
            <w:tcW w:w="226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hineingehört</w:t>
            </w:r>
          </w:p>
        </w:tc>
        <w:tc>
          <w:tcPr>
            <w:tcW w:w="286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Beispiel</w:t>
            </w:r>
          </w:p>
        </w:tc>
      </w:tr>
      <w:tr>
        <w:trPr>
          <w:cantSplit w:val="true"/>
        </w:trPr>
        <w:tc>
          <w:tcPr>
            <w:tcW w:w="13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Muss (unverzichtbar)</w:t>
            </w:r>
          </w:p>
        </w:tc>
        <w:tc>
          <w:tcPr>
            <w:tcW w:w="22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Bedingungen, ohne die ihr nicht geht</w:t>
            </w:r>
          </w:p>
        </w:tc>
        <w:tc>
          <w:tcPr>
            <w:tcW w:w="28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Verfügbares Einkommen deckt eure Version der Rechnung oben; klare Perspektive auf eine Arbeitserlaubnis für den Partner (Kapitel </w:t>
            </w:r>
            <w:hyperlink w:anchor="k10">
              <w:r>
                <w:rPr>
                  <w:rStyle w:val="ListLabel112"/>
                  <w:rFonts w:eastAsia="Cambria" w:cs="Cambria"/>
                  <w:b w:val="false"/>
                  <w:bCs w:val="false"/>
                  <w:i w:val="false"/>
                  <w:iCs w:val="false"/>
                  <w:sz w:val="18"/>
                  <w:szCs w:val="18"/>
                </w:rPr>
                <w:t>10</w:t>
              </w:r>
            </w:hyperlink>
            <w:r>
              <w:rPr>
                <w:rFonts w:eastAsia="Cambria" w:cs="Cambria"/>
                <w:b w:val="false"/>
                <w:bCs w:val="false"/>
                <w:i w:val="false"/>
                <w:iCs w:val="false"/>
                <w:sz w:val="18"/>
                <w:szCs w:val="18"/>
              </w:rPr>
              <w:t>); Krankenversicherung ab einem feststehenden Datum (Kapitel </w:t>
            </w:r>
            <w:hyperlink w:anchor="k26">
              <w:r>
                <w:rPr>
                  <w:rStyle w:val="ListLabel112"/>
                  <w:rFonts w:eastAsia="Cambria" w:cs="Cambria"/>
                  <w:b w:val="false"/>
                  <w:bCs w:val="false"/>
                  <w:i w:val="false"/>
                  <w:iCs w:val="false"/>
                  <w:sz w:val="18"/>
                  <w:szCs w:val="18"/>
                </w:rPr>
                <w:t>26</w:t>
              </w:r>
            </w:hyperlink>
            <w:r>
              <w:rPr>
                <w:rFonts w:eastAsia="Cambria" w:cs="Cambria"/>
                <w:b w:val="false"/>
                <w:bCs w:val="false"/>
                <w:i w:val="false"/>
                <w:iCs w:val="false"/>
                <w:sz w:val="18"/>
                <w:szCs w:val="18"/>
              </w:rPr>
              <w:t>)</w:t>
            </w:r>
          </w:p>
        </w:tc>
      </w:tr>
      <w:tr>
        <w:trPr>
          <w:cantSplit w:val="true"/>
        </w:trPr>
        <w:tc>
          <w:tcPr>
            <w:tcW w:w="13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Kann (verhandelbar)</w:t>
            </w:r>
          </w:p>
        </w:tc>
        <w:tc>
          <w:tcPr>
            <w:tcW w:w="22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Wichtig, aber kein Abbruchgrund</w:t>
            </w:r>
          </w:p>
        </w:tc>
        <w:tc>
          <w:tcPr>
            <w:tcW w:w="28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Bundesstaat oder Stadt (Kapitel </w:t>
            </w:r>
            <w:hyperlink w:anchor="k12">
              <w:r>
                <w:rPr>
                  <w:rStyle w:val="ListLabel112"/>
                  <w:rFonts w:eastAsia="Cambria" w:cs="Cambria"/>
                  <w:b w:val="false"/>
                  <w:bCs w:val="false"/>
                  <w:i w:val="false"/>
                  <w:iCs w:val="false"/>
                  <w:sz w:val="18"/>
                  <w:szCs w:val="18"/>
                </w:rPr>
                <w:t>12</w:t>
              </w:r>
            </w:hyperlink>
            <w:r>
              <w:rPr>
                <w:rFonts w:eastAsia="Cambria" w:cs="Cambria"/>
                <w:b w:val="false"/>
                <w:bCs w:val="false"/>
                <w:i w:val="false"/>
                <w:iCs w:val="false"/>
                <w:sz w:val="18"/>
                <w:szCs w:val="18"/>
              </w:rPr>
              <w:t>); Homeoffice-Anteil; Gehalt über dem Minimum; Zeitpunkt des Umzugs im Schuljahr</w:t>
            </w:r>
          </w:p>
        </w:tc>
      </w:tr>
      <w:tr>
        <w:trPr>
          <w:cantSplit w:val="true"/>
        </w:trPr>
        <w:tc>
          <w:tcPr>
            <w:tcW w:w="13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Ausschluss (K.-o.-Kriterium)</w:t>
            </w:r>
          </w:p>
        </w:tc>
        <w:tc>
          <w:tcPr>
            <w:tcW w:w="22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Tritt eines ein, geht ihr nicht oder brecht ab</w:t>
            </w:r>
          </w:p>
        </w:tc>
        <w:tc>
          <w:tcPr>
            <w:tcW w:w="28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Weg zur Green Card trotz Daueraufenthaltswunsch (Kapitel </w:t>
            </w:r>
            <w:hyperlink w:anchor="k6">
              <w:r>
                <w:rPr>
                  <w:rStyle w:val="ListLabel112"/>
                  <w:rFonts w:eastAsia="Cambria" w:cs="Cambria"/>
                  <w:b w:val="false"/>
                  <w:bCs w:val="false"/>
                  <w:i w:val="false"/>
                  <w:iCs w:val="false"/>
                  <w:sz w:val="18"/>
                  <w:szCs w:val="18"/>
                </w:rPr>
                <w:t>6</w:t>
              </w:r>
            </w:hyperlink>
            <w:r>
              <w:rPr>
                <w:rFonts w:eastAsia="Cambria" w:cs="Cambria"/>
                <w:b w:val="false"/>
                <w:bCs w:val="false"/>
                <w:i w:val="false"/>
                <w:iCs w:val="false"/>
                <w:sz w:val="18"/>
                <w:szCs w:val="18"/>
              </w:rPr>
              <w:t xml:space="preserve"> und </w:t>
            </w:r>
            <w:hyperlink w:anchor="k7">
              <w:r>
                <w:rPr>
                  <w:rStyle w:val="ListLabel112"/>
                  <w:rFonts w:eastAsia="Cambria" w:cs="Cambria"/>
                  <w:b w:val="false"/>
                  <w:bCs w:val="false"/>
                  <w:i w:val="false"/>
                  <w:iCs w:val="false"/>
                  <w:sz w:val="18"/>
                  <w:szCs w:val="18"/>
                </w:rPr>
                <w:t>7</w:t>
              </w:r>
            </w:hyperlink>
            <w:r>
              <w:rPr>
                <w:rFonts w:eastAsia="Cambria" w:cs="Cambria"/>
                <w:b w:val="false"/>
                <w:bCs w:val="false"/>
                <w:i w:val="false"/>
                <w:iCs w:val="false"/>
                <w:sz w:val="18"/>
                <w:szCs w:val="18"/>
              </w:rPr>
              <w:t>); ein Gesundheitszustand, der die US-Versicherung unbezahlbar macht (Kapitel </w:t>
            </w:r>
            <w:hyperlink w:anchor="k26">
              <w:r>
                <w:rPr>
                  <w:rStyle w:val="ListLabel112"/>
                  <w:rFonts w:eastAsia="Cambria" w:cs="Cambria"/>
                  <w:b w:val="false"/>
                  <w:bCs w:val="false"/>
                  <w:i w:val="false"/>
                  <w:iCs w:val="false"/>
                  <w:sz w:val="18"/>
                  <w:szCs w:val="18"/>
                </w:rPr>
                <w:t>26</w:t>
              </w:r>
            </w:hyperlink>
            <w:r>
              <w:rPr>
                <w:rFonts w:eastAsia="Cambria" w:cs="Cambria"/>
                <w:b w:val="false"/>
                <w:bCs w:val="false"/>
                <w:i w:val="false"/>
                <w:iCs w:val="false"/>
                <w:sz w:val="18"/>
                <w:szCs w:val="18"/>
              </w:rPr>
              <w:t>); ein pflegebedürftiger Elternteil ohne tragfähige Lösung</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Füllt die drei Spalten gemeinsam aus, bevor der Arbeitgeber ein konkretes Angebot vorlegt. Wer erst unter Zeitdruck entscheidet, verwechselt leicht ein Kann mit einem Muss.</w:t>
      </w:r>
    </w:p>
    <w:p>
      <w:pPr>
        <w:pStyle w:val="Heading3"/>
        <w:keepNext w:val="true"/>
        <w:spacing w:before="280" w:after="100"/>
        <w:jc w:val="center"/>
        <w:rPr/>
      </w:pPr>
      <w:r>
        <w:rPr>
          <w:rFonts w:eastAsia="Amazon Ember" w:cs="Amazon Ember" w:ascii="Amazon Ember" w:hAnsi="Amazon Ember"/>
          <w:b/>
          <w:bCs/>
          <w:color w:val="0000FF"/>
          <w:sz w:val="36"/>
          <w:szCs w:val="36"/>
        </w:rPr>
        <w:t>Der Familienrat: vier Fragen vor der Unterschrift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Zahlen sind nur ein Teil der Entscheidung. Vier Themen gehören an den Familientisch, bevor jemand unterschreibt.</w:t>
      </w:r>
    </w:p>
    <w:p>
      <w:pPr>
        <w:pStyle w:val="ListParagraph"/>
        <w:numPr>
          <w:ilvl w:val="0"/>
          <w:numId w:val="1"/>
        </w:numPr>
        <w:spacing w:lineRule="exact" w:line="288" w:before="0" w:after="60"/>
        <w:rPr/>
      </w:pPr>
      <w:r>
        <w:rPr>
          <w:rFonts w:eastAsia="Cambria" w:cs="Cambria"/>
          <w:b/>
          <w:bCs/>
          <w:i w:val="false"/>
          <w:iCs w:val="false"/>
          <w:sz w:val="22"/>
          <w:szCs w:val="22"/>
        </w:rPr>
        <w:t>Partnerkarriere.</w:t>
      </w:r>
      <w:r>
        <w:rPr>
          <w:rFonts w:eastAsia="Cambria" w:cs="Cambria"/>
          <w:b w:val="false"/>
          <w:bCs w:val="false"/>
          <w:i w:val="false"/>
          <w:iCs w:val="false"/>
          <w:sz w:val="22"/>
          <w:szCs w:val="22"/>
        </w:rPr>
        <w:t xml:space="preserve"> Ob dein Partner überhaupt arbeiten darf, hängt vom Visumstyp ab: H-4 erlaubt es nur unter engen Voraussetzungen, L-2 und E-2 in der Regel großzügiger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 Wer mit einer eigenen Karriere plant, ohne die Arbeitserlaubnis zu prüfen, rechnet mit einem Gehalt, das vielleicht gar nicht fließt. Kläre auch, ob eine zwei- bis dreijährige Pause für den Partner verkraftbar ist oder den Wiedereinstieg in Deutschland erschwert.</w:t>
      </w:r>
    </w:p>
    <w:p>
      <w:pPr>
        <w:pStyle w:val="ListParagraph"/>
        <w:numPr>
          <w:ilvl w:val="0"/>
          <w:numId w:val="1"/>
        </w:numPr>
        <w:spacing w:lineRule="exact" w:line="288" w:before="0" w:after="60"/>
        <w:rPr/>
      </w:pPr>
      <w:r>
        <w:rPr>
          <w:rFonts w:eastAsia="Cambria" w:cs="Cambria"/>
          <w:b/>
          <w:bCs/>
          <w:i w:val="false"/>
          <w:iCs w:val="false"/>
          <w:sz w:val="22"/>
          <w:szCs w:val="22"/>
        </w:rPr>
        <w:t>Kinder je nach Lebensalter.</w:t>
      </w:r>
      <w:r>
        <w:rPr>
          <w:rFonts w:eastAsia="Cambria" w:cs="Cambria"/>
          <w:b w:val="false"/>
          <w:bCs w:val="false"/>
          <w:i w:val="false"/>
          <w:iCs w:val="false"/>
          <w:sz w:val="22"/>
          <w:szCs w:val="22"/>
        </w:rPr>
        <w:t xml:space="preserve"> Kleinkinder bedeuten Kinderbetreuungskosten und, ohne Au-pair-Option, eine Suche nach Kita, Tagesmutter oder Nanny (Kapitel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 Schulkinder brauchen einen passenden Schuldistrikt, der wiederum den Wohnort mitbestimmt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xml:space="preserve"> und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 Teenager verlieren beim Umzug in Klasse 10 bis 12 leicht Anschluss, weil der Notenschnitt schon ab Klasse 9 zählt, und ihr H-4- oder L-2-Status endet mit 21 (Kapitel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 wer mit älteren Kindern zieht, sollte den Zeitpunkt sorgfältig prüfen.</w:t>
      </w:r>
    </w:p>
    <w:p>
      <w:pPr>
        <w:pStyle w:val="ListParagraph"/>
        <w:numPr>
          <w:ilvl w:val="0"/>
          <w:numId w:val="1"/>
        </w:numPr>
        <w:spacing w:lineRule="exact" w:line="288" w:before="0" w:after="60"/>
        <w:rPr/>
      </w:pPr>
      <w:r>
        <w:rPr>
          <w:rFonts w:eastAsia="Cambria" w:cs="Cambria"/>
          <w:b/>
          <w:bCs/>
          <w:i w:val="false"/>
          <w:iCs w:val="false"/>
          <w:sz w:val="22"/>
          <w:szCs w:val="22"/>
        </w:rPr>
        <w:t>Eltern in Deutschland.</w:t>
      </w:r>
      <w:r>
        <w:rPr>
          <w:rFonts w:eastAsia="Cambria" w:cs="Cambria"/>
          <w:b w:val="false"/>
          <w:bCs w:val="false"/>
          <w:i w:val="false"/>
          <w:iCs w:val="false"/>
          <w:sz w:val="22"/>
          <w:szCs w:val="22"/>
        </w:rPr>
        <w:t xml:space="preserve"> Eine schnelle Nachholung der eigenen Eltern über ein Arbeitsvisum ist praktisch nicht vorgesehen. Wer mit Pflegebedürftigkeit rechnet, sollte Reisezeit, Flugkosten und eine Vertretungsregelung – etwa Geschwister, Nachbarn oder einen Pflegedienst vor Ort – vor dem Umzug klären und die eigene Vorsorge für den Ernstfall regeln (Kapitel </w:t>
      </w:r>
      <w:hyperlink w:anchor="k39">
        <w:r>
          <w:rPr>
            <w:rStyle w:val="ListLabel115"/>
            <w:rFonts w:eastAsia="Cambria" w:cs="Cambria"/>
            <w:b w:val="false"/>
            <w:bCs w:val="false"/>
            <w:i w:val="false"/>
            <w:iCs w:val="false"/>
            <w:sz w:val="22"/>
            <w:szCs w:val="22"/>
          </w:rPr>
          <w:t>39</w:t>
        </w:r>
      </w:hyperlink>
      <w:r>
        <w:rPr>
          <w:rFonts w:eastAsia="Cambria" w:cs="Cambria"/>
          <w:b w:val="false"/>
          <w:bCs w:val="false"/>
          <w:i w:val="false"/>
          <w:iCs w:val="false"/>
          <w:sz w:val="22"/>
          <w:szCs w:val="22"/>
        </w:rPr>
        <w:t>). Der wöchentliche Videoanruf ersetzt keinen Griff nach der Hand im Krankenhausflur – wer das früh anerkennt, plant die Vertretung vor Ort ernster.</w:t>
      </w:r>
    </w:p>
    <w:p>
      <w:pPr>
        <w:pStyle w:val="ListParagraph"/>
        <w:numPr>
          <w:ilvl w:val="0"/>
          <w:numId w:val="1"/>
        </w:numPr>
        <w:spacing w:lineRule="exact" w:line="288" w:before="0" w:after="60"/>
        <w:rPr/>
      </w:pPr>
      <w:r>
        <w:rPr>
          <w:rFonts w:eastAsia="Cambria" w:cs="Cambria"/>
          <w:b/>
          <w:bCs/>
          <w:i w:val="false"/>
          <w:iCs w:val="false"/>
          <w:sz w:val="22"/>
          <w:szCs w:val="22"/>
        </w:rPr>
        <w:t>Immobilien.</w:t>
      </w:r>
      <w:r>
        <w:rPr>
          <w:rFonts w:eastAsia="Cambria" w:cs="Cambria"/>
          <w:b w:val="false"/>
          <w:bCs w:val="false"/>
          <w:i w:val="false"/>
          <w:iCs w:val="false"/>
          <w:sz w:val="22"/>
          <w:szCs w:val="22"/>
        </w:rPr>
        <w:t xml:space="preserve"> Eine deutsche Immobilie kannst du verkaufen, vermieten oder leer stehen lassen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Verkauf innerhalb von zehn Jahren nach dem Kauf ist nach § 23 EStG grundsätzlich steuerpflichtig, Vermietung bleibt in beiden Ländern erklärungspflichtig, und wer in Dollar verdient, aber eine Euro-Immobilie hält, trägt zusätzlich ein Währungsrisiko. Ein Verkauf vor dem Wegzug schafft Klarheit und Eigenkapital für die Anzahlung in den USA; das Behalten hält die Rückkehr offen.</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Hoffmann (fiktives Beispiel) bespricht vor der Zusage für Phoenix, Arizona, alle vier Punkte. Jan (46) geht mit L-1-Status, Katrin (44) erhält als L-2-Ehefrau in der Regel eine eigene Arbeitserlaubnis und will als Physiotherapeutin weiterarbeiten. Paul ist 15; die Familie rechnet nach, dass sein L-2-Status mit 21 endet und er bis dahin entweder die Green Card der Eltern mitträgt oder selbst den Status wechseln muss. Am Küchentisch fragt Paul nur, ob er dann zurück nach Dresden müsste; eine sichere Antwort haben seine Eltern nicht sofort, aber immerhin einen Zeitplan, an dem sie sich orientieren können. Jans Mutter in Dresden ist gesundheitlich stabil, aber allein; die Familie vereinbart feste Videotermine und einen jährlichen Langzeitbesuch. Ihre Eigentumswohnung vermieten sie, statt sie zu verkaufen.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Plane kein zweites Einkommen und keine großzügige Nachholung der Eltern ein, bevor du die rechtlichen Möglichkeiten geprüft hast (Kapitel </w:t>
            </w:r>
            <w:hyperlink w:anchor="k10">
              <w:r>
                <w:rPr>
                  <w:rStyle w:val="ListLabel114"/>
                  <w:rFonts w:eastAsia="Cambria" w:cs="Cambria"/>
                  <w:b w:val="false"/>
                  <w:bCs w:val="false"/>
                  <w:i w:val="false"/>
                  <w:iCs w:val="false"/>
                  <w:sz w:val="20"/>
                  <w:szCs w:val="20"/>
                </w:rPr>
                <w:t>10</w:t>
              </w:r>
            </w:hyperlink>
            <w:r>
              <w:rPr>
                <w:rFonts w:eastAsia="Cambria" w:cs="Cambria"/>
                <w:b w:val="false"/>
                <w:bCs w:val="false"/>
                <w:i w:val="false"/>
                <w:iCs w:val="false"/>
                <w:sz w:val="20"/>
                <w:szCs w:val="20"/>
              </w:rPr>
              <w:t>). Ein Familienrat, der nur über Gehalt und Stadt spricht, übersieht regelmäßig die teuerste Variable.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Typische Rechenfehler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Bevor die Verhandlungsliste an die Reihe kommt, lohnt der Blick auf die häufigsten Fehler bei der eigenen Rechnung:</w:t>
      </w:r>
    </w:p>
    <w:p>
      <w:pPr>
        <w:pStyle w:val="ListParagraph"/>
        <w:numPr>
          <w:ilvl w:val="0"/>
          <w:numId w:val="1"/>
        </w:numPr>
        <w:spacing w:lineRule="exact" w:line="288" w:before="0" w:after="60"/>
        <w:rPr/>
      </w:pPr>
      <w:r>
        <w:rPr>
          <w:rFonts w:eastAsia="Cambria" w:cs="Cambria"/>
          <w:b/>
          <w:bCs/>
          <w:i w:val="false"/>
          <w:iCs w:val="false"/>
          <w:sz w:val="22"/>
          <w:szCs w:val="22"/>
        </w:rPr>
        <w:t>Brutto mit Brutto vergleichen.</w:t>
      </w:r>
      <w:r>
        <w:rPr>
          <w:rFonts w:eastAsia="Cambria" w:cs="Cambria"/>
          <w:b w:val="false"/>
          <w:bCs w:val="false"/>
          <w:i w:val="false"/>
          <w:iCs w:val="false"/>
          <w:sz w:val="22"/>
          <w:szCs w:val="22"/>
        </w:rPr>
        <w:t xml:space="preserve"> Ohne Bundesstaat, Krankenversicherung und Miete sagt die Zahl im Angebotsschreiben wenig aus (siehe oben).</w:t>
      </w:r>
    </w:p>
    <w:p>
      <w:pPr>
        <w:pStyle w:val="ListParagraph"/>
        <w:numPr>
          <w:ilvl w:val="0"/>
          <w:numId w:val="1"/>
        </w:numPr>
        <w:spacing w:lineRule="exact" w:line="288" w:before="0" w:after="60"/>
        <w:rPr/>
      </w:pPr>
      <w:r>
        <w:rPr>
          <w:rFonts w:eastAsia="Cambria" w:cs="Cambria"/>
          <w:b/>
          <w:bCs/>
          <w:i w:val="false"/>
          <w:iCs w:val="false"/>
          <w:sz w:val="22"/>
          <w:szCs w:val="22"/>
        </w:rPr>
        <w:t>Den Wechselkurs als fest behandeln.</w:t>
      </w:r>
      <w:r>
        <w:rPr>
          <w:rFonts w:eastAsia="Cambria" w:cs="Cambria"/>
          <w:b w:val="false"/>
          <w:bCs w:val="false"/>
          <w:i w:val="false"/>
          <w:iCs w:val="false"/>
          <w:sz w:val="22"/>
          <w:szCs w:val="22"/>
        </w:rPr>
        <w:t xml:space="preserve"> Der Euro-Dollar-Kurs schwankt, und eine Rechnung von heute kann in einem Jahr anders aussehen – rechne mit einer Spanne, nicht mit einem Punktwert.</w:t>
      </w:r>
    </w:p>
    <w:p>
      <w:pPr>
        <w:pStyle w:val="ListParagraph"/>
        <w:numPr>
          <w:ilvl w:val="0"/>
          <w:numId w:val="1"/>
        </w:numPr>
        <w:spacing w:lineRule="exact" w:line="288" w:before="0" w:after="60"/>
        <w:rPr/>
      </w:pPr>
      <w:r>
        <w:rPr>
          <w:rFonts w:eastAsia="Cambria" w:cs="Cambria"/>
          <w:b/>
          <w:bCs/>
          <w:i w:val="false"/>
          <w:iCs w:val="false"/>
          <w:sz w:val="22"/>
          <w:szCs w:val="22"/>
        </w:rPr>
        <w:t>Ein zweites Einkommen fest einplanen</w:t>
      </w:r>
      <w:r>
        <w:rPr>
          <w:rFonts w:eastAsia="Cambria" w:cs="Cambria"/>
          <w:b w:val="false"/>
          <w:bCs w:val="false"/>
          <w:i w:val="false"/>
          <w:iCs w:val="false"/>
          <w:sz w:val="22"/>
          <w:szCs w:val="22"/>
        </w:rPr>
        <w:t>, bevor die Arbeitserlaubnis des Partners geklärt ist (siehe Familienrat unten).</w:t>
      </w:r>
    </w:p>
    <w:p>
      <w:pPr>
        <w:pStyle w:val="ListParagraph"/>
        <w:numPr>
          <w:ilvl w:val="0"/>
          <w:numId w:val="1"/>
        </w:numPr>
        <w:spacing w:lineRule="exact" w:line="288" w:before="0" w:after="60"/>
        <w:rPr/>
      </w:pPr>
      <w:r>
        <w:rPr>
          <w:rFonts w:eastAsia="Cambria" w:cs="Cambria"/>
          <w:b/>
          <w:bCs/>
          <w:i w:val="false"/>
          <w:iCs w:val="false"/>
          <w:sz w:val="22"/>
          <w:szCs w:val="22"/>
        </w:rPr>
        <w:t>Rückkehrkosten vergessen:</w:t>
      </w:r>
      <w:r>
        <w:rPr>
          <w:rFonts w:eastAsia="Cambria" w:cs="Cambria"/>
          <w:b w:val="false"/>
          <w:bCs w:val="false"/>
          <w:i w:val="false"/>
          <w:iCs w:val="false"/>
          <w:sz w:val="22"/>
          <w:szCs w:val="22"/>
        </w:rPr>
        <w:t xml:space="preserve"> Flüge für die ganze Familie, Kündigungsfristen für Mietvertrag und Auto, ein möglicher Verlust beim Verkauf von Möbeln oder Haus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xml:space="preserve"> und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US-Steuervorteile doppelt einplanen.</w:t>
      </w:r>
      <w:r>
        <w:rPr>
          <w:rFonts w:eastAsia="Cambria" w:cs="Cambria"/>
          <w:b w:val="false"/>
          <w:bCs w:val="false"/>
          <w:i w:val="false"/>
          <w:iCs w:val="false"/>
          <w:sz w:val="22"/>
          <w:szCs w:val="22"/>
        </w:rPr>
        <w:t xml:space="preserve"> 401(k)-Beiträge und Einzelabzüge senken zwar die Steuer, sie sind aber gebundenes oder bereits ausgegebenes Geld, kein zusätzliches Netto.</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Jeder dieser Fehler für sich ist harmlos; zusammengerechnet verwandeln sie ein verlockendes Angebot in eine Zahl, die es nie gegeben hat.</w:t>
      </w:r>
    </w:p>
    <w:p>
      <w:pPr>
        <w:pStyle w:val="Heading3"/>
        <w:keepNext w:val="true"/>
        <w:spacing w:before="280" w:after="100"/>
        <w:jc w:val="center"/>
        <w:rPr/>
      </w:pPr>
      <w:r>
        <w:rPr>
          <w:rFonts w:eastAsia="Amazon Ember" w:cs="Amazon Ember" w:ascii="Amazon Ember" w:hAnsi="Amazon Ember"/>
          <w:b/>
          <w:bCs/>
          <w:color w:val="0000FF"/>
          <w:sz w:val="36"/>
          <w:szCs w:val="36"/>
        </w:rPr>
        <w:t>Die Verhandlungsliste an den Arbeitgeber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Angebot ist ein Ausgangspunkt, kein Endpunkt, und die eigene Rechnung zugleich die beste Vorbereitung auf das Gespräch: Wer weiß, wie viel nach Steuern, Krankenversicherung und Miete tatsächlich bleibt, verhandelt über Fakten statt über ein Bauchgefühl. Das gilt besonders für Deutsche, die das Feilschen ums Gehalt eher aus dem Basarurlaub kennen als aus dem eigenen Berufsleben – hier gehört es zum Geschäft, nicht zur Unhöflichkeit. Fünf Punkte lohnen ein Gespräch, bevor du zusagst:</w:t>
      </w:r>
    </w:p>
    <w:p>
      <w:pPr>
        <w:pStyle w:val="ListParagraph"/>
        <w:numPr>
          <w:ilvl w:val="0"/>
          <w:numId w:val="1"/>
        </w:numPr>
        <w:spacing w:lineRule="exact" w:line="288" w:before="0" w:after="60"/>
        <w:rPr/>
      </w:pPr>
      <w:r>
        <w:rPr>
          <w:rFonts w:eastAsia="Cambria" w:cs="Cambria"/>
          <w:b/>
          <w:bCs/>
          <w:i w:val="false"/>
          <w:iCs w:val="false"/>
          <w:sz w:val="22"/>
          <w:szCs w:val="22"/>
        </w:rPr>
        <w:t>Relocation-Paket.</w:t>
      </w:r>
      <w:r>
        <w:rPr>
          <w:rFonts w:eastAsia="Cambria" w:cs="Cambria"/>
          <w:b w:val="false"/>
          <w:bCs w:val="false"/>
          <w:i w:val="false"/>
          <w:iCs w:val="false"/>
          <w:sz w:val="22"/>
          <w:szCs w:val="22"/>
        </w:rPr>
        <w:t xml:space="preserve"> Frage nach Umzugskosten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Flügen für die ganze Familie und einer Übergangswohnung; möbliertes Wohnen auf Zeit (</w:t>
      </w:r>
      <w:r>
        <w:rPr>
          <w:rFonts w:eastAsia="Cambria" w:cs="Cambria"/>
          <w:b w:val="false"/>
          <w:bCs w:val="false"/>
          <w:i/>
          <w:iCs/>
          <w:sz w:val="22"/>
          <w:szCs w:val="22"/>
        </w:rPr>
        <w:t>Corporate Housing</w:t>
      </w:r>
      <w:r>
        <w:rPr>
          <w:rFonts w:eastAsia="Cambria" w:cs="Cambria"/>
          <w:b w:val="false"/>
          <w:bCs w:val="false"/>
          <w:i w:val="false"/>
          <w:iCs w:val="false"/>
          <w:sz w:val="22"/>
          <w:szCs w:val="22"/>
        </w:rPr>
        <w:t>) kostet je nach Stadt und Größe grob 3.300 bis 7.400 $ im Monat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 Kläre, ob die Erstattung als Gross-up erfolgt, weil sie sonst steuerpflichtiger Lohn ist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Unabhängiger Anwalt.</w:t>
      </w:r>
      <w:r>
        <w:rPr>
          <w:rFonts w:eastAsia="Cambria" w:cs="Cambria"/>
          <w:b w:val="false"/>
          <w:bCs w:val="false"/>
          <w:i w:val="false"/>
          <w:iCs w:val="false"/>
          <w:sz w:val="22"/>
          <w:szCs w:val="22"/>
        </w:rPr>
        <w:t xml:space="preserve"> Die Kanzlei, die deinen Arbeitgeber bei der H-1B-Petition begleitet – meist eine Pauschale von 2.000 bis 5.000 $, die er trägt –, vertritt seine Interessen, nicht deine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 Frage, ob er eine Zweitmeinung für dich übernimmt, üblicherweise 300 bis 1.000 $, besonders bei Vorgeschichte oder komplexen Familienfällen.</w:t>
      </w:r>
    </w:p>
    <w:p>
      <w:pPr>
        <w:pStyle w:val="ListParagraph"/>
        <w:numPr>
          <w:ilvl w:val="0"/>
          <w:numId w:val="1"/>
        </w:numPr>
        <w:spacing w:lineRule="exact" w:line="288" w:before="0" w:after="60"/>
        <w:rPr/>
      </w:pPr>
      <w:r>
        <w:rPr>
          <w:rFonts w:eastAsia="Cambria" w:cs="Cambria"/>
          <w:b/>
          <w:bCs/>
          <w:i w:val="false"/>
          <w:iCs w:val="false"/>
          <w:sz w:val="22"/>
          <w:szCs w:val="22"/>
        </w:rPr>
        <w:t>Green-Card-Sponsoring.</w:t>
      </w:r>
      <w:r>
        <w:rPr>
          <w:rFonts w:eastAsia="Cambria" w:cs="Cambria"/>
          <w:b w:val="false"/>
          <w:bCs w:val="false"/>
          <w:i w:val="false"/>
          <w:iCs w:val="false"/>
          <w:sz w:val="22"/>
          <w:szCs w:val="22"/>
        </w:rPr>
        <w:t xml:space="preserve"> Frage nach einem konkreten Zeitpunkt für den Start des PERM-Verfahrens; es dauert von der Arbeitsmarktprüfung bis zur Green Card oft zweieinhalb bis viereinhalb Jahre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Der Arbeitgeber trägt PERM und die Petition I-140, du zahlst später die I-485-Gebühren für dich und deine Familie (1.440 $ je Erwachsenem, 950 $ je Kind unter 14).</w:t>
      </w:r>
    </w:p>
    <w:p>
      <w:pPr>
        <w:pStyle w:val="ListParagraph"/>
        <w:numPr>
          <w:ilvl w:val="0"/>
          <w:numId w:val="1"/>
        </w:numPr>
        <w:spacing w:lineRule="exact" w:line="288" w:before="0" w:after="60"/>
        <w:rPr/>
      </w:pPr>
      <w:r>
        <w:rPr>
          <w:rFonts w:eastAsia="Cambria" w:cs="Cambria"/>
          <w:b/>
          <w:bCs/>
          <w:i w:val="false"/>
          <w:iCs w:val="false"/>
          <w:sz w:val="22"/>
          <w:szCs w:val="22"/>
        </w:rPr>
        <w:t>Steuerberatung.</w:t>
      </w:r>
      <w:r>
        <w:rPr>
          <w:rFonts w:eastAsia="Cambria" w:cs="Cambria"/>
          <w:b w:val="false"/>
          <w:bCs w:val="false"/>
          <w:i w:val="false"/>
          <w:iCs w:val="false"/>
          <w:sz w:val="22"/>
          <w:szCs w:val="22"/>
        </w:rPr>
        <w:t xml:space="preserve"> Ein grenzüberschreitend erfahrener Steuerexperte (CPA oder Enrolled Agent) kostet im Einreisejahr 800 bis 2.500 $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Frage, ob das Relocation-Paket eine erste Beratung einschließt.</w:t>
      </w:r>
    </w:p>
    <w:p>
      <w:pPr>
        <w:pStyle w:val="ListParagraph"/>
        <w:numPr>
          <w:ilvl w:val="0"/>
          <w:numId w:val="1"/>
        </w:numPr>
        <w:spacing w:lineRule="exact" w:line="288" w:before="0" w:after="60"/>
        <w:rPr/>
      </w:pPr>
      <w:r>
        <w:rPr>
          <w:rFonts w:eastAsia="Cambria" w:cs="Cambria"/>
          <w:b/>
          <w:bCs/>
          <w:i w:val="false"/>
          <w:iCs w:val="false"/>
          <w:sz w:val="22"/>
          <w:szCs w:val="22"/>
        </w:rPr>
        <w:t>Rückkehrklausel.</w:t>
      </w:r>
      <w:r>
        <w:rPr>
          <w:rFonts w:eastAsia="Cambria" w:cs="Cambria"/>
          <w:b w:val="false"/>
          <w:bCs w:val="false"/>
          <w:i w:val="false"/>
          <w:iCs w:val="false"/>
          <w:sz w:val="22"/>
          <w:szCs w:val="22"/>
        </w:rPr>
        <w:t xml:space="preserve"> Vereinbare schriftlich, wer die Kosten trägt, wenn die Stelle innerhalb der ersten sechs bis zwölf Monate endet. Ohne Klausel zahlst du einen Rückflug und einen möglichen Wohnungswechsel meist selbst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mündliches „Das machen wir dann schon“ zu Green-Card-Sponsoring oder Rückkehrklausel ist im Ernstfall wertlos. Lass dir jeden Punkt, der Geld oder Status betrifft, schriftlich im Angebotsschreiben oder einer Zusatzvereinbarung bestätigen.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Für den ersten Überschlag reichen kostenlose Werkzeuge wie der IRS Tax Withholding Estimator; hebe dir den bezahlten Steuerberater für die endgültige Prüfung deines konkreten Angebots auf.</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Zwei-bis-drei-Jahre-Denken und die Rückkehroption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Ein Umzug in die USA sei eine Entscheidung fürs ganze Leben, alles oder nichts. Wer ihn so betrachtet, überfrachtet ihn von Anfang an. Hilfreicher ist ein Zeithorizont von zwei bis drei Jahren: Nach dieser Zeit zieht ihr Bilanz, ob Job, Ort und Familienleben passen, und entscheidet neu – bleiben, verlängern oder zurückgehen. Das nimmt Druck von der ersten Entscheidung, weil sie nicht mehr „für immer“ sein muss, und macht die Rückkehr zu einer planbaren Option statt zu einem Eingeständnis. Eine Rückkehr ist normal: Verträge enden, Stellen fallen weg, Kinder werden älter, Eltern werden pflegebedürftig. Wer sie früh mitdenkt, braucht drei bis sechs Monate Vorlauf für Krankenversicherung, letzte US-Steuererklärung und den Umgang mit der Green Card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Zeithorizont passt auch zum Visumssystem: Ein H-1B-Status wird üblicherweise in Blöcken verlängert, und ein Green-Card-Verfahren über den Arbeitgeber dauert selbst im besten Fall mehrere Jahre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xml:space="preserve"> und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Zwei bis drei Jahre sind also kein willkürlicher Zeitraum, sondern die Zeitspanne, in der ohnehin die nächste Statusentscheidung ansteht. Nutzt sie bewusst: Legt fest, an welchen Kriterien ihr die Bilanz nach dieser Zeit festmacht – Gehalt, Wohlbefinden der Kinder, Fortschritt beim Green-Card-Verfahren –, statt die Frage erst zu stellen, wenn der Druck schon da ist.</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Nimmt Druck von einer Alles-oder-nichts-Entscheidung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Zwölf-Monats-Mietvertrag und der Aufbau einer Kredithistorie brauchen trotzdem Verbindlichkeit (Kapitel </w:t>
            </w:r>
            <w:hyperlink w:anchor="k13">
              <w:r>
                <w:rPr>
                  <w:rStyle w:val="ListLabel112"/>
                  <w:rFonts w:eastAsia="Cambria" w:cs="Cambria"/>
                  <w:b w:val="false"/>
                  <w:bCs w:val="false"/>
                  <w:i w:val="false"/>
                  <w:iCs w:val="false"/>
                  <w:sz w:val="18"/>
                  <w:szCs w:val="18"/>
                </w:rPr>
                <w:t>13</w:t>
              </w:r>
            </w:hyperlink>
            <w:r>
              <w:rPr>
                <w:rFonts w:eastAsia="Cambria" w:cs="Cambria"/>
                <w:b w:val="false"/>
                <w:bCs w:val="false"/>
                <w:i w:val="false"/>
                <w:iCs w:val="false"/>
                <w:sz w:val="18"/>
                <w:szCs w:val="18"/>
              </w:rPr>
              <w:t xml:space="preserve"> und </w:t>
            </w:r>
            <w:hyperlink w:anchor="k25">
              <w:r>
                <w:rPr>
                  <w:rStyle w:val="ListLabel112"/>
                  <w:rFonts w:eastAsia="Cambria" w:cs="Cambria"/>
                  <w:b w:val="false"/>
                  <w:bCs w:val="false"/>
                  <w:i w:val="false"/>
                  <w:iCs w:val="false"/>
                  <w:sz w:val="18"/>
                  <w:szCs w:val="18"/>
                </w:rPr>
                <w:t>25</w:t>
              </w:r>
            </w:hyperlink>
            <w:r>
              <w:rPr>
                <w:rFonts w:eastAsia="Cambria" w:cs="Cambria"/>
                <w:b w:val="false"/>
                <w:bCs w:val="false"/>
                <w:i w:val="false"/>
                <w:iCs w:val="false"/>
                <w:sz w:val="18"/>
                <w:szCs w:val="18"/>
              </w:rPr>
              <w: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Erleichtert die Verhandlung einer Rückkehrklausel</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Eine ständige Rückzugsoption kann Integration und Sprachlernen bremsen (Kapitel </w:t>
            </w:r>
            <w:hyperlink w:anchor="k31">
              <w:r>
                <w:rPr>
                  <w:rStyle w:val="ListLabel112"/>
                  <w:rFonts w:eastAsia="Cambria" w:cs="Cambria"/>
                  <w:b w:val="false"/>
                  <w:bCs w:val="false"/>
                  <w:i w:val="false"/>
                  <w:iCs w:val="false"/>
                  <w:sz w:val="18"/>
                  <w:szCs w:val="18"/>
                </w:rPr>
                <w:t>31</w:t>
              </w:r>
            </w:hyperlink>
            <w:r>
              <w:rPr>
                <w:rFonts w:eastAsia="Cambria" w:cs="Cambria"/>
                <w:b w:val="false"/>
                <w:bCs w:val="false"/>
                <w:i w:val="false"/>
                <w:iCs w:val="false"/>
                <w:sz w:val="18"/>
                <w:szCs w:val="18"/>
              </w:rPr>
              <w:t xml:space="preserve"> bis </w:t>
            </w:r>
            <w:hyperlink w:anchor="k33">
              <w:r>
                <w:rPr>
                  <w:rStyle w:val="ListLabel112"/>
                  <w:rFonts w:eastAsia="Cambria" w:cs="Cambria"/>
                  <w:b w:val="false"/>
                  <w:bCs w:val="false"/>
                  <w:i w:val="false"/>
                  <w:iCs w:val="false"/>
                  <w:sz w:val="18"/>
                  <w:szCs w:val="18"/>
                </w:rPr>
                <w:t>33</w:t>
              </w:r>
            </w:hyperlink>
            <w:r>
              <w:rPr>
                <w:rFonts w:eastAsia="Cambria" w:cs="Cambria"/>
                <w:b w:val="false"/>
                <w:bCs w:val="false"/>
                <w:i w:val="false"/>
                <w:iCs w:val="false"/>
                <w:sz w:val="18"/>
                <w:szCs w:val="18"/>
              </w:rPr>
              <w:t xml:space="preserve"> und </w:t>
            </w:r>
            <w:hyperlink w:anchor="k37">
              <w:r>
                <w:rPr>
                  <w:rStyle w:val="ListLabel112"/>
                  <w:rFonts w:eastAsia="Cambria" w:cs="Cambria"/>
                  <w:b w:val="false"/>
                  <w:bCs w:val="false"/>
                  <w:i w:val="false"/>
                  <w:iCs w:val="false"/>
                  <w:sz w:val="18"/>
                  <w:szCs w:val="18"/>
                </w:rPr>
                <w:t>37</w:t>
              </w:r>
            </w:hyperlink>
            <w:r>
              <w:rPr>
                <w:rFonts w:eastAsia="Cambria" w:cs="Cambria"/>
                <w:b w:val="false"/>
                <w:bCs w:val="false"/>
                <w:i w:val="false"/>
                <w:iCs w:val="false"/>
                <w:sz w:val="18"/>
                <w:szCs w:val="18"/>
              </w:rPr>
              <w: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Macht Zwischenbilanzen mit der Familie normal, nicht dramatisch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Hauskauf oder ein weit fortgeschrittenes Green-Card-Verfahren passt schlecht zu kurzen Etappen (Kapitel </w:t>
            </w:r>
            <w:hyperlink w:anchor="k14">
              <w:r>
                <w:rPr>
                  <w:rStyle w:val="ListLabel112"/>
                  <w:rFonts w:eastAsia="Cambria" w:cs="Cambria"/>
                  <w:b w:val="false"/>
                  <w:bCs w:val="false"/>
                  <w:i w:val="false"/>
                  <w:iCs w:val="false"/>
                  <w:sz w:val="18"/>
                  <w:szCs w:val="18"/>
                </w:rPr>
                <w:t>14</w:t>
              </w:r>
            </w:hyperlink>
            <w:r>
              <w:rPr>
                <w:rFonts w:eastAsia="Cambria" w:cs="Cambria"/>
                <w:b w:val="false"/>
                <w:bCs w:val="false"/>
                <w:i w:val="false"/>
                <w:iCs w:val="false"/>
                <w:sz w:val="18"/>
                <w:szCs w:val="18"/>
              </w:rPr>
              <w: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Rückkehr ist nach Kapitel </w:t>
            </w:r>
            <w:hyperlink w:anchor="k42">
              <w:r>
                <w:rPr>
                  <w:rStyle w:val="ListLabel112"/>
                  <w:rFonts w:eastAsia="Cambria" w:cs="Cambria"/>
                  <w:b w:val="false"/>
                  <w:bCs w:val="false"/>
                  <w:i w:val="false"/>
                  <w:iCs w:val="false"/>
                  <w:sz w:val="18"/>
                  <w:szCs w:val="18"/>
                </w:rPr>
                <w:t>42</w:t>
              </w:r>
            </w:hyperlink>
            <w:r>
              <w:rPr>
                <w:rFonts w:eastAsia="Cambria" w:cs="Cambria"/>
                <w:b w:val="false"/>
                <w:bCs w:val="false"/>
                <w:i w:val="false"/>
                <w:iCs w:val="false"/>
                <w:sz w:val="18"/>
                <w:szCs w:val="18"/>
              </w:rPr>
              <w:t xml:space="preserve"> planbar, kein Scheitern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Wer zu früh mental „auf Abruf“ lebt, investiert weniger in Freundschaften und Nachbarschaft (Kapitel </w:t>
            </w:r>
            <w:hyperlink w:anchor="k32">
              <w:r>
                <w:rPr>
                  <w:rStyle w:val="ListLabel112"/>
                  <w:rFonts w:eastAsia="Cambria" w:cs="Cambria"/>
                  <w:b w:val="false"/>
                  <w:bCs w:val="false"/>
                  <w:i w:val="false"/>
                  <w:iCs w:val="false"/>
                  <w:sz w:val="18"/>
                  <w:szCs w:val="18"/>
                </w:rPr>
                <w:t>32</w:t>
              </w:r>
            </w:hyperlink>
            <w:r>
              <w:rPr>
                <w:rFonts w:eastAsia="Cambria" w:cs="Cambria"/>
                <w:b w:val="false"/>
                <w:bCs w:val="false"/>
                <w:i w:val="false"/>
                <w:iCs w:val="false"/>
                <w:sz w:val="18"/>
                <w:szCs w:val="18"/>
              </w:rPr>
              <w: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Rechne deine eigene Version der drei Beispiele mit deinem tatsächlichen Gehalt, Zielstaat und deiner Familiengröße. Fülle die Entscheidungsmatrix gemeinsam aus, bevor ein Angebot auf dem Tisch liegt, und setzt euch danach zum Familienrat zusammen. Erst wenn beides steht, gehst du mit der Verhandlungsliste in das Gespräch mit dem Arbeitgeber – und behältst das Zwei-bis-drei-Jahre-Denken als Sicherheitsnetz im Hinterkopf.</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 Netto-Rechnung mit deinem Gehalt, Zielstaat und deiner Familiengröße erstellen (Vorlage oben)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Partnerstatus und Arbeitserlaubnis-Perspektive klären (Kapitel </w:t>
            </w:r>
            <w:hyperlink w:anchor="k10">
              <w:r>
                <w:rPr>
                  <w:rStyle w:val="ListLabel114"/>
                  <w:rFonts w:eastAsia="Cambria" w:cs="Cambria"/>
                  <w:b w:val="false"/>
                  <w:bCs w:val="false"/>
                  <w:i w:val="false"/>
                  <w:iCs w:val="false"/>
                  <w:sz w:val="20"/>
                  <w:szCs w:val="20"/>
                </w:rPr>
                <w:t>10</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Muss-, Kann- und Ausschlusskriterien schriftlich mit Partner oder Familie festlegen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Familienrat zu Partnerkarriere, Kindern, Eltern und Immobilie abhalten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Verhandlungsliste (Relocation, Anwalt, Green-Card-Sponsoring, Steuerberatung, Rückkehrklausel) vor der Zusage durchgehen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Alle finanziell relevanten Zusagen schriftlich im Angebot oder einer Zusatzvereinbarung bestätigen lassen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Umzugstermin, wenn möglich, am Schuljahr der Kinder ausrichten (Kapitel </w:t>
            </w:r>
            <w:hyperlink w:anchor="k15">
              <w:r>
                <w:rPr>
                  <w:rStyle w:val="ListLabel114"/>
                  <w:rFonts w:eastAsia="Cambria" w:cs="Cambria"/>
                  <w:b w:val="false"/>
                  <w:bCs w:val="false"/>
                  <w:i w:val="false"/>
                  <w:iCs w:val="false"/>
                  <w:sz w:val="20"/>
                  <w:szCs w:val="20"/>
                </w:rPr>
                <w:t>15</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Zeithorizont von zwei bis drei Jahren und Rückkehroption offen in der Familie besprechen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Unsicherheit Steuerberater und Einwanderungsanwalt vor der Unterschrift einbeziehen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IRS — Tax Withholding Estimator und aktuelle Steuersätze (</w:t>
      </w:r>
      <w:hyperlink r:id="rId43">
        <w:r>
          <w:rPr>
            <w:rStyle w:val="ListLabel113"/>
            <w:rFonts w:eastAsia="Cambria" w:cs="Cambria"/>
            <w:b w:val="false"/>
            <w:bCs w:val="false"/>
            <w:i w:val="false"/>
            <w:iCs w:val="false"/>
            <w:color w:val="0563C1"/>
            <w:sz w:val="22"/>
            <w:szCs w:val="22"/>
            <w:u w:val="single"/>
          </w:rPr>
          <w:t>irs.gov/individuals/tax-withholding-estimator</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KFF — Employer Health Benefits Survey (</w:t>
      </w:r>
      <w:hyperlink r:id="rId44">
        <w:r>
          <w:rPr>
            <w:rStyle w:val="ListLabel113"/>
            <w:rFonts w:eastAsia="Cambria" w:cs="Cambria"/>
            <w:b w:val="false"/>
            <w:bCs w:val="false"/>
            <w:i w:val="false"/>
            <w:iCs w:val="false"/>
            <w:color w:val="0563C1"/>
            <w:sz w:val="22"/>
            <w:szCs w:val="22"/>
            <w:u w:val="single"/>
          </w:rPr>
          <w:t>kff.org/health-costs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Green Card über den Arbeitgeber (</w:t>
      </w:r>
      <w:hyperlink r:id="rId45">
        <w:r>
          <w:rPr>
            <w:rStyle w:val="ListLabel113"/>
            <w:rFonts w:eastAsia="Cambria" w:cs="Cambria"/>
            <w:b w:val="false"/>
            <w:bCs w:val="false"/>
            <w:i w:val="false"/>
            <w:iCs w:val="false"/>
            <w:color w:val="0563C1"/>
            <w:sz w:val="22"/>
            <w:szCs w:val="22"/>
            <w:u w:val="single"/>
          </w:rPr>
          <w:t>uscis.gov/green-card/green-card-eligibility/green-card-for-employment-based-immigrants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Familienportal des Bundes — Kindergeld (</w:t>
      </w:r>
      <w:hyperlink r:id="rId46">
        <w:r>
          <w:rPr>
            <w:rStyle w:val="ListLabel113"/>
            <w:rFonts w:eastAsia="Cambria" w:cs="Cambria"/>
            <w:b w:val="false"/>
            <w:bCs w:val="false"/>
            <w:i w:val="false"/>
            <w:iCs w:val="false"/>
            <w:color w:val="0563C1"/>
            <w:sz w:val="22"/>
            <w:szCs w:val="22"/>
            <w:u w:val="single"/>
          </w:rPr>
          <w:t>familienportal.de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Statistisches Bundesamt — Wohnen und Mieten in Deutschland (</w:t>
      </w:r>
      <w:hyperlink r:id="rId47">
        <w:r>
          <w:rPr>
            <w:rStyle w:val="ListLabel113"/>
            <w:rFonts w:eastAsia="Cambria" w:cs="Cambria"/>
            <w:b w:val="false"/>
            <w:bCs w:val="false"/>
            <w:i w:val="false"/>
            <w:iCs w:val="false"/>
            <w:color w:val="0563C1"/>
            <w:sz w:val="22"/>
            <w:szCs w:val="22"/>
            <w:u w:val="single"/>
          </w:rPr>
          <w:t>destatis.de</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Rechenbeispiele sind vereinfachte Näherungen auf Basis der in Kapitel </w:t>
            </w:r>
            <w:hyperlink w:anchor="k13">
              <w:r>
                <w:rPr>
                  <w:rStyle w:val="ListLabel114"/>
                  <w:rFonts w:eastAsia="Cambria" w:cs="Cambria"/>
                  <w:b w:val="false"/>
                  <w:bCs w:val="false"/>
                  <w:i w:val="false"/>
                  <w:iCs w:val="false"/>
                  <w:sz w:val="20"/>
                  <w:szCs w:val="20"/>
                </w:rPr>
                <w:t>13</w:t>
              </w:r>
            </w:hyperlink>
            <w:r>
              <w:rPr>
                <w:rFonts w:eastAsia="Cambria" w:cs="Cambria"/>
                <w:b w:val="false"/>
                <w:bCs w:val="false"/>
                <w:i w:val="false"/>
                <w:iCs w:val="false"/>
                <w:sz w:val="20"/>
                <w:szCs w:val="20"/>
              </w:rPr>
              <w:t xml:space="preserve">, </w:t>
            </w:r>
            <w:hyperlink w:anchor="k14">
              <w:r>
                <w:rPr>
                  <w:rStyle w:val="ListLabel114"/>
                  <w:rFonts w:eastAsia="Cambria" w:cs="Cambria"/>
                  <w:b w:val="false"/>
                  <w:bCs w:val="false"/>
                  <w:i w:val="false"/>
                  <w:iCs w:val="false"/>
                  <w:sz w:val="20"/>
                  <w:szCs w:val="20"/>
                </w:rPr>
                <w:t>14</w:t>
              </w:r>
            </w:hyperlink>
            <w:r>
              <w:rPr>
                <w:rFonts w:eastAsia="Cambria" w:cs="Cambria"/>
                <w:b w:val="false"/>
                <w:bCs w:val="false"/>
                <w:i w:val="false"/>
                <w:iCs w:val="false"/>
                <w:sz w:val="20"/>
                <w:szCs w:val="20"/>
              </w:rPr>
              <w:t xml:space="preserve">, </w:t>
            </w:r>
            <w:hyperlink w:anchor="k26">
              <w:r>
                <w:rPr>
                  <w:rStyle w:val="ListLabel114"/>
                  <w:rFonts w:eastAsia="Cambria" w:cs="Cambria"/>
                  <w:b w:val="false"/>
                  <w:bCs w:val="false"/>
                  <w:i w:val="false"/>
                  <w:iCs w:val="false"/>
                  <w:sz w:val="20"/>
                  <w:szCs w:val="20"/>
                </w:rPr>
                <w:t>26</w:t>
              </w:r>
            </w:hyperlink>
            <w:r>
              <w:rPr>
                <w:rFonts w:eastAsia="Cambria" w:cs="Cambria"/>
                <w:b w:val="false"/>
                <w:bCs w:val="false"/>
                <w:i w:val="false"/>
                <w:iCs w:val="false"/>
                <w:sz w:val="20"/>
                <w:szCs w:val="20"/>
              </w:rPr>
              <w:t xml:space="preserve">, </w:t>
            </w:r>
            <w:hyperlink w:anchor="k28">
              <w:r>
                <w:rPr>
                  <w:rStyle w:val="ListLabel114"/>
                  <w:rFonts w:eastAsia="Cambria" w:cs="Cambria"/>
                  <w:b w:val="false"/>
                  <w:bCs w:val="false"/>
                  <w:i w:val="false"/>
                  <w:iCs w:val="false"/>
                  <w:sz w:val="20"/>
                  <w:szCs w:val="20"/>
                </w:rPr>
                <w:t>28</w:t>
              </w:r>
            </w:hyperlink>
            <w:r>
              <w:rPr>
                <w:rFonts w:eastAsia="Cambria" w:cs="Cambria"/>
                <w:b w:val="false"/>
                <w:bCs w:val="false"/>
                <w:i w:val="false"/>
                <w:iCs w:val="false"/>
                <w:sz w:val="20"/>
                <w:szCs w:val="20"/>
              </w:rPr>
              <w:t xml:space="preserve"> und </w:t>
            </w:r>
            <w:hyperlink w:anchor="k38">
              <w:r>
                <w:rPr>
                  <w:rStyle w:val="ListLabel114"/>
                  <w:rFonts w:eastAsia="Cambria" w:cs="Cambria"/>
                  <w:b w:val="false"/>
                  <w:bCs w:val="false"/>
                  <w:i w:val="false"/>
                  <w:iCs w:val="false"/>
                  <w:sz w:val="20"/>
                  <w:szCs w:val="20"/>
                </w:rPr>
                <w:t>38</w:t>
              </w:r>
            </w:hyperlink>
            <w:r>
              <w:rPr>
                <w:rFonts w:eastAsia="Cambria" w:cs="Cambria"/>
                <w:b w:val="false"/>
                <w:bCs w:val="false"/>
                <w:i w:val="false"/>
                <w:iCs w:val="false"/>
                <w:sz w:val="20"/>
                <w:szCs w:val="20"/>
              </w:rPr>
              <w:t xml:space="preserve"> geprüften Zahlen; sie ersetzen keine individuelle Steuer- oder Finanzberatung. Schnell ändern sich Steuersätze, Krankenversicherungsprämien, Mieten und der Wechselkurs. Rechne vor jeder Entscheidung mit deinen eigenen, aktuellen Zahlen.</w:t>
            </w:r>
          </w:p>
        </w:tc>
      </w:tr>
    </w:tbl>
    <w:p>
      <w:pPr>
        <w:sectPr>
          <w:footerReference w:type="even" r:id="rId48"/>
          <w:footerReference w:type="default" r:id="rId49"/>
          <w:footerReference w:type="first" r:id="rId50"/>
          <w:type w:val="nextPage"/>
          <w:pgSz w:w="8640" w:h="12983"/>
          <w:pgMar w:left="1080" w:right="1080" w:gutter="0" w:header="0" w:top="1080" w:footer="708" w:bottom="1100"/>
          <w:pgNumType w:fmt="decimal"/>
          <w:formProt w:val="false"/>
          <w:textDirection w:val="lrTb"/>
          <w:docGrid w:type="default" w:linePitch="360" w:charSpace="4096"/>
        </w:sectPr>
        <w:pStyle w:val="Normal"/>
        <w:spacing w:lineRule="exact" w:line="220" w:before="0" w:after="0"/>
        <w:rPr/>
      </w:pPr>
      <w:r>
        <w:rPr/>
      </w:r>
    </w:p>
    <w:p>
      <w:pPr>
        <w:pStyle w:val="Heading1"/>
        <w:spacing w:before="0" w:after="360"/>
        <w:jc w:val="center"/>
        <w:rPr/>
      </w:pPr>
      <w:bookmarkStart w:id="16" w:name="__RefHeading___Toc56435_3769931028"/>
      <w:bookmarkEnd w:id="16"/>
      <w:r>
        <w:rPr>
          <w:rFonts w:eastAsia="Amazon Ember" w:cs="Amazon Ember" w:ascii="Amazon Ember" w:hAnsi="Amazon Ember"/>
          <w:b/>
          <w:bCs/>
          <w:color w:val="0000FF"/>
        </w:rPr>
        <w:t>TEIL II — Visum und Green Card</w:t>
      </w:r>
    </w:p>
    <w:p>
      <w:pPr>
        <w:sectPr>
          <w:footerReference w:type="even" r:id="rId51"/>
          <w:footerReference w:type="default" r:id="rId52"/>
          <w:footerReference w:type="first" r:id="rId53"/>
          <w:type w:val="nextPage"/>
          <w:pgSz w:w="8640" w:h="12983"/>
          <w:pgMar w:left="1080" w:right="1080" w:gutter="0" w:header="0" w:top="1080" w:footer="708" w:bottom="1100"/>
          <w:pgNumType w:fmt="decimal"/>
          <w:formProt w:val="false"/>
          <w:vAlign w:val="center"/>
          <w:textDirection w:val="lrTb"/>
          <w:docGrid w:type="default" w:linePitch="360" w:charSpace="4096"/>
        </w:sectPr>
        <w:pStyle w:val="Normal"/>
        <w:spacing w:lineRule="exact" w:line="300" w:before="0" w:after="160"/>
        <w:ind w:left="400" w:right="400"/>
        <w:jc w:val="center"/>
        <w:rPr/>
      </w:pPr>
      <w:r>
        <w:rPr>
          <w:rFonts w:eastAsia="Cambria" w:cs="Cambria"/>
          <w:b w:val="false"/>
          <w:bCs w:val="false"/>
          <w:i/>
          <w:iCs/>
          <w:sz w:val="24"/>
          <w:szCs w:val="24"/>
        </w:rPr>
        <w:t>Ohne das richtige Papier geht nichts. Wie H-1B, Green Card, Studium und die anderen Wege funktionieren, was sie unterscheidet und wo sie teuer oder riskant werden.</w:t>
      </w:r>
      <w:r>
        <w:br w:type="page"/>
      </w:r>
    </w:p>
    <w:p>
      <w:pPr>
        <w:pStyle w:val="Heading2"/>
        <w:keepNext w:val="true"/>
        <w:spacing w:before="0" w:after="300"/>
        <w:jc w:val="center"/>
        <w:rPr/>
      </w:pPr>
      <w:bookmarkStart w:id="17" w:name="__RefHeading___Toc56437_3769931028"/>
      <w:bookmarkStart w:id="18" w:name="k4"/>
      <w:bookmarkEnd w:id="17"/>
      <w:r>
        <w:rPr>
          <w:rFonts w:eastAsia="Amazon Ember" w:cs="Amazon Ember" w:ascii="Amazon Ember" w:hAnsi="Amazon Ember"/>
          <w:b/>
          <w:bCs/>
          <w:color w:val="0000FF"/>
          <w:sz w:val="36"/>
          <w:szCs w:val="36"/>
        </w:rPr>
        <w:t>Kapitel 4: Die Wege in die USA im Überblick</w:t>
      </w:r>
      <w:bookmarkEnd w:id="18"/>
    </w:p>
    <w:p>
      <w:pPr>
        <w:pStyle w:val="Normal"/>
        <w:keepNext w:val="false"/>
        <w:keepLines w:val="false"/>
        <w:spacing w:lineRule="exact" w:line="288" w:before="0" w:after="140"/>
        <w:jc w:val="left"/>
        <w:rPr/>
      </w:pPr>
      <w:r>
        <w:rPr>
          <w:rFonts w:eastAsia="Cambria" w:cs="Cambria"/>
          <w:b w:val="false"/>
          <w:bCs w:val="false"/>
          <w:i w:val="false"/>
          <w:iCs w:val="false"/>
          <w:sz w:val="22"/>
          <w:szCs w:val="22"/>
        </w:rPr>
        <w:t>Sieben Kürzel auf einem Notizzettel, keine Ahnung, welches zu dir passt: H-1B, L-1, O-1, E-2, F-1, EB-2, ESTA. So beginnt die Recherche für die meisten Leserinnen und Leser dieses Buchs – mit einer Liste von Visanamen und der bangen Frage, welcher davon der richtige ist. Die ehrliche Antwort: Es kommt nicht auf deine Vorlieben an, sondern auf deine Situation. Hast du ein Jobangebot? Willst du studieren? Hast du einen amerikanischen Partner? Aus der Antwort ergibt sich der Weg fast von selbst – und dieses Kapitel zeigt, welcher das ist, bevor die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xml:space="preserve"> bis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 xml:space="preserve"> ihn im Detail durchgehen.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Ein </w:t>
            </w:r>
            <w:r>
              <w:rPr>
                <w:rFonts w:eastAsia="Cambria" w:cs="Cambria"/>
                <w:b w:val="false"/>
                <w:bCs w:val="false"/>
                <w:i/>
                <w:iCs/>
                <w:sz w:val="20"/>
                <w:szCs w:val="20"/>
              </w:rPr>
              <w:t>Visum</w:t>
            </w:r>
            <w:r>
              <w:rPr>
                <w:rFonts w:eastAsia="Cambria" w:cs="Cambria"/>
                <w:b w:val="false"/>
                <w:bCs w:val="false"/>
                <w:i w:val="false"/>
                <w:iCs w:val="false"/>
                <w:sz w:val="20"/>
                <w:szCs w:val="20"/>
              </w:rPr>
              <w:t xml:space="preserve"> ist der Einreisestempel im Pass, ausgestellt vom Konsulat. Ein </w:t>
            </w:r>
            <w:r>
              <w:rPr>
                <w:rFonts w:eastAsia="Cambria" w:cs="Cambria"/>
                <w:b w:val="false"/>
                <w:bCs w:val="false"/>
                <w:i/>
                <w:iCs/>
                <w:sz w:val="20"/>
                <w:szCs w:val="20"/>
              </w:rPr>
              <w:t>Status</w:t>
            </w:r>
            <w:r>
              <w:rPr>
                <w:rFonts w:eastAsia="Cambria" w:cs="Cambria"/>
                <w:b w:val="false"/>
                <w:bCs w:val="false"/>
                <w:i w:val="false"/>
                <w:iCs w:val="false"/>
                <w:sz w:val="20"/>
                <w:szCs w:val="20"/>
              </w:rPr>
              <w:t xml:space="preserve"> ist die Aufenthalts- und Arbeitserlaubnis danach, dokumentiert im I-94. Beides wird ständig verwechselt, ist aber rechtlich getrennt.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Das US-Recht unterscheidet </w:t>
            </w:r>
            <w:r>
              <w:rPr>
                <w:rFonts w:eastAsia="Cambria" w:cs="Cambria"/>
                <w:b w:val="false"/>
                <w:bCs w:val="false"/>
                <w:i/>
                <w:iCs/>
                <w:sz w:val="20"/>
                <w:szCs w:val="20"/>
              </w:rPr>
              <w:t>Nonimmigrants</w:t>
            </w:r>
            <w:r>
              <w:rPr>
                <w:rFonts w:eastAsia="Cambria" w:cs="Cambria"/>
                <w:b w:val="false"/>
                <w:bCs w:val="false"/>
                <w:i w:val="false"/>
                <w:iCs w:val="false"/>
                <w:sz w:val="20"/>
                <w:szCs w:val="20"/>
              </w:rPr>
              <w:t xml:space="preserve"> (Nichteinwanderer, befristet und zweckgebunden) und </w:t>
            </w:r>
            <w:r>
              <w:rPr>
                <w:rFonts w:eastAsia="Cambria" w:cs="Cambria"/>
                <w:b w:val="false"/>
                <w:bCs w:val="false"/>
                <w:i/>
                <w:iCs/>
                <w:sz w:val="20"/>
                <w:szCs w:val="20"/>
              </w:rPr>
              <w:t>Immigrants</w:t>
            </w:r>
            <w:r>
              <w:rPr>
                <w:rFonts w:eastAsia="Cambria" w:cs="Cambria"/>
                <w:b w:val="false"/>
                <w:bCs w:val="false"/>
                <w:i w:val="false"/>
                <w:iCs w:val="false"/>
                <w:sz w:val="20"/>
                <w:szCs w:val="20"/>
              </w:rPr>
              <w:t xml:space="preserve"> (Einwanderer mit Green Card, unbefristet). Die meisten Wege in diesem Buch beginnen als Nichteinwanderer.</w:t>
            </w:r>
          </w:p>
          <w:p>
            <w:pPr>
              <w:pStyle w:val="ListParagraph"/>
              <w:numPr>
                <w:ilvl w:val="0"/>
                <w:numId w:val="1"/>
              </w:numPr>
              <w:spacing w:lineRule="exact" w:line="264" w:before="0" w:after="50"/>
              <w:rPr/>
            </w:pPr>
            <w:r>
              <w:rPr>
                <w:rFonts w:eastAsia="Cambria" w:cs="Cambria"/>
                <w:b w:val="false"/>
                <w:bCs w:val="false"/>
                <w:i/>
                <w:iCs/>
                <w:sz w:val="20"/>
                <w:szCs w:val="20"/>
              </w:rPr>
              <w:t>Dual Intent</w:t>
            </w:r>
            <w:r>
              <w:rPr>
                <w:rFonts w:eastAsia="Cambria" w:cs="Cambria"/>
                <w:b w:val="false"/>
                <w:bCs w:val="false"/>
                <w:i w:val="false"/>
                <w:iCs w:val="false"/>
                <w:sz w:val="20"/>
                <w:szCs w:val="20"/>
              </w:rPr>
              <w:t xml:space="preserve"> (doppelte Absicht) erlaubt bei H-1B und L-1, gleichzeitig befristet zu arbeiten und die Green Card anzustreben. Andere Status verlangen den Nachweis, dass du wieder gehen willst.</w:t>
            </w:r>
          </w:p>
          <w:p>
            <w:pPr>
              <w:pStyle w:val="ListParagraph"/>
              <w:numPr>
                <w:ilvl w:val="0"/>
                <w:numId w:val="1"/>
              </w:numPr>
              <w:spacing w:lineRule="exact" w:line="264" w:before="0" w:after="50"/>
              <w:rPr/>
            </w:pPr>
            <w:r>
              <w:rPr>
                <w:rFonts w:eastAsia="Cambria" w:cs="Cambria"/>
                <w:b w:val="false"/>
                <w:bCs w:val="false"/>
                <w:i w:val="false"/>
                <w:iCs w:val="false"/>
                <w:sz w:val="20"/>
                <w:szCs w:val="20"/>
              </w:rPr>
              <w:t>Welcher Weg passt, hängt von deiner Lage ab: Jobangebot, Studium, Investition, Spitzenleistung, US-Partner oder reiner Besuch führen in unterschiedliche Kapitel.</w:t>
            </w:r>
          </w:p>
          <w:p>
            <w:pPr>
              <w:pStyle w:val="ListParagraph"/>
              <w:numPr>
                <w:ilvl w:val="0"/>
                <w:numId w:val="1"/>
              </w:numPr>
              <w:spacing w:lineRule="exact" w:line="264" w:before="0" w:after="50"/>
              <w:rPr/>
            </w:pPr>
            <w:r>
              <w:rPr>
                <w:rFonts w:eastAsia="Cambria" w:cs="Cambria"/>
                <w:b w:val="false"/>
                <w:bCs w:val="false"/>
                <w:i w:val="false"/>
                <w:iCs w:val="false"/>
                <w:sz w:val="20"/>
                <w:szCs w:val="20"/>
              </w:rPr>
              <w:t>Die Vergleichstabellen zeigen Voraussetzung, Dauer, Arbeitserlaubnis für dich und deinen Partner sowie den Weg zur Green Card auf einen Blick.</w:t>
            </w:r>
          </w:p>
          <w:p>
            <w:pPr>
              <w:pStyle w:val="ListParagraph"/>
              <w:numPr>
                <w:ilvl w:val="0"/>
                <w:numId w:val="1"/>
              </w:numPr>
              <w:spacing w:lineRule="exact" w:line="264" w:before="0" w:after="50"/>
              <w:rPr/>
            </w:pPr>
            <w:r>
              <w:rPr>
                <w:rFonts w:eastAsia="Cambria" w:cs="Cambria"/>
                <w:b w:val="false"/>
                <w:bCs w:val="false"/>
                <w:i w:val="false"/>
                <w:iCs w:val="false"/>
                <w:sz w:val="20"/>
                <w:szCs w:val="20"/>
              </w:rPr>
              <w:t>Details zu jedem Weg stehen in den Kapiteln </w:t>
            </w:r>
            <w:hyperlink w:anchor="k5">
              <w:r>
                <w:rPr>
                  <w:rStyle w:val="ListLabel114"/>
                  <w:rFonts w:eastAsia="Cambria" w:cs="Cambria"/>
                  <w:b w:val="false"/>
                  <w:bCs w:val="false"/>
                  <w:i w:val="false"/>
                  <w:iCs w:val="false"/>
                  <w:sz w:val="20"/>
                  <w:szCs w:val="20"/>
                </w:rPr>
                <w:t>5</w:t>
              </w:r>
            </w:hyperlink>
            <w:r>
              <w:rPr>
                <w:rFonts w:eastAsia="Cambria" w:cs="Cambria"/>
                <w:b w:val="false"/>
                <w:bCs w:val="false"/>
                <w:i w:val="false"/>
                <w:iCs w:val="false"/>
                <w:sz w:val="20"/>
                <w:szCs w:val="20"/>
              </w:rPr>
              <w:t xml:space="preserve"> bis </w:t>
            </w:r>
            <w:hyperlink w:anchor="k11">
              <w:r>
                <w:rPr>
                  <w:rStyle w:val="ListLabel114"/>
                  <w:rFonts w:eastAsia="Cambria" w:cs="Cambria"/>
                  <w:b w:val="false"/>
                  <w:bCs w:val="false"/>
                  <w:i w:val="false"/>
                  <w:iCs w:val="false"/>
                  <w:sz w:val="20"/>
                  <w:szCs w:val="20"/>
                </w:rPr>
                <w:t>11</w:t>
              </w:r>
            </w:hyperlink>
            <w:r>
              <w:rPr>
                <w:rFonts w:eastAsia="Cambria" w:cs="Cambria"/>
                <w:b w:val="false"/>
                <w:bCs w:val="false"/>
                <w:i w:val="false"/>
                <w:iCs w:val="false"/>
                <w:sz w:val="20"/>
                <w:szCs w:val="20"/>
              </w:rPr>
              <w:t>; hier geht es nur um die Einordnung.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Visum und Status: zwei verschiedene Dinge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wichtigste Begriffsfehler zuerst, weil fast jeder ihn macht. Verbreiteter Irrtum: Wer das Visum im Pass kleben hat, hat auch schon die Zusage, bleiben zu dürfen. Tatsächlich ist das </w:t>
      </w:r>
      <w:r>
        <w:rPr>
          <w:rFonts w:eastAsia="Cambria" w:cs="Cambria"/>
          <w:b w:val="false"/>
          <w:bCs w:val="false"/>
          <w:i/>
          <w:iCs/>
          <w:sz w:val="22"/>
          <w:szCs w:val="22"/>
        </w:rPr>
        <w:t>Visum</w:t>
      </w:r>
      <w:r>
        <w:rPr>
          <w:rFonts w:eastAsia="Cambria" w:cs="Cambria"/>
          <w:b w:val="false"/>
          <w:bCs w:val="false"/>
          <w:i w:val="false"/>
          <w:iCs w:val="false"/>
          <w:sz w:val="22"/>
          <w:szCs w:val="22"/>
        </w:rPr>
        <w:t xml:space="preserve"> nur der Aufkleber oder Stempel im Pass, den ein Konsulat der USA im Ausland ausstellt – in deinem Fall meist in Frankfurt, Berlin oder München. Es ist nichts weiter als die Erlaubnis, an der Grenze vorzusprechen. Über die eigentliche Einreise entscheidet der Grenzschutz (</w:t>
      </w:r>
      <w:r>
        <w:rPr>
          <w:rFonts w:eastAsia="Cambria" w:cs="Cambria"/>
          <w:b w:val="false"/>
          <w:bCs w:val="false"/>
          <w:i/>
          <w:iCs/>
          <w:sz w:val="22"/>
          <w:szCs w:val="22"/>
        </w:rPr>
        <w:t>Customs and Border Protection</w:t>
      </w:r>
      <w:r>
        <w:rPr>
          <w:rFonts w:eastAsia="Cambria" w:cs="Cambria"/>
          <w:b w:val="false"/>
          <w:bCs w:val="false"/>
          <w:i w:val="false"/>
          <w:iCs w:val="false"/>
          <w:sz w:val="22"/>
          <w:szCs w:val="22"/>
        </w:rPr>
        <w:t xml:space="preserve">, CBP) am Flughafen. Er legt fest, wie lange und in welcher Kategorie du bleiben darfst, und dokumentiert das im elektronischen Einreisenachweis I-94. Dieser Eintrag heißt </w:t>
      </w:r>
      <w:r>
        <w:rPr>
          <w:rFonts w:eastAsia="Cambria" w:cs="Cambria"/>
          <w:b w:val="false"/>
          <w:bCs w:val="false"/>
          <w:i/>
          <w:iCs/>
          <w:sz w:val="22"/>
          <w:szCs w:val="22"/>
        </w:rPr>
        <w:t>Status</w:t>
      </w:r>
      <w:r>
        <w:rPr>
          <w:rFonts w:eastAsia="Cambria" w:cs="Cambria"/>
          <w:b w:val="false"/>
          <w:bCs w:val="false"/>
          <w:i w:val="false"/>
          <w:iCs w:val="false"/>
          <w:sz w:val="22"/>
          <w:szCs w:val="22"/>
        </w:rPr>
        <w:t xml:space="preserve"> – die tatsächliche Aufenthalts- und, je nach Kategorie, Arbeitserlaubnis im Land. Ein gültiges Visum garantiert also weder Einreise noch einen bestimmten Status; ein abgelaufenes Visum wiederum beendet nicht automatisch einen noch laufenden Status.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Drei Behörden teilen sich die Zuständigkeit: Die Einwanderungsbehörde USCIS genehmigt Anträge im Inland (etwa die Petition deines Arbeitgebers). Das Außenministerium (</w:t>
      </w:r>
      <w:r>
        <w:rPr>
          <w:rFonts w:eastAsia="Cambria" w:cs="Cambria"/>
          <w:b w:val="false"/>
          <w:bCs w:val="false"/>
          <w:i/>
          <w:iCs/>
          <w:sz w:val="22"/>
          <w:szCs w:val="22"/>
        </w:rPr>
        <w:t>State Department</w:t>
      </w:r>
      <w:r>
        <w:rPr>
          <w:rFonts w:eastAsia="Cambria" w:cs="Cambria"/>
          <w:b w:val="false"/>
          <w:bCs w:val="false"/>
          <w:i w:val="false"/>
          <w:iCs w:val="false"/>
          <w:sz w:val="22"/>
          <w:szCs w:val="22"/>
        </w:rPr>
        <w:t>, DOS) und seine Konsulate stellen das Visum aus. Der Grenzschutz CBP entscheidet über die Einreise selbst. Wer das nicht auseinanderhält, wundert sich später über Sätze wie „die Petition ist genehmigt, aber das Visum steht noch aus“.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Vergleich mit Deutschland hilft: Auch hier unterscheidet das Recht zwischen dem Visum, das die Botschaft im Ausland erteilt, und dem Aufenthaltstitel, den die Ausländerbehörde nach der Einreise ausstellt. Der Unterschied ist also nicht exotisch – nur die Zuständigkeiten und Fristen sind in den USA strenger getrennt und die Folgen bei Fehlern unnachsichtiger.</w:t>
      </w:r>
    </w:p>
    <w:p>
      <w:pPr>
        <w:pStyle w:val="Heading3"/>
        <w:keepNext w:val="true"/>
        <w:spacing w:before="280" w:after="100"/>
        <w:jc w:val="center"/>
        <w:rPr/>
      </w:pPr>
      <w:r>
        <w:rPr>
          <w:rFonts w:eastAsia="Amazon Ember" w:cs="Amazon Ember" w:ascii="Amazon Ember" w:hAnsi="Amazon Ember"/>
          <w:b/>
          <w:bCs/>
          <w:color w:val="0000FF"/>
          <w:sz w:val="36"/>
          <w:szCs w:val="36"/>
        </w:rPr>
        <w:t>Nichteinwanderer und Einwanderer: zwei Rechtswelten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amerikanische Einwanderungsrecht kennt im Kern zwei Welten. </w:t>
      </w:r>
      <w:r>
        <w:rPr>
          <w:rFonts w:eastAsia="Cambria" w:cs="Cambria"/>
          <w:b w:val="false"/>
          <w:bCs w:val="false"/>
          <w:i/>
          <w:iCs/>
          <w:sz w:val="22"/>
          <w:szCs w:val="22"/>
        </w:rPr>
        <w:t>Nonimmigrants</w:t>
      </w:r>
      <w:r>
        <w:rPr>
          <w:rFonts w:eastAsia="Cambria" w:cs="Cambria"/>
          <w:b w:val="false"/>
          <w:bCs w:val="false"/>
          <w:i w:val="false"/>
          <w:iCs w:val="false"/>
          <w:sz w:val="22"/>
          <w:szCs w:val="22"/>
        </w:rPr>
        <w:t xml:space="preserve"> (Nichteinwanderer) kommen befristet und zu einem bestimmten Zweck: arbeiten für einen Sponsor (H-1B, L-1, O-1), studieren (F-1), an einem Austauschprogramm teilnehmen (J-1) oder schlicht zu Besuch sein (ESTA, B-1/B-2). </w:t>
      </w:r>
      <w:r>
        <w:rPr>
          <w:rFonts w:eastAsia="Cambria" w:cs="Cambria"/>
          <w:b w:val="false"/>
          <w:bCs w:val="false"/>
          <w:i/>
          <w:iCs/>
          <w:sz w:val="22"/>
          <w:szCs w:val="22"/>
        </w:rPr>
        <w:t>Immigrants</w:t>
      </w:r>
      <w:r>
        <w:rPr>
          <w:rFonts w:eastAsia="Cambria" w:cs="Cambria"/>
          <w:b w:val="false"/>
          <w:bCs w:val="false"/>
          <w:i w:val="false"/>
          <w:iCs w:val="false"/>
          <w:sz w:val="22"/>
          <w:szCs w:val="22"/>
        </w:rPr>
        <w:t xml:space="preserve"> (Einwanderer) erhalten dagegen die Green Card: ein unbefristetes Aufenthaltsrecht ohne Bindung an Arbeitgeber oder Zweck (siehe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meisten Nichteinwanderer-Kategorien gilt gesetzlich eine Vermutung: Wer ein solches Visum beantragt, will angeblich nicht dauerhaft bleiben. Diese Vermutung musst du beim Interview widerlegen oder zumindest nicht aktiv befeuern – ein Grund, warum Konsulatsmitarbeiter bei F-1- oder B-1-Anträgen gezielt nach Bindungen an Deutschland fragen (Wohnung, Familie, Arbeitsvertrag).</w:t>
      </w:r>
    </w:p>
    <w:p>
      <w:pPr>
        <w:pStyle w:val="Heading3"/>
        <w:keepNext w:val="true"/>
        <w:spacing w:before="280" w:after="100"/>
        <w:jc w:val="center"/>
        <w:rPr/>
      </w:pPr>
      <w:r>
        <w:rPr>
          <w:rFonts w:eastAsia="Amazon Ember" w:cs="Amazon Ember" w:ascii="Amazon Ember" w:hAnsi="Amazon Ember"/>
          <w:b/>
          <w:bCs/>
          <w:color w:val="0000FF"/>
          <w:sz w:val="36"/>
          <w:szCs w:val="36"/>
        </w:rPr>
        <w:t>Dual Intent: darf ich zwei Dinge gleichzeitig wollen?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Zwei Kategorien machen eine wichtige Ausnahme: H-1B und L-1 erlauben </w:t>
      </w:r>
      <w:r>
        <w:rPr>
          <w:rFonts w:eastAsia="Cambria" w:cs="Cambria"/>
          <w:b w:val="false"/>
          <w:bCs w:val="false"/>
          <w:i/>
          <w:iCs/>
          <w:sz w:val="22"/>
          <w:szCs w:val="22"/>
        </w:rPr>
        <w:t>Dual Intent</w:t>
      </w:r>
      <w:r>
        <w:rPr>
          <w:rFonts w:eastAsia="Cambria" w:cs="Cambria"/>
          <w:b w:val="false"/>
          <w:bCs w:val="false"/>
          <w:i w:val="false"/>
          <w:iCs w:val="false"/>
          <w:sz w:val="22"/>
          <w:szCs w:val="22"/>
        </w:rPr>
        <w:t>. Du darfst offen sagen, dass du langfristig eine Green Card anstrebst, ohne dass dir das bei Verlängerung oder Einreise schadet – für ein Recht, das sonst sehr genau zwischen Kommen und Bleiben trennt, ist das eine erstaunlich entspannte Ausnahme. Das ist der Grund, warum der Weg „Arbeitgeber-Visum zuerst, Green Card später“ so verbreitet ist (Kapitel </w:t>
      </w:r>
      <w:hyperlink w:anchor="k7">
        <w:r>
          <w:rPr>
            <w:rStyle w:val="ListLabel115"/>
            <w:rFonts w:eastAsia="Cambria" w:cs="Cambria"/>
            <w:b w:val="false"/>
            <w:bCs w:val="false"/>
            <w:i w:val="false"/>
            <w:iCs w:val="false"/>
            <w:sz w:val="22"/>
            <w:szCs w:val="22"/>
          </w:rPr>
          <w:t>7</w:t>
        </w:r>
      </w:hyperlink>
      <w:r>
        <w:rPr>
          <w:rFonts w:eastAsia="Cambria" w:cs="Cambria"/>
          <w:b w:val="false"/>
          <w:bCs w:val="false"/>
          <w:i w:val="false"/>
          <w:iCs w:val="false"/>
          <w:sz w:val="22"/>
          <w:szCs w:val="22"/>
        </w:rPr>
        <w:t xml:space="preserve"> vergleicht beide Etappen im Detail).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Alle anderen Wege in diesem Kapitel kennen kein Dual Intent. Wer mit F-1, J-1, O-1 oder ESTA einreist, muss glaubhaft machen, dass er nicht bleiben will – auch wenn im Koffer heimlich schon die ersten Gedanken an ein Leben danach mitreisen. Das ändert nichts daran, dass viele über exakt diese Wege später doch eine Green Card bekommen; nur muss die Absicht zum jeweiligen Zeitpunkt glaubwürdig bleiben. Details zu dieser Gratwanderung stehen in Kapitel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 xml:space="preserve"> (Studienweg) und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 xml:space="preserve"> (weitere Wege).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Es gibt kein Freelancer- oder Digital-Nomaden-Visum für die USA. Wer ohne Jobangebot, Studienplatz oder Kapital einreisen will, hat keinen Direktweg – „einfach von dort aus für den deutschen Arbeitgeber weiterarbeiten“ ist auf ESTA oder B-1 nicht erlaubt, selbst wenn niemand danach fragt (Details und Folgen in Kapitel </w:t>
            </w:r>
            <w:hyperlink w:anchor="k9">
              <w:r>
                <w:rPr>
                  <w:rStyle w:val="ListLabel114"/>
                  <w:rFonts w:eastAsia="Cambria" w:cs="Cambria"/>
                  <w:b w:val="false"/>
                  <w:bCs w:val="false"/>
                  <w:i w:val="false"/>
                  <w:iCs w:val="false"/>
                  <w:sz w:val="20"/>
                  <w:szCs w:val="20"/>
                </w:rPr>
                <w:t>9</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Dein Weg: der Entscheidungsbaum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folgende Tabelle ordnet die häufigsten Ausgangslagen den passenden Kapiteln zu. Triffst du auf mehrere Zeilen zu, lies zunächst die, die deiner Hauptsituation am nächsten kommt, und prüfe die anderen als Alternative.</w:t>
      </w:r>
    </w:p>
    <w:tbl>
      <w:tblPr>
        <w:tblW w:w="6480" w:type="dxa"/>
        <w:jc w:val="left"/>
        <w:tblInd w:w="0" w:type="dxa"/>
        <w:tblLayout w:type="fixed"/>
        <w:tblCellMar>
          <w:top w:w="50" w:type="dxa"/>
          <w:left w:w="80" w:type="dxa"/>
          <w:bottom w:w="50" w:type="dxa"/>
          <w:right w:w="80" w:type="dxa"/>
        </w:tblCellMar>
      </w:tblPr>
      <w:tblGrid>
        <w:gridCol w:w="2647"/>
        <w:gridCol w:w="2853"/>
        <w:gridCol w:w="980"/>
      </w:tblGrid>
      <w:tr>
        <w:trPr>
          <w:tblHeader w:val="true"/>
          <w:cantSplit w:val="true"/>
        </w:trPr>
        <w:tc>
          <w:tcPr>
            <w:tcW w:w="264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Situation</w:t>
            </w:r>
          </w:p>
        </w:tc>
        <w:tc>
          <w:tcPr>
            <w:tcW w:w="285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Passender Weg</w:t>
            </w:r>
          </w:p>
        </w:tc>
        <w:tc>
          <w:tcPr>
            <w:tcW w:w="98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Details in</w:t>
            </w:r>
          </w:p>
        </w:tc>
      </w:tr>
      <w:tr>
        <w:trPr>
          <w:cantSplit w:val="true"/>
        </w:trPr>
        <w:tc>
          <w:tcPr>
            <w:tcW w:w="26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habe ein Jobangebot eines US-Arbeitgebers</w:t>
            </w:r>
          </w:p>
        </w:tc>
        <w:tc>
          <w:tcPr>
            <w:tcW w:w="2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H-1B, bei Konzernversetzung auch L-1</w:t>
            </w:r>
          </w:p>
        </w:tc>
        <w:tc>
          <w:tcPr>
            <w:tcW w:w="9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5">
              <w:r>
                <w:rPr>
                  <w:rStyle w:val="ListLabel112"/>
                  <w:rFonts w:eastAsia="Cambria" w:cs="Cambria"/>
                  <w:b w:val="false"/>
                  <w:bCs w:val="false"/>
                  <w:i w:val="false"/>
                  <w:iCs w:val="false"/>
                  <w:sz w:val="18"/>
                  <w:szCs w:val="18"/>
                </w:rPr>
                <w:t>5</w:t>
              </w:r>
            </w:hyperlink>
            <w:r>
              <w:rPr>
                <w:rFonts w:eastAsia="Cambria" w:cs="Cambria"/>
                <w:b w:val="false"/>
                <w:bCs w:val="false"/>
                <w:i w:val="false"/>
                <w:iCs w:val="false"/>
                <w:sz w:val="18"/>
                <w:szCs w:val="18"/>
              </w:rPr>
              <w:t xml:space="preserve"> (und 9 für L-1)</w:t>
            </w:r>
          </w:p>
        </w:tc>
      </w:tr>
      <w:tr>
        <w:trPr>
          <w:cantSplit w:val="true"/>
        </w:trPr>
        <w:tc>
          <w:tcPr>
            <w:tcW w:w="26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habe kein Jobangebot</w:t>
            </w:r>
          </w:p>
        </w:tc>
        <w:tc>
          <w:tcPr>
            <w:tcW w:w="2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Direktweg ohne Sponsor, Kapital oder Nachweis; Studium oder eigene Investition prüfen</w:t>
            </w:r>
          </w:p>
        </w:tc>
        <w:tc>
          <w:tcPr>
            <w:tcW w:w="9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9">
              <w:r>
                <w:rPr>
                  <w:rStyle w:val="ListLabel112"/>
                  <w:rFonts w:eastAsia="Cambria" w:cs="Cambria"/>
                  <w:b w:val="false"/>
                  <w:bCs w:val="false"/>
                  <w:i w:val="false"/>
                  <w:iCs w:val="false"/>
                  <w:sz w:val="18"/>
                  <w:szCs w:val="18"/>
                </w:rPr>
                <w:t>9</w:t>
              </w:r>
            </w:hyperlink>
          </w:p>
        </w:tc>
      </w:tr>
      <w:tr>
        <w:trPr>
          <w:cantSplit w:val="true"/>
        </w:trPr>
        <w:tc>
          <w:tcPr>
            <w:tcW w:w="26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will studieren</w:t>
            </w:r>
          </w:p>
        </w:tc>
        <w:tc>
          <w:tcPr>
            <w:tcW w:w="2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F-1, danach OPT/STEM-OPT und Statuswechsel</w:t>
            </w:r>
          </w:p>
        </w:tc>
        <w:tc>
          <w:tcPr>
            <w:tcW w:w="9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8">
              <w:r>
                <w:rPr>
                  <w:rStyle w:val="ListLabel112"/>
                  <w:rFonts w:eastAsia="Cambria" w:cs="Cambria"/>
                  <w:b w:val="false"/>
                  <w:bCs w:val="false"/>
                  <w:i w:val="false"/>
                  <w:iCs w:val="false"/>
                  <w:sz w:val="18"/>
                  <w:szCs w:val="18"/>
                </w:rPr>
                <w:t>8</w:t>
              </w:r>
            </w:hyperlink>
          </w:p>
        </w:tc>
      </w:tr>
      <w:tr>
        <w:trPr>
          <w:cantSplit w:val="true"/>
        </w:trPr>
        <w:tc>
          <w:tcPr>
            <w:tcW w:w="26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will gründen oder investieren</w:t>
            </w:r>
          </w:p>
        </w:tc>
        <w:tc>
          <w:tcPr>
            <w:tcW w:w="2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E-2 (Deutschland ist Vertragsstaat)</w:t>
            </w:r>
          </w:p>
        </w:tc>
        <w:tc>
          <w:tcPr>
            <w:tcW w:w="9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9">
              <w:r>
                <w:rPr>
                  <w:rStyle w:val="ListLabel112"/>
                  <w:rFonts w:eastAsia="Cambria" w:cs="Cambria"/>
                  <w:b w:val="false"/>
                  <w:bCs w:val="false"/>
                  <w:i w:val="false"/>
                  <w:iCs w:val="false"/>
                  <w:sz w:val="18"/>
                  <w:szCs w:val="18"/>
                </w:rPr>
                <w:t>9</w:t>
              </w:r>
            </w:hyperlink>
          </w:p>
        </w:tc>
      </w:tr>
      <w:tr>
        <w:trPr>
          <w:cantSplit w:val="true"/>
        </w:trPr>
        <w:tc>
          <w:tcPr>
            <w:tcW w:w="26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bin fachlich eine Spitzenkraft mit Nachweisen</w:t>
            </w:r>
          </w:p>
        </w:tc>
        <w:tc>
          <w:tcPr>
            <w:tcW w:w="2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O-1, langfristig auch EB-1 als Green-Card-Weg</w:t>
            </w:r>
          </w:p>
        </w:tc>
        <w:tc>
          <w:tcPr>
            <w:tcW w:w="9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9">
              <w:r>
                <w:rPr>
                  <w:rStyle w:val="ListLabel112"/>
                  <w:rFonts w:eastAsia="Cambria" w:cs="Cambria"/>
                  <w:b w:val="false"/>
                  <w:bCs w:val="false"/>
                  <w:i w:val="false"/>
                  <w:iCs w:val="false"/>
                  <w:sz w:val="18"/>
                  <w:szCs w:val="18"/>
                </w:rPr>
                <w:t>9</w:t>
              </w:r>
            </w:hyperlink>
            <w:r>
              <w:rPr>
                <w:rFonts w:eastAsia="Cambria" w:cs="Cambria"/>
                <w:b w:val="false"/>
                <w:bCs w:val="false"/>
                <w:i w:val="false"/>
                <w:iCs w:val="false"/>
                <w:sz w:val="18"/>
                <w:szCs w:val="18"/>
              </w:rPr>
              <w:t xml:space="preserve"> und </w:t>
            </w:r>
            <w:hyperlink w:anchor="k6">
              <w:r>
                <w:rPr>
                  <w:rStyle w:val="ListLabel112"/>
                  <w:rFonts w:eastAsia="Cambria" w:cs="Cambria"/>
                  <w:b w:val="false"/>
                  <w:bCs w:val="false"/>
                  <w:i w:val="false"/>
                  <w:iCs w:val="false"/>
                  <w:sz w:val="18"/>
                  <w:szCs w:val="18"/>
                </w:rPr>
                <w:t>6</w:t>
              </w:r>
            </w:hyperlink>
          </w:p>
        </w:tc>
      </w:tr>
      <w:tr>
        <w:trPr>
          <w:cantSplit w:val="true"/>
        </w:trPr>
        <w:tc>
          <w:tcPr>
            <w:tcW w:w="26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habe einen US-Partner</w:t>
            </w:r>
          </w:p>
        </w:tc>
        <w:tc>
          <w:tcPr>
            <w:tcW w:w="2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Heirat, gegebenenfalls K-1-Verlobtenvisum</w:t>
            </w:r>
          </w:p>
        </w:tc>
        <w:tc>
          <w:tcPr>
            <w:tcW w:w="9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9">
              <w:r>
                <w:rPr>
                  <w:rStyle w:val="ListLabel112"/>
                  <w:rFonts w:eastAsia="Cambria" w:cs="Cambria"/>
                  <w:b w:val="false"/>
                  <w:bCs w:val="false"/>
                  <w:i w:val="false"/>
                  <w:iCs w:val="false"/>
                  <w:sz w:val="18"/>
                  <w:szCs w:val="18"/>
                </w:rPr>
                <w:t>9</w:t>
              </w:r>
            </w:hyperlink>
          </w:p>
        </w:tc>
      </w:tr>
      <w:tr>
        <w:trPr>
          <w:cantSplit w:val="true"/>
        </w:trPr>
        <w:tc>
          <w:tcPr>
            <w:tcW w:w="26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will nur zu Besuch, zu Meetings oder Vorstellungsgesprächen</w:t>
            </w:r>
          </w:p>
        </w:tc>
        <w:tc>
          <w:tcPr>
            <w:tcW w:w="2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ESTA oder B-1/B-2, keine Arbeit erlaubt</w:t>
            </w:r>
          </w:p>
        </w:tc>
        <w:tc>
          <w:tcPr>
            <w:tcW w:w="9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9">
              <w:r>
                <w:rPr>
                  <w:rStyle w:val="ListLabel112"/>
                  <w:rFonts w:eastAsia="Cambria" w:cs="Cambria"/>
                  <w:b w:val="false"/>
                  <w:bCs w:val="false"/>
                  <w:i w:val="false"/>
                  <w:iCs w:val="false"/>
                  <w:sz w:val="18"/>
                  <w:szCs w:val="18"/>
                </w:rPr>
                <w:t>9</w:t>
              </w:r>
            </w:hyperlink>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kein Jobangebot hat, sollte nicht resignieren, aber ehrlich rechnen: Der Studienweg kostet Zeit und Geld, ohne die Lotterie zu garantieren (Kapitel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 der Weg über außergewöhnliche Leistungen (O-1) verlangt eine Beweisakte, die die wenigsten von heute auf morgen zusammenstellen können; E-2 verlangt Kapital, das wirklich investiert und riskiert wird. Wer keinen der drei Wege ernsthaft gehen kann, sollte zuerst am Jobangebot arbeiten – die mit Abstand häufigste Eintrittskarte (siehe auch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 xml:space="preserve"> zur Bewerbung aus Deutschland).</w:t>
      </w:r>
    </w:p>
    <w:p>
      <w:pPr>
        <w:pStyle w:val="Heading3"/>
        <w:keepNext w:val="true"/>
        <w:spacing w:before="280" w:after="100"/>
        <w:jc w:val="center"/>
        <w:rPr/>
      </w:pPr>
      <w:r>
        <w:rPr>
          <w:rFonts w:eastAsia="Amazon Ember" w:cs="Amazon Ember" w:ascii="Amazon Ember" w:hAnsi="Amazon Ember"/>
          <w:b/>
          <w:bCs/>
          <w:color w:val="0000FF"/>
          <w:sz w:val="36"/>
          <w:szCs w:val="36"/>
        </w:rPr>
        <w:t>Die Wege im Vergleich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beiden folgenden Tabellen zeigen dieselben neun Wege aus zwei Blickwinkeln: zuerst Voraussetzung, Dauer und deine eigene Arbeitserlaubnis, dann Partner, Weg zur Green Card und ein grober Kostenanhalt. Die Zahlen sind Behördengebühren (Stand September 2026); Anwaltskosten kommen fast immer dazu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949"/>
        <w:gridCol w:w="1755"/>
        <w:gridCol w:w="2073"/>
        <w:gridCol w:w="1702"/>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Weg</w:t>
            </w:r>
          </w:p>
        </w:tc>
        <w:tc>
          <w:tcPr>
            <w:tcW w:w="175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Voraussetzung</w:t>
            </w:r>
          </w:p>
        </w:tc>
        <w:tc>
          <w:tcPr>
            <w:tcW w:w="207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Dauer</w:t>
            </w:r>
          </w:p>
        </w:tc>
        <w:tc>
          <w:tcPr>
            <w:tcW w:w="170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Arbeit erlaubt (für dich)</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H-1B</w:t>
            </w:r>
          </w:p>
        </w:tc>
        <w:tc>
          <w:tcPr>
            <w:tcW w:w="17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Jobangebot, Studienabschluss, Losverfahren (85.000 Plätze)</w:t>
            </w:r>
          </w:p>
        </w:tc>
        <w:tc>
          <w:tcPr>
            <w:tcW w:w="20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 + 3 Jahre (max. 6)</w:t>
            </w:r>
          </w:p>
        </w:tc>
        <w:tc>
          <w:tcPr>
            <w:tcW w:w="17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nur beim Sponsor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L-1</w:t>
            </w:r>
          </w:p>
        </w:tc>
        <w:tc>
          <w:tcPr>
            <w:tcW w:w="17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 Jahr im Konzern im Ausland, Versetzung als Führungskraft oder Spezialist</w:t>
            </w:r>
          </w:p>
        </w:tc>
        <w:tc>
          <w:tcPr>
            <w:tcW w:w="20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L-1A bis 7 Jahre, L-1B bis 5 Jahre</w:t>
            </w:r>
          </w:p>
        </w:tc>
        <w:tc>
          <w:tcPr>
            <w:tcW w:w="17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nur beim Sponsor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O-1</w:t>
            </w:r>
          </w:p>
        </w:tc>
        <w:tc>
          <w:tcPr>
            <w:tcW w:w="17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Außergewöhnliche Leistungen, strenge Beweislast</w:t>
            </w:r>
          </w:p>
        </w:tc>
        <w:tc>
          <w:tcPr>
            <w:tcW w:w="20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 Jahre, danach je 1 Jahr</w:t>
            </w:r>
          </w:p>
        </w:tc>
        <w:tc>
          <w:tcPr>
            <w:tcW w:w="17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nur beim Sponsor oder Agenten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E-2</w:t>
            </w:r>
          </w:p>
        </w:tc>
        <w:tc>
          <w:tcPr>
            <w:tcW w:w="17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Substanzielle Investition, Führung oder Kontrolle des Unternehmens</w:t>
            </w:r>
          </w:p>
        </w:tc>
        <w:tc>
          <w:tcPr>
            <w:tcW w:w="20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 Jahre, unbegrenzt verlängerbar</w:t>
            </w:r>
          </w:p>
        </w:tc>
        <w:tc>
          <w:tcPr>
            <w:tcW w:w="17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im eigenen Unternehmen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F-1 (Studienweg)</w:t>
            </w:r>
          </w:p>
        </w:tc>
        <w:tc>
          <w:tcPr>
            <w:tcW w:w="17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Zulassung an einer SEVP-Hochschule, Finanznachweis</w:t>
            </w:r>
          </w:p>
        </w:tc>
        <w:tc>
          <w:tcPr>
            <w:tcW w:w="20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Studiendauer plus OPT 12 Monate (plus 24 bei MINT-Fächern)</w:t>
            </w:r>
          </w:p>
        </w:tc>
        <w:tc>
          <w:tcPr>
            <w:tcW w:w="17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Stark eingeschränkt (Campus, CPT, OPT)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J-1</w:t>
            </w:r>
          </w:p>
        </w:tc>
        <w:tc>
          <w:tcPr>
            <w:tcW w:w="17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Programmplatz (Forschung, Trainee, Au-pair)</w:t>
            </w:r>
          </w:p>
        </w:tc>
        <w:tc>
          <w:tcPr>
            <w:tcW w:w="20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 Monate bis 5 Jahre je nach Programm</w:t>
            </w:r>
          </w:p>
        </w:tc>
        <w:tc>
          <w:tcPr>
            <w:tcW w:w="17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im Rahmen des Programms</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ESTA / B-1</w:t>
            </w:r>
          </w:p>
        </w:tc>
        <w:tc>
          <w:tcPr>
            <w:tcW w:w="17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Reisezweck Besuch, Meeting, Konferenz</w:t>
            </w:r>
          </w:p>
        </w:tc>
        <w:tc>
          <w:tcPr>
            <w:tcW w:w="20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90 Tage (ESTA); B-1 im Einzelfall länger, nach Ermessen des Grenzschutzes</w:t>
            </w:r>
          </w:p>
        </w:tc>
        <w:tc>
          <w:tcPr>
            <w:tcW w:w="17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Heirat / K-1</w:t>
            </w:r>
          </w:p>
        </w:tc>
        <w:tc>
          <w:tcPr>
            <w:tcW w:w="17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Ehe oder Verlobung mit einem US-Bürger</w:t>
            </w:r>
          </w:p>
        </w:tc>
        <w:tc>
          <w:tcPr>
            <w:tcW w:w="20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K-1: 90 Tage bis zur Heirat, danach dauerhaft</w:t>
            </w:r>
          </w:p>
        </w:tc>
        <w:tc>
          <w:tcPr>
            <w:tcW w:w="17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nach Statusanpassung beziehungsweise sofort mit Green Card</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Card über Arbeitgeber</w:t>
            </w:r>
          </w:p>
        </w:tc>
        <w:tc>
          <w:tcPr>
            <w:tcW w:w="17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Jobangebot plus Arbeitsmarktprüfung (PERM) oder Selbstpetition (NIW, EB-1A)</w:t>
            </w:r>
          </w:p>
        </w:tc>
        <w:tc>
          <w:tcPr>
            <w:tcW w:w="20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Unbefristet (Verfahren rund 1–4,5 Jahre)</w:t>
            </w:r>
          </w:p>
        </w:tc>
        <w:tc>
          <w:tcPr>
            <w:tcW w:w="17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uneingeschränkt</w:t>
            </w:r>
          </w:p>
        </w:tc>
      </w:tr>
    </w:tbl>
    <w:p>
      <w:pPr>
        <w:pStyle w:val="Normal"/>
        <w:spacing w:lineRule="exact" w:line="180" w:before="0" w:after="0"/>
        <w:rPr/>
      </w:pPr>
      <w:r>
        <w:rPr/>
      </w:r>
    </w:p>
    <w:tbl>
      <w:tblPr>
        <w:tblW w:w="6480" w:type="dxa"/>
        <w:jc w:val="left"/>
        <w:tblInd w:w="0" w:type="dxa"/>
        <w:tblLayout w:type="fixed"/>
        <w:tblCellMar>
          <w:top w:w="50" w:type="dxa"/>
          <w:left w:w="80" w:type="dxa"/>
          <w:bottom w:w="50" w:type="dxa"/>
          <w:right w:w="80" w:type="dxa"/>
        </w:tblCellMar>
      </w:tblPr>
      <w:tblGrid>
        <w:gridCol w:w="949"/>
        <w:gridCol w:w="1952"/>
        <w:gridCol w:w="1767"/>
        <w:gridCol w:w="1811"/>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Weg</w:t>
            </w:r>
          </w:p>
        </w:tc>
        <w:tc>
          <w:tcPr>
            <w:tcW w:w="195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Partner arbeitet?</w:t>
            </w:r>
          </w:p>
        </w:tc>
        <w:tc>
          <w:tcPr>
            <w:tcW w:w="176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Weg zur Green Card</w:t>
            </w:r>
          </w:p>
        </w:tc>
        <w:tc>
          <w:tcPr>
            <w:tcW w:w="181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Kosten (grober Anhalt)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H-1B</w:t>
            </w:r>
          </w:p>
        </w:tc>
        <w:tc>
          <w:tcPr>
            <w:tcW w:w="1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Erst mit H-4-Arbeitserlaubnis, ab genehmigter I-140</w:t>
            </w:r>
          </w:p>
        </w:tc>
        <w:tc>
          <w:tcPr>
            <w:tcW w:w="17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meist über den Arbeitgeber</w:t>
            </w:r>
          </w:p>
        </w:tc>
        <w:tc>
          <w:tcPr>
            <w:tcW w:w="18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 ab rund 3.400 $; du 205 $ Visumgebühr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L-1</w:t>
            </w:r>
          </w:p>
        </w:tc>
        <w:tc>
          <w:tcPr>
            <w:tcW w:w="1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ohne eigenen Antrag (L-2)</w:t>
            </w:r>
          </w:p>
        </w:tc>
        <w:tc>
          <w:tcPr>
            <w:tcW w:w="17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oft EB-1C oder PERM</w:t>
            </w:r>
          </w:p>
        </w:tc>
        <w:tc>
          <w:tcPr>
            <w:tcW w:w="18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 ab rund 1.385 $; du 205 $ Visumgebühr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O-1</w:t>
            </w:r>
          </w:p>
        </w:tc>
        <w:tc>
          <w:tcPr>
            <w:tcW w:w="1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 (O-3)</w:t>
            </w:r>
          </w:p>
        </w:tc>
        <w:tc>
          <w:tcPr>
            <w:tcW w:w="17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Möglich über EB-1A, hohe Ablehnungsquote</w:t>
            </w:r>
          </w:p>
        </w:tc>
        <w:tc>
          <w:tcPr>
            <w:tcW w:w="18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 ab rund 1.055 $; du 205 $ Visumgebühr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E-2</w:t>
            </w:r>
          </w:p>
        </w:tc>
        <w:tc>
          <w:tcPr>
            <w:tcW w:w="1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ohne eigenen Antrag</w:t>
            </w:r>
          </w:p>
        </w:tc>
        <w:tc>
          <w:tcPr>
            <w:tcW w:w="17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direkter Weg (kein Dual Intent)</w:t>
            </w:r>
          </w:p>
        </w:tc>
        <w:tc>
          <w:tcPr>
            <w:tcW w:w="18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Investition plus 1.015 $ Petitionsgebühr; du 315 $ Visumgebühr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F-1 (Studienweg)</w:t>
            </w:r>
          </w:p>
        </w:tc>
        <w:tc>
          <w:tcPr>
            <w:tcW w:w="1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 (F-2)</w:t>
            </w:r>
          </w:p>
        </w:tc>
        <w:tc>
          <w:tcPr>
            <w:tcW w:w="17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direkt; meist über einen späteren H-1B</w:t>
            </w:r>
          </w:p>
        </w:tc>
        <w:tc>
          <w:tcPr>
            <w:tcW w:w="18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Studium ca. 70.000–150.000 $ für einen zweijährigen Master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J-1</w:t>
            </w:r>
          </w:p>
        </w:tc>
        <w:tc>
          <w:tcPr>
            <w:tcW w:w="1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mit eigenem Antrag (J-2)</w:t>
            </w:r>
          </w:p>
        </w:tc>
        <w:tc>
          <w:tcPr>
            <w:tcW w:w="17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direkt; Zwei-Jahres-Sperre je nach Finanzierung prüfen</w:t>
            </w:r>
          </w:p>
        </w:tc>
        <w:tc>
          <w:tcPr>
            <w:tcW w:w="18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220 $ SEVIS-Gebühr, 185 $ Visumgebühr, Sponsorkosten variieren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ESTA / B-1</w:t>
            </w:r>
          </w:p>
        </w:tc>
        <w:tc>
          <w:tcPr>
            <w:tcW w:w="1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Entfällt (kein Aufenthaltsstatus)</w:t>
            </w:r>
          </w:p>
        </w:tc>
        <w:tc>
          <w:tcPr>
            <w:tcW w:w="17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w:t>
            </w:r>
          </w:p>
        </w:tc>
        <w:tc>
          <w:tcPr>
            <w:tcW w:w="18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40 $ (ESTA) bzw. 185 $ (B-1-Visum)</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Heirat / K-1</w:t>
            </w:r>
          </w:p>
        </w:tc>
        <w:tc>
          <w:tcPr>
            <w:tcW w:w="1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Entfällt, du bist der Partner</w:t>
            </w:r>
          </w:p>
        </w:tc>
        <w:tc>
          <w:tcPr>
            <w:tcW w:w="17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Ist der Weg selbst</w:t>
            </w:r>
          </w:p>
        </w:tc>
        <w:tc>
          <w:tcPr>
            <w:tcW w:w="18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Rund 2.000–3.000 $ an Behördengebühren für Antrag und Statusanpassung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Card über Arbeitgeber</w:t>
            </w:r>
          </w:p>
        </w:tc>
        <w:tc>
          <w:tcPr>
            <w:tcW w:w="1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frei, oder mit eigener Arbeitserlaubnis während das Verfahren läuft</w:t>
            </w:r>
          </w:p>
        </w:tc>
        <w:tc>
          <w:tcPr>
            <w:tcW w:w="17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Ist der Weg selbst</w:t>
            </w:r>
          </w:p>
        </w:tc>
        <w:tc>
          <w:tcPr>
            <w:tcW w:w="18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 trägt PERM und I-140; du zahlst 1.440 $ je Erwachsenem für die Statusanpassung</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prüfte zu Beginn drei Wege. Markus’ Arbeitgeber hatte zwar eine US-Tochter, aber Markus selbst hatte dort noch kein Jahr gearbeitet – für L-1 fehlte damit die Voraussetzung. Ein Studium kam für die vierköpfige Familie nicht infrage. Blieb der Direktweg: Registrierung zur H-1B-Lotterie im ersten Jahr ohne Losglück, die Absage kam nüchtern per E-Mail an einem gewöhnlichen Dienstagabend, im zweiten Anlauf dann die Zusage. Anna erhielt H-4 ohne Arbeitserlaubnis. Die Familie plant den Wechsel zur Green Card über Markus’ Arbeitgeber, sobald der H-1B-Status gesichert ist.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Realistische Zeitpläne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Wie lange ein Weg tatsächlich dauert, hängt stärker von Vorbereitung und Losglück ab als von der reinen Bearbeitungszeit einer Behörde. Die folgende Tabelle zeigt grobe, realistische Spannen von der ersten Entscheidung bis zum gesicherten Status.</w:t>
      </w:r>
    </w:p>
    <w:tbl>
      <w:tblPr>
        <w:tblW w:w="6480" w:type="dxa"/>
        <w:jc w:val="left"/>
        <w:tblInd w:w="0" w:type="dxa"/>
        <w:tblLayout w:type="fixed"/>
        <w:tblCellMar>
          <w:top w:w="50" w:type="dxa"/>
          <w:left w:w="80" w:type="dxa"/>
          <w:bottom w:w="50" w:type="dxa"/>
          <w:right w:w="80" w:type="dxa"/>
        </w:tblCellMar>
      </w:tblPr>
      <w:tblGrid>
        <w:gridCol w:w="1929"/>
        <w:gridCol w:w="4550"/>
      </w:tblGrid>
      <w:tr>
        <w:trPr>
          <w:tblHeader w:val="true"/>
          <w:cantSplit w:val="true"/>
        </w:trPr>
        <w:tc>
          <w:tcPr>
            <w:tcW w:w="192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Weg</w:t>
            </w:r>
          </w:p>
        </w:tc>
        <w:tc>
          <w:tcPr>
            <w:tcW w:w="45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Realistischer Zeitplan</w:t>
            </w:r>
          </w:p>
        </w:tc>
      </w:tr>
      <w:tr>
        <w:trPr>
          <w:cantSplit w:val="true"/>
        </w:trPr>
        <w:tc>
          <w:tcPr>
            <w:tcW w:w="19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H-1B über Arbeitgeber</w:t>
            </w:r>
          </w:p>
        </w:tc>
        <w:tc>
          <w:tcPr>
            <w:tcW w:w="45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Registrierung im März, Auswahl bis Ende März, Petition ab 1. April, Start 1. Oktober; oft erst im zweiten oder dritten Lotteriejahr ein Treffer</w:t>
            </w:r>
          </w:p>
        </w:tc>
      </w:tr>
      <w:tr>
        <w:trPr>
          <w:cantSplit w:val="true"/>
        </w:trPr>
        <w:tc>
          <w:tcPr>
            <w:tcW w:w="19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L-1 (Konzernversetzung)</w:t>
            </w:r>
          </w:p>
        </w:tc>
        <w:tc>
          <w:tcPr>
            <w:tcW w:w="45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Meist einige Monate ab der Entscheidung des Konzerns; kein Losverfahren, oft der schnellste Weg</w:t>
            </w:r>
          </w:p>
        </w:tc>
      </w:tr>
      <w:tr>
        <w:trPr>
          <w:cantSplit w:val="true"/>
        </w:trPr>
        <w:tc>
          <w:tcPr>
            <w:tcW w:w="19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F-1 → OPT → H-1B</w:t>
            </w:r>
          </w:p>
        </w:tc>
        <w:tc>
          <w:tcPr>
            <w:tcW w:w="45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Bewerbung rund ein Jahr vorher, Studium 1–2 Jahre, danach OPT und STEM-OPT mit bis zu drei bis vier H-1B-Losrunden: realistisch 3–6 Jahre bis zum gesicherten Arbeitsstatus</w:t>
            </w:r>
          </w:p>
        </w:tc>
      </w:tr>
      <w:tr>
        <w:trPr>
          <w:cantSplit w:val="true"/>
        </w:trPr>
        <w:tc>
          <w:tcPr>
            <w:tcW w:w="19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E-2 (Investition)</w:t>
            </w:r>
          </w:p>
        </w:tc>
        <w:tc>
          <w:tcPr>
            <w:tcW w:w="45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Geschäftsplan und Kapitalnachweis vorbereiten, dann Antrag: oft 6–12 Monate</w:t>
            </w:r>
          </w:p>
        </w:tc>
      </w:tr>
      <w:tr>
        <w:trPr>
          <w:cantSplit w:val="true"/>
        </w:trPr>
        <w:tc>
          <w:tcPr>
            <w:tcW w:w="19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O-1 (Spitzenleistung)</w:t>
            </w:r>
          </w:p>
        </w:tc>
        <w:tc>
          <w:tcPr>
            <w:tcW w:w="45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Belegsammlung ist der Flaschenhals: oft 6–12 Monate Vorbereitung, danach zügige Bearbeitung</w:t>
            </w:r>
          </w:p>
        </w:tc>
      </w:tr>
      <w:tr>
        <w:trPr>
          <w:cantSplit w:val="true"/>
        </w:trPr>
        <w:tc>
          <w:tcPr>
            <w:tcW w:w="19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Card über PERM</w:t>
            </w:r>
          </w:p>
        </w:tc>
        <w:tc>
          <w:tcPr>
            <w:tcW w:w="45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Arbeitsmarktprüfung, PERM-Prüfung, I-140, dann I-485 oder Konsulat: rund 2,5–4,5 Jahre ab PERM-Start</w:t>
            </w:r>
          </w:p>
        </w:tc>
      </w:tr>
      <w:tr>
        <w:trPr>
          <w:cantSplit w:val="true"/>
        </w:trPr>
        <w:tc>
          <w:tcPr>
            <w:tcW w:w="19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Card durch Heirat</w:t>
            </w:r>
          </w:p>
        </w:tc>
        <w:tc>
          <w:tcPr>
            <w:tcW w:w="45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Petition plus Konsularverfahren: rund 20–24 Monate; bei Antrag im Inland oft etwas schneller</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Es gibt nicht den einen Weg in die USA, sondern für jede Lebenslage einen anderen. Die Kapitel </w:t>
            </w:r>
            <w:hyperlink w:anchor="k5">
              <w:r>
                <w:rPr>
                  <w:rStyle w:val="ListLabel114"/>
                  <w:rFonts w:eastAsia="Cambria" w:cs="Cambria"/>
                  <w:b w:val="false"/>
                  <w:bCs w:val="false"/>
                  <w:i w:val="false"/>
                  <w:iCs w:val="false"/>
                  <w:sz w:val="20"/>
                  <w:szCs w:val="20"/>
                </w:rPr>
                <w:t>5</w:t>
              </w:r>
            </w:hyperlink>
            <w:r>
              <w:rPr>
                <w:rFonts w:eastAsia="Cambria" w:cs="Cambria"/>
                <w:b w:val="false"/>
                <w:bCs w:val="false"/>
                <w:i w:val="false"/>
                <w:iCs w:val="false"/>
                <w:sz w:val="20"/>
                <w:szCs w:val="20"/>
              </w:rPr>
              <w:t xml:space="preserve"> bis </w:t>
            </w:r>
            <w:hyperlink w:anchor="k11">
              <w:r>
                <w:rPr>
                  <w:rStyle w:val="ListLabel114"/>
                  <w:rFonts w:eastAsia="Cambria" w:cs="Cambria"/>
                  <w:b w:val="false"/>
                  <w:bCs w:val="false"/>
                  <w:i w:val="false"/>
                  <w:iCs w:val="false"/>
                  <w:sz w:val="20"/>
                  <w:szCs w:val="20"/>
                </w:rPr>
                <w:t>11</w:t>
              </w:r>
            </w:hyperlink>
            <w:r>
              <w:rPr>
                <w:rFonts w:eastAsia="Cambria" w:cs="Cambria"/>
                <w:b w:val="false"/>
                <w:bCs w:val="false"/>
                <w:i w:val="false"/>
                <w:iCs w:val="false"/>
                <w:sz w:val="20"/>
                <w:szCs w:val="20"/>
              </w:rPr>
              <w:t xml:space="preserve"> gehen jeden im Detail durch; dieses Kapitel hilft dir nur, den passenden zu finden, bevor du dort weiterliest.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Regeln und Gebühren dieses Kapitels ändern sich 2026 besonders schnell. Mehrere Gerichtsverfahren zur H-1B-Zusatzgebühr und zur festen Aufenthaltsdauer bei F-1/J-1 laufen parallel (Kapitel </w:t>
            </w:r>
            <w:hyperlink w:anchor="k5">
              <w:r>
                <w:rPr>
                  <w:rStyle w:val="ListLabel114"/>
                  <w:rFonts w:eastAsia="Cambria" w:cs="Cambria"/>
                  <w:b w:val="false"/>
                  <w:bCs w:val="false"/>
                  <w:i w:val="false"/>
                  <w:iCs w:val="false"/>
                  <w:sz w:val="20"/>
                  <w:szCs w:val="20"/>
                </w:rPr>
                <w:t>5</w:t>
              </w:r>
            </w:hyperlink>
            <w:r>
              <w:rPr>
                <w:rFonts w:eastAsia="Cambria" w:cs="Cambria"/>
                <w:b w:val="false"/>
                <w:bCs w:val="false"/>
                <w:i w:val="false"/>
                <w:iCs w:val="false"/>
                <w:sz w:val="20"/>
                <w:szCs w:val="20"/>
              </w:rPr>
              <w:t xml:space="preserve"> und </w:t>
            </w:r>
            <w:hyperlink w:anchor="k8">
              <w:r>
                <w:rPr>
                  <w:rStyle w:val="ListLabel114"/>
                  <w:rFonts w:eastAsia="Cambria" w:cs="Cambria"/>
                  <w:b w:val="false"/>
                  <w:bCs w:val="false"/>
                  <w:i w:val="false"/>
                  <w:iCs w:val="false"/>
                  <w:sz w:val="20"/>
                  <w:szCs w:val="20"/>
                </w:rPr>
                <w:t>8</w:t>
              </w:r>
            </w:hyperlink>
            <w:r>
              <w:rPr>
                <w:rFonts w:eastAsia="Cambria" w:cs="Cambria"/>
                <w:b w:val="false"/>
                <w:bCs w:val="false"/>
                <w:i w:val="false"/>
                <w:iCs w:val="false"/>
                <w:sz w:val="20"/>
                <w:szCs w:val="20"/>
              </w:rPr>
              <w:t xml:space="preserve"> nennen den Stand). Verlass dich nie auf einen Zeitungsartikel von vor einem Jahr; prüfe uscis.gov und die Kanzlei deines Arbeitgebers vor jeder Entscheidung.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Weg über den Arbeitgeber (H-1B, L-1) verlagert einen Großteil von Kosten und Bürokratie auf die Firma</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 bist an den Sponsor gebunden, oft über Jahre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 Studienweg eröffnet mehrere Chancen auf die H-1B-Lotterie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 kostet zwei Jahre Studiengebühren und Lebenshaltung ohne Garantie auf ein Arbeitsvisum</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Eigene Wege wie E-2 oder O-1 machen dich unabhängig vom Arbeitgeber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Beide verlangen Kapital oder außergewöhnliche Nachweise, die nur wenige erfüllen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Dual Intent bei H-1B und L-1 erlaubt, früh an die Green Card zu denken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Reine Besuchs-, Studien- und Austauschvisa erlauben das ausdrücklich nicht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Mehrere Wege parallel im Blick zu behalten erhöht die Erfolgschance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Mehrgleisigkeit kostet Zeit, Geld und zusätzliche Anwaltsstunden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Ordne deine Situation grob in eine der sieben Zeilen des Entscheidungsbaums ein und lies das dort genannte Kapitel vollständig, bevor du eine Vorentscheidung triffst. Rechne parallel mit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 xml:space="preserve"> durch, ob sich der Aufwand für dich finanziell und persönlich lohnt. Wenn du eine Familie mitnimmst, lies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 xml:space="preserve"> zur Arbeitserlaubnis deines Partners, bevor du dich auf einen Weg festlegst – der Unterschied zwischen L-2 (Partner arbeitet sofort) und F-2 oder O-3 (Partner arbeitet gar nicht) verändert oft die ganze Rechnung.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 xml:space="preserve"> zeigt danach, wie Antrag, Konsulat und Anwalt zusammenspielen, unabhängig davon, welchen Weg du wählst.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Ich habe meine Situation im Entscheidungsbaum eingeordnet (Jobangebot, Studium, Investition, Spitzenleistung, Partner, Besuch).</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Ich habe das passende Detailkapitel (5 bis 9) vollständig gelesen.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Ich verstehe den Unterschied zwischen Visum und Status.</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Ich weiß, ob mein Weg Dual Intent erlaubt oder ob ich eine Rückkehrabsicht nachweisen muss.</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Ich habe realistische Zeit- und Kostenrahmen für meinen Weg notiert.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Ich habe geprüft, ob und wie mein Partner arbeiten darf (Kapitel </w:t>
            </w:r>
            <w:hyperlink w:anchor="k10">
              <w:r>
                <w:rPr>
                  <w:rStyle w:val="ListLabel114"/>
                  <w:rFonts w:eastAsia="Cambria" w:cs="Cambria"/>
                  <w:b w:val="false"/>
                  <w:bCs w:val="false"/>
                  <w:i w:val="false"/>
                  <w:iCs w:val="false"/>
                  <w:sz w:val="20"/>
                  <w:szCs w:val="20"/>
                </w:rPr>
                <w:t>10</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Ich habe mit Kapitel </w:t>
            </w:r>
            <w:hyperlink w:anchor="k3">
              <w:r>
                <w:rPr>
                  <w:rStyle w:val="ListLabel114"/>
                  <w:rFonts w:eastAsia="Cambria" w:cs="Cambria"/>
                  <w:b w:val="false"/>
                  <w:bCs w:val="false"/>
                  <w:i w:val="false"/>
                  <w:iCs w:val="false"/>
                  <w:sz w:val="20"/>
                  <w:szCs w:val="20"/>
                </w:rPr>
                <w:t>3</w:t>
              </w:r>
            </w:hyperlink>
            <w:r>
              <w:rPr>
                <w:rFonts w:eastAsia="Cambria" w:cs="Cambria"/>
                <w:b w:val="false"/>
                <w:bCs w:val="false"/>
                <w:i w:val="false"/>
                <w:iCs w:val="false"/>
                <w:sz w:val="20"/>
                <w:szCs w:val="20"/>
              </w:rPr>
              <w:t xml:space="preserve"> durchgerechnet, ob sich der Weg für mich lohnt.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Ich habe geklärt, ob ich einen eigenen Anwalt brauche (Kapitel </w:t>
            </w:r>
            <w:hyperlink w:anchor="k11">
              <w:r>
                <w:rPr>
                  <w:rStyle w:val="ListLabel114"/>
                  <w:rFonts w:eastAsia="Cambria" w:cs="Cambria"/>
                  <w:b w:val="false"/>
                  <w:bCs w:val="false"/>
                  <w:i w:val="false"/>
                  <w:iCs w:val="false"/>
                  <w:sz w:val="20"/>
                  <w:szCs w:val="20"/>
                </w:rPr>
                <w:t>11</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Übersicht Arbeitsvisa (</w:t>
      </w:r>
      <w:hyperlink r:id="rId54">
        <w:r>
          <w:rPr>
            <w:rStyle w:val="ListLabel113"/>
            <w:rFonts w:eastAsia="Cambria" w:cs="Cambria"/>
            <w:b w:val="false"/>
            <w:bCs w:val="false"/>
            <w:i w:val="false"/>
            <w:iCs w:val="false"/>
            <w:color w:val="0563C1"/>
            <w:sz w:val="22"/>
            <w:szCs w:val="22"/>
            <w:u w:val="single"/>
          </w:rPr>
          <w:t>uscis.gov/working-in-the-united-states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Übersicht Green Card und Kategorien (</w:t>
      </w:r>
      <w:hyperlink r:id="rId55">
        <w:r>
          <w:rPr>
            <w:rStyle w:val="ListLabel113"/>
            <w:rFonts w:eastAsia="Cambria" w:cs="Cambria"/>
            <w:b w:val="false"/>
            <w:bCs w:val="false"/>
            <w:i w:val="false"/>
            <w:iCs w:val="false"/>
            <w:color w:val="0563C1"/>
            <w:sz w:val="22"/>
            <w:szCs w:val="22"/>
            <w:u w:val="single"/>
          </w:rPr>
          <w:t>uscis.gov/green-card</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State Department — Visakategorien und Gebühren (</w:t>
      </w:r>
      <w:hyperlink r:id="rId56">
        <w:r>
          <w:rPr>
            <w:rStyle w:val="ListLabel113"/>
            <w:rFonts w:eastAsia="Cambria" w:cs="Cambria"/>
            <w:b w:val="false"/>
            <w:bCs w:val="false"/>
            <w:i w:val="false"/>
            <w:iCs w:val="false"/>
            <w:color w:val="0563C1"/>
            <w:sz w:val="22"/>
            <w:szCs w:val="22"/>
            <w:u w:val="single"/>
          </w:rPr>
          <w:t>travel.state.gov/visa</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State Department — monatliche Stichtage für die Green Card (</w:t>
      </w:r>
      <w:hyperlink r:id="rId57">
        <w:r>
          <w:rPr>
            <w:rStyle w:val="ListLabel113"/>
            <w:rFonts w:eastAsia="Cambria" w:cs="Cambria"/>
            <w:b w:val="false"/>
            <w:bCs w:val="false"/>
            <w:i w:val="false"/>
            <w:iCs w:val="false"/>
            <w:color w:val="0563C1"/>
            <w:sz w:val="22"/>
            <w:szCs w:val="22"/>
            <w:u w:val="single"/>
          </w:rPr>
          <w:t>travel.state.gov/visa-bulletin</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ICE — SEVIS-Gebühr und Studierendenstatus (</w:t>
      </w:r>
      <w:hyperlink r:id="rId58">
        <w:r>
          <w:rPr>
            <w:rStyle w:val="ListLabel113"/>
            <w:rFonts w:eastAsia="Cambria" w:cs="Cambria"/>
            <w:b w:val="false"/>
            <w:bCs w:val="false"/>
            <w:i w:val="false"/>
            <w:iCs w:val="false"/>
            <w:color w:val="0563C1"/>
            <w:sz w:val="22"/>
            <w:szCs w:val="22"/>
            <w:u w:val="single"/>
          </w:rPr>
          <w:t>ice.gov/sevis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CBP — ESTA und Visa Waiver Program (</w:t>
      </w:r>
      <w:hyperlink r:id="rId59">
        <w:r>
          <w:rPr>
            <w:rStyle w:val="ListLabel113"/>
            <w:rFonts w:eastAsia="Cambria" w:cs="Cambria"/>
            <w:b w:val="false"/>
            <w:bCs w:val="false"/>
            <w:i w:val="false"/>
            <w:iCs w:val="false"/>
            <w:color w:val="0563C1"/>
            <w:sz w:val="22"/>
            <w:szCs w:val="22"/>
            <w:u w:val="single"/>
          </w:rPr>
          <w:t>cbp.gov/travel</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Visumgebühren, Lotterie-Regeln und die Zusatzzahlung beim H-1B ändern sich derzeit besonders schnell; mehrere Gerichtsverfahren sind noch offen. Prüfe vor jeder Entscheidung die offiziellen Seiten und die Detailkapitel 5 bis 11.</w:t>
            </w:r>
          </w:p>
        </w:tc>
      </w:tr>
    </w:tbl>
    <w:p>
      <w:pPr>
        <w:pStyle w:val="Normal"/>
        <w:spacing w:lineRule="exact" w:line="220" w:before="0" w:after="0"/>
        <w:rPr/>
      </w:pPr>
      <w:r>
        <w:rPr/>
      </w:r>
      <w:r>
        <w:br w:type="page"/>
      </w:r>
    </w:p>
    <w:p>
      <w:pPr>
        <w:pStyle w:val="Heading2"/>
        <w:keepNext w:val="true"/>
        <w:spacing w:before="0" w:after="300"/>
        <w:jc w:val="center"/>
        <w:rPr/>
      </w:pPr>
      <w:bookmarkStart w:id="19" w:name="__RefHeading___Toc56439_3769931028"/>
      <w:bookmarkStart w:id="20" w:name="k5"/>
      <w:bookmarkEnd w:id="19"/>
      <w:r>
        <w:rPr>
          <w:rFonts w:eastAsia="Amazon Ember" w:cs="Amazon Ember" w:ascii="Amazon Ember" w:hAnsi="Amazon Ember"/>
          <w:b/>
          <w:bCs/>
          <w:color w:val="0000FF"/>
          <w:sz w:val="36"/>
          <w:szCs w:val="36"/>
        </w:rPr>
        <w:t>Kapitel 5: Das H-1B-Visum</w:t>
      </w:r>
      <w:bookmarkEnd w:id="20"/>
    </w:p>
    <w:p>
      <w:pPr>
        <w:pStyle w:val="Normal"/>
        <w:keepNext w:val="false"/>
        <w:keepLines w:val="false"/>
        <w:spacing w:lineRule="exact" w:line="288" w:before="0" w:after="140"/>
        <w:jc w:val="left"/>
        <w:rPr/>
      </w:pPr>
      <w:r>
        <w:rPr>
          <w:rFonts w:eastAsia="Cambria" w:cs="Cambria"/>
          <w:b w:val="false"/>
          <w:bCs w:val="false"/>
          <w:i w:val="false"/>
          <w:iCs w:val="false"/>
          <w:sz w:val="22"/>
          <w:szCs w:val="22"/>
        </w:rPr>
        <w:t>Bis zum 31. März erfährt dein künftiger Arbeitgeber in einem Online-Konto bei der Einwanderungsbehörde USCIS, ob die Registrierung für dich ausgewählt wurde. Im März 2026 standen 85.000 Plätzen 211.600 gültige Registrierungen gegenüber, und erstmals entschied nicht nur das Los, sondern auch das Gehalt mit. Der H-1B ist der klassische Weg für Fachkräfte in die USA und zugleich das Visum, dessen Regeln und Gebühren sich seit 2025 am schnellsten ändern. Dieses Kapitel trennt deshalb streng: Was gilt heute, was hat ein Gericht blockiert, und was ist nur vorgeschlagen?</w:t>
      </w:r>
    </w:p>
    <w:tbl>
      <w:tblPr>
        <w:tblW w:w="6480" w:type="dxa"/>
        <w:jc w:val="left"/>
        <w:tblInd w:w="0" w:type="dxa"/>
        <w:tblLayout w:type="fixed"/>
        <w:tblCellMar>
          <w:top w:w="110" w:type="dxa"/>
          <w:left w:w="200" w:type="dxa"/>
          <w:bottom w:w="80" w:type="dxa"/>
          <w:right w:w="160" w:type="dxa"/>
        </w:tblCellMar>
      </w:tblPr>
      <w:tblGrid>
        <w:gridCol w:w="6480"/>
      </w:tblGrid>
      <w:tr>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Der H-1B ist ein befristetes Arbeitsvisum für Berufe, die ein Studium voraussetzen. Dein Arbeitgeber beantragt es, du bist an ihn gebunden. Die Laufzeit beträgt 3 + 3 Jahre.</w:t>
            </w:r>
          </w:p>
          <w:p>
            <w:pPr>
              <w:pStyle w:val="ListParagraph"/>
              <w:numPr>
                <w:ilvl w:val="0"/>
                <w:numId w:val="1"/>
              </w:numPr>
              <w:spacing w:lineRule="exact" w:line="264" w:before="0" w:after="50"/>
              <w:rPr/>
            </w:pPr>
            <w:r>
              <w:rPr>
                <w:rFonts w:eastAsia="Cambria" w:cs="Cambria"/>
                <w:b w:val="false"/>
                <w:bCs w:val="false"/>
                <w:i w:val="false"/>
                <w:iCs w:val="false"/>
                <w:sz w:val="20"/>
                <w:szCs w:val="20"/>
              </w:rPr>
              <w:t>Für neue Fälle gibt es pro Jahr nur 85.000 Plätze (65.000 reguläre, 20.000 für Abschlüsse einer US-Hochschule mit Master). Registrierung im März, Arbeitsbeginn frühestens am 1. Oktober. Seit 2026 gewichtet das Los nach Lohnstufe: Level IV bekommt vier Lose, Level I eines.</w:t>
            </w:r>
          </w:p>
          <w:p>
            <w:pPr>
              <w:pStyle w:val="ListParagraph"/>
              <w:numPr>
                <w:ilvl w:val="0"/>
                <w:numId w:val="1"/>
              </w:numPr>
              <w:spacing w:lineRule="exact" w:line="264" w:before="0" w:after="50"/>
              <w:rPr/>
            </w:pPr>
            <w:r>
              <w:rPr>
                <w:rFonts w:eastAsia="Cambria" w:cs="Cambria"/>
                <w:b w:val="false"/>
                <w:bCs w:val="false"/>
                <w:i w:val="false"/>
                <w:iCs w:val="false"/>
                <w:sz w:val="20"/>
                <w:szCs w:val="20"/>
              </w:rPr>
              <w:t>Die 100.000-$-Zahlung für Personen außerhalb der USA ist bis zum 21. September 2027 verlängert, aber gerichtlich blockiert und wird derzeit nicht erhoben (Stand 20. September 2026). Die Vorschläge zu 103.265 $ und zum Wegfall der 60-Tage-Frist sind nicht in Kraft.</w:t>
            </w:r>
          </w:p>
          <w:p>
            <w:pPr>
              <w:pStyle w:val="ListParagraph"/>
              <w:numPr>
                <w:ilvl w:val="0"/>
                <w:numId w:val="1"/>
              </w:numPr>
              <w:spacing w:lineRule="exact" w:line="264" w:before="0" w:after="50"/>
              <w:rPr/>
            </w:pPr>
            <w:r>
              <w:rPr>
                <w:rFonts w:eastAsia="Cambria" w:cs="Cambria"/>
                <w:b w:val="false"/>
                <w:bCs w:val="false"/>
                <w:i w:val="false"/>
                <w:iCs w:val="false"/>
                <w:sz w:val="20"/>
                <w:szCs w:val="20"/>
              </w:rPr>
              <w:t>Die Behördengebühren des Arbeitgebers liegen bei Großbetrieben bei rund 3.400 $, ohne die optionale Beschleunigung (</w:t>
            </w:r>
            <w:r>
              <w:rPr>
                <w:rFonts w:eastAsia="Cambria" w:cs="Cambria"/>
                <w:b w:val="false"/>
                <w:bCs w:val="false"/>
                <w:i/>
                <w:iCs/>
                <w:sz w:val="20"/>
                <w:szCs w:val="20"/>
              </w:rPr>
              <w:t>Premium Processing</w:t>
            </w:r>
            <w:r>
              <w:rPr>
                <w:rFonts w:eastAsia="Cambria" w:cs="Cambria"/>
                <w:b w:val="false"/>
                <w:bCs w:val="false"/>
                <w:i w:val="false"/>
                <w:iCs w:val="false"/>
                <w:sz w:val="20"/>
                <w:szCs w:val="20"/>
              </w:rPr>
              <w:t>) und ohne Anwalt. Einen Teil davon darf er nicht von deinem Gehalt abziehen.</w:t>
            </w:r>
          </w:p>
          <w:p>
            <w:pPr>
              <w:pStyle w:val="ListParagraph"/>
              <w:numPr>
                <w:ilvl w:val="0"/>
                <w:numId w:val="1"/>
              </w:numPr>
              <w:spacing w:lineRule="exact" w:line="264" w:before="0" w:after="50"/>
              <w:rPr/>
            </w:pPr>
            <w:r>
              <w:rPr>
                <w:rFonts w:eastAsia="Cambria" w:cs="Cambria"/>
                <w:b w:val="false"/>
                <w:bCs w:val="false"/>
                <w:i w:val="false"/>
                <w:iCs w:val="false"/>
                <w:sz w:val="20"/>
                <w:szCs w:val="20"/>
              </w:rPr>
              <w:t>Hochschulen und Forschungseinrichtungen (</w:t>
            </w:r>
            <w:r>
              <w:rPr>
                <w:rFonts w:eastAsia="Cambria" w:cs="Cambria"/>
                <w:b w:val="false"/>
                <w:bCs w:val="false"/>
                <w:i/>
                <w:iCs/>
                <w:sz w:val="20"/>
                <w:szCs w:val="20"/>
              </w:rPr>
              <w:t>Cap-exempt</w:t>
            </w:r>
            <w:r>
              <w:rPr>
                <w:rFonts w:eastAsia="Cambria" w:cs="Cambria"/>
                <w:b w:val="false"/>
                <w:bCs w:val="false"/>
                <w:i w:val="false"/>
                <w:iCs w:val="false"/>
                <w:sz w:val="20"/>
                <w:szCs w:val="20"/>
              </w:rPr>
              <w:t>) brauchen keine Lotterie.</w:t>
            </w:r>
          </w:p>
          <w:p>
            <w:pPr>
              <w:pStyle w:val="ListParagraph"/>
              <w:numPr>
                <w:ilvl w:val="0"/>
                <w:numId w:val="1"/>
              </w:numPr>
              <w:spacing w:lineRule="exact" w:line="264" w:before="0" w:after="50"/>
              <w:rPr/>
            </w:pPr>
            <w:r>
              <w:rPr>
                <w:rFonts w:eastAsia="Cambria" w:cs="Cambria"/>
                <w:b w:val="false"/>
                <w:bCs w:val="false"/>
                <w:i w:val="false"/>
                <w:iCs w:val="false"/>
                <w:sz w:val="20"/>
                <w:szCs w:val="20"/>
              </w:rPr>
              <w:t>Den aktuellen Stand prüfst du auf uscis.gov, federalregister.gov und bei der Kanzlei deines Arbeitgebers.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der H-1B ist und was nicht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H-1B ist ein Arbeitsvisum auf Zeit für </w:t>
      </w:r>
      <w:r>
        <w:rPr>
          <w:rFonts w:eastAsia="Cambria" w:cs="Cambria"/>
          <w:b w:val="false"/>
          <w:bCs w:val="false"/>
          <w:i/>
          <w:iCs/>
          <w:sz w:val="22"/>
          <w:szCs w:val="22"/>
        </w:rPr>
        <w:t>Specialty Occupations</w:t>
      </w:r>
      <w:r>
        <w:rPr>
          <w:rFonts w:eastAsia="Cambria" w:cs="Cambria"/>
          <w:b w:val="false"/>
          <w:bCs w:val="false"/>
          <w:i w:val="false"/>
          <w:iCs w:val="false"/>
          <w:sz w:val="22"/>
          <w:szCs w:val="22"/>
        </w:rPr>
        <w:t xml:space="preserve"> – Tätigkeiten, die ein Studium voraussetzen – und umfasst umgangssprachlich zweierlei: Das </w:t>
      </w:r>
      <w:r>
        <w:rPr>
          <w:rFonts w:eastAsia="Cambria" w:cs="Cambria"/>
          <w:b w:val="false"/>
          <w:bCs w:val="false"/>
          <w:i/>
          <w:iCs/>
          <w:sz w:val="22"/>
          <w:szCs w:val="22"/>
        </w:rPr>
        <w:t>Visum</w:t>
      </w:r>
      <w:r>
        <w:rPr>
          <w:rFonts w:eastAsia="Cambria" w:cs="Cambria"/>
          <w:b w:val="false"/>
          <w:bCs w:val="false"/>
          <w:i w:val="false"/>
          <w:iCs w:val="false"/>
          <w:sz w:val="22"/>
          <w:szCs w:val="22"/>
        </w:rPr>
        <w:t xml:space="preserve"> ist der Einreisestempel im Pass, den das Konsulat ausstellt, der </w:t>
      </w:r>
      <w:r>
        <w:rPr>
          <w:rFonts w:eastAsia="Cambria" w:cs="Cambria"/>
          <w:b w:val="false"/>
          <w:bCs w:val="false"/>
          <w:i/>
          <w:iCs/>
          <w:sz w:val="22"/>
          <w:szCs w:val="22"/>
        </w:rPr>
        <w:t>Status</w:t>
      </w:r>
      <w:r>
        <w:rPr>
          <w:rFonts w:eastAsia="Cambria" w:cs="Cambria"/>
          <w:b w:val="false"/>
          <w:bCs w:val="false"/>
          <w:i w:val="false"/>
          <w:iCs w:val="false"/>
          <w:sz w:val="22"/>
          <w:szCs w:val="22"/>
        </w:rPr>
        <w:t xml:space="preserve"> die Aufenthalts- und Arbeitserlaubnis nach der Einreise; sie steht im elektronischen Einreisenachweis I-94 (ausgestellt vom Grenzschutz CBP), und über sie wacht die Einwanderungsbehörde USCIS. Beides hängt an einem Antrag deines Arbeitgebers, der </w:t>
      </w:r>
      <w:r>
        <w:rPr>
          <w:rFonts w:eastAsia="Cambria" w:cs="Cambria"/>
          <w:b w:val="false"/>
          <w:bCs w:val="false"/>
          <w:i/>
          <w:iCs/>
          <w:sz w:val="22"/>
          <w:szCs w:val="22"/>
        </w:rPr>
        <w:t>Petition</w:t>
      </w:r>
      <w:r>
        <w:rPr>
          <w:rFonts w:eastAsia="Cambria" w:cs="Cambria"/>
          <w:b w:val="false"/>
          <w:bCs w:val="false"/>
          <w:i w:val="false"/>
          <w:iCs w:val="false"/>
          <w:sz w:val="22"/>
          <w:szCs w:val="22"/>
        </w:rPr>
        <w:t xml:space="preserve"> (Form I-129): Du kannst dich nicht selbst bewerben und darfst nur für den Arbeitgeber arbeiten, der sie gestellt hat.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Vorteil gegenüber vielen anderen Visa: Der H-1B erlaubt </w:t>
      </w:r>
      <w:r>
        <w:rPr>
          <w:rFonts w:eastAsia="Cambria" w:cs="Cambria"/>
          <w:b w:val="false"/>
          <w:bCs w:val="false"/>
          <w:i/>
          <w:iCs/>
          <w:sz w:val="22"/>
          <w:szCs w:val="22"/>
        </w:rPr>
        <w:t>Dual Intent</w:t>
      </w:r>
      <w:r>
        <w:rPr>
          <w:rFonts w:eastAsia="Cambria" w:cs="Cambria"/>
          <w:b w:val="false"/>
          <w:bCs w:val="false"/>
          <w:i w:val="false"/>
          <w:iCs w:val="false"/>
          <w:sz w:val="22"/>
          <w:szCs w:val="22"/>
        </w:rPr>
        <w:t>, die gleichzeitige Absicht, später eine Green Card zu beantragen, ohne dass dir das schadet (siehe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xml:space="preserve"> und </w:t>
      </w:r>
      <w:hyperlink w:anchor="k7">
        <w:r>
          <w:rPr>
            <w:rStyle w:val="ListLabel115"/>
            <w:rFonts w:eastAsia="Cambria" w:cs="Cambria"/>
            <w:b w:val="false"/>
            <w:bCs w:val="false"/>
            <w:i w:val="false"/>
            <w:iCs w:val="false"/>
            <w:sz w:val="22"/>
            <w:szCs w:val="22"/>
          </w:rPr>
          <w:t>7</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Zum Vergleich: Eine Blaue Karte EU bekommst du mit anerkanntem Abschluss, Jobangebot und Mindestgehalt ohne Losverfahren. In den USA ist die Zahl neuer H-1B-Plätze gedeckelt, und ohne Zusage eines Arbeitgebers gibt es nicht einmal eine Registrierung – die einzige Lotterie im Leben, für die du erst einen Arbeitsvertrag brauchst, um überhaupt mitspielen zu dürfen. Nicht jeder Arbeitgeber sponsert Visa: Frage schon in der Bewerbung danach (siehe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Voraussetzungen: Specialty Occupation und dein Abschluss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USCIS prüft zuerst die Stelle, dann dich. Die Stelle muss hochspezialisiertes Wissen und mindestens einen US-Bachelor (oder Gleichwertiges) in einem direkt verwandten Fachgebiet verlangen. Es genügt, wenn eines von vier Kriterien erfüllt ist:</w:t>
      </w:r>
    </w:p>
    <w:p>
      <w:pPr>
        <w:pStyle w:val="ListParagraph"/>
        <w:numPr>
          <w:ilvl w:val="0"/>
          <w:numId w:val="1"/>
        </w:numPr>
        <w:spacing w:lineRule="exact" w:line="288" w:before="0" w:after="60"/>
        <w:rPr/>
      </w:pPr>
      <w:r>
        <w:rPr>
          <w:rFonts w:eastAsia="Cambria" w:cs="Cambria"/>
          <w:b w:val="false"/>
          <w:bCs w:val="false"/>
          <w:i w:val="false"/>
          <w:iCs w:val="false"/>
          <w:sz w:val="22"/>
          <w:szCs w:val="22"/>
        </w:rPr>
        <w:t>Der Abschluss ist der übliche Mindeststandard für den Beruf.</w:t>
      </w:r>
    </w:p>
    <w:p>
      <w:pPr>
        <w:pStyle w:val="ListParagraph"/>
        <w:numPr>
          <w:ilvl w:val="0"/>
          <w:numId w:val="1"/>
        </w:numPr>
        <w:spacing w:lineRule="exact" w:line="288" w:before="0" w:after="60"/>
        <w:rPr/>
      </w:pPr>
      <w:r>
        <w:rPr>
          <w:rFonts w:eastAsia="Cambria" w:cs="Cambria"/>
          <w:b w:val="false"/>
          <w:bCs w:val="false"/>
          <w:i w:val="false"/>
          <w:iCs w:val="false"/>
          <w:sz w:val="22"/>
          <w:szCs w:val="22"/>
        </w:rPr>
        <w:t>Er ist bei vergleichbaren Stellen in der Branche üblich.</w:t>
      </w:r>
    </w:p>
    <w:p>
      <w:pPr>
        <w:pStyle w:val="ListParagraph"/>
        <w:numPr>
          <w:ilvl w:val="0"/>
          <w:numId w:val="1"/>
        </w:numPr>
        <w:spacing w:lineRule="exact" w:line="288" w:before="0" w:after="60"/>
        <w:rPr/>
      </w:pPr>
      <w:r>
        <w:rPr>
          <w:rFonts w:eastAsia="Cambria" w:cs="Cambria"/>
          <w:b w:val="false"/>
          <w:bCs w:val="false"/>
          <w:i w:val="false"/>
          <w:iCs w:val="false"/>
          <w:sz w:val="22"/>
          <w:szCs w:val="22"/>
        </w:rPr>
        <w:t>Der Arbeitgeber verlangt ihn regelmäßig für diese Stelle.</w:t>
      </w:r>
    </w:p>
    <w:p>
      <w:pPr>
        <w:pStyle w:val="ListParagraph"/>
        <w:numPr>
          <w:ilvl w:val="0"/>
          <w:numId w:val="1"/>
        </w:numPr>
        <w:spacing w:lineRule="exact" w:line="288" w:before="0" w:after="60"/>
        <w:rPr/>
      </w:pPr>
      <w:r>
        <w:rPr>
          <w:rFonts w:eastAsia="Cambria" w:cs="Cambria"/>
          <w:b w:val="false"/>
          <w:bCs w:val="false"/>
          <w:i w:val="false"/>
          <w:iCs w:val="false"/>
          <w:sz w:val="22"/>
          <w:szCs w:val="22"/>
        </w:rPr>
        <w:t>Die Aufgaben sind so komplex, dass sie üblicherweise einen solchen Abschluss voraussetzen.</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Seit der Modernisierungsregel (in Kraft seit 17. Januar 2025) heißt „direkt verwandt“: Zwischen Studienfach und Aufgaben muss eine logische Verbindung bestehen. Mehrere Fächer können zu einer Stelle passen. Der Arbeitgeber muss belegen, dass die Stelle zum Startdatum wirklich existiert, und USCIS darf Arbeitsorte vor Ort prüfen. Verlangt der Beruf im Bundesstaat eine Lizenz, etwa in der Medizin, muss sie vor der Genehmigung vorliegen, nicht schon bei Einreichung.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Dein Abschluss muss einem US-Bachelor entsprechen. Für deutsche Bachelor-, Master- und Diplomabschlüsse belegt das in der Regel ein Bewertungsgutachten (</w:t>
      </w:r>
      <w:r>
        <w:rPr>
          <w:rFonts w:eastAsia="Cambria" w:cs="Cambria"/>
          <w:b w:val="false"/>
          <w:bCs w:val="false"/>
          <w:i/>
          <w:iCs/>
          <w:sz w:val="22"/>
          <w:szCs w:val="22"/>
        </w:rPr>
        <w:t>Credential Evaluation</w:t>
      </w:r>
      <w:r>
        <w:rPr>
          <w:rFonts w:eastAsia="Cambria" w:cs="Cambria"/>
          <w:b w:val="false"/>
          <w:bCs w:val="false"/>
          <w:i w:val="false"/>
          <w:iCs w:val="false"/>
          <w:sz w:val="22"/>
          <w:szCs w:val="22"/>
        </w:rPr>
        <w:t>), das die Kanzlei des Arbeitgebers beauftragt. Fehlt ein Studium, kann Berufserfahrung einspringen: Drei Jahre Fachpraxis ersetzen ein Studienjahr. Das ist aufwendig und unsicher. Master-Niveau erreichst du auf diesem Weg nur mit einem Bachelor und mindestens fünf Jahren Berufserfahrung im Fach. Ein Meisterbrief oder eine Ausbildung ersetzen den Bachelor nicht von selbst, weshalb Handwerksberufe meist über andere Wege laufen (siehe Kapitel </w:t>
      </w:r>
      <w:hyperlink w:anchor="k4">
        <w:r>
          <w:rPr>
            <w:rStyle w:val="ListLabel115"/>
            <w:rFonts w:eastAsia="Cambria" w:cs="Cambria"/>
            <w:b w:val="false"/>
            <w:bCs w:val="false"/>
            <w:i w:val="false"/>
            <w:iCs w:val="false"/>
            <w:sz w:val="22"/>
            <w:szCs w:val="22"/>
          </w:rPr>
          <w:t>4</w:t>
        </w:r>
      </w:hyperlink>
      <w:r>
        <w:rPr>
          <w:rFonts w:eastAsia="Cambria" w:cs="Cambria"/>
          <w:b w:val="false"/>
          <w:bCs w:val="false"/>
          <w:i w:val="false"/>
          <w:iCs w:val="false"/>
          <w:sz w:val="22"/>
          <w:szCs w:val="22"/>
        </w:rPr>
        <w:t xml:space="preserve"> und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mehr als die Hälfte der Anteile an der eigenen Firma hält, bekommt Erstgenehmigung und erste Verlängerung nur für je 18 Monate. Das betrifft Gründer (siehe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Quote und Registrierung: 85.000 Plätze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Höchstgrenze heißt </w:t>
      </w:r>
      <w:r>
        <w:rPr>
          <w:rFonts w:eastAsia="Cambria" w:cs="Cambria"/>
          <w:b w:val="false"/>
          <w:bCs w:val="false"/>
          <w:i/>
          <w:iCs/>
          <w:sz w:val="22"/>
          <w:szCs w:val="22"/>
        </w:rPr>
        <w:t>Cap</w:t>
      </w:r>
      <w:r>
        <w:rPr>
          <w:rFonts w:eastAsia="Cambria" w:cs="Cambria"/>
          <w:b w:val="false"/>
          <w:bCs w:val="false"/>
          <w:i w:val="false"/>
          <w:iCs w:val="false"/>
          <w:sz w:val="22"/>
          <w:szCs w:val="22"/>
        </w:rPr>
        <w:t>: 65.000 reguläre Plätze plus 20.000 im Master-Kontingent für Master- oder höhere Abschlüsse einer US-Hochschule, zusammen 85.000 neue Petitionen je Fiskaljahr. Das Fiskaljahr (</w:t>
      </w:r>
      <w:r>
        <w:rPr>
          <w:rFonts w:eastAsia="Cambria" w:cs="Cambria"/>
          <w:b w:val="false"/>
          <w:bCs w:val="false"/>
          <w:i/>
          <w:iCs/>
          <w:sz w:val="22"/>
          <w:szCs w:val="22"/>
        </w:rPr>
        <w:t>Fiscal Year</w:t>
      </w:r>
      <w:r>
        <w:rPr>
          <w:rFonts w:eastAsia="Cambria" w:cs="Cambria"/>
          <w:b w:val="false"/>
          <w:bCs w:val="false"/>
          <w:i w:val="false"/>
          <w:iCs w:val="false"/>
          <w:sz w:val="22"/>
          <w:szCs w:val="22"/>
        </w:rPr>
        <w:t>, FY) der US-Regierung läuft vom 1. Oktober bis 30. September; FY2027 reicht vom 1. Oktober 2026 bis 30. September 2027. Weil mehr Registrierungen eingehen als Plätze existieren, entscheidet ein Losverfahren. Wer in den USA einen Master gemacht hat, zählt für beide Kontingente (siehe Kapitel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Arbeitgeber meldet dich im März online an (FY2027: 4. bis 19. März 2026) und zahlt 215 $ je Registrierung, nicht erstattbar. Registrieren mehrere Arbeitgeber dieselbe Person, zählt sie in der Auswahl nur einmal.</w:t>
      </w:r>
    </w:p>
    <w:p>
      <w:pPr>
        <w:pStyle w:val="Heading3"/>
        <w:keepNext w:val="true"/>
        <w:spacing w:before="280" w:after="100"/>
        <w:jc w:val="center"/>
        <w:rPr/>
      </w:pPr>
      <w:r>
        <w:rPr>
          <w:rFonts w:eastAsia="Amazon Ember" w:cs="Amazon Ember" w:ascii="Amazon Ember" w:hAnsi="Amazon Ember"/>
          <w:b/>
          <w:bCs/>
          <w:color w:val="0000FF"/>
          <w:sz w:val="36"/>
          <w:szCs w:val="36"/>
        </w:rPr>
        <w:t>Lohngewichtete Auswahl: Chancen nach Lohnstufe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Seit der Runde für FY2027 ist die Auswahl lohngewichtet (Final Rule vom 29. Dezember 2025, gültig seit 27. Februar 2026). Der Arbeitgeber nennt die höchste der vier Lohnstufen (</w:t>
      </w:r>
      <w:r>
        <w:rPr>
          <w:rFonts w:eastAsia="Cambria" w:cs="Cambria"/>
          <w:b w:val="false"/>
          <w:bCs w:val="false"/>
          <w:i/>
          <w:iCs/>
          <w:sz w:val="22"/>
          <w:szCs w:val="22"/>
        </w:rPr>
        <w:t>Level</w:t>
      </w:r>
      <w:r>
        <w:rPr>
          <w:rFonts w:eastAsia="Cambria" w:cs="Cambria"/>
          <w:b w:val="false"/>
          <w:bCs w:val="false"/>
          <w:i w:val="false"/>
          <w:iCs w:val="false"/>
          <w:sz w:val="22"/>
          <w:szCs w:val="22"/>
        </w:rPr>
        <w:t xml:space="preserve"> I bis IV), die der angebotene Lohn für deine Berufsgruppe am Arbeitsort erreicht. Bei mehreren Arbeitsorten zählt das niedrigste Level, und ein Lohn unter Level I wird als Level I gemeldet. Je höher die Stufe, desto mehr Lose:</w:t>
      </w:r>
    </w:p>
    <w:tbl>
      <w:tblPr>
        <w:tblW w:w="6480" w:type="dxa"/>
        <w:jc w:val="left"/>
        <w:tblInd w:w="0" w:type="dxa"/>
        <w:tblLayout w:type="fixed"/>
        <w:tblCellMar>
          <w:top w:w="50" w:type="dxa"/>
          <w:left w:w="80" w:type="dxa"/>
          <w:bottom w:w="50" w:type="dxa"/>
          <w:right w:w="80" w:type="dxa"/>
        </w:tblCellMar>
      </w:tblPr>
      <w:tblGrid>
        <w:gridCol w:w="1417"/>
        <w:gridCol w:w="1445"/>
        <w:gridCol w:w="1418"/>
        <w:gridCol w:w="2199"/>
      </w:tblGrid>
      <w:tr>
        <w:trPr>
          <w:tblHeader w:val="true"/>
          <w:cantSplit w:val="true"/>
        </w:trPr>
        <w:tc>
          <w:tcPr>
            <w:tcW w:w="141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Stufe</w:t>
            </w:r>
          </w:p>
        </w:tc>
        <w:tc>
          <w:tcPr>
            <w:tcW w:w="144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Lohn ab Perzentil</w:t>
            </w:r>
          </w:p>
        </w:tc>
        <w:tc>
          <w:tcPr>
            <w:tcW w:w="141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Lose</w:t>
            </w:r>
          </w:p>
        </w:tc>
        <w:tc>
          <w:tcPr>
            <w:tcW w:w="219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Chance (DHS-Modell)</w:t>
            </w:r>
          </w:p>
        </w:tc>
      </w:tr>
      <w:tr>
        <w:trPr>
          <w:cantSplit w:val="true"/>
        </w:trPr>
        <w:tc>
          <w:tcPr>
            <w:tcW w:w="14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Level I</w:t>
            </w:r>
          </w:p>
        </w:tc>
        <w:tc>
          <w:tcPr>
            <w:tcW w:w="14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17.</w:t>
            </w:r>
          </w:p>
        </w:tc>
        <w:tc>
          <w:tcPr>
            <w:tcW w:w="14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w:t>
            </w:r>
          </w:p>
        </w:tc>
        <w:tc>
          <w:tcPr>
            <w:tcW w:w="21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15,3 %</w:t>
            </w:r>
          </w:p>
        </w:tc>
      </w:tr>
      <w:tr>
        <w:trPr>
          <w:cantSplit w:val="true"/>
        </w:trPr>
        <w:tc>
          <w:tcPr>
            <w:tcW w:w="14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Level II</w:t>
            </w:r>
          </w:p>
        </w:tc>
        <w:tc>
          <w:tcPr>
            <w:tcW w:w="14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34.</w:t>
            </w:r>
          </w:p>
        </w:tc>
        <w:tc>
          <w:tcPr>
            <w:tcW w:w="14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w:t>
            </w:r>
          </w:p>
        </w:tc>
        <w:tc>
          <w:tcPr>
            <w:tcW w:w="21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30,6 %</w:t>
            </w:r>
          </w:p>
        </w:tc>
      </w:tr>
      <w:tr>
        <w:trPr>
          <w:cantSplit w:val="true"/>
        </w:trPr>
        <w:tc>
          <w:tcPr>
            <w:tcW w:w="14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Level III</w:t>
            </w:r>
          </w:p>
        </w:tc>
        <w:tc>
          <w:tcPr>
            <w:tcW w:w="14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50.</w:t>
            </w:r>
          </w:p>
        </w:tc>
        <w:tc>
          <w:tcPr>
            <w:tcW w:w="14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w:t>
            </w:r>
          </w:p>
        </w:tc>
        <w:tc>
          <w:tcPr>
            <w:tcW w:w="21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45,9 %</w:t>
            </w:r>
          </w:p>
        </w:tc>
      </w:tr>
      <w:tr>
        <w:trPr>
          <w:cantSplit w:val="true"/>
        </w:trPr>
        <w:tc>
          <w:tcPr>
            <w:tcW w:w="14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Level IV</w:t>
            </w:r>
          </w:p>
        </w:tc>
        <w:tc>
          <w:tcPr>
            <w:tcW w:w="14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67.</w:t>
            </w:r>
          </w:p>
        </w:tc>
        <w:tc>
          <w:tcPr>
            <w:tcW w:w="14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w:t>
            </w:r>
          </w:p>
        </w:tc>
        <w:tc>
          <w:tcPr>
            <w:tcW w:w="21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61,2 %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Prozentwerte sind eine Modellrechnung des Heimatschutzministeriums DHS auf Basis der Jahre FY2020 bis FY2024, keine Prognose für ein bestimmtes Jahr. Bei reinem Zufall lag der Wert bei rund 29,6 %.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Was FY2027 wirklich zeigte: 211.600 ordnungsgemäße Registrierungen, 38,5 % weniger als im Vorjahr (343.981). Unter den Ausgewählten waren nur 17,7 % Level I, und 71,5 % hatten einen US-Master oder höher (FY2026: 57 %). Wie viele Registrierungen USCIS auswählte, hat die Behörde nicht veröffentlicht. Die im Netz kursierende Chance von rund 40 % ist nur 85.000 geteilt durch 211.600 und kein Beleg, denn USCIS wählt üblicherweise mehr aus, als Plätze da sind (FY2026: 120.141 Auswahlen).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17. Juli 2026 meldete USCIS die Quote als erreicht; eine zweite Runde gab es nicht. Verbreiteter Irrtum: Wer im Konto als „ausgewählt“ steht, hat den H-1B damit schon so gut wie sicher. Tatsächlich ist eine Auswahl keine Genehmigung, sondern nur die Erlaubnis für den Arbeitgeber, in einem Fenster von mindestens 90 Tagen die Petition einzureichen (FY2027: 1. April bis 30. Juni 2026). Wer nicht ausgewählt wird, tritt erst in der nächsten Runde wieder an, für FY2028 voraussichtlich im März 2027 (offiziell noch nicht bestätigt). Was dann als Plan B bleibt, zeigen die Kapitel </w:t>
      </w:r>
      <w:hyperlink w:anchor="k7">
        <w:r>
          <w:rPr>
            <w:rStyle w:val="ListLabel115"/>
            <w:rFonts w:eastAsia="Cambria" w:cs="Cambria"/>
            <w:b w:val="false"/>
            <w:bCs w:val="false"/>
            <w:i w:val="false"/>
            <w:iCs w:val="false"/>
            <w:sz w:val="22"/>
            <w:szCs w:val="22"/>
          </w:rPr>
          <w:t>7</w:t>
        </w:r>
      </w:hyperlink>
      <w:r>
        <w:rPr>
          <w:rFonts w:eastAsia="Cambria" w:cs="Cambria"/>
          <w:b w:val="false"/>
          <w:bCs w:val="false"/>
          <w:i w:val="false"/>
          <w:iCs w:val="false"/>
          <w:sz w:val="22"/>
          <w:szCs w:val="22"/>
        </w:rPr>
        <w:t xml:space="preserve"> bis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 Vor der Registrierung solltest du dir sagen lassen, welche Stufe der Arbeitgeber meldet: Falsche Angaben machen die Registrierung ungültig.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 Markus, 38, Maschinenbauingenieur, wird im ersten Anlauf nicht ausgewählt; die Registrierung (215 $) verfällt. Im zweiten Jahr meldet die Kanzlei des US-Unternehmens im Großraum Detroit seine Stelle als Level III an, also mit drei Losen statt einem. Ende März steht im Konto ein einziges Wort, das Markus noch ein zweites Mal nachliest, um sicherzugehen: ausgewählt. Anna, 36, und die Kinder Lena (9) und Jonas (5) reisen mit H-4-Visa nach; Anna darf zunächst nicht arbeiten (siehe Kapitel </w:t>
            </w:r>
            <w:hyperlink w:anchor="k10">
              <w:r>
                <w:rPr>
                  <w:rStyle w:val="ListLabel114"/>
                  <w:rFonts w:eastAsia="Cambria" w:cs="Cambria"/>
                  <w:b w:val="false"/>
                  <w:bCs w:val="false"/>
                  <w:i w:val="false"/>
                  <w:iCs w:val="false"/>
                  <w:sz w:val="20"/>
                  <w:szCs w:val="20"/>
                </w:rPr>
                <w:t>10</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100.000-Dollar-Frage: gilt, blockiert, vorgeschlagen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Weil Schlagzeilen Beschlüsse, Urteile und Entwürfe oft vermengen, ordnet die Übersicht die wichtigsten Regelungen nach ihrem Rechtsstatus (Stand 20. September 2026). Ein </w:t>
      </w:r>
      <w:r>
        <w:rPr>
          <w:rFonts w:eastAsia="Cambria" w:cs="Cambria"/>
          <w:b w:val="false"/>
          <w:bCs w:val="false"/>
          <w:i/>
          <w:iCs/>
          <w:sz w:val="22"/>
          <w:szCs w:val="22"/>
        </w:rPr>
        <w:t>NPRM</w:t>
      </w:r>
      <w:r>
        <w:rPr>
          <w:rFonts w:eastAsia="Cambria" w:cs="Cambria"/>
          <w:b w:val="false"/>
          <w:bCs w:val="false"/>
          <w:i w:val="false"/>
          <w:iCs w:val="false"/>
          <w:sz w:val="22"/>
          <w:szCs w:val="22"/>
        </w:rPr>
        <w:t xml:space="preserve"> (</w:t>
      </w:r>
      <w:r>
        <w:rPr>
          <w:rFonts w:eastAsia="Cambria" w:cs="Cambria"/>
          <w:b w:val="false"/>
          <w:bCs w:val="false"/>
          <w:i/>
          <w:iCs/>
          <w:sz w:val="22"/>
          <w:szCs w:val="22"/>
        </w:rPr>
        <w:t>Notice of Proposed Rulemaking</w:t>
      </w:r>
      <w:r>
        <w:rPr>
          <w:rFonts w:eastAsia="Cambria" w:cs="Cambria"/>
          <w:b w:val="false"/>
          <w:bCs w:val="false"/>
          <w:i w:val="false"/>
          <w:iCs w:val="false"/>
          <w:sz w:val="22"/>
          <w:szCs w:val="22"/>
        </w:rPr>
        <w:t>) ist der Entwurf einer Behörde, der nach einer Kommentarphase geändert oder verworfen werden kann.</w:t>
      </w:r>
    </w:p>
    <w:tbl>
      <w:tblPr>
        <w:tblW w:w="6480" w:type="dxa"/>
        <w:jc w:val="left"/>
        <w:tblInd w:w="0" w:type="dxa"/>
        <w:tblLayout w:type="fixed"/>
        <w:tblCellMar>
          <w:top w:w="50" w:type="dxa"/>
          <w:left w:w="80" w:type="dxa"/>
          <w:bottom w:w="50" w:type="dxa"/>
          <w:right w:w="80" w:type="dxa"/>
        </w:tblCellMar>
      </w:tblPr>
      <w:tblGrid>
        <w:gridCol w:w="1728"/>
        <w:gridCol w:w="2631"/>
        <w:gridCol w:w="2121"/>
      </w:tblGrid>
      <w:tr>
        <w:trPr>
          <w:tblHeader w:val="true"/>
          <w:cantSplit w:val="true"/>
        </w:trPr>
        <w:tc>
          <w:tcPr>
            <w:tcW w:w="172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Regelung</w:t>
            </w:r>
          </w:p>
        </w:tc>
        <w:tc>
          <w:tcPr>
            <w:tcW w:w="263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Rechtsstatus</w:t>
            </w:r>
          </w:p>
        </w:tc>
        <w:tc>
          <w:tcPr>
            <w:tcW w:w="212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Betrifft dich, wenn …</w:t>
            </w:r>
          </w:p>
        </w:tc>
      </w:tr>
      <w:tr>
        <w:trPr>
          <w:cantSplit w:val="true"/>
        </w:trPr>
        <w:tc>
          <w:tcPr>
            <w:tcW w:w="17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Lohngewichtete Auswahl</w:t>
            </w:r>
          </w:p>
        </w:tc>
        <w:tc>
          <w:tcPr>
            <w:tcW w:w="26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Geltendes Recht seit 27. Februar 2026</w:t>
            </w:r>
          </w:p>
        </w:tc>
        <w:tc>
          <w:tcPr>
            <w:tcW w:w="21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 dich für die Lotterie registrieren lässt</w:t>
            </w:r>
          </w:p>
        </w:tc>
      </w:tr>
      <w:tr>
        <w:trPr>
          <w:cantSplit w:val="true"/>
        </w:trPr>
        <w:tc>
          <w:tcPr>
            <w:tcW w:w="17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100.000-$-Zahlung (Proklamation 10973)</w:t>
            </w:r>
          </w:p>
        </w:tc>
        <w:tc>
          <w:tcPr>
            <w:tcW w:w="26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21. September 2027 verlängert, Umsetzung gerichtlich aufgehoben, Erhebung derzeit nicht möglich, Berufung anhängig</w:t>
            </w:r>
          </w:p>
        </w:tc>
        <w:tc>
          <w:tcPr>
            <w:tcW w:w="21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 aus Deutschland über das Konsulat einreist</w:t>
            </w:r>
          </w:p>
        </w:tc>
      </w:tr>
      <w:tr>
        <w:trPr>
          <w:cantSplit w:val="true"/>
        </w:trPr>
        <w:tc>
          <w:tcPr>
            <w:tcW w:w="17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103.265-$-Gebühr</w:t>
            </w:r>
          </w:p>
        </w:tc>
        <w:tc>
          <w:tcPr>
            <w:tcW w:w="26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Vorschlag (NPRM vom 25. August 2026), nicht in Kraft</w:t>
            </w:r>
          </w:p>
        </w:tc>
        <w:tc>
          <w:tcPr>
            <w:tcW w:w="21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 dich ab FY2028 registrieren lässt</w:t>
            </w:r>
          </w:p>
        </w:tc>
      </w:tr>
      <w:tr>
        <w:trPr>
          <w:cantSplit w:val="true"/>
        </w:trPr>
        <w:tc>
          <w:tcPr>
            <w:tcW w:w="17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Wegfall der 60-Tage-Frist</w:t>
            </w:r>
          </w:p>
        </w:tc>
        <w:tc>
          <w:tcPr>
            <w:tcW w:w="26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Vorschlag (NPRM vom 11. September 2026), nicht in Kraft</w:t>
            </w:r>
          </w:p>
        </w:tc>
        <w:tc>
          <w:tcPr>
            <w:tcW w:w="21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 deinen Job verlierst</w:t>
            </w:r>
          </w:p>
        </w:tc>
      </w:tr>
      <w:tr>
        <w:trPr>
          <w:cantSplit w:val="true"/>
        </w:trPr>
        <w:tc>
          <w:tcPr>
            <w:tcW w:w="17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Höhere Lohnstufen (Arbeitsministerium DOL)</w:t>
            </w:r>
          </w:p>
        </w:tc>
        <w:tc>
          <w:tcPr>
            <w:tcW w:w="26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Entwurf vom 27. März 2026, bis 20. September 2026 keine Endfassung</w:t>
            </w:r>
          </w:p>
        </w:tc>
        <w:tc>
          <w:tcPr>
            <w:tcW w:w="21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Gehalt und Lohnstufe deiner Stelle</w:t>
            </w:r>
          </w:p>
        </w:tc>
      </w:tr>
    </w:tbl>
    <w:p>
      <w:pPr>
        <w:pStyle w:val="Normal"/>
        <w:spacing w:lineRule="exact" w:line="180" w:before="0" w:after="0"/>
        <w:rPr/>
      </w:pPr>
      <w:r>
        <w:rPr/>
      </w:r>
    </w:p>
    <w:p>
      <w:pPr>
        <w:pStyle w:val="Heading4"/>
        <w:keepNext w:val="true"/>
        <w:spacing w:before="200" w:after="80"/>
        <w:jc w:val="center"/>
        <w:rPr/>
      </w:pPr>
      <w:r>
        <w:rPr>
          <w:rFonts w:eastAsia="Amazon Ember" w:cs="Amazon Ember" w:ascii="Amazon Ember" w:hAnsi="Amazon Ember"/>
          <w:b/>
          <w:bCs/>
          <w:color w:val="0000FF"/>
          <w:sz w:val="36"/>
          <w:szCs w:val="36"/>
        </w:rPr>
        <w:t>Was die Proklamation verlangt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Proklamation 10973 des Präsidenten vom 19. September 2025 (wirksam seit 21. September 2025) knüpft die Einreise von H-1B-Beschäftigten an eine Zahlung des Arbeitgebers von 100.000 $, vorab über die Plattform pay.gov. Nach der Leitlinie von USCIS vom 20. Oktober 2025 betrifft das neue Petitionen für Personen außerhalb der USA, also den typischen Weg aus Deutschland über das Konsulat, weil ESTA keine Arbeit erlaubt und der H-1B immer ein Visum braucht. Auch Cap-exempt-Arbeitgeber sind erfasst.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Nicht betroffen sind Petitionen von vor dem 21. September 2025, bereits erteilte Visa sowie im Inland genehmigte Statuswechsel, Verlängerungen und Arbeitgeberwechsel, etwa von F-1/OPT zu H-1B. Ausnahmen gewährt nur das DHS, laut USCIS in äußerst seltenen Fällen.</w:t>
      </w:r>
    </w:p>
    <w:p>
      <w:pPr>
        <w:pStyle w:val="Heading4"/>
        <w:keepNext w:val="true"/>
        <w:spacing w:before="200" w:after="80"/>
        <w:jc w:val="center"/>
        <w:rPr/>
      </w:pPr>
      <w:r>
        <w:rPr>
          <w:rFonts w:eastAsia="Amazon Ember" w:cs="Amazon Ember" w:ascii="Amazon Ember" w:hAnsi="Amazon Ember"/>
          <w:b/>
          <w:bCs/>
          <w:color w:val="0000FF"/>
          <w:sz w:val="36"/>
          <w:szCs w:val="36"/>
        </w:rPr>
        <w:t>Was die Gerichte daraus gemacht haben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8. Juni 2026 hob ein Bundesgericht in Massachusetts auf Klage von 20 Bundesstaaten die Umsetzungsrichtlinien auf (Begründung: eine Steuer ohne Ermächtigung durch den Kongress). Am 24. Juli 2026 lehnte der First Circuit ab, die Entscheidung bis zur Berufung auszusetzen. Damit kann die Zahlung derzeit nicht erhoben werden; nach Kanzleiberichten zur USCIS-FAQ vom 28. Juli 2026 dürfen Petitionen für Personen im Ausland ohne Zahlung eingereicht werden. USCIS erklärt zugleich, die Zahlung wieder zu verlangen, falls die Anordnung aufgehoben wird.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Andere Gerichte urteilen anders: Die Klage der US-Handelskammer wies ein Bundesgericht in Washington am 23. Dezember 2025 ab, die Berufung liegt beim D.C. Circuit (Anhörung am 9. März 2026, keine Entscheidung bekannt). Eine weitere Klage in Kalifornien läuft. Am 18. September 2026 verlängerte der Präsident die Proklamation um zwölf Monate bis zum 21. September 2027; die Blockade der Erhebung ändert das nicht. Ein Verfahren, früher gezahlte Beträge zurückzuerhalten, ist nicht bekannt.</w:t>
      </w:r>
    </w:p>
    <w:p>
      <w:pPr>
        <w:pStyle w:val="Heading4"/>
        <w:keepNext w:val="true"/>
        <w:spacing w:before="200" w:after="80"/>
        <w:jc w:val="center"/>
        <w:rPr/>
      </w:pPr>
      <w:r>
        <w:rPr>
          <w:rFonts w:eastAsia="Amazon Ember" w:cs="Amazon Ember" w:ascii="Amazon Ember" w:hAnsi="Amazon Ember"/>
          <w:b/>
          <w:bCs/>
          <w:color w:val="0000FF"/>
          <w:sz w:val="36"/>
          <w:szCs w:val="36"/>
        </w:rPr>
        <w:t>Was nur vorgeschlagen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25. August 2026 veröffentlichte das DHS einen Entwurf, nach dem für jede Cap-Petition 103.265 $ bei Einreichung fällig wären, zusätzlich zu allen anderen Gebühren und auch im Master-Kontingent. Mehrere Kanzleien lesen den Entwurf so, dass er auch Statuswechsel im Inland träfe, also F-1/OPT-Absolventen, die von der Proklamation ausgenommen sind (siehe Kapitel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 prüfe diese Lesart im Entwurfstext. Cap-exempt-Fälle, Verlängerungen, Änderungen und Arbeitgeberwechsel blieben ausgenommen.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Kommentarfrist endet am 24. September 2026, ein Start wäre nach Kanzleiangaben frühestens in der Saison ab April 2027 (FY2028) denkbar, Klagen sind zu erwarten. Ob Arbeitgeber solche Beträge an dich weitergeben dürften, ist offen.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Blockiert heißt nicht abgeschafft. Die Gerichte können die Blockade aufheben, und dann verlangt USCIS die Zahlung wieder. Lass dir vom Arbeitgeber schriftlich sagen, wie er in diesem Fall vorgeht, und plane so, dass dein Jobangebot auch dann trägt.</w:t>
            </w:r>
          </w:p>
        </w:tc>
      </w:tr>
    </w:tbl>
    <w:p>
      <w:pPr>
        <w:pStyle w:val="Normal"/>
        <w:spacing w:lineRule="exact" w:line="220" w:before="0" w:after="0"/>
        <w:rPr/>
      </w:pPr>
      <w:r>
        <w:rPr/>
      </w:r>
    </w:p>
    <w:p>
      <w:pPr>
        <w:pStyle w:val="Heading4"/>
        <w:keepNext w:val="true"/>
        <w:spacing w:before="200" w:after="80"/>
        <w:jc w:val="center"/>
        <w:rPr/>
      </w:pPr>
      <w:r>
        <w:rPr>
          <w:rFonts w:eastAsia="Amazon Ember" w:cs="Amazon Ember" w:ascii="Amazon Ember" w:hAnsi="Amazon Ember"/>
          <w:b/>
          <w:bCs/>
          <w:color w:val="0000FF"/>
          <w:sz w:val="36"/>
          <w:szCs w:val="36"/>
        </w:rPr>
        <w:t>So prüfst du den Stand</w:t>
      </w:r>
    </w:p>
    <w:p>
      <w:pPr>
        <w:pStyle w:val="ListParagraph"/>
        <w:numPr>
          <w:ilvl w:val="0"/>
          <w:numId w:val="74"/>
        </w:numPr>
        <w:spacing w:lineRule="exact" w:line="288" w:before="0" w:after="60"/>
        <w:rPr/>
      </w:pPr>
      <w:r>
        <w:rPr>
          <w:rFonts w:eastAsia="Cambria" w:cs="Cambria"/>
          <w:b/>
          <w:bCs/>
          <w:i w:val="false"/>
          <w:iCs w:val="false"/>
          <w:sz w:val="22"/>
          <w:szCs w:val="22"/>
        </w:rPr>
        <w:t>uscis.gov:</w:t>
      </w:r>
      <w:r>
        <w:rPr>
          <w:rFonts w:eastAsia="Cambria" w:cs="Cambria"/>
          <w:b w:val="false"/>
          <w:bCs w:val="false"/>
          <w:i w:val="false"/>
          <w:iCs w:val="false"/>
          <w:sz w:val="22"/>
          <w:szCs w:val="22"/>
        </w:rPr>
        <w:t xml:space="preserve"> Die H-1B-FAQ unter „Alerts“ nennt, ob die Zahlung derzeit erhoben wird.</w:t>
      </w:r>
    </w:p>
    <w:p>
      <w:pPr>
        <w:pStyle w:val="ListParagraph"/>
        <w:numPr>
          <w:ilvl w:val="0"/>
          <w:numId w:val="75"/>
        </w:numPr>
        <w:spacing w:lineRule="exact" w:line="288" w:before="0" w:after="60"/>
        <w:rPr/>
      </w:pPr>
      <w:r>
        <w:rPr>
          <w:rFonts w:eastAsia="Cambria" w:cs="Cambria"/>
          <w:b/>
          <w:bCs/>
          <w:i w:val="false"/>
          <w:iCs w:val="false"/>
          <w:sz w:val="22"/>
          <w:szCs w:val="22"/>
        </w:rPr>
        <w:t>federalregister.gov:</w:t>
      </w:r>
      <w:r>
        <w:rPr>
          <w:rFonts w:eastAsia="Cambria" w:cs="Cambria"/>
          <w:b w:val="false"/>
          <w:bCs w:val="false"/>
          <w:i w:val="false"/>
          <w:iCs w:val="false"/>
          <w:sz w:val="22"/>
          <w:szCs w:val="22"/>
        </w:rPr>
        <w:t xml:space="preserve"> Suche nach „H-1B“. „Proposed Rule“ ist ein Entwurf, „Rule“ gilt. Die Akten der beiden Entwürfe tragen die Nummern USCIS-2026-0298 (103.265 $) und USCIS-2026-0364 (60-Tage-Frist).</w:t>
      </w:r>
    </w:p>
    <w:p>
      <w:pPr>
        <w:pStyle w:val="ListParagraph"/>
        <w:numPr>
          <w:ilvl w:val="0"/>
          <w:numId w:val="76"/>
        </w:numPr>
        <w:spacing w:lineRule="exact" w:line="288" w:before="0" w:after="60"/>
        <w:rPr/>
      </w:pPr>
      <w:r>
        <w:rPr>
          <w:rFonts w:eastAsia="Cambria" w:cs="Cambria"/>
          <w:b/>
          <w:bCs/>
          <w:i w:val="false"/>
          <w:iCs w:val="false"/>
          <w:sz w:val="22"/>
          <w:szCs w:val="22"/>
        </w:rPr>
        <w:t>uscis.gov/g-1055:</w:t>
      </w:r>
      <w:r>
        <w:rPr>
          <w:rFonts w:eastAsia="Cambria" w:cs="Cambria"/>
          <w:b w:val="false"/>
          <w:bCs w:val="false"/>
          <w:i w:val="false"/>
          <w:iCs w:val="false"/>
          <w:sz w:val="22"/>
          <w:szCs w:val="22"/>
        </w:rPr>
        <w:t xml:space="preserve"> Das Gebührenblatt führt die 100.000 $ weiter auf, auch wenn sie blockiert sind. Das ist kein Beleg für eine Erhebung.</w:t>
      </w:r>
    </w:p>
    <w:p>
      <w:pPr>
        <w:pStyle w:val="ListParagraph"/>
        <w:numPr>
          <w:ilvl w:val="0"/>
          <w:numId w:val="77"/>
        </w:numPr>
        <w:spacing w:lineRule="exact" w:line="288" w:before="0" w:after="60"/>
        <w:rPr/>
      </w:pPr>
      <w:r>
        <w:rPr>
          <w:rFonts w:eastAsia="Cambria" w:cs="Cambria"/>
          <w:b/>
          <w:bCs/>
          <w:i w:val="false"/>
          <w:iCs w:val="false"/>
          <w:sz w:val="22"/>
          <w:szCs w:val="22"/>
        </w:rPr>
        <w:t>Kanzlei des Arbeitgebers:</w:t>
      </w:r>
      <w:r>
        <w:rPr>
          <w:rFonts w:eastAsia="Cambria" w:cs="Cambria"/>
          <w:b w:val="false"/>
          <w:bCs w:val="false"/>
          <w:i w:val="false"/>
          <w:iCs w:val="false"/>
          <w:sz w:val="22"/>
          <w:szCs w:val="22"/>
        </w:rPr>
        <w:t xml:space="preserve"> Die Kanzlei verfolgt jede Veröffentlichung und kennt die Details.</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Entwurf bindet niemanden, ein Gerichtsbeschluss gilt bis zur nächsten Instanz, eine Final Rule ab ihrem Startdatum. Frage bei jeder Meldung, in welche der drei Schubladen sie gehört.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erklärt Regeln und Praxis, ersetzt aber keine Beratung durch eine Einwanderungsanwältin oder einen Einwanderungsanwalt. Wie du jemanden findest und was das kostet, steht in Kapitel </w:t>
            </w:r>
            <w:hyperlink w:anchor="k11">
              <w:r>
                <w:rPr>
                  <w:rStyle w:val="ListLabel114"/>
                  <w:rFonts w:eastAsia="Cambria" w:cs="Cambria"/>
                  <w:b w:val="false"/>
                  <w:bCs w:val="false"/>
                  <w:i w:val="false"/>
                  <w:iCs w:val="false"/>
                  <w:sz w:val="20"/>
                  <w:szCs w:val="20"/>
                </w:rPr>
                <w:t>11</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Ablauf und Zeitplan: von der Registrierung bis zur Einreise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Zwischen Registrierung und erstem Arbeitstag liegen mindestens sechs Monate, weil der Start frühestens am 1. Oktober erfolgt. Der Weg im Überblick (Termine nach FY2027, FY2028 voraussichtlich ähnlich):</w:t>
      </w:r>
    </w:p>
    <w:p>
      <w:pPr>
        <w:pStyle w:val="ListParagraph"/>
        <w:numPr>
          <w:ilvl w:val="0"/>
          <w:numId w:val="78"/>
        </w:numPr>
        <w:spacing w:lineRule="exact" w:line="288" w:before="0" w:after="60"/>
        <w:rPr/>
      </w:pPr>
      <w:r>
        <w:rPr>
          <w:rFonts w:eastAsia="Cambria" w:cs="Cambria"/>
          <w:b/>
          <w:bCs/>
          <w:i w:val="false"/>
          <w:iCs w:val="false"/>
          <w:sz w:val="22"/>
          <w:szCs w:val="22"/>
        </w:rPr>
        <w:t>Vorbereitung (bis Februar).</w:t>
      </w:r>
      <w:r>
        <w:rPr>
          <w:rFonts w:eastAsia="Cambria" w:cs="Cambria"/>
          <w:b w:val="false"/>
          <w:bCs w:val="false"/>
          <w:i w:val="false"/>
          <w:iCs w:val="false"/>
          <w:sz w:val="22"/>
          <w:szCs w:val="22"/>
        </w:rPr>
        <w:t xml:space="preserve"> Arbeitgeber und Kanzlei klären Stelle, Gehalt, Lohnstufe und Abschlussbewertung. Ohne verbindliche Jobzusage gibt es keine Registrierung.</w:t>
      </w:r>
    </w:p>
    <w:p>
      <w:pPr>
        <w:pStyle w:val="ListParagraph"/>
        <w:numPr>
          <w:ilvl w:val="0"/>
          <w:numId w:val="79"/>
        </w:numPr>
        <w:spacing w:lineRule="exact" w:line="288" w:before="0" w:after="60"/>
        <w:rPr/>
      </w:pPr>
      <w:r>
        <w:rPr>
          <w:rFonts w:eastAsia="Cambria" w:cs="Cambria"/>
          <w:b/>
          <w:bCs/>
          <w:i w:val="false"/>
          <w:iCs w:val="false"/>
          <w:sz w:val="22"/>
          <w:szCs w:val="22"/>
        </w:rPr>
        <w:t>Registrierung (März).</w:t>
      </w:r>
      <w:r>
        <w:rPr>
          <w:rFonts w:eastAsia="Cambria" w:cs="Cambria"/>
          <w:b w:val="false"/>
          <w:bCs w:val="false"/>
          <w:i w:val="false"/>
          <w:iCs w:val="false"/>
          <w:sz w:val="22"/>
          <w:szCs w:val="22"/>
        </w:rPr>
        <w:t xml:space="preserve"> Online, 215 $. Der Termin für 2027 steht offiziell noch nicht fest.</w:t>
      </w:r>
    </w:p>
    <w:p>
      <w:pPr>
        <w:pStyle w:val="ListParagraph"/>
        <w:numPr>
          <w:ilvl w:val="0"/>
          <w:numId w:val="80"/>
        </w:numPr>
        <w:spacing w:lineRule="exact" w:line="288" w:before="0" w:after="60"/>
        <w:rPr/>
      </w:pPr>
      <w:r>
        <w:rPr>
          <w:rFonts w:eastAsia="Cambria" w:cs="Cambria"/>
          <w:b/>
          <w:bCs/>
          <w:i w:val="false"/>
          <w:iCs w:val="false"/>
          <w:sz w:val="22"/>
          <w:szCs w:val="22"/>
        </w:rPr>
        <w:t>Auswahl (bis 31. März).</w:t>
      </w:r>
      <w:r>
        <w:rPr>
          <w:rFonts w:eastAsia="Cambria" w:cs="Cambria"/>
          <w:b w:val="false"/>
          <w:bCs w:val="false"/>
          <w:i w:val="false"/>
          <w:iCs w:val="false"/>
          <w:sz w:val="22"/>
          <w:szCs w:val="22"/>
        </w:rPr>
        <w:t xml:space="preserve"> USCIS benachrichtigt über das Konto des Arbeitgebers. Ohne Auswahl keine Cap-Petition.</w:t>
      </w:r>
    </w:p>
    <w:p>
      <w:pPr>
        <w:pStyle w:val="ListParagraph"/>
        <w:numPr>
          <w:ilvl w:val="0"/>
          <w:numId w:val="81"/>
        </w:numPr>
        <w:spacing w:lineRule="exact" w:line="288" w:before="0" w:after="60"/>
        <w:rPr/>
      </w:pPr>
      <w:r>
        <w:rPr>
          <w:rFonts w:eastAsia="Cambria" w:cs="Cambria"/>
          <w:b/>
          <w:bCs/>
          <w:i w:val="false"/>
          <w:iCs w:val="false"/>
          <w:sz w:val="22"/>
          <w:szCs w:val="22"/>
        </w:rPr>
        <w:t>LCA.</w:t>
      </w:r>
      <w:r>
        <w:rPr>
          <w:rFonts w:eastAsia="Cambria" w:cs="Cambria"/>
          <w:b w:val="false"/>
          <w:bCs w:val="false"/>
          <w:i w:val="false"/>
          <w:iCs w:val="false"/>
          <w:sz w:val="22"/>
          <w:szCs w:val="22"/>
        </w:rPr>
        <w:t xml:space="preserve"> Der Arbeitgeber reicht beim DOL die </w:t>
      </w:r>
      <w:r>
        <w:rPr>
          <w:rFonts w:eastAsia="Cambria" w:cs="Cambria"/>
          <w:b w:val="false"/>
          <w:bCs w:val="false"/>
          <w:i/>
          <w:iCs/>
          <w:sz w:val="22"/>
          <w:szCs w:val="22"/>
        </w:rPr>
        <w:t>Labor Condition Application</w:t>
      </w:r>
      <w:r>
        <w:rPr>
          <w:rFonts w:eastAsia="Cambria" w:cs="Cambria"/>
          <w:b w:val="false"/>
          <w:bCs w:val="false"/>
          <w:i w:val="false"/>
          <w:iCs w:val="false"/>
          <w:sz w:val="22"/>
          <w:szCs w:val="22"/>
        </w:rPr>
        <w:t xml:space="preserve"> (Form ETA-9035E) ein, in der er Lohn und Arbeitsbedingungen versichert. Das DOL prüft binnen sieben Werktagen auf Vollständigkeit; die LCA ist frühestens sechs Monate vor Beginn möglich.</w:t>
      </w:r>
    </w:p>
    <w:p>
      <w:pPr>
        <w:pStyle w:val="ListParagraph"/>
        <w:numPr>
          <w:ilvl w:val="0"/>
          <w:numId w:val="82"/>
        </w:numPr>
        <w:spacing w:lineRule="exact" w:line="288" w:before="0" w:after="60"/>
        <w:rPr/>
      </w:pPr>
      <w:r>
        <w:rPr>
          <w:rFonts w:eastAsia="Cambria" w:cs="Cambria"/>
          <w:b/>
          <w:bCs/>
          <w:i w:val="false"/>
          <w:iCs w:val="false"/>
          <w:sz w:val="22"/>
          <w:szCs w:val="22"/>
        </w:rPr>
        <w:t>Petition (ab 1. April).</w:t>
      </w:r>
      <w:r>
        <w:rPr>
          <w:rFonts w:eastAsia="Cambria" w:cs="Cambria"/>
          <w:b w:val="false"/>
          <w:bCs w:val="false"/>
          <w:i w:val="false"/>
          <w:iCs w:val="false"/>
          <w:sz w:val="22"/>
          <w:szCs w:val="22"/>
        </w:rPr>
        <w:t xml:space="preserve"> Form I-129 mit Kopie der Auswahlbenachrichtigung, im Fenster von mindestens 90 Tagen. Startdatum ist der 1. Oktober oder später, die Einreichung frühestens sechs Monate davor.</w:t>
      </w:r>
    </w:p>
    <w:p>
      <w:pPr>
        <w:pStyle w:val="ListParagraph"/>
        <w:numPr>
          <w:ilvl w:val="0"/>
          <w:numId w:val="83"/>
        </w:numPr>
        <w:spacing w:lineRule="exact" w:line="288" w:before="0" w:after="60"/>
        <w:rPr/>
      </w:pPr>
      <w:r>
        <w:rPr>
          <w:rFonts w:eastAsia="Cambria" w:cs="Cambria"/>
          <w:b/>
          <w:bCs/>
          <w:i w:val="false"/>
          <w:iCs w:val="false"/>
          <w:sz w:val="22"/>
          <w:szCs w:val="22"/>
        </w:rPr>
        <w:t>Entscheidung.</w:t>
      </w:r>
      <w:r>
        <w:rPr>
          <w:rFonts w:eastAsia="Cambria" w:cs="Cambria"/>
          <w:b w:val="false"/>
          <w:bCs w:val="false"/>
          <w:i w:val="false"/>
          <w:iCs w:val="false"/>
          <w:sz w:val="22"/>
          <w:szCs w:val="22"/>
        </w:rPr>
        <w:t xml:space="preserve"> Die reguläre Bearbeitungszeit schwankt; die aktuelle zeigt USCIS auf der Seite „Processing Times“. Mit Premium Processing (Form I-907, 2.965 $) entscheidet USCIS binnen 15 Werktagen und erstattet die Gebühr bei Fristverfehlung. Eine Nachforderung von Unterlagen (</w:t>
      </w:r>
      <w:r>
        <w:rPr>
          <w:rFonts w:eastAsia="Cambria" w:cs="Cambria"/>
          <w:b w:val="false"/>
          <w:bCs w:val="false"/>
          <w:i/>
          <w:iCs/>
          <w:sz w:val="22"/>
          <w:szCs w:val="22"/>
        </w:rPr>
        <w:t>Request for Evidence</w:t>
      </w:r>
      <w:r>
        <w:rPr>
          <w:rFonts w:eastAsia="Cambria" w:cs="Cambria"/>
          <w:b w:val="false"/>
          <w:bCs w:val="false"/>
          <w:i w:val="false"/>
          <w:iCs w:val="false"/>
          <w:sz w:val="22"/>
          <w:szCs w:val="22"/>
        </w:rPr>
        <w:t>, RFE) stoppt die Frist.</w:t>
      </w:r>
    </w:p>
    <w:p>
      <w:pPr>
        <w:pStyle w:val="ListParagraph"/>
        <w:numPr>
          <w:ilvl w:val="0"/>
          <w:numId w:val="84"/>
        </w:numPr>
        <w:spacing w:lineRule="exact" w:line="288" w:before="0" w:after="60"/>
        <w:rPr/>
      </w:pPr>
      <w:r>
        <w:rPr>
          <w:rFonts w:eastAsia="Cambria" w:cs="Cambria"/>
          <w:b/>
          <w:bCs/>
          <w:i w:val="false"/>
          <w:iCs w:val="false"/>
          <w:sz w:val="22"/>
          <w:szCs w:val="22"/>
        </w:rPr>
        <w:t>Visum oder Statuswechsel.</w:t>
      </w:r>
      <w:r>
        <w:rPr>
          <w:rFonts w:eastAsia="Cambria" w:cs="Cambria"/>
          <w:b w:val="false"/>
          <w:bCs w:val="false"/>
          <w:i w:val="false"/>
          <w:iCs w:val="false"/>
          <w:sz w:val="22"/>
          <w:szCs w:val="22"/>
        </w:rPr>
        <w:t xml:space="preserve"> Aus Deutschland: DS-160 (Online-Visumantrag), Gebühr, Termin, Interview, Visum. Im Inland (F-1/OPT): Statuswechsel (</w:t>
      </w:r>
      <w:r>
        <w:rPr>
          <w:rFonts w:eastAsia="Cambria" w:cs="Cambria"/>
          <w:b w:val="false"/>
          <w:bCs w:val="false"/>
          <w:i/>
          <w:iCs/>
          <w:sz w:val="22"/>
          <w:szCs w:val="22"/>
        </w:rPr>
        <w:t>Change of Status</w:t>
      </w:r>
      <w:r>
        <w:rPr>
          <w:rFonts w:eastAsia="Cambria" w:cs="Cambria"/>
          <w:b w:val="false"/>
          <w:bCs w:val="false"/>
          <w:i w:val="false"/>
          <w:iCs w:val="false"/>
          <w:sz w:val="22"/>
          <w:szCs w:val="22"/>
        </w:rPr>
        <w:t xml:space="preserve">) bei USCIS ohne Konsulat; die Lücke bis zum 1. Oktober überbrückt die </w:t>
      </w:r>
      <w:r>
        <w:rPr>
          <w:rFonts w:eastAsia="Cambria" w:cs="Cambria"/>
          <w:b w:val="false"/>
          <w:bCs w:val="false"/>
          <w:i/>
          <w:iCs/>
          <w:sz w:val="22"/>
          <w:szCs w:val="22"/>
        </w:rPr>
        <w:t>Cap-Gap</w:t>
      </w:r>
      <w:r>
        <w:rPr>
          <w:rFonts w:eastAsia="Cambria" w:cs="Cambria"/>
          <w:b w:val="false"/>
          <w:bCs w:val="false"/>
          <w:i w:val="false"/>
          <w:iCs w:val="false"/>
          <w:sz w:val="22"/>
          <w:szCs w:val="22"/>
        </w:rPr>
        <w:t>-Regelung (siehe Kapitel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w:t>
      </w:r>
    </w:p>
    <w:p>
      <w:pPr>
        <w:pStyle w:val="ListParagraph"/>
        <w:numPr>
          <w:ilvl w:val="0"/>
          <w:numId w:val="85"/>
        </w:numPr>
        <w:spacing w:lineRule="exact" w:line="288" w:before="0" w:after="60"/>
        <w:rPr/>
      </w:pPr>
      <w:r>
        <w:rPr>
          <w:rFonts w:eastAsia="Cambria" w:cs="Cambria"/>
          <w:b/>
          <w:bCs/>
          <w:i w:val="false"/>
          <w:iCs w:val="false"/>
          <w:sz w:val="22"/>
          <w:szCs w:val="22"/>
        </w:rPr>
        <w:t>Einreise.</w:t>
      </w:r>
      <w:r>
        <w:rPr>
          <w:rFonts w:eastAsia="Cambria" w:cs="Cambria"/>
          <w:b w:val="false"/>
          <w:bCs w:val="false"/>
          <w:i w:val="false"/>
          <w:iCs w:val="false"/>
          <w:sz w:val="22"/>
          <w:szCs w:val="22"/>
        </w:rPr>
        <w:t xml:space="preserve"> Frühestens zehn Tage vor Beginn der Gültigkeit; CBP stellt den I-94 aus. Arbeiten darfst du erst ab dem Startdatum.</w:t>
      </w:r>
    </w:p>
    <w:p>
      <w:pPr>
        <w:pStyle w:val="Normal"/>
        <w:spacing w:lineRule="exact" w:line="120" w:before="0" w:after="0"/>
        <w:rPr/>
      </w:pPr>
      <w:r>
        <w:rPr/>
      </w:r>
    </w:p>
    <w:p>
      <w:pPr>
        <w:pStyle w:val="Heading4"/>
        <w:keepNext w:val="true"/>
        <w:spacing w:before="200" w:after="80"/>
        <w:jc w:val="center"/>
        <w:rPr/>
      </w:pPr>
      <w:r>
        <w:rPr>
          <w:rFonts w:eastAsia="Amazon Ember" w:cs="Amazon Ember" w:ascii="Amazon Ember" w:hAnsi="Amazon Ember"/>
          <w:b/>
          <w:bCs/>
          <w:color w:val="0000FF"/>
          <w:sz w:val="36"/>
          <w:szCs w:val="36"/>
        </w:rPr>
        <w:t>Das Konsulat in Deutschland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Zuständig sind die Botschaft Berlin und die Generalkonsulate Frankfurt und München. Seit dem 2. September 2025 müssen fast alle Antragstellenden persönlich zum Interview. Das Verfahren ohne Termin (</w:t>
      </w:r>
      <w:r>
        <w:rPr>
          <w:rFonts w:eastAsia="Cambria" w:cs="Cambria"/>
          <w:b w:val="false"/>
          <w:bCs w:val="false"/>
          <w:i/>
          <w:iCs/>
          <w:sz w:val="22"/>
          <w:szCs w:val="22"/>
        </w:rPr>
        <w:t>Interview Waiver</w:t>
      </w:r>
      <w:r>
        <w:rPr>
          <w:rFonts w:eastAsia="Cambria" w:cs="Cambria"/>
          <w:b w:val="false"/>
          <w:bCs w:val="false"/>
          <w:i w:val="false"/>
          <w:iCs w:val="false"/>
          <w:sz w:val="22"/>
          <w:szCs w:val="22"/>
        </w:rPr>
        <w:t>, „Dropbox“) gilt für H-1B nicht mehr, und laut Kanzleiberichten entfällt auch die frühere Ausnahme für Kinder unter 14 und Personen über 79. Den Antrag stellst du im Land deiner Staatsangehörigkeit oder deines Wohnsitzes.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Wartezeit nannten Terminportale mit Daten des Außenministeriums (</w:t>
      </w:r>
      <w:r>
        <w:rPr>
          <w:rFonts w:eastAsia="Cambria" w:cs="Cambria"/>
          <w:b w:val="false"/>
          <w:bCs w:val="false"/>
          <w:i/>
          <w:iCs/>
          <w:sz w:val="22"/>
          <w:szCs w:val="22"/>
        </w:rPr>
        <w:t>State Department</w:t>
      </w:r>
      <w:r>
        <w:rPr>
          <w:rFonts w:eastAsia="Cambria" w:cs="Cambria"/>
          <w:b w:val="false"/>
          <w:bCs w:val="false"/>
          <w:i w:val="false"/>
          <w:iCs w:val="false"/>
          <w:sz w:val="22"/>
          <w:szCs w:val="22"/>
        </w:rPr>
        <w:t>) am 20. September 2026 für H-Visa etwa zwei Monate in Frankfurt, etwa einen Monat in Berlin und weniger als zwei Wochen in München. Das ist nur der nächste freie Termin, nicht die Bearbeitungsdauer, und enthält keine zusätzlichen Prüfungen (</w:t>
      </w:r>
      <w:r>
        <w:rPr>
          <w:rFonts w:eastAsia="Cambria" w:cs="Cambria"/>
          <w:b w:val="false"/>
          <w:bCs w:val="false"/>
          <w:i/>
          <w:iCs/>
          <w:sz w:val="22"/>
          <w:szCs w:val="22"/>
        </w:rPr>
        <w:t>Administrative Processing</w:t>
      </w:r>
      <w:r>
        <w:rPr>
          <w:rFonts w:eastAsia="Cambria" w:cs="Cambria"/>
          <w:b w:val="false"/>
          <w:bCs w:val="false"/>
          <w:i w:val="false"/>
          <w:iCs w:val="false"/>
          <w:sz w:val="22"/>
          <w:szCs w:val="22"/>
        </w:rPr>
        <w:t>); verbindlich ist travel.state.gov. Seit dem 15. Dezember 2025 wertet das Konsulat auch Online-Profile aus: Stelle Social-Media-Konten vor dem Termin auf öffentlich und gleiche sie mit DS-160 und Petition ab. Einzelheiten zum Interview stehen in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Beim Konsulat zahlst du die Antragsgebühr (MRV) von derzeit 205 $ für Petitionsvisa; der Betrag stammt aus Kanzleiübersichten 2026, die verbindliche Höhe steht unter travel.state.gov. Dazu kann die Visa Integrity Fee von 250 $ kommen, fällig bei Ausstellung. Die Erhebung ist nach den vorliegenden Berichten uneinheitlich; ob dein Konsulat sie verlangt, steht auf dessen Webseite.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Visum und Status sind zwei Dinge. Das Visum im Pass gilt für die Einreise; wie lange du bleiben und arbeiten darfst, steht im I-94. Ein abgelaufenes Visum beendet deinen Aufenthalt nicht, solange der Status läuft, doch für die Wiedereinreise brauchst du ein neues. Wer im Inland den Status wechselt, etwa von F-1/OPT, sollte vor der Genehmigung nicht ausreisen: Nach der USCIS-Leitlinie vom 20. Oktober 2025 kann das den Antrag gefährden.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Buche Flug, Umzugsfirma und die Kündigung deiner Wohnung erst, wenn das Visum im Pass ist, und wähle stornierbare Tarife. Ein „Temporary Refusal“ (Prüfung nach Section 221(g)) kann die Erteilung verzögern und laut Kanzleien später die ESTA-Nutzung sperren (siehe Kapitel </w:t>
            </w:r>
            <w:hyperlink w:anchor="k11">
              <w:r>
                <w:rPr>
                  <w:rStyle w:val="ListLabel114"/>
                  <w:rFonts w:eastAsia="Cambria" w:cs="Cambria"/>
                  <w:b w:val="false"/>
                  <w:bCs w:val="false"/>
                  <w:i w:val="false"/>
                  <w:iCs w:val="false"/>
                  <w:sz w:val="20"/>
                  <w:szCs w:val="20"/>
                </w:rPr>
                <w:t>11</w:t>
              </w:r>
            </w:hyperlink>
            <w:r>
              <w:rPr>
                <w:rFonts w:eastAsia="Cambria" w:cs="Cambria"/>
                <w:b w:val="false"/>
                <w:bCs w:val="false"/>
                <w:i w:val="false"/>
                <w:iCs w:val="false"/>
                <w:sz w:val="20"/>
                <w:szCs w:val="20"/>
              </w:rPr>
              <w: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Sabine Keller (fiktiv), 33, Softwareentwicklerin in München, hat im Januar ein Angebot aus Seattle. Die Kanzlei ihres Arbeitgebers meldet sie im März als Level III an. Am 31. März steht im Konto: ausgewählt – die Nachricht erreicht sie zwischen zwei Terminen, und sie liest die Zeile zweimal. Im April geht die Petition mit Premium Processing hinaus (2.965 $), binnen 15 Werktagen liegt die Entscheidung vor. Sabine füllt das DS-160 aus, stellt ihre Profile auf öffentlich, zahlt 205 $ Konsulargebühr und bekommt einen Termin in München. Einreisen darf sie ab dem 21. September, arbeiten ab dem 1. Oktober. Alle Behördengebühren trägt der Arbeitgeber.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Mindestlohn: Prevailing Wage und geplante Änderungen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der LCA sichert der Arbeitgeber zu, dass er dir mindestens den höheren von zwei Beträgen zahlt: den Lohn vergleichbarer Beschäftigter im eigenen Betrieb oder den ortsüblichen Mindestlohn für den Beruf (</w:t>
      </w:r>
      <w:r>
        <w:rPr>
          <w:rFonts w:eastAsia="Cambria" w:cs="Cambria"/>
          <w:b w:val="false"/>
          <w:bCs w:val="false"/>
          <w:i/>
          <w:iCs/>
          <w:sz w:val="22"/>
          <w:szCs w:val="22"/>
        </w:rPr>
        <w:t>Prevailing Wage</w:t>
      </w:r>
      <w:r>
        <w:rPr>
          <w:rFonts w:eastAsia="Cambria" w:cs="Cambria"/>
          <w:b w:val="false"/>
          <w:bCs w:val="false"/>
          <w:i w:val="false"/>
          <w:iCs w:val="false"/>
          <w:sz w:val="22"/>
          <w:szCs w:val="22"/>
        </w:rPr>
        <w:t>). Diesen Wert liefert das DOL aus seiner Lohnstatistik OEWS (</w:t>
      </w:r>
      <w:r>
        <w:rPr>
          <w:rFonts w:eastAsia="Cambria" w:cs="Cambria"/>
          <w:b w:val="false"/>
          <w:bCs w:val="false"/>
          <w:i/>
          <w:iCs/>
          <w:sz w:val="22"/>
          <w:szCs w:val="22"/>
        </w:rPr>
        <w:t>Occupational Employment and Wage Statistics</w:t>
      </w:r>
      <w:r>
        <w:rPr>
          <w:rFonts w:eastAsia="Cambria" w:cs="Cambria"/>
          <w:b w:val="false"/>
          <w:bCs w:val="false"/>
          <w:i w:val="false"/>
          <w:iCs w:val="false"/>
          <w:sz w:val="22"/>
          <w:szCs w:val="22"/>
        </w:rPr>
        <w:t>), gestaffelt nach Beruf, Ort und Stufe. Die Stufen entsprechen den Perzentilen aus der Tabelle oben: Level I heißt, dass 17 % der Beschäftigten des Berufs am Ort weniger verdienen, bei Level IV sind es 67 %.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Einen einheitlichen Mindestbetrag gibt es deshalb nicht; die Kanzlei nennt dir den Wert für deine Stelle. Die Lohnpflicht besteht auch bei Nichtbeschäftigung, bis der Arbeitgeber das Arbeitsverhältnis ordnungsgemäß beendet und gemeldet hat.</w:t>
      </w:r>
    </w:p>
    <w:p>
      <w:pPr>
        <w:pStyle w:val="Normal"/>
        <w:keepNext w:val="false"/>
        <w:keepLines w:val="false"/>
        <w:spacing w:lineRule="exact" w:line="288" w:before="0" w:after="140"/>
        <w:jc w:val="left"/>
        <w:rPr/>
      </w:pPr>
      <w:r>
        <w:rPr>
          <w:rFonts w:eastAsia="Cambria" w:cs="Cambria"/>
          <w:b/>
          <w:bCs/>
          <w:i w:val="false"/>
          <w:iCs w:val="false"/>
          <w:sz w:val="22"/>
          <w:szCs w:val="22"/>
        </w:rPr>
        <w:t>Geplante Änderung (nur Entwurf).</w:t>
      </w:r>
      <w:r>
        <w:rPr>
          <w:rFonts w:eastAsia="Cambria" w:cs="Cambria"/>
          <w:b w:val="false"/>
          <w:bCs w:val="false"/>
          <w:i w:val="false"/>
          <w:iCs w:val="false"/>
          <w:sz w:val="22"/>
          <w:szCs w:val="22"/>
        </w:rPr>
        <w:t xml:space="preserve"> Das DOL hat am 27. März 2026 vorgeschlagen, die Perzentile anzuheben: Level I von 17 auf 34, Level II von 34 auf 52, Level III von 50 auf 70 und Level IV von 67 auf 88. Nach DOL-Schätzung stiege der durchschnittliche Pflichtlohn um rund 14.000 $ im Jahr, bei Level I um mehr als 30 %. Der Entwurf würde auch für Green-Card-Verfahren (PERM) gelten und ab Wirksamkeit auch für anhängige Anträge. Die Kommentarfrist endete am 26. Mai 2026; bis zum 20. September 2026 gibt es keine Endfassung.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dich heißt das: Ein Angebot, das heute Level III erreicht, könnte danach nur noch Level II erreichen, also weniger Lose bringen. Frage nach dem Abstand deines Gehalts zur nächsten Stufe.</w:t>
      </w:r>
    </w:p>
    <w:p>
      <w:pPr>
        <w:pStyle w:val="Heading3"/>
        <w:keepNext w:val="true"/>
        <w:spacing w:before="280" w:after="100"/>
        <w:jc w:val="center"/>
        <w:rPr/>
      </w:pPr>
      <w:r>
        <w:rPr>
          <w:rFonts w:eastAsia="Amazon Ember" w:cs="Amazon Ember" w:ascii="Amazon Ember" w:hAnsi="Amazon Ember"/>
          <w:b/>
          <w:bCs/>
          <w:color w:val="0000FF"/>
          <w:sz w:val="36"/>
          <w:szCs w:val="36"/>
        </w:rPr>
        <w:t>Was das alles kostet: wer zahlt was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Tabelle zeigt die Posten mit Stand September 2026 (Quelle: USCIS-Gebührenblatt G-1055, Ausgabe 9. September 2026, sowie Kanzleiangaben). Als Kleinbetrieb gilt ein Arbeitgeber mit bis zu 25 Beschäftigten.</w:t>
      </w:r>
    </w:p>
    <w:tbl>
      <w:tblPr>
        <w:tblW w:w="6480" w:type="dxa"/>
        <w:jc w:val="left"/>
        <w:tblInd w:w="0" w:type="dxa"/>
        <w:tblLayout w:type="fixed"/>
        <w:tblCellMar>
          <w:top w:w="50" w:type="dxa"/>
          <w:left w:w="80" w:type="dxa"/>
          <w:bottom w:w="50" w:type="dxa"/>
          <w:right w:w="80" w:type="dxa"/>
        </w:tblCellMar>
      </w:tblPr>
      <w:tblGrid>
        <w:gridCol w:w="1310"/>
        <w:gridCol w:w="2200"/>
        <w:gridCol w:w="950"/>
        <w:gridCol w:w="2019"/>
      </w:tblGrid>
      <w:tr>
        <w:trPr>
          <w:tblHeader w:val="true"/>
          <w:cantSplit w:val="true"/>
        </w:trPr>
        <w:tc>
          <w:tcPr>
            <w:tcW w:w="131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Posten</w:t>
            </w:r>
          </w:p>
        </w:tc>
        <w:tc>
          <w:tcPr>
            <w:tcW w:w="220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Betrag</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Zahlt</w:t>
            </w:r>
          </w:p>
        </w:tc>
        <w:tc>
          <w:tcPr>
            <w:tcW w:w="201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Hinweis</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Registrierung</w:t>
            </w:r>
          </w:p>
        </w:tc>
        <w:tc>
          <w:tcPr>
            <w:tcW w:w="2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215 $</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t>
            </w:r>
          </w:p>
        </w:tc>
        <w:tc>
          <w:tcPr>
            <w:tcW w:w="20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erstattbar</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Form I-129</w:t>
            </w:r>
          </w:p>
        </w:tc>
        <w:tc>
          <w:tcPr>
            <w:tcW w:w="2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780 $ Papier, 730 $ online, 460 $ Kleinbetrieb und Non-Profit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t>
            </w:r>
          </w:p>
        </w:tc>
        <w:tc>
          <w:tcPr>
            <w:tcW w:w="20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Petitionsgebühr</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ACWIA-Gebühr (Ausbildungsabgabe)</w:t>
            </w:r>
          </w:p>
        </w:tc>
        <w:tc>
          <w:tcPr>
            <w:tcW w:w="2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1.500 $ (ab 26 Beschäftigte), 750 $ (bis 25)</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t>
            </w:r>
          </w:p>
        </w:tc>
        <w:tc>
          <w:tcPr>
            <w:tcW w:w="20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vom Lohn abziehbar; Hochschulen befreit</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Fraud-Prevention-Gebühr</w:t>
            </w:r>
          </w:p>
        </w:tc>
        <w:tc>
          <w:tcPr>
            <w:tcW w:w="2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500 $</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t>
            </w:r>
          </w:p>
        </w:tc>
        <w:tc>
          <w:tcPr>
            <w:tcW w:w="20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Erstpetition und Arbeitgeberwechsel</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Asylum Program Fee</w:t>
            </w:r>
          </w:p>
        </w:tc>
        <w:tc>
          <w:tcPr>
            <w:tcW w:w="2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600 $ (Kleinbetrieb 300 $, Non-Profit 0 $)</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t>
            </w:r>
          </w:p>
        </w:tc>
        <w:tc>
          <w:tcPr>
            <w:tcW w:w="20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gesetzliche Abgabe (Pub. L. 119-21)</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Premium Processing</w:t>
            </w:r>
          </w:p>
        </w:tc>
        <w:tc>
          <w:tcPr>
            <w:tcW w:w="2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2.965 $</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t>
            </w:r>
          </w:p>
        </w:tc>
        <w:tc>
          <w:tcPr>
            <w:tcW w:w="20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optional; du darfst dich beteiligen</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Anwaltskosten</w:t>
            </w:r>
          </w:p>
        </w:tc>
        <w:tc>
          <w:tcPr>
            <w:tcW w:w="2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1.500–4.000 $ und mehr; RFE-Antwort 1.000–3.000 $ und mehr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t>
            </w:r>
          </w:p>
        </w:tc>
        <w:tc>
          <w:tcPr>
            <w:tcW w:w="20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Schätzung einer Kanzlei-Quelle 2026</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Konsulargebühr (MRV)</w:t>
            </w:r>
          </w:p>
        </w:tc>
        <w:tc>
          <w:tcPr>
            <w:tcW w:w="2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205 $</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meist du</w:t>
            </w:r>
          </w:p>
        </w:tc>
        <w:tc>
          <w:tcPr>
            <w:tcW w:w="20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erstattbar</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Visa Integrity Fee</w:t>
            </w:r>
          </w:p>
        </w:tc>
        <w:tc>
          <w:tcPr>
            <w:tcW w:w="2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250 $</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offen</w:t>
            </w:r>
          </w:p>
        </w:tc>
        <w:tc>
          <w:tcPr>
            <w:tcW w:w="20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 Ausstellung; Erhebung uneinheitlich</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Familie im Inland</w:t>
            </w:r>
          </w:p>
        </w:tc>
        <w:tc>
          <w:tcPr>
            <w:tcW w:w="2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I-539: 470 $ Papier, 420 $ online; H-4-EAD (I-765): 520 $ Papier, 470 $ online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meist du</w:t>
            </w:r>
          </w:p>
        </w:tc>
        <w:tc>
          <w:tcPr>
            <w:tcW w:w="20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Verhandlungssache (siehe Kapitel </w:t>
            </w:r>
            <w:hyperlink w:anchor="k10">
              <w:r>
                <w:rPr>
                  <w:rStyle w:val="ListLabel112"/>
                  <w:rFonts w:eastAsia="Cambria" w:cs="Cambria"/>
                  <w:b w:val="false"/>
                  <w:bCs w:val="false"/>
                  <w:i w:val="false"/>
                  <w:iCs w:val="false"/>
                  <w:sz w:val="18"/>
                  <w:szCs w:val="18"/>
                </w:rPr>
                <w:t>10</w:t>
              </w:r>
            </w:hyperlink>
            <w:r>
              <w:rPr>
                <w:rFonts w:eastAsia="Cambria" w:cs="Cambria"/>
                <w:b w:val="false"/>
                <w:bCs w:val="false"/>
                <w:i w:val="false"/>
                <w:iCs w:val="false"/>
                <w:sz w:val="18"/>
                <w:szCs w:val="18"/>
              </w:rPr>
              <w:t>)</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100.000 $ / 103.265 $</w:t>
            </w:r>
          </w:p>
        </w:tc>
        <w:tc>
          <w:tcPr>
            <w:tcW w:w="2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siehe oben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t>
            </w:r>
          </w:p>
        </w:tc>
        <w:tc>
          <w:tcPr>
            <w:tcW w:w="20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blockiert bzw. nur Entwurf</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einen Großbetrieb summieren sich die Behördengebühren auf 3.380 $ bei Papiereinreichung (3.330 $ online), für einen Kleinbetrieb auf 2.010 $, jeweils plus 215 $ Registrierung (eigene Summe aus dem Gebührenblatt). Mit einem Anwaltshonorar von 1.500–4.000 $ sind das für einen Großbetrieb grob 5.100–7.600 $, mit Premium Processing 8.100–10.600 $.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9-11 Response and Biometric Entry-Exit Fee von 4.000 $ trifft nur Arbeitgeber mit mindestens 50 Beschäftigten, von denen mehr als die Hälfte H-1B oder L-1 haben, also vor allem Outsourcing-Firmen. Seit dem 9. September 2026 gilt sie auch bei Verlängerungen.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Arbeitgeber darf die ACWIA-Gebühr nicht von dir zurückfordern, ebenso wenig Anwalts- und Petitionskosten, die zum H-1B-Programm gehören (20 CFR 655.731). Vertragsstrafen für vorzeitiges Ausscheiden sind unzulässig; Klauseln über echten pauschalierten Schadensersatz (</w:t>
            </w:r>
            <w:r>
              <w:rPr>
                <w:rFonts w:eastAsia="Cambria" w:cs="Cambria"/>
                <w:b w:val="false"/>
                <w:bCs w:val="false"/>
                <w:i/>
                <w:iCs/>
                <w:sz w:val="20"/>
                <w:szCs w:val="20"/>
              </w:rPr>
              <w:t>Liquidated Damages</w:t>
            </w:r>
            <w:r>
              <w:rPr>
                <w:rFonts w:eastAsia="Cambria" w:cs="Cambria"/>
                <w:b w:val="false"/>
                <w:bCs w:val="false"/>
                <w:i w:val="false"/>
                <w:iCs w:val="false"/>
                <w:sz w:val="20"/>
                <w:szCs w:val="20"/>
              </w:rPr>
              <w:t>) können nach Landesrecht dagegen erlaubt sein. Lass Rückzahlungsklauseln im Jobangebot (</w:t>
            </w:r>
            <w:r>
              <w:rPr>
                <w:rFonts w:eastAsia="Cambria" w:cs="Cambria"/>
                <w:b w:val="false"/>
                <w:bCs w:val="false"/>
                <w:i/>
                <w:iCs/>
                <w:sz w:val="20"/>
                <w:szCs w:val="20"/>
              </w:rPr>
              <w:t>Offer Letter</w:t>
            </w:r>
            <w:r>
              <w:rPr>
                <w:rFonts w:eastAsia="Cambria" w:cs="Cambria"/>
                <w:b w:val="false"/>
                <w:bCs w:val="false"/>
                <w:i w:val="false"/>
                <w:iCs w:val="false"/>
                <w:sz w:val="20"/>
                <w:szCs w:val="20"/>
              </w:rPr>
              <w:t>) prüfen, bevor du unterschreibst.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Verhandle die Kosten, die bei dir landen, vor der Unterschrift: Konsulargebühren für dich und deine Familie, Visa Integrity Fee, H-4-Anträge und Umzug. Allein die Familienanträge im Inland kosten mehrere Hundert Dollar.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Dauer: 3 + 3 Jahre und was danach kommt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Erstgenehmigung gilt bis zu drei Jahre, die Verlängerung um bis zu weitere drei: zusammen höchstens sechs Jahre. Darüber hinaus gibt es nur Verlängerungen im Zuge eines Green-Card-Verfahrens (nach den Regeln des Gesetzes </w:t>
      </w:r>
      <w:r>
        <w:rPr>
          <w:rFonts w:eastAsia="Cambria" w:cs="Cambria"/>
          <w:b w:val="false"/>
          <w:bCs w:val="false"/>
          <w:i/>
          <w:iCs/>
          <w:sz w:val="22"/>
          <w:szCs w:val="22"/>
        </w:rPr>
        <w:t>AC21</w:t>
      </w:r>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Drei-Jahres-Schritte,</w:t>
      </w:r>
      <w:r>
        <w:rPr>
          <w:rFonts w:eastAsia="Cambria" w:cs="Cambria"/>
          <w:b w:val="false"/>
          <w:bCs w:val="false"/>
          <w:i w:val="false"/>
          <w:iCs w:val="false"/>
          <w:sz w:val="22"/>
          <w:szCs w:val="22"/>
        </w:rPr>
        <w:t xml:space="preserve"> wenn für dich eine I-140 (Einwanderungspetition des Arbeitgebers) genehmigt ist, aber noch kein Visum verfügbar ist. Das betrifft vor allem lange Warteschlangen wie bei Indien und China.</w:t>
      </w:r>
    </w:p>
    <w:p>
      <w:pPr>
        <w:pStyle w:val="ListParagraph"/>
        <w:numPr>
          <w:ilvl w:val="0"/>
          <w:numId w:val="1"/>
        </w:numPr>
        <w:spacing w:lineRule="exact" w:line="288" w:before="0" w:after="60"/>
        <w:rPr/>
      </w:pPr>
      <w:r>
        <w:rPr>
          <w:rFonts w:eastAsia="Cambria" w:cs="Cambria"/>
          <w:b/>
          <w:bCs/>
          <w:i w:val="false"/>
          <w:iCs w:val="false"/>
          <w:sz w:val="22"/>
          <w:szCs w:val="22"/>
        </w:rPr>
        <w:t>Ein-Jahres-Schritte,</w:t>
      </w:r>
      <w:r>
        <w:rPr>
          <w:rFonts w:eastAsia="Cambria" w:cs="Cambria"/>
          <w:b w:val="false"/>
          <w:bCs w:val="false"/>
          <w:i w:val="false"/>
          <w:iCs w:val="false"/>
          <w:sz w:val="22"/>
          <w:szCs w:val="22"/>
        </w:rPr>
        <w:t xml:space="preserve"> wenn das Arbeitsmarktverfahren PERM oder die I-140 seit mindestens 365 Tagen anhängig ist.</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Zeiten außerhalb der USA von mehr als 24 Stunden zählen nicht zu den sechs Jahren und lassen sich später zurückholen (</w:t>
      </w:r>
      <w:r>
        <w:rPr>
          <w:rFonts w:eastAsia="Cambria" w:cs="Cambria"/>
          <w:b w:val="false"/>
          <w:bCs w:val="false"/>
          <w:i/>
          <w:iCs/>
          <w:sz w:val="22"/>
          <w:szCs w:val="22"/>
        </w:rPr>
        <w:t>Recapture</w:t>
      </w:r>
      <w:r>
        <w:rPr>
          <w:rFonts w:eastAsia="Cambria" w:cs="Cambria"/>
          <w:b w:val="false"/>
          <w:bCs w:val="false"/>
          <w:i w:val="false"/>
          <w:iCs w:val="false"/>
          <w:sz w:val="22"/>
          <w:szCs w:val="22"/>
        </w:rPr>
        <w:t>). Den Nachweis (Pässe, I-94, Tickets) führt der Arbeitgeber – sammle also deine Reiseunterlagen. Sind die sechs Jahre ausgeschöpft, ist ein neuer H- oder L-Aufenthalt erst nach einem Jahr außerhalb der USA möglich.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Deutsche ist die Green-Card-Warteschlange in der Regel deutlich kürzer als für Indien oder China. Den Ablauf (PERM, I-140, I-485) erklärt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den Vergleich mit dem H-1B Kapitel </w:t>
      </w:r>
      <w:hyperlink w:anchor="k7">
        <w:r>
          <w:rPr>
            <w:rStyle w:val="ListLabel115"/>
            <w:rFonts w:eastAsia="Cambria" w:cs="Cambria"/>
            <w:b w:val="false"/>
            <w:bCs w:val="false"/>
            <w:i w:val="false"/>
            <w:iCs w:val="false"/>
            <w:sz w:val="22"/>
            <w:szCs w:val="22"/>
          </w:rPr>
          <w:t>7</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Sechs-Jahres-Uhr läuft, solange du im H-1B-Status in den USA bist. Wann du das Green-Card-Verfahren starten solltest und wie du es vertraglich absicherst, klärt Kapitel </w:t>
            </w:r>
            <w:hyperlink w:anchor="k7">
              <w:r>
                <w:rPr>
                  <w:rStyle w:val="ListLabel114"/>
                  <w:rFonts w:eastAsia="Cambria" w:cs="Cambria"/>
                  <w:b w:val="false"/>
                  <w:bCs w:val="false"/>
                  <w:i w:val="false"/>
                  <w:iCs w:val="false"/>
                  <w:sz w:val="20"/>
                  <w:szCs w:val="20"/>
                </w:rPr>
                <w:t>7</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Cap-exempt-Arbeitgeber: der Weg ohne Lotterie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Manche Arbeitgeber unterliegen der Quote nicht (</w:t>
      </w:r>
      <w:r>
        <w:rPr>
          <w:rFonts w:eastAsia="Cambria" w:cs="Cambria"/>
          <w:b w:val="false"/>
          <w:bCs w:val="false"/>
          <w:i/>
          <w:iCs/>
          <w:sz w:val="22"/>
          <w:szCs w:val="22"/>
        </w:rPr>
        <w:t>Cap-exempt</w:t>
      </w:r>
      <w:r>
        <w:rPr>
          <w:rFonts w:eastAsia="Cambria" w:cs="Cambria"/>
          <w:b w:val="false"/>
          <w:bCs w:val="false"/>
          <w:i w:val="false"/>
          <w:iCs w:val="false"/>
          <w:sz w:val="22"/>
          <w:szCs w:val="22"/>
        </w:rPr>
        <w:t>): Hochschulen und ihre verbundenen gemeinnützigen Einrichtungen sowie gemeinnützige oder staatliche Forschungseinrichtungen. Seit 2025 genügt es, wenn Forschung eine fundamentale Aktivität der Einrichtung ist, nicht die Hauptaufgabe. Für dich heißt das: keine Registrierung im März, keine Lotterie, Einreichung ganzjährig. Für Forschende, Postdocs und Lehrende ist das oft der planbarste Weg. Gemeinnützige Arbeitgeber zahlen zudem weniger (I-129: 460 $, Asylum Program Fee: 0 $).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Es gibt Grenzen. Die 100.000-$-Proklamation erfasst nach der USCIS-Leitlinie auch Cap-exempt-Arbeitgeber, wenn die Person aus dem Ausland kommt (derzeit blockiert); der Entwurf über 103.265 $ nimmt sie nach Kanzleiangaben aus. Wer später zu einem Arbeitgeber wechselt, der der Quote unterliegt (</w:t>
      </w:r>
      <w:r>
        <w:rPr>
          <w:rFonts w:eastAsia="Cambria" w:cs="Cambria"/>
          <w:b w:val="false"/>
          <w:bCs w:val="false"/>
          <w:i/>
          <w:iCs/>
          <w:sz w:val="22"/>
          <w:szCs w:val="22"/>
        </w:rPr>
        <w:t>Cap-subject</w:t>
      </w:r>
      <w:r>
        <w:rPr>
          <w:rFonts w:eastAsia="Cambria" w:cs="Cambria"/>
          <w:b w:val="false"/>
          <w:bCs w:val="false"/>
          <w:i w:val="false"/>
          <w:iCs w:val="false"/>
          <w:sz w:val="22"/>
          <w:szCs w:val="22"/>
        </w:rPr>
        <w:t>), etwa in die Industrie, braucht eine Registrierung im März und startet frühestens am 1. Oktober. Bis dahin ist Parallelbeschäftigung möglich, solange die Cap-exempt-Stelle besteht.</w:t>
      </w:r>
    </w:p>
    <w:p>
      <w:pPr>
        <w:pStyle w:val="Heading3"/>
        <w:keepNext w:val="true"/>
        <w:spacing w:before="280" w:after="100"/>
        <w:jc w:val="center"/>
        <w:rPr/>
      </w:pPr>
      <w:r>
        <w:rPr>
          <w:rFonts w:eastAsia="Amazon Ember" w:cs="Amazon Ember" w:ascii="Amazon Ember" w:hAnsi="Amazon Ember"/>
          <w:b/>
          <w:bCs/>
          <w:color w:val="0000FF"/>
          <w:sz w:val="36"/>
          <w:szCs w:val="36"/>
        </w:rPr>
        <w:t>Rechte und Pflichten</w:t>
      </w:r>
    </w:p>
    <w:p>
      <w:pPr>
        <w:pStyle w:val="Normal"/>
        <w:keepNext w:val="false"/>
        <w:keepLines w:val="false"/>
        <w:spacing w:lineRule="exact" w:line="288" w:before="0" w:after="140"/>
        <w:jc w:val="left"/>
        <w:rPr/>
      </w:pPr>
      <w:r>
        <w:rPr>
          <w:rFonts w:eastAsia="Cambria" w:cs="Cambria"/>
          <w:b/>
          <w:bCs/>
          <w:i w:val="false"/>
          <w:iCs w:val="false"/>
          <w:sz w:val="22"/>
          <w:szCs w:val="22"/>
        </w:rPr>
        <w:t>Das steht dir zu:</w:t>
      </w:r>
    </w:p>
    <w:p>
      <w:pPr>
        <w:pStyle w:val="ListParagraph"/>
        <w:numPr>
          <w:ilvl w:val="0"/>
          <w:numId w:val="1"/>
        </w:numPr>
        <w:spacing w:lineRule="exact" w:line="288" w:before="0" w:after="60"/>
        <w:rPr/>
      </w:pPr>
      <w:r>
        <w:rPr>
          <w:rFonts w:eastAsia="Cambria" w:cs="Cambria"/>
          <w:b w:val="false"/>
          <w:bCs w:val="false"/>
          <w:i w:val="false"/>
          <w:iCs w:val="false"/>
          <w:sz w:val="22"/>
          <w:szCs w:val="22"/>
        </w:rPr>
        <w:t>Arbeit beim Arbeitgeber der Petition, in der beschriebenen Stelle und am Ort der LCA.</w:t>
      </w:r>
    </w:p>
    <w:p>
      <w:pPr>
        <w:pStyle w:val="ListParagraph"/>
        <w:numPr>
          <w:ilvl w:val="0"/>
          <w:numId w:val="1"/>
        </w:numPr>
        <w:spacing w:lineRule="exact" w:line="288" w:before="0" w:after="60"/>
        <w:rPr/>
      </w:pPr>
      <w:r>
        <w:rPr>
          <w:rFonts w:eastAsia="Cambria" w:cs="Cambria"/>
          <w:b w:val="false"/>
          <w:bCs w:val="false"/>
          <w:i w:val="false"/>
          <w:iCs w:val="false"/>
          <w:sz w:val="22"/>
          <w:szCs w:val="22"/>
        </w:rPr>
        <w:t>Mindestens der zugesicherte Lohn (siehe oben) und Zusatzleistungen wie Krankenversicherung zu den Bedingungen, die vergleichbare US-Beschäftigte erhalten.</w:t>
      </w:r>
    </w:p>
    <w:p>
      <w:pPr>
        <w:pStyle w:val="ListParagraph"/>
        <w:numPr>
          <w:ilvl w:val="0"/>
          <w:numId w:val="1"/>
        </w:numPr>
        <w:spacing w:lineRule="exact" w:line="288" w:before="0" w:after="60"/>
        <w:rPr/>
      </w:pPr>
      <w:r>
        <w:rPr>
          <w:rFonts w:eastAsia="Cambria" w:cs="Cambria"/>
          <w:b w:val="false"/>
          <w:bCs w:val="false"/>
          <w:i w:val="false"/>
          <w:iCs w:val="false"/>
          <w:sz w:val="22"/>
          <w:szCs w:val="22"/>
        </w:rPr>
        <w:t>Ein Arbeitgeberwechsel ohne neue Lotterie (</w:t>
      </w:r>
      <w:r>
        <w:rPr>
          <w:rFonts w:eastAsia="Cambria" w:cs="Cambria"/>
          <w:b w:val="false"/>
          <w:bCs w:val="false"/>
          <w:i/>
          <w:iCs/>
          <w:sz w:val="22"/>
          <w:szCs w:val="22"/>
        </w:rPr>
        <w:t>Portabilität</w:t>
      </w:r>
      <w:r>
        <w:rPr>
          <w:rFonts w:eastAsia="Cambria" w:cs="Cambria"/>
          <w:b w:val="false"/>
          <w:bCs w:val="false"/>
          <w:i w:val="false"/>
          <w:iCs w:val="false"/>
          <w:sz w:val="22"/>
          <w:szCs w:val="22"/>
        </w:rPr>
        <w:t>): Du darfst beim neuen Arbeitgeber arbeiten, sobald dessen Petition eingereicht ist (siehe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Mitreise von Ehepartner und unverheirateten Kindern unter 21 mit H-4. Der Partner darf nur mit eigener Arbeitserlaubnis (</w:t>
      </w:r>
      <w:r>
        <w:rPr>
          <w:rFonts w:eastAsia="Cambria" w:cs="Cambria"/>
          <w:b w:val="false"/>
          <w:bCs w:val="false"/>
          <w:i/>
          <w:iCs/>
          <w:sz w:val="22"/>
          <w:szCs w:val="22"/>
        </w:rPr>
        <w:t>H-4-EAD</w:t>
      </w:r>
      <w:r>
        <w:rPr>
          <w:rFonts w:eastAsia="Cambria" w:cs="Cambria"/>
          <w:b w:val="false"/>
          <w:bCs w:val="false"/>
          <w:i w:val="false"/>
          <w:iCs w:val="false"/>
          <w:sz w:val="22"/>
          <w:szCs w:val="22"/>
        </w:rPr>
        <w:t>) arbeiten; die gibt es erst, wenn für dich eine I-140 genehmigt oder der H-1B über sechs Jahre hinaus verlängert ist (siehe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Beschwerde bei der Wage and Hour Division des DOL bei Lohn- oder Bedingungsverstößen. Das DOL kontrolliert seit „Project Firewall“ (September 2025) verstärkt, mit über 175 Ermittlungen.</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Das musst du:</w:t>
      </w:r>
    </w:p>
    <w:p>
      <w:pPr>
        <w:pStyle w:val="ListParagraph"/>
        <w:numPr>
          <w:ilvl w:val="0"/>
          <w:numId w:val="1"/>
        </w:numPr>
        <w:spacing w:lineRule="exact" w:line="288" w:before="0" w:after="60"/>
        <w:rPr/>
      </w:pPr>
      <w:r>
        <w:rPr>
          <w:rFonts w:eastAsia="Cambria" w:cs="Cambria"/>
          <w:b w:val="false"/>
          <w:bCs w:val="false"/>
          <w:i w:val="false"/>
          <w:iCs w:val="false"/>
          <w:sz w:val="22"/>
          <w:szCs w:val="22"/>
        </w:rPr>
        <w:t>Nur für den Sponsor arbeiten. Nebenjob oder Freiberuflichkeit brauchen eine zweite Petition mit eigener LCA.</w:t>
      </w:r>
    </w:p>
    <w:p>
      <w:pPr>
        <w:pStyle w:val="ListParagraph"/>
        <w:numPr>
          <w:ilvl w:val="0"/>
          <w:numId w:val="1"/>
        </w:numPr>
        <w:spacing w:lineRule="exact" w:line="288" w:before="0" w:after="60"/>
        <w:rPr/>
      </w:pPr>
      <w:r>
        <w:rPr>
          <w:rFonts w:eastAsia="Cambria" w:cs="Cambria"/>
          <w:b w:val="false"/>
          <w:bCs w:val="false"/>
          <w:i w:val="false"/>
          <w:iCs w:val="false"/>
          <w:sz w:val="22"/>
          <w:szCs w:val="22"/>
        </w:rPr>
        <w:t>Wesentliche Änderungen (Umzug außerhalb des Beschäftigungsgebiets, neue Aufgaben) nur mit neuer LCA und geänderter Petition (siehe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Eine neue Adresse binnen zehn Tagen mit Formular AR-11 melden.</w:t>
      </w:r>
    </w:p>
    <w:p>
      <w:pPr>
        <w:pStyle w:val="ListParagraph"/>
        <w:numPr>
          <w:ilvl w:val="0"/>
          <w:numId w:val="1"/>
        </w:numPr>
        <w:spacing w:lineRule="exact" w:line="288" w:before="0" w:after="60"/>
        <w:rPr/>
      </w:pPr>
      <w:r>
        <w:rPr>
          <w:rFonts w:eastAsia="Cambria" w:cs="Cambria"/>
          <w:b w:val="false"/>
          <w:bCs w:val="false"/>
          <w:i w:val="false"/>
          <w:iCs w:val="false"/>
          <w:sz w:val="22"/>
          <w:szCs w:val="22"/>
        </w:rPr>
        <w:t>Auf das I-94-Datum achten: Es entscheidet über deinen erlaubten Aufenthalt, nicht das Visum.</w:t>
      </w:r>
    </w:p>
    <w:p>
      <w:pPr>
        <w:pStyle w:val="Normal"/>
        <w:spacing w:lineRule="exact" w:line="120" w:before="0" w:after="0"/>
        <w:rPr/>
      </w:pPr>
      <w:r>
        <w:rPr/>
      </w:r>
    </w:p>
    <w:p>
      <w:pPr>
        <w:pStyle w:val="Heading4"/>
        <w:keepNext w:val="true"/>
        <w:spacing w:before="200" w:after="80"/>
        <w:jc w:val="center"/>
        <w:rPr/>
      </w:pPr>
      <w:r>
        <w:rPr>
          <w:rFonts w:eastAsia="Amazon Ember" w:cs="Amazon Ember" w:ascii="Amazon Ember" w:hAnsi="Amazon Ember"/>
          <w:b/>
          <w:bCs/>
          <w:color w:val="0000FF"/>
          <w:sz w:val="36"/>
          <w:szCs w:val="36"/>
        </w:rPr>
        <w:t>Wenn der Job endet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Heute gilt: bis zu 60 aufeinanderfolgende Tage oder bis zum Ende des zulässigen Aufenthalts, je nachdem, was kürzer ist, einmal je Gültigkeitszeitraum (8 CFR 214.1(l)(2)). Arbeiten darfst du in dieser Zeit nicht; du kannst einen neuen Sponsor finden, den Status wechseln oder ausreisen. Der Arbeitgeber muss die Beendigung USCIS melden und die angemessenen Rückreisekosten tragen.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11. September 2026 hat das DHS vorgeschlagen, die Frist zu streichen: Der Statusverstoß träte dann mit dem Ende der Beschäftigung ein, die Ausreise wäre sofort fällig. Die Kommentarfrist endet am 10. November 2026, bis zu einer Endfassung gilt die 60-Tage-Regel.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Anders als in Deutschland gibt es keinen allgemeinen Kündigungsschutz (</w:t>
      </w:r>
      <w:r>
        <w:rPr>
          <w:rFonts w:eastAsia="Cambria" w:cs="Cambria"/>
          <w:b w:val="false"/>
          <w:bCs w:val="false"/>
          <w:i/>
          <w:iCs/>
          <w:sz w:val="22"/>
          <w:szCs w:val="22"/>
        </w:rPr>
        <w:t>At-will Employment</w:t>
      </w:r>
      <w:r>
        <w:rPr>
          <w:rFonts w:eastAsia="Cambria" w:cs="Cambria"/>
          <w:b w:val="false"/>
          <w:bCs w:val="false"/>
          <w:i w:val="false"/>
          <w:iCs w:val="false"/>
          <w:sz w:val="22"/>
          <w:szCs w:val="22"/>
        </w:rPr>
        <w:t>, Kündigung ohne Grund möglich) – und am Job hängt dein Status. Notfallplan, WARN Act, COBRA und Abfindung stehen in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 das Arbeitsrecht in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Kündige erst, wenn die Petition des neuen Arbeitgebers eingereicht ist. Die Portabilität greift mit der Einreichung einer nicht offensichtlich aussichtslosen Petition, nicht mit dem Angebot. Wechselst du von einem Cap-exempt-Arbeitgeber in einen Cap-subject-Job, brauchst du zuerst eine Registrierung im März (siehe Kapitel </w:t>
            </w:r>
            <w:hyperlink w:anchor="k30">
              <w:r>
                <w:rPr>
                  <w:rStyle w:val="ListLabel114"/>
                  <w:rFonts w:eastAsia="Cambria" w:cs="Cambria"/>
                  <w:b w:val="false"/>
                  <w:bCs w:val="false"/>
                  <w:i w:val="false"/>
                  <w:iCs w:val="false"/>
                  <w:sz w:val="20"/>
                  <w:szCs w:val="20"/>
                </w:rPr>
                <w:t>30</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Seit dem 18. September 2026 sollen US-Behörden nach einer Präsidialverfügung (</w:t>
      </w:r>
      <w:r>
        <w:rPr>
          <w:rFonts w:eastAsia="Cambria" w:cs="Cambria"/>
          <w:b w:val="false"/>
          <w:bCs w:val="false"/>
          <w:i/>
          <w:iCs/>
          <w:sz w:val="22"/>
          <w:szCs w:val="22"/>
        </w:rPr>
        <w:t>Executive Order</w:t>
      </w:r>
      <w:r>
        <w:rPr>
          <w:rFonts w:eastAsia="Cambria" w:cs="Cambria"/>
          <w:b w:val="false"/>
          <w:bCs w:val="false"/>
          <w:i w:val="false"/>
          <w:iCs w:val="false"/>
          <w:sz w:val="22"/>
          <w:szCs w:val="22"/>
        </w:rPr>
        <w:t>) bei LCA, Petition und Visum auch frühere Entlassungen ähnlich qualifizierter US-Beschäftigter beim Arbeitgeber berücksichtigen; die Umsetzung ist offen. Kanzleien raten, im Bewerbungsprozess nach Stellenabbau in den letzten zwölf Monaten zu fragen.</w:t>
      </w:r>
    </w:p>
    <w:p>
      <w:pPr>
        <w:pStyle w:val="Heading3"/>
        <w:keepNext w:val="true"/>
        <w:spacing w:before="280" w:after="100"/>
        <w:jc w:val="center"/>
        <w:rPr/>
      </w:pPr>
      <w:r>
        <w:rPr>
          <w:rFonts w:eastAsia="Amazon Ember" w:cs="Amazon Ember" w:ascii="Amazon Ember" w:hAnsi="Amazon Ember"/>
          <w:b/>
          <w:bCs/>
          <w:color w:val="0000FF"/>
          <w:sz w:val="36"/>
          <w:szCs w:val="36"/>
        </w:rPr>
        <w:t>Steuern und Sozialabgaben in Kürze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Als H-1B-Beschäftigter bist du Arbeitnehmer im normalen US-Steuersystem. Vom Bruttogehalt gehen, noch bevor du es siehst, Bundessteuer, meist Bundesstaatssteuer und die Sozialabgaben </w:t>
      </w:r>
      <w:r>
        <w:rPr>
          <w:rFonts w:eastAsia="Cambria" w:cs="Cambria"/>
          <w:b w:val="false"/>
          <w:bCs w:val="false"/>
          <w:i/>
          <w:iCs/>
          <w:sz w:val="22"/>
          <w:szCs w:val="22"/>
        </w:rPr>
        <w:t>FICA</w:t>
      </w:r>
      <w:r>
        <w:rPr>
          <w:rFonts w:eastAsia="Cambria" w:cs="Cambria"/>
          <w:b w:val="false"/>
          <w:bCs w:val="false"/>
          <w:i w:val="false"/>
          <w:iCs w:val="false"/>
          <w:sz w:val="22"/>
          <w:szCs w:val="22"/>
        </w:rPr>
        <w:t xml:space="preserve"> ab: 2026 sind das 6,2 % </w:t>
      </w:r>
      <w:r>
        <w:rPr>
          <w:rFonts w:eastAsia="Cambria" w:cs="Cambria"/>
          <w:b w:val="false"/>
          <w:bCs w:val="false"/>
          <w:i/>
          <w:iCs/>
          <w:sz w:val="22"/>
          <w:szCs w:val="22"/>
        </w:rPr>
        <w:t>Social Security</w:t>
      </w:r>
      <w:r>
        <w:rPr>
          <w:rFonts w:eastAsia="Cambria" w:cs="Cambria"/>
          <w:b w:val="false"/>
          <w:bCs w:val="false"/>
          <w:i w:val="false"/>
          <w:iCs w:val="false"/>
          <w:sz w:val="22"/>
          <w:szCs w:val="22"/>
        </w:rPr>
        <w:t xml:space="preserve"> (bis 184.500 $ Jahreslohn) plus 1,45 % </w:t>
      </w:r>
      <w:r>
        <w:rPr>
          <w:rFonts w:eastAsia="Cambria" w:cs="Cambria"/>
          <w:b w:val="false"/>
          <w:bCs w:val="false"/>
          <w:i/>
          <w:iCs/>
          <w:sz w:val="22"/>
          <w:szCs w:val="22"/>
        </w:rPr>
        <w:t>Medicare</w:t>
      </w:r>
      <w:r>
        <w:rPr>
          <w:rFonts w:eastAsia="Cambria" w:cs="Cambria"/>
          <w:b w:val="false"/>
          <w:bCs w:val="false"/>
          <w:i w:val="false"/>
          <w:iCs w:val="false"/>
          <w:sz w:val="22"/>
          <w:szCs w:val="22"/>
        </w:rPr>
        <w:t xml:space="preserve"> ohne Grenze. Der Arbeitgeber zahlt dieselben Sätze noch einmal. Anders als F-1-Studierende bist du nicht befreit. Eine Doppelversicherung bei Entsendungen vermeidet das Sozialversicherungsabkommen zwischen Deutschland und den USA (siehe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 Ab wann dein weltweites Einkommen in den USA steuerpflichtig ist und wie sich die Bundesstaaten unterscheiden, steht in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076"/>
        <w:gridCol w:w="3403"/>
      </w:tblGrid>
      <w:tr>
        <w:trPr>
          <w:tblHeader w:val="true"/>
          <w:cantSplit w:val="true"/>
        </w:trPr>
        <w:tc>
          <w:tcPr>
            <w:tcW w:w="307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40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0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Dual Intent: Der Weg zur Green Card bleibt offen</w:t>
            </w:r>
          </w:p>
        </w:tc>
        <w:tc>
          <w:tcPr>
            <w:tcW w:w="34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Lotterie: Ohne Auswahl gibt es in diesem Jahr keinen H-1B</w:t>
            </w:r>
          </w:p>
        </w:tc>
      </w:tr>
      <w:tr>
        <w:trPr>
          <w:cantSplit w:val="true"/>
        </w:trPr>
        <w:tc>
          <w:tcPr>
            <w:tcW w:w="30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 Arbeitgeber trägt fast alle Behördengebühren</w:t>
            </w:r>
          </w:p>
        </w:tc>
        <w:tc>
          <w:tcPr>
            <w:tcW w:w="34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Regeln und Kosten ändern sich schnell (100.000 $, 103.265 $, Lohnstufen)</w:t>
            </w:r>
          </w:p>
        </w:tc>
      </w:tr>
      <w:tr>
        <w:trPr>
          <w:cantSplit w:val="true"/>
        </w:trPr>
        <w:tc>
          <w:tcPr>
            <w:tcW w:w="30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Arbeitgeberwechsel ohne neue Lotterie möglich</w:t>
            </w:r>
          </w:p>
        </w:tc>
        <w:tc>
          <w:tcPr>
            <w:tcW w:w="34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Bindung an den Sponsor; bei Jobverlust 60 Tage, deren Wegfall vorgeschlagen ist</w:t>
            </w:r>
          </w:p>
        </w:tc>
      </w:tr>
      <w:tr>
        <w:trPr>
          <w:cantSplit w:val="true"/>
        </w:trPr>
        <w:tc>
          <w:tcPr>
            <w:tcW w:w="30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Ehepartner und Kinder dürfen mitkommen</w:t>
            </w:r>
          </w:p>
        </w:tc>
        <w:tc>
          <w:tcPr>
            <w:tcW w:w="34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H-4-Partner dürfen meist nicht arbeiten</w:t>
            </w:r>
          </w:p>
        </w:tc>
      </w:tr>
      <w:tr>
        <w:trPr>
          <w:cantSplit w:val="true"/>
        </w:trPr>
        <w:tc>
          <w:tcPr>
            <w:tcW w:w="30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Cap-exempt-Arbeitgeber (Hochschulen) ohne Lotterie</w:t>
            </w:r>
          </w:p>
        </w:tc>
        <w:tc>
          <w:tcPr>
            <w:tcW w:w="34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Konsulat: Interviewpflicht, Online-Prüfung, Wartezeiten</w:t>
            </w:r>
          </w:p>
        </w:tc>
      </w:tr>
      <w:tr>
        <w:trPr>
          <w:cantSplit w:val="true"/>
        </w:trPr>
        <w:tc>
          <w:tcPr>
            <w:tcW w:w="30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Reisen mit gültigem Visum möglich</w:t>
            </w:r>
          </w:p>
        </w:tc>
        <w:tc>
          <w:tcPr>
            <w:tcW w:w="34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Höchstens sechs Jahre, danach nur mit Green-Card-Verfahren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Kläre zuerst, ob der H-1B dein Weg ist (siehe Kapitel </w:t>
      </w:r>
      <w:hyperlink w:anchor="k4">
        <w:r>
          <w:rPr>
            <w:rStyle w:val="ListLabel115"/>
            <w:rFonts w:eastAsia="Cambria" w:cs="Cambria"/>
            <w:b w:val="false"/>
            <w:bCs w:val="false"/>
            <w:i w:val="false"/>
            <w:iCs w:val="false"/>
            <w:sz w:val="22"/>
            <w:szCs w:val="22"/>
          </w:rPr>
          <w:t>4</w:t>
        </w:r>
      </w:hyperlink>
      <w:r>
        <w:rPr>
          <w:rFonts w:eastAsia="Cambria" w:cs="Cambria"/>
          <w:b w:val="false"/>
          <w:bCs w:val="false"/>
          <w:i w:val="false"/>
          <w:iCs w:val="false"/>
          <w:sz w:val="22"/>
          <w:szCs w:val="22"/>
        </w:rPr>
        <w:t xml:space="preserve"> und </w:t>
      </w:r>
      <w:hyperlink w:anchor="k7">
        <w:r>
          <w:rPr>
            <w:rStyle w:val="ListLabel115"/>
            <w:rFonts w:eastAsia="Cambria" w:cs="Cambria"/>
            <w:b w:val="false"/>
            <w:bCs w:val="false"/>
            <w:i w:val="false"/>
            <w:iCs w:val="false"/>
            <w:sz w:val="22"/>
            <w:szCs w:val="22"/>
          </w:rPr>
          <w:t>7</w:t>
        </w:r>
      </w:hyperlink>
      <w:r>
        <w:rPr>
          <w:rFonts w:eastAsia="Cambria" w:cs="Cambria"/>
          <w:b w:val="false"/>
          <w:bCs w:val="false"/>
          <w:i w:val="false"/>
          <w:iCs w:val="false"/>
          <w:sz w:val="22"/>
          <w:szCs w:val="22"/>
        </w:rPr>
        <w:t>), und sprich früh mit Arbeitgebern über Sponsoring und Gehalt. Lass die Kanzlei prüfen, ob dein Abschluss zur Stelle passt und welche Lohnstufe erreicht wird. Alles zu Konsulat, Kanzlei und Kosten steht in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Studienfach und Stelle abgleichen: Passt dein Abschluss direkt zu den Aufgaben? Bewertungsgutachten mit der Kanzlei besprechen.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Arbeitgeber fragen, ob er H-1B sponsert, welche Lohnstufe er meldet und wer welche Gebühren trägt; alles schriftlich im Offer Letter festhalten.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Nachfragen, wie der Arbeitgeber mit 100.000 $ oder 103.265 $ umgeht, falls sie zurückkehren.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Nach Stellenabbau in den letzten zwölf Monaten fragen.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Zeitplan rückwärts vom 1. Oktober aufstellen; Registrierungstermin für 2027 auf uscis.gov beobachten.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jeder Entscheidung (Kündigung, Flug, Umzug) uscis.gov, federalregister.gov und die Kanzlei zum Stand befragen.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Nach der Genehmigung Kopien der Auswahlbenachrichtigung und des Genehmigungsbescheids (</w:t>
            </w:r>
            <w:r>
              <w:rPr>
                <w:rFonts w:eastAsia="Cambria" w:cs="Cambria"/>
                <w:b w:val="false"/>
                <w:bCs w:val="false"/>
                <w:i/>
                <w:iCs/>
                <w:sz w:val="20"/>
                <w:szCs w:val="20"/>
              </w:rPr>
              <w:t>Approval Notice</w:t>
            </w:r>
            <w:r>
              <w:rPr>
                <w:rFonts w:eastAsia="Cambria" w:cs="Cambria"/>
                <w:b w:val="false"/>
                <w:bCs w:val="false"/>
                <w:i w:val="false"/>
                <w:iCs w:val="false"/>
                <w:sz w:val="20"/>
                <w:szCs w:val="20"/>
              </w:rPr>
              <w:t>) sichern.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Konsulattermin buchen und Wartezeit auf travel.state.gov prüfen; Social-Media-Profile vorher auf öffentlich stellen.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Flüge und Wohnungskündigung erst nach Visumerteilung verbindlich machen.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Reiseunterlagen für die Sechs-Jahres-Zählung aufbewahren und die Green-Card-Planung mit dem Arbeitgeber besprechen.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H-4-Anträge und Kosten für Partner und Kinder klären (siehe Kapitel </w:t>
            </w:r>
            <w:hyperlink w:anchor="k10">
              <w:r>
                <w:rPr>
                  <w:rStyle w:val="ListLabel114"/>
                  <w:rFonts w:eastAsia="Cambria" w:cs="Cambria"/>
                  <w:b w:val="false"/>
                  <w:bCs w:val="false"/>
                  <w:i w:val="false"/>
                  <w:iCs w:val="false"/>
                  <w:sz w:val="20"/>
                  <w:szCs w:val="20"/>
                </w:rPr>
                <w:t>10</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H-1B und Specialty Occupations (</w:t>
      </w:r>
      <w:hyperlink r:id="rId60">
        <w:r>
          <w:rPr>
            <w:rStyle w:val="ListLabel113"/>
            <w:rFonts w:eastAsia="Cambria" w:cs="Cambria"/>
            <w:b w:val="false"/>
            <w:bCs w:val="false"/>
            <w:i w:val="false"/>
            <w:iCs w:val="false"/>
            <w:color w:val="0563C1"/>
            <w:sz w:val="22"/>
            <w:szCs w:val="22"/>
            <w:u w:val="single"/>
          </w:rPr>
          <w:t>uscis.gov/working-in-the-united-states/h-1b-specialty-occupations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aktuelle H-1B-FAQ zur 100.000-$-Zahlung (</w:t>
      </w:r>
      <w:hyperlink r:id="rId61">
        <w:r>
          <w:rPr>
            <w:rStyle w:val="ListLabel113"/>
            <w:rFonts w:eastAsia="Cambria" w:cs="Cambria"/>
            <w:b w:val="false"/>
            <w:bCs w:val="false"/>
            <w:i w:val="false"/>
            <w:iCs w:val="false"/>
            <w:color w:val="0563C1"/>
            <w:sz w:val="22"/>
            <w:szCs w:val="22"/>
            <w:u w:val="single"/>
          </w:rPr>
          <w:t>uscis.gov/newsroom/alerts/h-1b-faq</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Gebührenübersicht G-1055 (</w:t>
      </w:r>
      <w:hyperlink r:id="rId62">
        <w:r>
          <w:rPr>
            <w:rStyle w:val="ListLabel113"/>
            <w:rFonts w:eastAsia="Cambria" w:cs="Cambria"/>
            <w:b w:val="false"/>
            <w:bCs w:val="false"/>
            <w:i w:val="false"/>
            <w:iCs w:val="false"/>
            <w:color w:val="0563C1"/>
            <w:sz w:val="22"/>
            <w:szCs w:val="22"/>
            <w:u w:val="single"/>
          </w:rPr>
          <w:t>uscis.gov/g-1055</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Federal Register — Entwürfe und Final Rules, Suche nach „H-1B“ (</w:t>
      </w:r>
      <w:hyperlink r:id="rId63">
        <w:r>
          <w:rPr>
            <w:rStyle w:val="ListLabel113"/>
            <w:rFonts w:eastAsia="Cambria" w:cs="Cambria"/>
            <w:b w:val="false"/>
            <w:bCs w:val="false"/>
            <w:i w:val="false"/>
            <w:iCs w:val="false"/>
            <w:color w:val="0563C1"/>
            <w:sz w:val="22"/>
            <w:szCs w:val="22"/>
            <w:u w:val="single"/>
          </w:rPr>
          <w:t>federalregister.gov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DOL — H-1B, LCA und Prevailing Wage (</w:t>
      </w:r>
      <w:hyperlink r:id="rId64">
        <w:r>
          <w:rPr>
            <w:rStyle w:val="ListLabel113"/>
            <w:rFonts w:eastAsia="Cambria" w:cs="Cambria"/>
            <w:b w:val="false"/>
            <w:bCs w:val="false"/>
            <w:i w:val="false"/>
            <w:iCs w:val="false"/>
            <w:color w:val="0563C1"/>
            <w:sz w:val="22"/>
            <w:szCs w:val="22"/>
            <w:u w:val="single"/>
          </w:rPr>
          <w:t>dol.gov/agencies/eta/foreign-labor/programs/h-1b</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DOL Wage and Hour Division — Project Firewall (</w:t>
      </w:r>
      <w:hyperlink r:id="rId65">
        <w:r>
          <w:rPr>
            <w:rStyle w:val="ListLabel113"/>
            <w:rFonts w:eastAsia="Cambria" w:cs="Cambria"/>
            <w:b w:val="false"/>
            <w:bCs w:val="false"/>
            <w:i w:val="false"/>
            <w:iCs w:val="false"/>
            <w:color w:val="0563C1"/>
            <w:sz w:val="22"/>
            <w:szCs w:val="22"/>
            <w:u w:val="single"/>
          </w:rPr>
          <w:t>dol.gov/agencies/whd/immigration/h1b/projectfirewall</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State Department — Visagebühren und Wartezeiten (</w:t>
      </w:r>
      <w:hyperlink r:id="rId66">
        <w:r>
          <w:rPr>
            <w:rStyle w:val="ListLabel113"/>
            <w:rFonts w:eastAsia="Cambria" w:cs="Cambria"/>
            <w:b w:val="false"/>
            <w:bCs w:val="false"/>
            <w:i w:val="false"/>
            <w:iCs w:val="false"/>
            <w:color w:val="0563C1"/>
            <w:sz w:val="22"/>
            <w:szCs w:val="22"/>
            <w:u w:val="single"/>
          </w:rPr>
          <w:t>travel.state.gov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 Botschaft und Konsulate in Deutschland — Visaverfahren (</w:t>
      </w:r>
      <w:hyperlink r:id="rId67">
        <w:r>
          <w:rPr>
            <w:rStyle w:val="ListLabel113"/>
            <w:rFonts w:eastAsia="Cambria" w:cs="Cambria"/>
            <w:b w:val="false"/>
            <w:bCs w:val="false"/>
            <w:i w:val="false"/>
            <w:iCs w:val="false"/>
            <w:color w:val="0563C1"/>
            <w:sz w:val="22"/>
            <w:szCs w:val="22"/>
            <w:u w:val="single"/>
          </w:rPr>
          <w:t>de.usembassy.gov/visas</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ListParagraph"/>
              <w:numPr>
                <w:ilvl w:val="0"/>
                <w:numId w:val="86"/>
              </w:numPr>
              <w:spacing w:lineRule="exact" w:line="264" w:before="0" w:after="50"/>
              <w:rPr/>
            </w:pPr>
            <w:r>
              <w:rPr>
                <w:rFonts w:eastAsia="Cambria" w:cs="Cambria"/>
                <w:b w:val="false"/>
                <w:bCs w:val="false"/>
                <w:i w:val="false"/>
                <w:iCs w:val="false"/>
                <w:sz w:val="20"/>
                <w:szCs w:val="20"/>
              </w:rPr>
              <w:t>September 2026. Diese Angaben ändern sich besonders schnell: ob die 100.000-$-Zahlung wieder erhoben wird (Berufungen beim First Circuit und D.C. Circuit), ob der Vorschlag über 103.265 $ (Kommentarfrist bis 24. September 2026) und der Wegfall der 60-Tage-Frist (Kommentarfrist bis 10. November 2026) in Kraft treten, ob das DOL höhere Lohnstufen beschließt, dazu die USCIS-Gebühren, die Regeln der Registrierung im März 2027, die Konsulatswartezeiten und die Visagebühren. Prüfe vor jeder Entscheidung uscis.gov und federalregister.gov und sprich mit der Kanzlei deines Arbeitgebers.</w:t>
            </w:r>
          </w:p>
        </w:tc>
      </w:tr>
    </w:tbl>
    <w:p>
      <w:pPr>
        <w:pStyle w:val="Normal"/>
        <w:spacing w:lineRule="exact" w:line="220" w:before="0" w:after="0"/>
        <w:rPr/>
      </w:pPr>
      <w:r>
        <w:rPr/>
      </w:r>
      <w:r>
        <w:br w:type="page"/>
      </w:r>
    </w:p>
    <w:p>
      <w:pPr>
        <w:pStyle w:val="Heading2"/>
        <w:keepNext w:val="true"/>
        <w:spacing w:before="0" w:after="300"/>
        <w:jc w:val="center"/>
        <w:rPr/>
      </w:pPr>
      <w:bookmarkStart w:id="21" w:name="__RefHeading___Toc56441_3769931028"/>
      <w:bookmarkStart w:id="22" w:name="k6"/>
      <w:bookmarkEnd w:id="21"/>
      <w:r>
        <w:rPr>
          <w:rFonts w:eastAsia="Amazon Ember" w:cs="Amazon Ember" w:ascii="Amazon Ember" w:hAnsi="Amazon Ember"/>
          <w:b/>
          <w:bCs/>
          <w:color w:val="0000FF"/>
          <w:sz w:val="36"/>
          <w:szCs w:val="36"/>
        </w:rPr>
        <w:t>Kapitel 6: Die Green Card</w:t>
      </w:r>
      <w:bookmarkEnd w:id="22"/>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Im Visa Bulletin für September 2026, der monatlichen Stichtagsliste des State Department, steht bei der zweiten Arbeitskategorie (EB-2) in der Spalte „Rest der Welt“ ein einziger Buchstabe: C, für </w:t>
      </w:r>
      <w:r>
        <w:rPr>
          <w:rFonts w:eastAsia="Cambria" w:cs="Cambria"/>
          <w:b w:val="false"/>
          <w:bCs w:val="false"/>
          <w:i/>
          <w:iCs/>
          <w:sz w:val="22"/>
          <w:szCs w:val="22"/>
        </w:rPr>
        <w:t>current</w:t>
      </w:r>
      <w:r>
        <w:rPr>
          <w:rFonts w:eastAsia="Cambria" w:cs="Cambria"/>
          <w:b w:val="false"/>
          <w:bCs w:val="false"/>
          <w:i w:val="false"/>
          <w:iCs w:val="false"/>
          <w:sz w:val="22"/>
          <w:szCs w:val="22"/>
        </w:rPr>
        <w:t xml:space="preserve">, also ohne Wartezeit. In der Spalte für Indien steht dagegen ein U: </w:t>
      </w:r>
      <w:r>
        <w:rPr>
          <w:rFonts w:eastAsia="Cambria" w:cs="Cambria"/>
          <w:b w:val="false"/>
          <w:bCs w:val="false"/>
          <w:i/>
          <w:iCs/>
          <w:sz w:val="22"/>
          <w:szCs w:val="22"/>
        </w:rPr>
        <w:t>unavailable</w:t>
      </w:r>
      <w:r>
        <w:rPr>
          <w:rFonts w:eastAsia="Cambria" w:cs="Cambria"/>
          <w:b w:val="false"/>
          <w:bCs w:val="false"/>
          <w:i w:val="false"/>
          <w:iCs w:val="false"/>
          <w:sz w:val="22"/>
          <w:szCs w:val="22"/>
        </w:rPr>
        <w:t>, derzeit keine Visa. Gleicher Beruf, gleiche Qualifikation, anderes Geburtsland, und aus Monaten werden Jahre, bei Indien mehr als ein Jahrzehnt. Für Deutsche ist die Green Card deshalb weniger eine Frage der Warteschlange als der Vorbereitung: Wer früh, schriftlich abgesichert und mit der passenden Kategorie startet, kommt in der Regel gut durch.</w:t>
      </w:r>
    </w:p>
    <w:tbl>
      <w:tblPr>
        <w:tblW w:w="6480" w:type="dxa"/>
        <w:jc w:val="left"/>
        <w:tblInd w:w="0" w:type="dxa"/>
        <w:tblLayout w:type="fixed"/>
        <w:tblCellMar>
          <w:top w:w="110" w:type="dxa"/>
          <w:left w:w="200" w:type="dxa"/>
          <w:bottom w:w="80" w:type="dxa"/>
          <w:right w:w="160" w:type="dxa"/>
        </w:tblCellMar>
      </w:tblPr>
      <w:tblGrid>
        <w:gridCol w:w="6480"/>
      </w:tblGrid>
      <w:tr>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Die Green Card (</w:t>
            </w:r>
            <w:r>
              <w:rPr>
                <w:rFonts w:eastAsia="Cambria" w:cs="Cambria"/>
                <w:b w:val="false"/>
                <w:bCs w:val="false"/>
                <w:i/>
                <w:iCs/>
                <w:sz w:val="20"/>
                <w:szCs w:val="20"/>
              </w:rPr>
              <w:t>Lawful Permanent Residence</w:t>
            </w:r>
            <w:r>
              <w:rPr>
                <w:rFonts w:eastAsia="Cambria" w:cs="Cambria"/>
                <w:b w:val="false"/>
                <w:bCs w:val="false"/>
                <w:i w:val="false"/>
                <w:iCs w:val="false"/>
                <w:sz w:val="20"/>
                <w:szCs w:val="20"/>
              </w:rPr>
              <w:t>, LPR) ist ein unbefristetes Aufenthaltsrecht mit freier Arbeitswahl. Die Plastikkarte gilt zehn Jahre und wird erneuert, der Status bleibt, solange die USA dein Lebensmittelpunkt sind.</w:t>
            </w:r>
          </w:p>
          <w:p>
            <w:pPr>
              <w:pStyle w:val="ListParagraph"/>
              <w:numPr>
                <w:ilvl w:val="0"/>
                <w:numId w:val="1"/>
              </w:numPr>
              <w:spacing w:lineRule="exact" w:line="264" w:before="0" w:after="50"/>
              <w:rPr/>
            </w:pPr>
            <w:r>
              <w:rPr>
                <w:rFonts w:eastAsia="Cambria" w:cs="Cambria"/>
                <w:b w:val="false"/>
                <w:bCs w:val="false"/>
                <w:i w:val="false"/>
                <w:iCs w:val="false"/>
                <w:sz w:val="20"/>
                <w:szCs w:val="20"/>
              </w:rPr>
              <w:t>Der Regelweg für Fachkräfte führt über den Arbeitgeber: Arbeitsmarktprüfung (</w:t>
            </w:r>
            <w:r>
              <w:rPr>
                <w:rFonts w:eastAsia="Cambria" w:cs="Cambria"/>
                <w:b w:val="false"/>
                <w:bCs w:val="false"/>
                <w:i/>
                <w:iCs/>
                <w:sz w:val="20"/>
                <w:szCs w:val="20"/>
              </w:rPr>
              <w:t>PERM</w:t>
            </w:r>
            <w:r>
              <w:rPr>
                <w:rFonts w:eastAsia="Cambria" w:cs="Cambria"/>
                <w:b w:val="false"/>
                <w:bCs w:val="false"/>
                <w:i w:val="false"/>
                <w:iCs w:val="false"/>
                <w:sz w:val="20"/>
                <w:szCs w:val="20"/>
              </w:rPr>
              <w:t>), Petition I-140, dann Statusanpassung I-485 im Inland oder Einwanderungsvisum über das Konsulat.</w:t>
            </w:r>
          </w:p>
          <w:p>
            <w:pPr>
              <w:pStyle w:val="ListParagraph"/>
              <w:numPr>
                <w:ilvl w:val="0"/>
                <w:numId w:val="1"/>
              </w:numPr>
              <w:spacing w:lineRule="exact" w:line="264" w:before="0" w:after="50"/>
              <w:rPr/>
            </w:pPr>
            <w:r>
              <w:rPr>
                <w:rFonts w:eastAsia="Cambria" w:cs="Cambria"/>
                <w:b w:val="false"/>
                <w:bCs w:val="false"/>
                <w:i w:val="false"/>
                <w:iCs w:val="false"/>
                <w:sz w:val="20"/>
                <w:szCs w:val="20"/>
              </w:rPr>
              <w:t>Stand September 2026: EB-1 und EB-2 sind für „Rest der Welt“ (also die meisten Deutschen) ohne Wartezeit, EB-3 nur für Priority Dates vor dem 1. September 2024. Das Oktober-Bulletin lag am 20. September 2026 noch nicht vor.</w:t>
            </w:r>
          </w:p>
          <w:p>
            <w:pPr>
              <w:pStyle w:val="ListParagraph"/>
              <w:numPr>
                <w:ilvl w:val="0"/>
                <w:numId w:val="1"/>
              </w:numPr>
              <w:spacing w:lineRule="exact" w:line="264" w:before="0" w:after="50"/>
              <w:rPr/>
            </w:pPr>
            <w:r>
              <w:rPr>
                <w:rFonts w:eastAsia="Cambria" w:cs="Cambria"/>
                <w:b w:val="false"/>
                <w:bCs w:val="false"/>
                <w:i w:val="false"/>
                <w:iCs w:val="false"/>
                <w:sz w:val="20"/>
                <w:szCs w:val="20"/>
              </w:rPr>
              <w:t>Die Zeit steckt im Verfahren, nicht im Stichtag: bei PERM rund 2,5–4,5 Jahre ab Start. Selbstpetitionen (NIW, EB-1A) gehen schneller, wurden 2026 aber nur zu etwa 49 % bzw. 41 % genehmigt.</w:t>
            </w:r>
          </w:p>
          <w:p>
            <w:pPr>
              <w:pStyle w:val="ListParagraph"/>
              <w:numPr>
                <w:ilvl w:val="0"/>
                <w:numId w:val="1"/>
              </w:numPr>
              <w:spacing w:lineRule="exact" w:line="264" w:before="0" w:after="50"/>
              <w:rPr/>
            </w:pPr>
            <w:r>
              <w:rPr>
                <w:rFonts w:eastAsia="Cambria" w:cs="Cambria"/>
                <w:b w:val="false"/>
                <w:bCs w:val="false"/>
                <w:i w:val="false"/>
                <w:iCs w:val="false"/>
                <w:sz w:val="20"/>
                <w:szCs w:val="20"/>
              </w:rPr>
              <w:t>Die Kosten der Arbeitsmarktprüfung trägt der Arbeitgeber, du zahlst die I-485-Gebühren für dich und deine Familie: 1.440 $ je Erwachsenem, 950 $ je Kind unter 14 (Papierantrag).</w:t>
            </w:r>
          </w:p>
          <w:p>
            <w:pPr>
              <w:pStyle w:val="ListParagraph"/>
              <w:numPr>
                <w:ilvl w:val="0"/>
                <w:numId w:val="1"/>
              </w:numPr>
              <w:spacing w:lineRule="exact" w:line="264" w:before="0" w:after="50"/>
              <w:rPr/>
            </w:pPr>
            <w:r>
              <w:rPr>
                <w:rFonts w:eastAsia="Cambria" w:cs="Cambria"/>
                <w:b w:val="false"/>
                <w:bCs w:val="false"/>
                <w:i w:val="false"/>
                <w:iCs w:val="false"/>
                <w:sz w:val="20"/>
                <w:szCs w:val="20"/>
              </w:rPr>
              <w:t>Als Green-Card-Inhaber wirst du weltweit in den USA besteuert, und Auslandsaufenthalte von mehr als 180 Tagen gefährden den Status.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die Green Card ist und was sie nicht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Beim Begriff lohnt Genauigkeit: Ein </w:t>
      </w:r>
      <w:r>
        <w:rPr>
          <w:rFonts w:eastAsia="Cambria" w:cs="Cambria"/>
          <w:b w:val="false"/>
          <w:bCs w:val="false"/>
          <w:i/>
          <w:iCs/>
          <w:sz w:val="22"/>
          <w:szCs w:val="22"/>
        </w:rPr>
        <w:t>Visum</w:t>
      </w:r>
      <w:r>
        <w:rPr>
          <w:rFonts w:eastAsia="Cambria" w:cs="Cambria"/>
          <w:b w:val="false"/>
          <w:bCs w:val="false"/>
          <w:i w:val="false"/>
          <w:iCs w:val="false"/>
          <w:sz w:val="22"/>
          <w:szCs w:val="22"/>
        </w:rPr>
        <w:t xml:space="preserve"> ist der Einreisestempel im Pass, den das Konsulat ausstellt; die Green Card dagegen ein </w:t>
      </w:r>
      <w:r>
        <w:rPr>
          <w:rFonts w:eastAsia="Cambria" w:cs="Cambria"/>
          <w:b w:val="false"/>
          <w:bCs w:val="false"/>
          <w:i/>
          <w:iCs/>
          <w:sz w:val="22"/>
          <w:szCs w:val="22"/>
        </w:rPr>
        <w:t>Status</w:t>
      </w:r>
      <w:r>
        <w:rPr>
          <w:rFonts w:eastAsia="Cambria" w:cs="Cambria"/>
          <w:b w:val="false"/>
          <w:bCs w:val="false"/>
          <w:i w:val="false"/>
          <w:iCs w:val="false"/>
          <w:sz w:val="22"/>
          <w:szCs w:val="22"/>
        </w:rPr>
        <w:t xml:space="preserve"> – eine unbefristete Aufenthaltserlaubnis im Land. Nur die Plastikkarte hat ein Ablaufdatum, denn sie gilt zehn Jahre und wird in den letzten sechs Monaten davor erneuert (Form I-90, 465 $ Papier, 415 $ online).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Was sie dir gibt: Leben in jedem Bundesstaat, Arbeit für jeden Arbeitgeber oder Selbständigkeit, das Nachholen von Ehepartner und unverheirateten Kindern per Familienpetition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 und nach fünf Jahren die Einbürgerung (Kapitel </w:t>
      </w:r>
      <w:hyperlink w:anchor="k41">
        <w:r>
          <w:rPr>
            <w:rStyle w:val="ListLabel115"/>
            <w:rFonts w:eastAsia="Cambria" w:cs="Cambria"/>
            <w:b w:val="false"/>
            <w:bCs w:val="false"/>
            <w:i w:val="false"/>
            <w:iCs w:val="false"/>
            <w:sz w:val="22"/>
            <w:szCs w:val="22"/>
          </w:rPr>
          <w:t>41</w:t>
        </w:r>
      </w:hyperlink>
      <w:r>
        <w:rPr>
          <w:rFonts w:eastAsia="Cambria" w:cs="Cambria"/>
          <w:b w:val="false"/>
          <w:bCs w:val="false"/>
          <w:i w:val="false"/>
          <w:iCs w:val="false"/>
          <w:sz w:val="22"/>
          <w:szCs w:val="22"/>
        </w:rPr>
        <w:t>). Was sie nicht gibt: Wahlrecht, Stellen mit Staatsbürgerschaftserfordernis, ein unbegrenztes Recht auf Abwesenheit. Am nächsten kommt ihr die deutsche Niederlassungserlaubnis: unbefristet, freier Arbeitsmarkt, kein Wahlrecht. Und sie löst die enge Arbeitgeberbindung des H-1B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 allerdings erst spät im Verfahren; der Vergleich beider Wege steht in Kapitel </w:t>
      </w:r>
      <w:hyperlink w:anchor="k7">
        <w:r>
          <w:rPr>
            <w:rStyle w:val="ListLabel115"/>
            <w:rFonts w:eastAsia="Cambria" w:cs="Cambria"/>
            <w:b w:val="false"/>
            <w:bCs w:val="false"/>
            <w:i w:val="false"/>
            <w:iCs w:val="false"/>
            <w:sz w:val="22"/>
            <w:szCs w:val="22"/>
          </w:rPr>
          <w:t>7</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Die Wege im Überblick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Es gibt fünf Türen: Arbeit, Familie, Investition, Lotterie und die 2025 eingeführte Gold Card – für die meisten Leser dieses Buchs die Arbeit. Die arbeitsbasierten Kategorien EB-1 bis EB-3 (</w:t>
      </w:r>
      <w:r>
        <w:rPr>
          <w:rFonts w:eastAsia="Cambria" w:cs="Cambria"/>
          <w:b w:val="false"/>
          <w:bCs w:val="false"/>
          <w:i/>
          <w:iCs/>
          <w:sz w:val="22"/>
          <w:szCs w:val="22"/>
        </w:rPr>
        <w:t>Employment-Based</w:t>
      </w:r>
      <w:r>
        <w:rPr>
          <w:rFonts w:eastAsia="Cambria" w:cs="Cambria"/>
          <w:b w:val="false"/>
          <w:bCs w:val="false"/>
          <w:i w:val="false"/>
          <w:iCs w:val="false"/>
          <w:sz w:val="22"/>
          <w:szCs w:val="22"/>
        </w:rPr>
        <w:t xml:space="preserve">) teilen sich ein Jahreslimit von 186.317 Visa fürs Fiskaljahr 2026 (EB-1 bis EB-5 zusammen). Ehepartner und unverheiratete Kinder unter 21 sind als </w:t>
      </w:r>
      <w:r>
        <w:rPr>
          <w:rFonts w:eastAsia="Cambria" w:cs="Cambria"/>
          <w:b w:val="false"/>
          <w:bCs w:val="false"/>
          <w:i/>
          <w:iCs/>
          <w:sz w:val="22"/>
          <w:szCs w:val="22"/>
        </w:rPr>
        <w:t>Derivate</w:t>
      </w:r>
      <w:r>
        <w:rPr>
          <w:rFonts w:eastAsia="Cambria" w:cs="Cambria"/>
          <w:b w:val="false"/>
          <w:bCs w:val="false"/>
          <w:i w:val="false"/>
          <w:iCs w:val="false"/>
          <w:sz w:val="22"/>
          <w:szCs w:val="22"/>
        </w:rPr>
        <w:t xml:space="preserve"> mitgeschützt und teilen Kategorie und Priority Date.</w:t>
      </w:r>
    </w:p>
    <w:tbl>
      <w:tblPr>
        <w:tblW w:w="6480" w:type="dxa"/>
        <w:jc w:val="left"/>
        <w:tblInd w:w="0" w:type="dxa"/>
        <w:tblLayout w:type="fixed"/>
        <w:tblCellMar>
          <w:top w:w="50" w:type="dxa"/>
          <w:left w:w="80" w:type="dxa"/>
          <w:bottom w:w="50" w:type="dxa"/>
          <w:right w:w="80" w:type="dxa"/>
        </w:tblCellMar>
      </w:tblPr>
      <w:tblGrid>
        <w:gridCol w:w="949"/>
        <w:gridCol w:w="3539"/>
        <w:gridCol w:w="951"/>
        <w:gridCol w:w="1040"/>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Kategorie</w:t>
            </w:r>
          </w:p>
        </w:tc>
        <w:tc>
          <w:tcPr>
            <w:tcW w:w="35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Für wen</w:t>
            </w:r>
          </w:p>
        </w:tc>
        <w:tc>
          <w:tcPr>
            <w:tcW w:w="95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PERM?</w:t>
            </w:r>
          </w:p>
        </w:tc>
        <w:tc>
          <w:tcPr>
            <w:tcW w:w="10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I-140-Quote 2026</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EB-1A</w:t>
            </w:r>
          </w:p>
        </w:tc>
        <w:tc>
          <w:tcPr>
            <w:tcW w:w="35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Außergewöhnliche Fähigkeiten, Selbstpetition</w:t>
            </w:r>
          </w:p>
        </w:tc>
        <w:tc>
          <w:tcPr>
            <w:tcW w:w="9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w:t>
            </w:r>
          </w:p>
        </w:tc>
        <w:tc>
          <w:tcPr>
            <w:tcW w:w="10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41 %</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EB-1B</w:t>
            </w:r>
          </w:p>
        </w:tc>
        <w:tc>
          <w:tcPr>
            <w:tcW w:w="35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Forschende, Professoren mit unbefristetem Angebot</w:t>
            </w:r>
          </w:p>
        </w:tc>
        <w:tc>
          <w:tcPr>
            <w:tcW w:w="9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w:t>
            </w:r>
          </w:p>
        </w:tc>
        <w:tc>
          <w:tcPr>
            <w:tcW w:w="10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94 %</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EB-1C</w:t>
            </w:r>
          </w:p>
        </w:tc>
        <w:tc>
          <w:tcPr>
            <w:tcW w:w="35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Führungskräfte mit Konzernbezug (z. B. nach L-1A)</w:t>
            </w:r>
          </w:p>
        </w:tc>
        <w:tc>
          <w:tcPr>
            <w:tcW w:w="9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w:t>
            </w:r>
          </w:p>
        </w:tc>
        <w:tc>
          <w:tcPr>
            <w:tcW w:w="10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97 %</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EB-2</w:t>
            </w:r>
          </w:p>
        </w:tc>
        <w:tc>
          <w:tcPr>
            <w:tcW w:w="35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Master oder Bachelor plus fünf Jahre Erfahrung</w:t>
            </w:r>
          </w:p>
        </w:tc>
        <w:tc>
          <w:tcPr>
            <w:tcW w:w="9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w:t>
            </w:r>
          </w:p>
        </w:tc>
        <w:tc>
          <w:tcPr>
            <w:tcW w:w="10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97 %</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EB-2 NIW</w:t>
            </w:r>
          </w:p>
        </w:tc>
        <w:tc>
          <w:tcPr>
            <w:tcW w:w="35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Vorhaben von nationalem Interesse, Selbstpetition</w:t>
            </w:r>
          </w:p>
        </w:tc>
        <w:tc>
          <w:tcPr>
            <w:tcW w:w="9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w:t>
            </w:r>
          </w:p>
        </w:tc>
        <w:tc>
          <w:tcPr>
            <w:tcW w:w="10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49 %</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EB-3</w:t>
            </w:r>
          </w:p>
        </w:tc>
        <w:tc>
          <w:tcPr>
            <w:tcW w:w="35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Fachkräfte und Bachelor-Berufe</w:t>
            </w:r>
          </w:p>
        </w:tc>
        <w:tc>
          <w:tcPr>
            <w:tcW w:w="9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w:t>
            </w:r>
          </w:p>
        </w:tc>
        <w:tc>
          <w:tcPr>
            <w:tcW w:w="10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97–98 %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Quote ist der Anteil genehmigter an den entschiedenen I-140-Petitionen in den ersten drei Quartalen des Fiskaljahres 2026 (eigene Rechnung aus USCIS-Quartalsdaten). Sonderfälle wie die </w:t>
      </w:r>
      <w:r>
        <w:rPr>
          <w:rFonts w:eastAsia="Cambria" w:cs="Cambria"/>
          <w:b w:val="false"/>
          <w:bCs w:val="false"/>
          <w:i/>
          <w:iCs/>
          <w:sz w:val="22"/>
          <w:szCs w:val="22"/>
        </w:rPr>
        <w:t>Schedule A</w:t>
      </w:r>
      <w:r>
        <w:rPr>
          <w:rFonts w:eastAsia="Cambria" w:cs="Cambria"/>
          <w:b w:val="false"/>
          <w:bCs w:val="false"/>
          <w:i w:val="false"/>
          <w:iCs w:val="false"/>
          <w:sz w:val="22"/>
          <w:szCs w:val="22"/>
        </w:rPr>
        <w:t>, eine Liste von Mangelberufen (u. a. Pflegekräfte, Physiotherapeuten), kommen ohne PERM aus.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Kategorie richtet sich nach den Anforderungen der Stelle, nicht allein nach deinem Lebenslauf: Verlangt sie einen Master, ist EB-2 möglich, derzeit ohne Stichtag; bei EB-3 gilt für Deutsche ein Stichtag, neue Fälle warten also. Die Anforderungen müssen der Stelle tatsächlich entsprechen – die Einstufung nimmt die Kanzlei vor.</w:t>
      </w:r>
    </w:p>
    <w:p>
      <w:pPr>
        <w:pStyle w:val="Heading3"/>
        <w:keepNext w:val="true"/>
        <w:spacing w:before="280" w:after="100"/>
        <w:jc w:val="center"/>
        <w:rPr/>
      </w:pPr>
      <w:r>
        <w:rPr>
          <w:rFonts w:eastAsia="Amazon Ember" w:cs="Amazon Ember" w:ascii="Amazon Ember" w:hAnsi="Amazon Ember"/>
          <w:b/>
          <w:bCs/>
          <w:color w:val="0000FF"/>
          <w:sz w:val="36"/>
          <w:szCs w:val="36"/>
        </w:rPr>
        <w:t>Selbstpetition: NIW und EB-1A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Zwei Wege kommen ohne Arbeitgeber und PERM aus. Beim </w:t>
      </w:r>
      <w:r>
        <w:rPr>
          <w:rFonts w:eastAsia="Cambria" w:cs="Cambria"/>
          <w:b w:val="false"/>
          <w:bCs w:val="false"/>
          <w:i/>
          <w:iCs/>
          <w:sz w:val="22"/>
          <w:szCs w:val="22"/>
        </w:rPr>
        <w:t>National Interest Waiver</w:t>
      </w:r>
      <w:r>
        <w:rPr>
          <w:rFonts w:eastAsia="Cambria" w:cs="Cambria"/>
          <w:b w:val="false"/>
          <w:bCs w:val="false"/>
          <w:i w:val="false"/>
          <w:iCs w:val="false"/>
          <w:sz w:val="22"/>
          <w:szCs w:val="22"/>
        </w:rPr>
        <w:t xml:space="preserve"> (NIW, Verzicht auf Jobangebot und Arbeitsmarktprüfung) beantragst du die Green Card in EB-2 selbst, nach der Entscheidung </w:t>
      </w:r>
      <w:r>
        <w:rPr>
          <w:rFonts w:eastAsia="Cambria" w:cs="Cambria"/>
          <w:b w:val="false"/>
          <w:bCs w:val="false"/>
          <w:i/>
          <w:iCs/>
          <w:sz w:val="22"/>
          <w:szCs w:val="22"/>
        </w:rPr>
        <w:t>Matter of Dhanasar</w:t>
      </w:r>
      <w:r>
        <w:rPr>
          <w:rFonts w:eastAsia="Cambria" w:cs="Cambria"/>
          <w:b w:val="false"/>
          <w:bCs w:val="false"/>
          <w:i w:val="false"/>
          <w:iCs w:val="false"/>
          <w:sz w:val="22"/>
          <w:szCs w:val="22"/>
        </w:rPr>
        <w:t xml:space="preserve"> (2016) mit drei Prüfschritten: substanzieller Wert und nationale Bedeutung des Vorhabens, gute Position, es voranzubringen, und ein Verzicht auf das Jobangebot im US-Interesse. Die EB-1A verlangt einen Spitzenpreis oder drei von zehn Kriterien (etwa Veröffentlichungen, Gutachtertätigkeit, hohe Bezahlung) plus Gesamtwürdigung.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Beide gelten als Weg für Forschende, Gründer und Spezialisten, seit 2025 aber deutlich härter: Die NIW-Quote lag laut USCIS-Quartalsdaten im ersten Quartal des Fiskaljahres 2026 bei rund 42 %, im dritten bei 55 %, kumuliert bei etwa 49 % (Vergleich Fiskaljahr 2022 laut Kanzleien: rund 96 %). Die EB-1A fiel von 47,5 % auf 32,2 %, kumuliert auf etwa 41 %. Im Januar 2025 überarbeitete USCIS seine NIW-Prüfleitlinien (strukturiertere Prüfung, höhere Anforderungen an Belege, laut Kanzleiangaben).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Gut jede zweite NIW-Petition und rund sechs von zehn EB-1A-Petitionen wurden in den ersten drei Quartalen des Fiskaljahres 2026 abgelehnt. Die Quoten sagen nichts über deinen Einzelfall, sprechen aber gegen eine Selbstpetition ohne anwaltliche Vorprüfung – halte einen Plan B bereit: den Arbeitgeberweg mit PERM, parallel oder als Rückfall.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Weg über den Arbeitgeber: PERM, I-140, I-485</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Nach ein paar Jahren im H-1B kommt die Green Card irgendwann von selbst. Tatsächlich passiert nichts automatisch – ohne einen Arbeitgeber, der die Arbeitsmarktprüfung PERM anstößt, oder eine eigene Selbstpetition bleibst du auf Dauer im befristeten Status, auch nach zehn Jahren. Die meisten Fachkräfte gehen deshalb aktiv den folgenden Weg, oft aus dem H-1B oder L-1 heraus; beide Status erlauben </w:t>
      </w:r>
      <w:r>
        <w:rPr>
          <w:rFonts w:eastAsia="Cambria" w:cs="Cambria"/>
          <w:b w:val="false"/>
          <w:bCs w:val="false"/>
          <w:i/>
          <w:iCs/>
          <w:sz w:val="22"/>
          <w:szCs w:val="22"/>
        </w:rPr>
        <w:t>Dual Intent</w:t>
      </w:r>
      <w:r>
        <w:rPr>
          <w:rFonts w:eastAsia="Cambria" w:cs="Cambria"/>
          <w:b w:val="false"/>
          <w:bCs w:val="false"/>
          <w:i w:val="false"/>
          <w:iCs w:val="false"/>
          <w:sz w:val="22"/>
          <w:szCs w:val="22"/>
        </w:rPr>
        <w:t>, also die gleichzeitige Green-Card-Absicht. Er hat sechs Stationen:</w:t>
      </w:r>
    </w:p>
    <w:p>
      <w:pPr>
        <w:pStyle w:val="ListParagraph"/>
        <w:numPr>
          <w:ilvl w:val="0"/>
          <w:numId w:val="87"/>
        </w:numPr>
        <w:spacing w:lineRule="exact" w:line="288" w:before="0" w:after="60"/>
        <w:rPr/>
      </w:pPr>
      <w:r>
        <w:rPr>
          <w:rFonts w:eastAsia="Cambria" w:cs="Cambria"/>
          <w:b/>
          <w:bCs/>
          <w:i w:val="false"/>
          <w:iCs w:val="false"/>
          <w:sz w:val="22"/>
          <w:szCs w:val="22"/>
        </w:rPr>
        <w:t>Lohnbescheid</w:t>
      </w:r>
      <w:r>
        <w:rPr>
          <w:rFonts w:eastAsia="Cambria" w:cs="Cambria"/>
          <w:b w:val="false"/>
          <w:bCs w:val="false"/>
          <w:i w:val="false"/>
          <w:iCs w:val="false"/>
          <w:sz w:val="22"/>
          <w:szCs w:val="22"/>
        </w:rPr>
        <w:t xml:space="preserve"> (</w:t>
      </w:r>
      <w:r>
        <w:rPr>
          <w:rFonts w:eastAsia="Cambria" w:cs="Cambria"/>
          <w:b w:val="false"/>
          <w:bCs w:val="false"/>
          <w:i/>
          <w:iCs/>
          <w:sz w:val="22"/>
          <w:szCs w:val="22"/>
        </w:rPr>
        <w:t>Prevailing Wage Determination</w:t>
      </w:r>
      <w:r>
        <w:rPr>
          <w:rFonts w:eastAsia="Cambria" w:cs="Cambria"/>
          <w:b w:val="false"/>
          <w:bCs w:val="false"/>
          <w:i w:val="false"/>
          <w:iCs w:val="false"/>
          <w:sz w:val="22"/>
          <w:szCs w:val="22"/>
        </w:rPr>
        <w:t>, PWD): Das Arbeitsministerium DOL legt den Mindestlohn für Stelle und Arbeitsort fest (Form ETA-9141).</w:t>
      </w:r>
    </w:p>
    <w:p>
      <w:pPr>
        <w:pStyle w:val="ListParagraph"/>
        <w:numPr>
          <w:ilvl w:val="0"/>
          <w:numId w:val="88"/>
        </w:numPr>
        <w:spacing w:lineRule="exact" w:line="288" w:before="0" w:after="60"/>
        <w:rPr/>
      </w:pPr>
      <w:r>
        <w:rPr>
          <w:rFonts w:eastAsia="Cambria" w:cs="Cambria"/>
          <w:b/>
          <w:bCs/>
          <w:i w:val="false"/>
          <w:iCs w:val="false"/>
          <w:sz w:val="22"/>
          <w:szCs w:val="22"/>
        </w:rPr>
        <w:t>Stellensuche</w:t>
      </w:r>
      <w:r>
        <w:rPr>
          <w:rFonts w:eastAsia="Cambria" w:cs="Cambria"/>
          <w:b w:val="false"/>
          <w:bCs w:val="false"/>
          <w:i w:val="false"/>
          <w:iCs w:val="false"/>
          <w:sz w:val="22"/>
          <w:szCs w:val="22"/>
        </w:rPr>
        <w:t xml:space="preserve"> (</w:t>
      </w:r>
      <w:r>
        <w:rPr>
          <w:rFonts w:eastAsia="Cambria" w:cs="Cambria"/>
          <w:b w:val="false"/>
          <w:bCs w:val="false"/>
          <w:i/>
          <w:iCs/>
          <w:sz w:val="22"/>
          <w:szCs w:val="22"/>
        </w:rPr>
        <w:t>Recruitment</w:t>
      </w:r>
      <w:r>
        <w:rPr>
          <w:rFonts w:eastAsia="Cambria" w:cs="Cambria"/>
          <w:b w:val="false"/>
          <w:bCs w:val="false"/>
          <w:i w:val="false"/>
          <w:iCs w:val="false"/>
          <w:sz w:val="22"/>
          <w:szCs w:val="22"/>
        </w:rPr>
        <w:t>): Der Arbeitgeber schreibt die Stelle vorschriftsmäßig aus: 30 Tage bei der Arbeitsagentur des Bundesstaats, zwei Sonntagsanzeigen, drei weitere Schritte aus einer Liste von zehn, ein interner Aushang, danach 30 Tage Ruhezeit. Meldet sich ein qualifizierter US-Arbeitnehmer, kann die Zertifizierung scheitern.</w:t>
      </w:r>
    </w:p>
    <w:p>
      <w:pPr>
        <w:pStyle w:val="ListParagraph"/>
        <w:numPr>
          <w:ilvl w:val="0"/>
          <w:numId w:val="89"/>
        </w:numPr>
        <w:spacing w:lineRule="exact" w:line="288" w:before="0" w:after="60"/>
        <w:rPr/>
      </w:pPr>
      <w:r>
        <w:rPr>
          <w:rFonts w:eastAsia="Cambria" w:cs="Cambria"/>
          <w:b/>
          <w:bCs/>
          <w:i w:val="false"/>
          <w:iCs w:val="false"/>
          <w:sz w:val="22"/>
          <w:szCs w:val="22"/>
        </w:rPr>
        <w:t>Antrag ETA-9089</w:t>
      </w:r>
      <w:r>
        <w:rPr>
          <w:rFonts w:eastAsia="Cambria" w:cs="Cambria"/>
          <w:b w:val="false"/>
          <w:bCs w:val="false"/>
          <w:i w:val="false"/>
          <w:iCs w:val="false"/>
          <w:sz w:val="22"/>
          <w:szCs w:val="22"/>
        </w:rPr>
        <w:t xml:space="preserve"> über das Portal FLAG des DOL. Mit der Einreichung entsteht dein </w:t>
      </w:r>
      <w:r>
        <w:rPr>
          <w:rFonts w:eastAsia="Cambria" w:cs="Cambria"/>
          <w:b w:val="false"/>
          <w:bCs w:val="false"/>
          <w:i/>
          <w:iCs/>
          <w:sz w:val="22"/>
          <w:szCs w:val="22"/>
        </w:rPr>
        <w:t>Priority Date</w:t>
      </w:r>
      <w:r>
        <w:rPr>
          <w:rFonts w:eastAsia="Cambria" w:cs="Cambria"/>
          <w:b w:val="false"/>
          <w:bCs w:val="false"/>
          <w:i w:val="false"/>
          <w:iCs w:val="false"/>
          <w:sz w:val="22"/>
          <w:szCs w:val="22"/>
        </w:rPr>
        <w:t>, dein Platz in der Warteschlange.</w:t>
      </w:r>
    </w:p>
    <w:p>
      <w:pPr>
        <w:pStyle w:val="ListParagraph"/>
        <w:numPr>
          <w:ilvl w:val="0"/>
          <w:numId w:val="90"/>
        </w:numPr>
        <w:spacing w:lineRule="exact" w:line="288" w:before="0" w:after="60"/>
        <w:rPr/>
      </w:pPr>
      <w:r>
        <w:rPr>
          <w:rFonts w:eastAsia="Cambria" w:cs="Cambria"/>
          <w:b/>
          <w:bCs/>
          <w:i w:val="false"/>
          <w:iCs w:val="false"/>
          <w:sz w:val="22"/>
          <w:szCs w:val="22"/>
        </w:rPr>
        <w:t>Prüfung und Zertifizierung:</w:t>
      </w:r>
      <w:r>
        <w:rPr>
          <w:rFonts w:eastAsia="Cambria" w:cs="Cambria"/>
          <w:b w:val="false"/>
          <w:bCs w:val="false"/>
          <w:i w:val="false"/>
          <w:iCs w:val="false"/>
          <w:sz w:val="22"/>
          <w:szCs w:val="22"/>
        </w:rPr>
        <w:t xml:space="preserve"> Nach der Analystenprüfung bestätigt das DOL die PERM (</w:t>
      </w:r>
      <w:r>
        <w:rPr>
          <w:rFonts w:eastAsia="Cambria" w:cs="Cambria"/>
          <w:b w:val="false"/>
          <w:bCs w:val="false"/>
          <w:i/>
          <w:iCs/>
          <w:sz w:val="22"/>
          <w:szCs w:val="22"/>
        </w:rPr>
        <w:t>Labor Certification</w:t>
      </w:r>
      <w:r>
        <w:rPr>
          <w:rFonts w:eastAsia="Cambria" w:cs="Cambria"/>
          <w:b w:val="false"/>
          <w:bCs w:val="false"/>
          <w:i w:val="false"/>
          <w:iCs w:val="false"/>
          <w:sz w:val="22"/>
          <w:szCs w:val="22"/>
        </w:rPr>
        <w:t>), gültig 180 Tage für die nächste Station.</w:t>
      </w:r>
    </w:p>
    <w:p>
      <w:pPr>
        <w:pStyle w:val="ListParagraph"/>
        <w:numPr>
          <w:ilvl w:val="0"/>
          <w:numId w:val="91"/>
        </w:numPr>
        <w:spacing w:lineRule="exact" w:line="288" w:before="0" w:after="60"/>
        <w:rPr/>
      </w:pPr>
      <w:r>
        <w:rPr>
          <w:rFonts w:eastAsia="Cambria" w:cs="Cambria"/>
          <w:b/>
          <w:bCs/>
          <w:i w:val="false"/>
          <w:iCs w:val="false"/>
          <w:sz w:val="22"/>
          <w:szCs w:val="22"/>
        </w:rPr>
        <w:t>Petition I-140</w:t>
      </w:r>
      <w:r>
        <w:rPr>
          <w:rFonts w:eastAsia="Cambria" w:cs="Cambria"/>
          <w:b w:val="false"/>
          <w:bCs w:val="false"/>
          <w:i w:val="false"/>
          <w:iCs w:val="false"/>
          <w:sz w:val="22"/>
          <w:szCs w:val="22"/>
        </w:rPr>
        <w:t xml:space="preserve"> bei USCIS: Der Arbeitgeber weist Bedarf, Zahlungsfähigkeit und deine Qualifikation nach.</w:t>
      </w:r>
    </w:p>
    <w:p>
      <w:pPr>
        <w:pStyle w:val="ListParagraph"/>
        <w:numPr>
          <w:ilvl w:val="0"/>
          <w:numId w:val="92"/>
        </w:numPr>
        <w:spacing w:lineRule="exact" w:line="288" w:before="0" w:after="60"/>
        <w:rPr/>
      </w:pPr>
      <w:r>
        <w:rPr>
          <w:rFonts w:eastAsia="Cambria" w:cs="Cambria"/>
          <w:b/>
          <w:bCs/>
          <w:i w:val="false"/>
          <w:iCs w:val="false"/>
          <w:sz w:val="22"/>
          <w:szCs w:val="22"/>
        </w:rPr>
        <w:t>I-485 oder Konsulat:</w:t>
      </w:r>
      <w:r>
        <w:rPr>
          <w:rFonts w:eastAsia="Cambria" w:cs="Cambria"/>
          <w:b w:val="false"/>
          <w:bCs w:val="false"/>
          <w:i w:val="false"/>
          <w:iCs w:val="false"/>
          <w:sz w:val="22"/>
          <w:szCs w:val="22"/>
        </w:rPr>
        <w:t xml:space="preserve"> Sobald dein Priority Date erreicht ist, folgt die Statusanpassung im Inland oder das Einwanderungsvisum (nächster Abschnitt).</w:t>
      </w:r>
    </w:p>
    <w:p>
      <w:pPr>
        <w:pStyle w:val="Normal"/>
        <w:spacing w:lineRule="exact" w:line="120" w:before="0" w:after="0"/>
        <w:rPr/>
      </w:pPr>
      <w:r>
        <w:rPr/>
      </w:r>
    </w:p>
    <w:tbl>
      <w:tblPr>
        <w:tblW w:w="6480" w:type="dxa"/>
        <w:jc w:val="left"/>
        <w:tblInd w:w="0" w:type="dxa"/>
        <w:tblLayout w:type="fixed"/>
        <w:tblCellMar>
          <w:top w:w="50" w:type="dxa"/>
          <w:left w:w="80" w:type="dxa"/>
          <w:bottom w:w="50" w:type="dxa"/>
          <w:right w:w="80" w:type="dxa"/>
        </w:tblCellMar>
      </w:tblPr>
      <w:tblGrid>
        <w:gridCol w:w="949"/>
        <w:gridCol w:w="2784"/>
        <w:gridCol w:w="2747"/>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Schritt</w:t>
            </w:r>
          </w:p>
        </w:tc>
        <w:tc>
          <w:tcPr>
            <w:tcW w:w="278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Dauer (Stand September 2026)</w:t>
            </w:r>
          </w:p>
        </w:tc>
        <w:tc>
          <w:tcPr>
            <w:tcW w:w="274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Kosten und wer zahlt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Lohnbescheid (PWD)</w:t>
            </w:r>
          </w:p>
        </w:tc>
        <w:tc>
          <w:tcPr>
            <w:tcW w:w="27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3,5–4 Monate; DOL bearbeitet Anträge von Mai 2026</w:t>
            </w:r>
          </w:p>
        </w:tc>
        <w:tc>
          <w:tcPr>
            <w:tcW w:w="27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DOL-Gebühr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Stellensuche</w:t>
            </w:r>
          </w:p>
        </w:tc>
        <w:tc>
          <w:tcPr>
            <w:tcW w:w="27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2–3 Monate (Schätzung)</w:t>
            </w:r>
          </w:p>
        </w:tc>
        <w:tc>
          <w:tcPr>
            <w:tcW w:w="27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Anzeigen, Kanzlei: Arbeitgeber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PERM (ETA-9089)</w:t>
            </w:r>
          </w:p>
        </w:tc>
        <w:tc>
          <w:tcPr>
            <w:tcW w:w="27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Analystenprüfung im Schnitt 336 Tage; Audit dauert länger</w:t>
            </w:r>
          </w:p>
        </w:tc>
        <w:tc>
          <w:tcPr>
            <w:tcW w:w="27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DOL-Gebühr; Arbeitgeber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I-140</w:t>
            </w:r>
          </w:p>
        </w:tc>
        <w:tc>
          <w:tcPr>
            <w:tcW w:w="27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Reguläre Dauer schwankt; mit </w:t>
            </w:r>
            <w:r>
              <w:rPr>
                <w:rFonts w:eastAsia="Cambria" w:cs="Cambria"/>
                <w:b w:val="false"/>
                <w:bCs w:val="false"/>
                <w:i/>
                <w:iCs/>
                <w:sz w:val="18"/>
                <w:szCs w:val="18"/>
              </w:rPr>
              <w:t>Premium Processing</w:t>
            </w:r>
            <w:r>
              <w:rPr>
                <w:rFonts w:eastAsia="Cambria" w:cs="Cambria"/>
                <w:b w:val="false"/>
                <w:bCs w:val="false"/>
                <w:i w:val="false"/>
                <w:iCs w:val="false"/>
                <w:sz w:val="18"/>
                <w:szCs w:val="18"/>
              </w:rPr>
              <w:t xml:space="preserve"> (Form I-907) 15 Werktage (45 bei EB-1C und NIW)</w:t>
            </w:r>
          </w:p>
        </w:tc>
        <w:tc>
          <w:tcPr>
            <w:tcW w:w="27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715 $ (online 665 $) plus 600 $ Asylum Program Fee; Premium 2.965 $</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I-485 im Inland</w:t>
            </w:r>
          </w:p>
        </w:tc>
        <w:tc>
          <w:tcPr>
            <w:tcW w:w="27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8–24 Monate (Aggregatorenangaben)</w:t>
            </w:r>
          </w:p>
        </w:tc>
        <w:tc>
          <w:tcPr>
            <w:tcW w:w="27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1.440 $ (online 1.390 $) je Erwachsenem: du</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Zum Tempo: Ende August 2026 prüfte das DOL PERM-Anträge vom November 2025 – wer heute einreicht, kann sich auf rund ein Jahr Wartezeit allein für diesen Schritt einstellen. Nach zertifizierter PERM wird die I-140 in den allermeisten Fällen genehmigt (EB-2 ohne NIW 97 %, EB-3 97–98 %). Die Bremse ist der I-485: Am Ende des dritten Quartals des Fiskaljahres 2026 waren rund 268.000 arbeitsbasierte Anträge anhängig, im Quartal wurden rund 42.000 genehmigt. Beschleunigen lässt sich nur die I-140, nicht der I-485.</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Kläre das Sponsoring vor der Vertragsunterschrift schriftlich: Wann startet der Arbeitgeber die PERM, wer zahlt was, was gilt bei einer Kündigung? Die Kosten der Arbeitsmarktprüfung (Anzeigen, Kanzlei) trägt der Arbeitgeber – er darf sie weder ganz noch teilweise von dir zurückverlangen (Bundesvorschrift 20 CFR 656.12(b)); nur einen eigenen, gesonderten Anwalt darfst du selbst bezahlen. Prüfe auch, ob der Vertrag Rückzahlungsklauseln enthält – und bedenke: Dein Priority Date entsteht erst mit dem Antrag ETA-9089, jeder Monat Zögern beim Start verschiebt alles.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Nach der I-140: I-485, Arbeitserlaubnis, Jobwechsel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Ist dein Priority Date nach der USCIS-Tabelle bereits erreicht, kannst du I-140 und I-485 zusammen einreichen (</w:t>
      </w:r>
      <w:r>
        <w:rPr>
          <w:rFonts w:eastAsia="Cambria" w:cs="Cambria"/>
          <w:b w:val="false"/>
          <w:bCs w:val="false"/>
          <w:i/>
          <w:iCs/>
          <w:sz w:val="22"/>
          <w:szCs w:val="22"/>
        </w:rPr>
        <w:t>Concurrent Filing</w:t>
      </w:r>
      <w:r>
        <w:rPr>
          <w:rFonts w:eastAsia="Cambria" w:cs="Cambria"/>
          <w:b w:val="false"/>
          <w:bCs w:val="false"/>
          <w:i w:val="false"/>
          <w:iCs w:val="false"/>
          <w:sz w:val="22"/>
          <w:szCs w:val="22"/>
        </w:rPr>
        <w:t>) – im September 2026 gilt das für EB-1 und EB-2 (Rest der Welt), bei EB-3 nur für Priority Dates vor dem 1. September 2024. Mit dem I-485 beantragst du auf Wunsch eine Arbeitserlaubnis (</w:t>
      </w:r>
      <w:r>
        <w:rPr>
          <w:rFonts w:eastAsia="Cambria" w:cs="Cambria"/>
          <w:b w:val="false"/>
          <w:bCs w:val="false"/>
          <w:i/>
          <w:iCs/>
          <w:sz w:val="22"/>
          <w:szCs w:val="22"/>
        </w:rPr>
        <w:t>Employment Authorization Document</w:t>
      </w:r>
      <w:r>
        <w:rPr>
          <w:rFonts w:eastAsia="Cambria" w:cs="Cambria"/>
          <w:b w:val="false"/>
          <w:bCs w:val="false"/>
          <w:i w:val="false"/>
          <w:iCs w:val="false"/>
          <w:sz w:val="22"/>
          <w:szCs w:val="22"/>
        </w:rPr>
        <w:t>, EAD; Form I-765, 260 $) und ein Reisedokument (</w:t>
      </w:r>
      <w:r>
        <w:rPr>
          <w:rFonts w:eastAsia="Cambria" w:cs="Cambria"/>
          <w:b w:val="false"/>
          <w:bCs w:val="false"/>
          <w:i/>
          <w:iCs/>
          <w:sz w:val="22"/>
          <w:szCs w:val="22"/>
        </w:rPr>
        <w:t>Advance Parole</w:t>
      </w:r>
      <w:r>
        <w:rPr>
          <w:rFonts w:eastAsia="Cambria" w:cs="Cambria"/>
          <w:b w:val="false"/>
          <w:bCs w:val="false"/>
          <w:i w:val="false"/>
          <w:iCs w:val="false"/>
          <w:sz w:val="22"/>
          <w:szCs w:val="22"/>
        </w:rPr>
        <w:t>; Form I-131, 630 $, online 580 $). Für neue Anträge gilt die EAD seit Dezember 2025 höchstens 18 Monate (vorher fünf Jahre), seit Ende Oktober 2025 laut Kanzleiberichten ohne automatische Fortgeltung bei Verlängerungsanträgen. Auch dein Ehepartner kann mit seinem I-485 eine EAD beantragen und damit für jeden Arbeitgeber arbeiten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Was du selbst zahlst: die I-485-Gebühr je Antragsteller, dazu je nach Bedarf EAD und Advance Parole, den Arzt (für das Formular I-693 verlangt USCIS keine Gebühr, die Praxis schon) und Übersetzungen.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Reichst du den I-485 online ein, sparst du 50 $ je Antrag. Bei zwei Erwachsenen und zwei Kindern unter 14 sind das 200 $.</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180 Tagen mit anhängigem I-485 darfst du den Arbeitgeber wechseln, wenn die I-140 genehmigt oder genehmigungsfähig ist und das neue Angebot in derselben oder einer ähnlichen Tätigkeit liegt (</w:t>
      </w:r>
      <w:r>
        <w:rPr>
          <w:rFonts w:eastAsia="Cambria" w:cs="Cambria"/>
          <w:b w:val="false"/>
          <w:bCs w:val="false"/>
          <w:i/>
          <w:iCs/>
          <w:sz w:val="22"/>
          <w:szCs w:val="22"/>
        </w:rPr>
        <w:t>AC21</w:t>
      </w:r>
      <w:r>
        <w:rPr>
          <w:rFonts w:eastAsia="Cambria" w:cs="Cambria"/>
          <w:b w:val="false"/>
          <w:bCs w:val="false"/>
          <w:i w:val="false"/>
          <w:iCs w:val="false"/>
          <w:sz w:val="22"/>
          <w:szCs w:val="22"/>
        </w:rPr>
        <w:t>,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 Verlängerungen des H-1B über sechs Jahre hinaus erklärt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 Markus, 38, arbeitet im Großraum Detroit im H-1B-Status. Im Arbeitsvertrag steht, dass der Arbeitgeber das Green-Card-Verfahren im ersten Jahr startet und die PERM-Kosten trägt. Die Kanzlei stuft die Stelle als EB-2 ein, weil sie einen Master verlangt. Lohnbescheid (4 Monate), Ausschreibung (3 Monate) und Analystenprüfung (rund 11 Monate) ergeben eine zertifizierte PERM nach gut anderthalb Jahren; die I-140 folgt mit Premium Processing. Ist EB-2 dann noch current, reicht die Kanzlei den I-485 für alle vier ein: 1.440 $ für Markus und Anna, 950 $ für Lena (9) und Jonas (5), zusammen 4.780 $ bei Papieranträgen. Anna beantragt zusätzlich eine eigene EAD (260 $) – die Arbeitserlaubnis, auf die sie seit der Ankunft gewartet hat. Gut drei Jahre nach dem Start rechnet die Kanzlei mit den Green Cards.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Im Inland oder über das Konsulat?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Ist deine Kategorie current oder dein Priority Date erreicht, führen zwei Türen zur Karte: Bei der Statusanpassung (</w:t>
      </w:r>
      <w:r>
        <w:rPr>
          <w:rFonts w:eastAsia="Cambria" w:cs="Cambria"/>
          <w:b w:val="false"/>
          <w:bCs w:val="false"/>
          <w:i/>
          <w:iCs/>
          <w:sz w:val="22"/>
          <w:szCs w:val="22"/>
        </w:rPr>
        <w:t>Adjustment of Status</w:t>
      </w:r>
      <w:r>
        <w:rPr>
          <w:rFonts w:eastAsia="Cambria" w:cs="Cambria"/>
          <w:b w:val="false"/>
          <w:bCs w:val="false"/>
          <w:i w:val="false"/>
          <w:iCs w:val="false"/>
          <w:sz w:val="22"/>
          <w:szCs w:val="22"/>
        </w:rPr>
        <w:t xml:space="preserve">, Form I-485) bleibst du in den USA und wechselst bei USCIS in den LPR-Status; beim </w:t>
      </w:r>
      <w:r>
        <w:rPr>
          <w:rFonts w:eastAsia="Cambria" w:cs="Cambria"/>
          <w:b w:val="false"/>
          <w:bCs w:val="false"/>
          <w:i/>
          <w:iCs/>
          <w:sz w:val="22"/>
          <w:szCs w:val="22"/>
        </w:rPr>
        <w:t>Consular Processing</w:t>
      </w:r>
      <w:r>
        <w:rPr>
          <w:rFonts w:eastAsia="Cambria" w:cs="Cambria"/>
          <w:b w:val="false"/>
          <w:bCs w:val="false"/>
          <w:i w:val="false"/>
          <w:iCs w:val="false"/>
          <w:sz w:val="22"/>
          <w:szCs w:val="22"/>
        </w:rPr>
        <w:t xml:space="preserve"> reist du mit einem Einwanderungsvisum ein – das Verfahren läuft über das Nationale Visumzentrum (</w:t>
      </w:r>
      <w:r>
        <w:rPr>
          <w:rFonts w:eastAsia="Cambria" w:cs="Cambria"/>
          <w:b w:val="false"/>
          <w:bCs w:val="false"/>
          <w:i/>
          <w:iCs/>
          <w:sz w:val="22"/>
          <w:szCs w:val="22"/>
        </w:rPr>
        <w:t>National Visa Center</w:t>
      </w:r>
      <w:r>
        <w:rPr>
          <w:rFonts w:eastAsia="Cambria" w:cs="Cambria"/>
          <w:b w:val="false"/>
          <w:bCs w:val="false"/>
          <w:i w:val="false"/>
          <w:iCs w:val="false"/>
          <w:sz w:val="22"/>
          <w:szCs w:val="22"/>
        </w:rPr>
        <w:t>, NVC) und das Generalkonsulat Frankfurt, das laut Kanzleiangaben alle Einwanderungsvisa für Deutschland bearbeitet.</w:t>
      </w:r>
    </w:p>
    <w:tbl>
      <w:tblPr>
        <w:tblW w:w="6480" w:type="dxa"/>
        <w:jc w:val="left"/>
        <w:tblInd w:w="0" w:type="dxa"/>
        <w:tblLayout w:type="fixed"/>
        <w:tblCellMar>
          <w:top w:w="50" w:type="dxa"/>
          <w:left w:w="80" w:type="dxa"/>
          <w:bottom w:w="50" w:type="dxa"/>
          <w:right w:w="80" w:type="dxa"/>
        </w:tblCellMar>
      </w:tblPr>
      <w:tblGrid>
        <w:gridCol w:w="949"/>
        <w:gridCol w:w="2778"/>
        <w:gridCol w:w="2753"/>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Kriterium</w:t>
            </w:r>
          </w:p>
        </w:tc>
        <w:tc>
          <w:tcPr>
            <w:tcW w:w="277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I-485 im Inland</w:t>
            </w:r>
          </w:p>
        </w:tc>
        <w:tc>
          <w:tcPr>
            <w:tcW w:w="275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Konsulat Frankfurt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Geeignet für</w:t>
            </w:r>
          </w:p>
        </w:tc>
        <w:tc>
          <w:tcPr>
            <w:tcW w:w="27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Wer schon in H-1B oder L-1 im Land ist</w:t>
            </w:r>
          </w:p>
        </w:tc>
        <w:tc>
          <w:tcPr>
            <w:tcW w:w="27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Wer in Deutschland lebt oder ausreist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Dauer</w:t>
            </w:r>
          </w:p>
        </w:tc>
        <w:tc>
          <w:tcPr>
            <w:tcW w:w="27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8–24 Monate</w:t>
            </w:r>
          </w:p>
        </w:tc>
        <w:tc>
          <w:tcPr>
            <w:tcW w:w="27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4–8 Monate nach I-140 (Schätzung)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Behördengebühren</w:t>
            </w:r>
          </w:p>
        </w:tc>
        <w:tc>
          <w:tcPr>
            <w:tcW w:w="27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1.440 $ (online 1.390 $); Kind unter 14 mit Elternteil 950 $ (900 $)</w:t>
            </w:r>
          </w:p>
        </w:tc>
        <w:tc>
          <w:tcPr>
            <w:tcW w:w="27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Visumantrag DS-260 rund 345 $ je Person (Familienfälle 325 $); USCIS Immigrant Fee 235 $</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Ärztliche Prüfung</w:t>
            </w:r>
          </w:p>
        </w:tc>
        <w:tc>
          <w:tcPr>
            <w:tcW w:w="27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Formular I-693 bei einem </w:t>
            </w:r>
            <w:r>
              <w:rPr>
                <w:rFonts w:eastAsia="Cambria" w:cs="Cambria"/>
                <w:b w:val="false"/>
                <w:bCs w:val="false"/>
                <w:i/>
                <w:iCs/>
                <w:sz w:val="18"/>
                <w:szCs w:val="18"/>
              </w:rPr>
              <w:t>Civil Surgeon</w:t>
            </w:r>
            <w:r>
              <w:rPr>
                <w:rFonts w:eastAsia="Cambria" w:cs="Cambria"/>
                <w:b w:val="false"/>
                <w:bCs w:val="false"/>
                <w:i w:val="false"/>
                <w:iCs w:val="false"/>
                <w:sz w:val="18"/>
                <w:szCs w:val="18"/>
              </w:rPr>
              <w:t xml:space="preserve"> in den USA</w:t>
            </w:r>
          </w:p>
        </w:tc>
        <w:tc>
          <w:tcPr>
            <w:tcW w:w="27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Zugelassener Arzt (</w:t>
            </w:r>
            <w:r>
              <w:rPr>
                <w:rFonts w:eastAsia="Cambria" w:cs="Cambria"/>
                <w:b w:val="false"/>
                <w:bCs w:val="false"/>
                <w:i/>
                <w:iCs/>
                <w:sz w:val="18"/>
                <w:szCs w:val="18"/>
              </w:rPr>
              <w:t>Panel Physician</w:t>
            </w:r>
            <w:r>
              <w:rPr>
                <w:rFonts w:eastAsia="Cambria" w:cs="Cambria"/>
                <w:b w:val="false"/>
                <w:bCs w:val="false"/>
                <w:i w:val="false"/>
                <w:iCs w:val="false"/>
                <w:sz w:val="18"/>
                <w:szCs w:val="18"/>
              </w:rPr>
              <w:t>) in Deutschland</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Ergebnis</w:t>
            </w:r>
          </w:p>
        </w:tc>
        <w:tc>
          <w:tcPr>
            <w:tcW w:w="27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Card per Post</w:t>
            </w:r>
          </w:p>
        </w:tc>
        <w:tc>
          <w:tcPr>
            <w:tcW w:w="27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Visum im Pass, nach der Einreise Green Card per Post</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Beträge des Konsulats stammen aus Kanzleiangaben, die aktuelle Gebühr steht auf travel.state.gov. Das Einwanderungsvisum gilt meist sechs Monate; in dieser Zeit musst du einreisen. Fürs Interview brauchst du unter anderem Pass, Geburts-, gegebenenfalls Heiratsurkunde und ein polizeiliches Führungszeugnis – das deutsche ab 16 Jahren beim Bundesamt für Justiz (fuehrungszeugnis.bund.de), Verwendungszweck „zur Vorlage bei einer ausländischen Behörde“. Ob eine Übersetzung nötig ist, klärt das Konsulat (Näheres zu Übersetzungen und Apostillen in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 Bei gut belegten arbeitsbasierten Fällen entscheidet USCIS im Inland häufig ohne Interview.</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der Praxis wählen Beschäftigte, die schon im Land sind, meist den I-485. Das Konsulat passt, wenn du noch in Deutschland lebst, etwa nach einem genehmigten NIW. Bei current-Kategorie kann es nach der I-140 schneller gehen, verlangt aber die Ausreise.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Mit ESTA einreisen und dann im Land die Green Card beantragen funktioniert nur für Ehepartner von US-Bürgern. Für alle anderen gilt: Wer mit der Absicht einreist, zu bleiben, ohne das offenzulegen, riskiert den Vorwurf der Täuschung, mit Folgen bis zur Einreisesperre. ESTA erlaubt zudem keine Arbeit (Kapitel </w:t>
            </w:r>
            <w:hyperlink w:anchor="k9">
              <w:r>
                <w:rPr>
                  <w:rStyle w:val="ListLabel114"/>
                  <w:rFonts w:eastAsia="Cambria" w:cs="Cambria"/>
                  <w:b w:val="false"/>
                  <w:bCs w:val="false"/>
                  <w:i w:val="false"/>
                  <w:iCs w:val="false"/>
                  <w:sz w:val="20"/>
                  <w:szCs w:val="20"/>
                </w:rPr>
                <w:t>9</w:t>
              </w:r>
            </w:hyperlink>
            <w:r>
              <w:rPr>
                <w:rFonts w:eastAsia="Cambria" w:cs="Cambria"/>
                <w:b w:val="false"/>
                <w:bCs w:val="false"/>
                <w:i w:val="false"/>
                <w:iCs w:val="false"/>
                <w:sz w:val="20"/>
                <w:szCs w:val="20"/>
              </w:rPr>
              <w:t>). Wer im Ausland lebt, geht das Konsularverfahren.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Visa Bulletin lesen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Zahl der Green Cards ist pro Kategorie gedeckelt, kein Land darf mehr als rund sieben Prozent aller Visa erhalten (FY2026: 28.862 je Land) – deshalb veröffentlicht das State Department monatlich das </w:t>
      </w:r>
      <w:r>
        <w:rPr>
          <w:rFonts w:eastAsia="Cambria" w:cs="Cambria"/>
          <w:b w:val="false"/>
          <w:bCs w:val="false"/>
          <w:i/>
          <w:iCs/>
          <w:sz w:val="22"/>
          <w:szCs w:val="22"/>
        </w:rPr>
        <w:t>Visa Bulletin</w:t>
      </w:r>
      <w:r>
        <w:rPr>
          <w:rFonts w:eastAsia="Cambria" w:cs="Cambria"/>
          <w:b w:val="false"/>
          <w:bCs w:val="false"/>
          <w:i w:val="false"/>
          <w:iCs w:val="false"/>
          <w:sz w:val="22"/>
          <w:szCs w:val="22"/>
        </w:rPr>
        <w:t>. Drei Begriffe erklären es:</w:t>
      </w:r>
    </w:p>
    <w:p>
      <w:pPr>
        <w:pStyle w:val="ListParagraph"/>
        <w:numPr>
          <w:ilvl w:val="0"/>
          <w:numId w:val="1"/>
        </w:numPr>
        <w:spacing w:lineRule="exact" w:line="288" w:before="0" w:after="60"/>
        <w:rPr/>
      </w:pPr>
      <w:r>
        <w:rPr>
          <w:rFonts w:eastAsia="Cambria" w:cs="Cambria"/>
          <w:b/>
          <w:bCs/>
          <w:i w:val="false"/>
          <w:iCs w:val="false"/>
          <w:sz w:val="22"/>
          <w:szCs w:val="22"/>
        </w:rPr>
        <w:t>Priority Date (PD):</w:t>
      </w:r>
      <w:r>
        <w:rPr>
          <w:rFonts w:eastAsia="Cambria" w:cs="Cambria"/>
          <w:b w:val="false"/>
          <w:bCs w:val="false"/>
          <w:i w:val="false"/>
          <w:iCs w:val="false"/>
          <w:sz w:val="22"/>
          <w:szCs w:val="22"/>
        </w:rPr>
        <w:t xml:space="preserve"> dein Platz in der Warteschlange – bei PERM-Fällen der Tag der ETA-9089-Einreichung, sonst (EB-1, NIW) der Tag der I-140-Einreichung. Ein genehmigtes I-140 behält das PD in der Regel auch beim Arbeitgeberwechsel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Stichtag</w:t>
      </w:r>
      <w:r>
        <w:rPr>
          <w:rFonts w:eastAsia="Cambria" w:cs="Cambria"/>
          <w:b w:val="false"/>
          <w:bCs w:val="false"/>
          <w:i w:val="false"/>
          <w:iCs w:val="false"/>
          <w:sz w:val="22"/>
          <w:szCs w:val="22"/>
        </w:rPr>
        <w:t xml:space="preserve"> (</w:t>
      </w:r>
      <w:r>
        <w:rPr>
          <w:rFonts w:eastAsia="Cambria" w:cs="Cambria"/>
          <w:b w:val="false"/>
          <w:bCs w:val="false"/>
          <w:i/>
          <w:iCs/>
          <w:sz w:val="22"/>
          <w:szCs w:val="22"/>
        </w:rPr>
        <w:t>Cutoff Date</w:t>
      </w:r>
      <w:r>
        <w:rPr>
          <w:rFonts w:eastAsia="Cambria" w:cs="Cambria"/>
          <w:b w:val="false"/>
          <w:bCs w:val="false"/>
          <w:i w:val="false"/>
          <w:iCs w:val="false"/>
          <w:sz w:val="22"/>
          <w:szCs w:val="22"/>
        </w:rPr>
        <w:t xml:space="preserve">): Nur wer ein PD davor hat, ist an der Reihe: C steht für </w:t>
      </w:r>
      <w:r>
        <w:rPr>
          <w:rFonts w:eastAsia="Cambria" w:cs="Cambria"/>
          <w:b w:val="false"/>
          <w:bCs w:val="false"/>
          <w:i/>
          <w:iCs/>
          <w:sz w:val="22"/>
          <w:szCs w:val="22"/>
        </w:rPr>
        <w:t>current</w:t>
      </w:r>
      <w:r>
        <w:rPr>
          <w:rFonts w:eastAsia="Cambria" w:cs="Cambria"/>
          <w:b w:val="false"/>
          <w:bCs w:val="false"/>
          <w:i w:val="false"/>
          <w:iCs w:val="false"/>
          <w:sz w:val="22"/>
          <w:szCs w:val="22"/>
        </w:rPr>
        <w:t xml:space="preserve"> (alle dran), U für </w:t>
      </w:r>
      <w:r>
        <w:rPr>
          <w:rFonts w:eastAsia="Cambria" w:cs="Cambria"/>
          <w:b w:val="false"/>
          <w:bCs w:val="false"/>
          <w:i/>
          <w:iCs/>
          <w:sz w:val="22"/>
          <w:szCs w:val="22"/>
        </w:rPr>
        <w:t>unavailable</w:t>
      </w:r>
      <w:r>
        <w:rPr>
          <w:rFonts w:eastAsia="Cambria" w:cs="Cambria"/>
          <w:b w:val="false"/>
          <w:bCs w:val="false"/>
          <w:i w:val="false"/>
          <w:iCs w:val="false"/>
          <w:sz w:val="22"/>
          <w:szCs w:val="22"/>
        </w:rPr>
        <w:t xml:space="preserve"> (keine Visa).</w:t>
      </w:r>
    </w:p>
    <w:p>
      <w:pPr>
        <w:pStyle w:val="ListParagraph"/>
        <w:numPr>
          <w:ilvl w:val="0"/>
          <w:numId w:val="1"/>
        </w:numPr>
        <w:spacing w:lineRule="exact" w:line="288" w:before="0" w:after="60"/>
        <w:rPr/>
      </w:pPr>
      <w:r>
        <w:rPr>
          <w:rFonts w:eastAsia="Cambria" w:cs="Cambria"/>
          <w:b/>
          <w:bCs/>
          <w:i w:val="false"/>
          <w:iCs w:val="false"/>
          <w:sz w:val="22"/>
          <w:szCs w:val="22"/>
        </w:rPr>
        <w:t>Zwei Tabellen:</w:t>
      </w:r>
      <w:r>
        <w:rPr>
          <w:rFonts w:eastAsia="Cambria" w:cs="Cambria"/>
          <w:b w:val="false"/>
          <w:bCs w:val="false"/>
          <w:i w:val="false"/>
          <w:iCs w:val="false"/>
          <w:sz w:val="22"/>
          <w:szCs w:val="22"/>
        </w:rPr>
        <w:t xml:space="preserve"> </w:t>
      </w:r>
      <w:r>
        <w:rPr>
          <w:rFonts w:eastAsia="Cambria" w:cs="Cambria"/>
          <w:b w:val="false"/>
          <w:bCs w:val="false"/>
          <w:i/>
          <w:iCs/>
          <w:sz w:val="22"/>
          <w:szCs w:val="22"/>
        </w:rPr>
        <w:t>Final Action Dates</w:t>
      </w:r>
      <w:r>
        <w:rPr>
          <w:rFonts w:eastAsia="Cambria" w:cs="Cambria"/>
          <w:b w:val="false"/>
          <w:bCs w:val="false"/>
          <w:i w:val="false"/>
          <w:iCs w:val="false"/>
          <w:sz w:val="22"/>
          <w:szCs w:val="22"/>
        </w:rPr>
        <w:t xml:space="preserve"> zeigen, ab wann genehmigt werden darf, </w:t>
      </w:r>
      <w:r>
        <w:rPr>
          <w:rFonts w:eastAsia="Cambria" w:cs="Cambria"/>
          <w:b w:val="false"/>
          <w:bCs w:val="false"/>
          <w:i/>
          <w:iCs/>
          <w:sz w:val="22"/>
          <w:szCs w:val="22"/>
        </w:rPr>
        <w:t>Dates for Filing</w:t>
      </w:r>
      <w:r>
        <w:rPr>
          <w:rFonts w:eastAsia="Cambria" w:cs="Cambria"/>
          <w:b w:val="false"/>
          <w:bCs w:val="false"/>
          <w:i w:val="false"/>
          <w:iCs w:val="false"/>
          <w:sz w:val="22"/>
          <w:szCs w:val="22"/>
        </w:rPr>
        <w:t>, ab wann du einreichen darfst. Welche Tabelle für den I-485 zählt, legt USCIS monatlich fest: Stand 1. September 2026 gilt bei arbeitsbasierten Anträgen die Final-Action-, bei familienbasierten die Dates-for-Filing-Tabelle (uscis.gov/green-card).</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geltende Spalte bestimmt dein Geburtsland (</w:t>
      </w:r>
      <w:r>
        <w:rPr>
          <w:rFonts w:eastAsia="Cambria" w:cs="Cambria"/>
          <w:b w:val="false"/>
          <w:bCs w:val="false"/>
          <w:i/>
          <w:iCs/>
          <w:sz w:val="22"/>
          <w:szCs w:val="22"/>
        </w:rPr>
        <w:t>Country of Chargeability</w:t>
      </w:r>
      <w:r>
        <w:rPr>
          <w:rFonts w:eastAsia="Cambria" w:cs="Cambria"/>
          <w:b w:val="false"/>
          <w:bCs w:val="false"/>
          <w:i w:val="false"/>
          <w:iCs w:val="false"/>
          <w:sz w:val="22"/>
          <w:szCs w:val="22"/>
        </w:rPr>
        <w:t>), nicht dein Pass – eine in Indien geborene Deutsche zählt zur Spalte Indien; die Zurechnung über den Ehepartner klärt im Zweifel die Kanzlei. „Rest der Welt“ ist die Spalte „All Chargeability Areas Except Those Listed“.</w:t>
      </w:r>
    </w:p>
    <w:tbl>
      <w:tblPr>
        <w:tblW w:w="6480" w:type="dxa"/>
        <w:jc w:val="left"/>
        <w:tblInd w:w="0" w:type="dxa"/>
        <w:tblLayout w:type="fixed"/>
        <w:tblCellMar>
          <w:top w:w="50" w:type="dxa"/>
          <w:left w:w="80" w:type="dxa"/>
          <w:bottom w:w="50" w:type="dxa"/>
          <w:right w:w="80" w:type="dxa"/>
        </w:tblCellMar>
      </w:tblPr>
      <w:tblGrid>
        <w:gridCol w:w="1929"/>
        <w:gridCol w:w="1502"/>
        <w:gridCol w:w="1428"/>
        <w:gridCol w:w="1620"/>
      </w:tblGrid>
      <w:tr>
        <w:trPr>
          <w:tblHeader w:val="true"/>
          <w:cantSplit w:val="true"/>
        </w:trPr>
        <w:tc>
          <w:tcPr>
            <w:tcW w:w="192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Final Action Dates, September 2026</w:t>
            </w:r>
          </w:p>
        </w:tc>
        <w:tc>
          <w:tcPr>
            <w:tcW w:w="150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Rest der Welt</w:t>
            </w:r>
          </w:p>
        </w:tc>
        <w:tc>
          <w:tcPr>
            <w:tcW w:w="142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China</w:t>
            </w:r>
          </w:p>
        </w:tc>
        <w:tc>
          <w:tcPr>
            <w:tcW w:w="162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Indien</w:t>
            </w:r>
          </w:p>
        </w:tc>
      </w:tr>
      <w:tr>
        <w:trPr>
          <w:cantSplit w:val="true"/>
        </w:trPr>
        <w:tc>
          <w:tcPr>
            <w:tcW w:w="19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EB-1</w:t>
            </w:r>
          </w:p>
        </w:tc>
        <w:tc>
          <w:tcPr>
            <w:tcW w:w="15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current (C)</w:t>
            </w:r>
          </w:p>
        </w:tc>
        <w:tc>
          <w:tcPr>
            <w:tcW w:w="14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 Juli 2023</w:t>
            </w:r>
          </w:p>
        </w:tc>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 Oktober 2022</w:t>
            </w:r>
          </w:p>
        </w:tc>
      </w:tr>
      <w:tr>
        <w:trPr>
          <w:cantSplit w:val="true"/>
        </w:trPr>
        <w:tc>
          <w:tcPr>
            <w:tcW w:w="19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EB-2</w:t>
            </w:r>
          </w:p>
        </w:tc>
        <w:tc>
          <w:tcPr>
            <w:tcW w:w="15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current (C)</w:t>
            </w:r>
          </w:p>
        </w:tc>
        <w:tc>
          <w:tcPr>
            <w:tcW w:w="14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 September 2021</w:t>
            </w:r>
          </w:p>
        </w:tc>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verfügbar (U)</w:t>
            </w:r>
          </w:p>
        </w:tc>
      </w:tr>
      <w:tr>
        <w:trPr>
          <w:cantSplit w:val="true"/>
        </w:trPr>
        <w:tc>
          <w:tcPr>
            <w:tcW w:w="19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EB-3</w:t>
            </w:r>
          </w:p>
        </w:tc>
        <w:tc>
          <w:tcPr>
            <w:tcW w:w="15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 September 2024</w:t>
            </w:r>
          </w:p>
        </w:tc>
        <w:tc>
          <w:tcPr>
            <w:tcW w:w="14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 Januar 2022</w:t>
            </w:r>
          </w:p>
        </w:tc>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 Januar 2014</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Beispiel: Ein PERM-Antrag vom Oktober 2025 hat das Priority Date Oktober 2025. In EB-3 liegt das hinter dem Stichtag vom 1. September 2024 – noch keine Visa-Nummer; in EB-2 ist die Kategorie current, es geht sofort weiter. Eine in Indien geborene Kollegin mit demselben Datum wartet in EB-3 hinter dem Stichtag vom 1. Januar 2014 Jahre auf den Aufruf. Nach der Dates-for-Filing-Tabelle sind im September 2026 zwar alle drei arbeitsbasierten Kategorien für den Rest der Welt current, für den I-485 zählt aber die Final-Action-Tabelle.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Verlauf zeigt das Tempo: EB-2 (Rest der Welt) stand im Oktober 2025 bei 1. Dezember 2023, im März 2026 bei 15. Oktober 2024, seit dem Bulletin für April 2026 ist es current. EB-3 rückte von 1. April 2023 auf 1. September 2024. Grund laut Bulletin: eine gesunkene Zahl ausgestellter Visa, begründet mit der Politik seit Januar 2025 – kein Dauerzustand.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Das September-Bulletin warnt selbst, dass EB-2 vor Ende des Fiskaljahres am 30. September 2026 zurückgestuft oder unverfügbar werden kann. Am 1. Oktober beginnt das Fiskaljahr 2027 mit neuen Nummern; die Oktober-Werte lagen bei Redaktionsschluss (20. September 2026) noch nicht vor – prüfe sie auf travel.state.gov/visabulletin. Ist dein PD current und die I-140 genehmigt, reiche den I-485 sofort ein: Ein eingereichter Antrag bleibt bei einer späteren Rückstufung anhängig und wird entschieden, sobald dein PD wieder vor dem Stichtag liegt.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Wartezeit ergibt sich aus Geburtsland, Kategorie und Priority Date. Der Beruf allein entscheidet nichts.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Wie lange dauert es wirklich?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Bulletin nennt Stichtage, aber nicht die Verfahrenszeit davor und danach. Die folgenden Spannen sind eigene Schätzungen aus den DOL- und USCIS-Daten (Stand Ende August 2026); im Einzelfall können sie deutlich abweichen.</w:t>
      </w:r>
    </w:p>
    <w:tbl>
      <w:tblPr>
        <w:tblW w:w="6480" w:type="dxa"/>
        <w:jc w:val="left"/>
        <w:tblInd w:w="0" w:type="dxa"/>
        <w:tblLayout w:type="fixed"/>
        <w:tblCellMar>
          <w:top w:w="50" w:type="dxa"/>
          <w:left w:w="80" w:type="dxa"/>
          <w:bottom w:w="50" w:type="dxa"/>
          <w:right w:w="80" w:type="dxa"/>
        </w:tblCellMar>
      </w:tblPr>
      <w:tblGrid>
        <w:gridCol w:w="1763"/>
        <w:gridCol w:w="2312"/>
        <w:gridCol w:w="2405"/>
      </w:tblGrid>
      <w:tr>
        <w:trPr>
          <w:tblHeader w:val="true"/>
          <w:cantSplit w:val="true"/>
        </w:trPr>
        <w:tc>
          <w:tcPr>
            <w:tcW w:w="176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Weg (Deutschland)</w:t>
            </w:r>
          </w:p>
        </w:tc>
        <w:tc>
          <w:tcPr>
            <w:tcW w:w="231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Gesamtdauer ab Start</w:t>
            </w:r>
          </w:p>
        </w:tc>
        <w:tc>
          <w:tcPr>
            <w:tcW w:w="240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den Ausschlag gibt</w:t>
            </w:r>
          </w:p>
        </w:tc>
      </w:tr>
      <w:tr>
        <w:trPr>
          <w:cantSplit w:val="true"/>
        </w:trPr>
        <w:tc>
          <w:tcPr>
            <w:tcW w:w="1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PERM, EB-2</w:t>
            </w:r>
          </w:p>
        </w:tc>
        <w:tc>
          <w:tcPr>
            <w:tcW w:w="23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2,5–4,5 Jahre</w:t>
            </w:r>
          </w:p>
        </w:tc>
        <w:tc>
          <w:tcPr>
            <w:tcW w:w="24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Analystenprüfung, I-485</w:t>
            </w:r>
          </w:p>
        </w:tc>
      </w:tr>
      <w:tr>
        <w:trPr>
          <w:cantSplit w:val="true"/>
        </w:trPr>
        <w:tc>
          <w:tcPr>
            <w:tcW w:w="1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PERM, EB-3</w:t>
            </w:r>
          </w:p>
        </w:tc>
        <w:tc>
          <w:tcPr>
            <w:tcW w:w="23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EB-2, plus Wartezeit</w:t>
            </w:r>
          </w:p>
        </w:tc>
        <w:tc>
          <w:tcPr>
            <w:tcW w:w="24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Stichtag 1. September 2024</w:t>
            </w:r>
          </w:p>
        </w:tc>
      </w:tr>
      <w:tr>
        <w:trPr>
          <w:cantSplit w:val="true"/>
        </w:trPr>
        <w:tc>
          <w:tcPr>
            <w:tcW w:w="1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EB-1C, EB-1A, NIW</w:t>
            </w:r>
          </w:p>
        </w:tc>
        <w:tc>
          <w:tcPr>
            <w:tcW w:w="23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1–2,5 Jahre bei Genehmigung</w:t>
            </w:r>
          </w:p>
        </w:tc>
        <w:tc>
          <w:tcPr>
            <w:tcW w:w="24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Ablehnungsrisiko</w:t>
            </w:r>
          </w:p>
        </w:tc>
      </w:tr>
      <w:tr>
        <w:trPr>
          <w:cantSplit w:val="true"/>
        </w:trPr>
        <w:tc>
          <w:tcPr>
            <w:tcW w:w="1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Ehepartner eines US-Bürgers</w:t>
            </w:r>
          </w:p>
        </w:tc>
        <w:tc>
          <w:tcPr>
            <w:tcW w:w="23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20–24 Monate</w:t>
            </w:r>
          </w:p>
        </w:tc>
        <w:tc>
          <w:tcPr>
            <w:tcW w:w="24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I-130 ca. 17 Monate, dann Konsulat</w:t>
            </w:r>
          </w:p>
        </w:tc>
      </w:tr>
      <w:tr>
        <w:trPr>
          <w:cantSplit w:val="true"/>
        </w:trPr>
        <w:tc>
          <w:tcPr>
            <w:tcW w:w="1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Indien, EB-3</w:t>
            </w:r>
          </w:p>
        </w:tc>
        <w:tc>
          <w:tcPr>
            <w:tcW w:w="23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12–13 Jahre Rückstand</w:t>
            </w:r>
          </w:p>
        </w:tc>
        <w:tc>
          <w:tcPr>
            <w:tcW w:w="24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Stichtag 2014</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EB-2/EB-3 addieren sich Lohnbescheid (rund vier Monate), Stellensuche (zwei bis drei), Analystenprüfung (rund elf bis zwölf), I-140 (mit Premium etwa ein Monat) und I-485 (8–24) beziehungsweise Konsulat (vier bis acht) – gut zwei bis knapp vier Jahre in Einzelposten. Die Schätzung von 2,5–4,5 Jahren enthält zusätzlich einen Puffer für Nachforderungen (</w:t>
      </w:r>
      <w:r>
        <w:rPr>
          <w:rFonts w:eastAsia="Cambria" w:cs="Cambria"/>
          <w:b w:val="false"/>
          <w:bCs w:val="false"/>
          <w:i/>
          <w:iCs/>
          <w:sz w:val="22"/>
          <w:szCs w:val="22"/>
        </w:rPr>
        <w:t>Requests for Evidence</w:t>
      </w:r>
      <w:r>
        <w:rPr>
          <w:rFonts w:eastAsia="Cambria" w:cs="Cambria"/>
          <w:b w:val="false"/>
          <w:bCs w:val="false"/>
          <w:i w:val="false"/>
          <w:iCs w:val="false"/>
          <w:sz w:val="22"/>
          <w:szCs w:val="22"/>
        </w:rPr>
        <w:t>), Audits und Leerlauf zwischen den Schritten. Bei EB-1C, EB-1A und NIW entfällt der Arbeitsmarkttest – der Zeitgewinn. Wer mit H-1B startet, hat sechs Jahre Zeit, das reicht für Deutsche meist aus.</w:t>
      </w:r>
    </w:p>
    <w:p>
      <w:pPr>
        <w:pStyle w:val="Heading3"/>
        <w:keepNext w:val="true"/>
        <w:spacing w:before="280" w:after="100"/>
        <w:jc w:val="center"/>
        <w:rPr/>
      </w:pPr>
      <w:r>
        <w:rPr>
          <w:rFonts w:eastAsia="Amazon Ember" w:cs="Amazon Ember" w:ascii="Amazon Ember" w:hAnsi="Amazon Ember"/>
          <w:b/>
          <w:bCs/>
          <w:color w:val="0000FF"/>
          <w:sz w:val="36"/>
          <w:szCs w:val="36"/>
        </w:rPr>
        <w:t>Familie, Investor, Lotterie, Gold Card</w:t>
      </w:r>
    </w:p>
    <w:p>
      <w:pPr>
        <w:pStyle w:val="ListParagraph"/>
        <w:numPr>
          <w:ilvl w:val="0"/>
          <w:numId w:val="1"/>
        </w:numPr>
        <w:spacing w:lineRule="exact" w:line="288" w:before="0" w:after="60"/>
        <w:rPr/>
      </w:pPr>
      <w:r>
        <w:rPr>
          <w:rFonts w:eastAsia="Cambria" w:cs="Cambria"/>
          <w:b/>
          <w:bCs/>
          <w:i w:val="false"/>
          <w:iCs w:val="false"/>
          <w:sz w:val="22"/>
          <w:szCs w:val="22"/>
        </w:rPr>
        <w:t>Ehepartner eines US-Bürgers:</w:t>
      </w:r>
      <w:r>
        <w:rPr>
          <w:rFonts w:eastAsia="Cambria" w:cs="Cambria"/>
          <w:b w:val="false"/>
          <w:bCs w:val="false"/>
          <w:i w:val="false"/>
          <w:iCs w:val="false"/>
          <w:sz w:val="22"/>
          <w:szCs w:val="22"/>
        </w:rPr>
        <w:t xml:space="preserve"> Als </w:t>
      </w:r>
      <w:r>
        <w:rPr>
          <w:rFonts w:eastAsia="Cambria" w:cs="Cambria"/>
          <w:b w:val="false"/>
          <w:bCs w:val="false"/>
          <w:i/>
          <w:iCs/>
          <w:sz w:val="22"/>
          <w:szCs w:val="22"/>
        </w:rPr>
        <w:t>Immediate Relatives</w:t>
      </w:r>
      <w:r>
        <w:rPr>
          <w:rFonts w:eastAsia="Cambria" w:cs="Cambria"/>
          <w:b w:val="false"/>
          <w:bCs w:val="false"/>
          <w:i w:val="false"/>
          <w:iCs w:val="false"/>
          <w:sz w:val="22"/>
          <w:szCs w:val="22"/>
        </w:rPr>
        <w:t xml:space="preserve"> (unmittelbare Angehörige) unterliegen sie keiner Quote, keinem Stichtag. Ablauf: Petition I-130 (675 $ Papier, 625 $ online), NVC (DS-260 325 $, Verpflichtungserklärung I-864 mit 120 $ Prüfgebühr), Interview in Frankfurt, Immigrant Fee 235 $ – laut Kanzleien 2026 rund 17 Monate für die I-130, dann drei bis sechs beim Konsulat; bei rechtmäßiger Einreise geht auch der I-485 im Inland. Ehepartner eines Green-Card-Inhabers (Kategorie F2A) haben im September 2026 den Stichtag 22. August 2026, praktisch current – Engpass ist die I-130-Bearbeitung (mehr in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 xml:space="preserve"> und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Investor (EB-5):</w:t>
      </w:r>
      <w:r>
        <w:rPr>
          <w:rFonts w:eastAsia="Cambria" w:cs="Cambria"/>
          <w:b w:val="false"/>
          <w:bCs w:val="false"/>
          <w:i w:val="false"/>
          <w:iCs w:val="false"/>
          <w:sz w:val="22"/>
          <w:szCs w:val="22"/>
        </w:rPr>
        <w:t xml:space="preserve"> 800.000 $ in einem Zielgebiet (ländlich oder mit hoher Arbeitslosigkeit) beziehungsweise 1.050.000 $ sonst, dazu mindestens zehn Vollzeitstellen – die gesetzlichen Beträge seit dem Reformgesetz von 2022. Die USCIS-Übersichtsseite nannte bei Redaktionsschluss noch höhere Werte einer älteren Regel (900.000 $ und 1,8 Millionen $): prüfe beides vor jeder Investition. Für Fachkräfte kein realistischer Weg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Lotterie (Diversity Visa):</w:t>
      </w:r>
      <w:r>
        <w:rPr>
          <w:rFonts w:eastAsia="Cambria" w:cs="Cambria"/>
          <w:b w:val="false"/>
          <w:bCs w:val="false"/>
          <w:i w:val="false"/>
          <w:iCs w:val="false"/>
          <w:sz w:val="22"/>
          <w:szCs w:val="22"/>
        </w:rPr>
        <w:t xml:space="preserve"> 55.000 Green Cards pro Jahr. Die Vergabe war seit Dezember 2025 ausgesetzt und läuft nach einem Gerichtsbeschluss vom 28. August 2026 wieder; das Programmjahr 2026 endet am 30. September, die Registrierung für 2027 ist nicht eröffnet. Als Plan taugt sie nicht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Gold Card:</w:t>
      </w:r>
      <w:r>
        <w:rPr>
          <w:rFonts w:eastAsia="Cambria" w:cs="Cambria"/>
          <w:b w:val="false"/>
          <w:bCs w:val="false"/>
          <w:i w:val="false"/>
          <w:iCs w:val="false"/>
          <w:sz w:val="22"/>
          <w:szCs w:val="22"/>
        </w:rPr>
        <w:t xml:space="preserve"> Nur als Randnotiz: 1 Million $ „Geschenk“ (Firmen: 2 Millionen $ je Angestelltem) plus 15.000 $ Gebühr, eingeordnet in EB-1 oder EB-2. Bis Mitte 2026 war nur eine Genehmigung bekannt, eine Klage ist anhängig. Für Deutsche ist die Wartezeit ohnehin kein Argument, weil EB-1 und EB-2 derzeit current sind – wer eine Million Dollar übrig hat, braucht für die Green Card eher einen Steuerberater als einen Ratgeber.</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Rechte und Pflichten</w:t>
      </w:r>
    </w:p>
    <w:p>
      <w:pPr>
        <w:pStyle w:val="Normal"/>
        <w:keepNext w:val="false"/>
        <w:keepLines w:val="false"/>
        <w:spacing w:lineRule="exact" w:line="288" w:before="0" w:after="140"/>
        <w:jc w:val="left"/>
        <w:rPr/>
      </w:pPr>
      <w:r>
        <w:rPr>
          <w:rFonts w:eastAsia="Cambria" w:cs="Cambria"/>
          <w:b/>
          <w:bCs/>
          <w:i w:val="false"/>
          <w:iCs w:val="false"/>
          <w:sz w:val="22"/>
          <w:szCs w:val="22"/>
        </w:rPr>
        <w:t>Was du darfst.</w:t>
      </w:r>
      <w:r>
        <w:rPr>
          <w:rFonts w:eastAsia="Cambria" w:cs="Cambria"/>
          <w:b w:val="false"/>
          <w:bCs w:val="false"/>
          <w:i w:val="false"/>
          <w:iCs w:val="false"/>
          <w:sz w:val="22"/>
          <w:szCs w:val="22"/>
        </w:rPr>
        <w:t xml:space="preserve"> Arbeiten für jeden Arbeitgeber, auch selbständig; wohnen, wo du willst; ohne Sponsor bleiben. Nach fünf Jahren Aufenthalt (drei bei dreijähriger Ehe mit einem US-Bürger) kannst du die Einbürgerung beantragen (Formular N-400, 760 $ Papier, 710 $ online; Kapitel </w:t>
      </w:r>
      <w:hyperlink w:anchor="k41">
        <w:r>
          <w:rPr>
            <w:rStyle w:val="ListLabel115"/>
            <w:rFonts w:eastAsia="Cambria" w:cs="Cambria"/>
            <w:b w:val="false"/>
            <w:bCs w:val="false"/>
            <w:i w:val="false"/>
            <w:iCs w:val="false"/>
            <w:sz w:val="22"/>
            <w:szCs w:val="22"/>
          </w:rPr>
          <w:t>41</w:t>
        </w:r>
      </w:hyperlink>
      <w:r>
        <w:rPr>
          <w:rFonts w:eastAsia="Cambria" w:cs="Cambria"/>
          <w:b w:val="false"/>
          <w:bCs w:val="false"/>
          <w:i w:val="false"/>
          <w:iCs w:val="false"/>
          <w:sz w:val="22"/>
          <w:szCs w:val="22"/>
        </w:rPr>
        <w:t>). Ein früh vermiedenes Missverständnis: Bei Bundeswahlen darfst du als Green-Card-Inhaber nicht abstimmen – wer es trotzdem tut, riskiert Strafverfahren und Statusverlust. Beim Führerscheinantrag (Kapitel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 taucht oft die Frage nach der Wählerregistrierung auf; als Nichtbürger lässt du sie aus.</w:t>
      </w:r>
    </w:p>
    <w:p>
      <w:pPr>
        <w:pStyle w:val="Normal"/>
        <w:keepNext w:val="false"/>
        <w:keepLines w:val="false"/>
        <w:spacing w:lineRule="exact" w:line="288" w:before="0" w:after="140"/>
        <w:jc w:val="left"/>
        <w:rPr/>
      </w:pPr>
      <w:r>
        <w:rPr>
          <w:rFonts w:eastAsia="Cambria" w:cs="Cambria"/>
          <w:b/>
          <w:bCs/>
          <w:i w:val="false"/>
          <w:iCs w:val="false"/>
          <w:sz w:val="22"/>
          <w:szCs w:val="22"/>
        </w:rPr>
        <w:t>Was du musst:</w:t>
      </w:r>
    </w:p>
    <w:p>
      <w:pPr>
        <w:pStyle w:val="ListParagraph"/>
        <w:numPr>
          <w:ilvl w:val="0"/>
          <w:numId w:val="1"/>
        </w:numPr>
        <w:spacing w:lineRule="exact" w:line="288" w:before="0" w:after="60"/>
        <w:rPr/>
      </w:pPr>
      <w:r>
        <w:rPr>
          <w:rFonts w:eastAsia="Cambria" w:cs="Cambria"/>
          <w:b/>
          <w:bCs/>
          <w:i w:val="false"/>
          <w:iCs w:val="false"/>
          <w:sz w:val="22"/>
          <w:szCs w:val="22"/>
        </w:rPr>
        <w:t>Adresse melden:</w:t>
      </w:r>
      <w:r>
        <w:rPr>
          <w:rFonts w:eastAsia="Cambria" w:cs="Cambria"/>
          <w:b w:val="false"/>
          <w:bCs w:val="false"/>
          <w:i w:val="false"/>
          <w:iCs w:val="false"/>
          <w:sz w:val="22"/>
          <w:szCs w:val="22"/>
        </w:rPr>
        <w:t xml:space="preserve"> Jeder Umzug ist binnen zehn Tagen USCIS zu melden (Form AR-11).</w:t>
      </w:r>
    </w:p>
    <w:p>
      <w:pPr>
        <w:pStyle w:val="ListParagraph"/>
        <w:numPr>
          <w:ilvl w:val="0"/>
          <w:numId w:val="1"/>
        </w:numPr>
        <w:spacing w:lineRule="exact" w:line="288" w:before="0" w:after="60"/>
        <w:rPr/>
      </w:pPr>
      <w:r>
        <w:rPr>
          <w:rFonts w:eastAsia="Cambria" w:cs="Cambria"/>
          <w:b/>
          <w:bCs/>
          <w:i w:val="false"/>
          <w:iCs w:val="false"/>
          <w:sz w:val="22"/>
          <w:szCs w:val="22"/>
        </w:rPr>
        <w:t>Karte mitführen:</w:t>
      </w:r>
      <w:r>
        <w:rPr>
          <w:rFonts w:eastAsia="Cambria" w:cs="Cambria"/>
          <w:b w:val="false"/>
          <w:bCs w:val="false"/>
          <w:i w:val="false"/>
          <w:iCs w:val="false"/>
          <w:sz w:val="22"/>
          <w:szCs w:val="22"/>
        </w:rPr>
        <w:t xml:space="preserve"> Die Green Card gehört zu den Dokumenten, die du bei dir trägst.</w:t>
      </w:r>
    </w:p>
    <w:p>
      <w:pPr>
        <w:pStyle w:val="ListParagraph"/>
        <w:numPr>
          <w:ilvl w:val="0"/>
          <w:numId w:val="1"/>
        </w:numPr>
        <w:spacing w:lineRule="exact" w:line="288" w:before="0" w:after="60"/>
        <w:rPr/>
      </w:pPr>
      <w:r>
        <w:rPr>
          <w:rFonts w:eastAsia="Cambria" w:cs="Cambria"/>
          <w:b/>
          <w:bCs/>
          <w:i w:val="false"/>
          <w:iCs w:val="false"/>
          <w:sz w:val="22"/>
          <w:szCs w:val="22"/>
        </w:rPr>
        <w:t>Steuern:</w:t>
      </w:r>
      <w:r>
        <w:rPr>
          <w:rFonts w:eastAsia="Cambria" w:cs="Cambria"/>
          <w:b w:val="false"/>
          <w:bCs w:val="false"/>
          <w:i w:val="false"/>
          <w:iCs w:val="false"/>
          <w:sz w:val="22"/>
          <w:szCs w:val="22"/>
        </w:rPr>
        <w:t xml:space="preserve"> Steuererklärung als US-Resident mit weltweitem Einkommen und Meldung ausländischer Konten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Selective Service:</w:t>
      </w:r>
      <w:r>
        <w:rPr>
          <w:rFonts w:eastAsia="Cambria" w:cs="Cambria"/>
          <w:b w:val="false"/>
          <w:bCs w:val="false"/>
          <w:i w:val="false"/>
          <w:iCs w:val="false"/>
          <w:sz w:val="22"/>
          <w:szCs w:val="22"/>
        </w:rPr>
        <w:t xml:space="preserve"> Männliche Einwanderer zwischen 18 und 25 müssen sich binnen 30 Tagen nach der Einreise beim </w:t>
      </w:r>
      <w:r>
        <w:rPr>
          <w:rFonts w:eastAsia="Cambria" w:cs="Cambria"/>
          <w:b w:val="false"/>
          <w:bCs w:val="false"/>
          <w:i/>
          <w:iCs/>
          <w:sz w:val="22"/>
          <w:szCs w:val="22"/>
        </w:rPr>
        <w:t>Selective Service</w:t>
      </w:r>
      <w:r>
        <w:rPr>
          <w:rFonts w:eastAsia="Cambria" w:cs="Cambria"/>
          <w:b w:val="false"/>
          <w:bCs w:val="false"/>
          <w:i w:val="false"/>
          <w:iCs w:val="false"/>
          <w:sz w:val="22"/>
          <w:szCs w:val="22"/>
        </w:rPr>
        <w:t xml:space="preserve"> (Wehrerfassung) registrieren, Jugendliche zu ihrem 18. Geburtstag. Das ist eine Erfassung, kein Wehrdienst.</w:t>
      </w:r>
    </w:p>
    <w:p>
      <w:pPr>
        <w:pStyle w:val="ListParagraph"/>
        <w:numPr>
          <w:ilvl w:val="0"/>
          <w:numId w:val="1"/>
        </w:numPr>
        <w:spacing w:lineRule="exact" w:line="288" w:before="0" w:after="60"/>
        <w:rPr/>
      </w:pPr>
      <w:r>
        <w:rPr>
          <w:rFonts w:eastAsia="Cambria" w:cs="Cambria"/>
          <w:b/>
          <w:bCs/>
          <w:i w:val="false"/>
          <w:iCs w:val="false"/>
          <w:sz w:val="22"/>
          <w:szCs w:val="22"/>
        </w:rPr>
        <w:t>Lebensmittelpunkt in den USA:</w:t>
      </w:r>
      <w:r>
        <w:rPr>
          <w:rFonts w:eastAsia="Cambria" w:cs="Cambria"/>
          <w:b w:val="false"/>
          <w:bCs w:val="false"/>
          <w:i w:val="false"/>
          <w:iCs w:val="false"/>
          <w:sz w:val="22"/>
          <w:szCs w:val="22"/>
        </w:rPr>
        <w:t xml:space="preserve"> Alles Weitere hängt daran.</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Reisen, Abwesenheit und der Verlust der Green Card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Green Card erlaubt Reisen, bleibt aber nur gültig, solange die USA dein Lebensmittelpunkt sind – eine feste Tagesgrenze gibt es nicht, wohl aber Schwellen, an denen die Grenzschutzbehörde CBP hinsieht:</w:t>
      </w:r>
    </w:p>
    <w:tbl>
      <w:tblPr>
        <w:tblW w:w="6480" w:type="dxa"/>
        <w:jc w:val="left"/>
        <w:tblInd w:w="0" w:type="dxa"/>
        <w:tblLayout w:type="fixed"/>
        <w:tblCellMar>
          <w:top w:w="50" w:type="dxa"/>
          <w:left w:w="80" w:type="dxa"/>
          <w:bottom w:w="50" w:type="dxa"/>
          <w:right w:w="80" w:type="dxa"/>
        </w:tblCellMar>
      </w:tblPr>
      <w:tblGrid>
        <w:gridCol w:w="1251"/>
        <w:gridCol w:w="3023"/>
        <w:gridCol w:w="2206"/>
      </w:tblGrid>
      <w:tr>
        <w:trPr>
          <w:tblHeader w:val="true"/>
          <w:cantSplit w:val="true"/>
        </w:trPr>
        <w:tc>
          <w:tcPr>
            <w:tcW w:w="125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Auslandsaufenthalt</w:t>
            </w:r>
          </w:p>
        </w:tc>
        <w:tc>
          <w:tcPr>
            <w:tcW w:w="302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Folge</w:t>
            </w:r>
          </w:p>
        </w:tc>
        <w:tc>
          <w:tcPr>
            <w:tcW w:w="220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du tun kannst</w:t>
            </w:r>
          </w:p>
        </w:tc>
      </w:tr>
      <w:tr>
        <w:trPr>
          <w:cantSplit w:val="true"/>
        </w:trPr>
        <w:tc>
          <w:tcPr>
            <w:tcW w:w="12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Unter sechs Monaten</w:t>
            </w:r>
          </w:p>
        </w:tc>
        <w:tc>
          <w:tcPr>
            <w:tcW w:w="3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 der Regel unproblematisch</w:t>
            </w:r>
          </w:p>
        </w:tc>
        <w:tc>
          <w:tcPr>
            <w:tcW w:w="22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Karte und Pass mitführen</w:t>
            </w:r>
          </w:p>
        </w:tc>
      </w:tr>
      <w:tr>
        <w:trPr>
          <w:cantSplit w:val="true"/>
        </w:trPr>
        <w:tc>
          <w:tcPr>
            <w:tcW w:w="12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Mehr als 180 Tage</w:t>
            </w:r>
          </w:p>
        </w:tc>
        <w:tc>
          <w:tcPr>
            <w:tcW w:w="3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CBP prüft, ob du erneut zugelassen wirst (INA 101(a)(13)(C)(ii))</w:t>
            </w:r>
          </w:p>
        </w:tc>
        <w:tc>
          <w:tcPr>
            <w:tcW w:w="22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Bindungen belegen (Wohnung, Job, Steuern)</w:t>
            </w:r>
          </w:p>
        </w:tc>
      </w:tr>
      <w:tr>
        <w:trPr>
          <w:cantSplit w:val="true"/>
        </w:trPr>
        <w:tc>
          <w:tcPr>
            <w:tcW w:w="12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Sechs bis zwölf Monate</w:t>
            </w:r>
          </w:p>
        </w:tc>
        <w:tc>
          <w:tcPr>
            <w:tcW w:w="3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Erhöhte Vermutung der Aufgabe; für die Einbürgerung gilt der Aufenthalt als unterbrochen (widerlegbar)</w:t>
            </w:r>
          </w:p>
        </w:tc>
        <w:tc>
          <w:tcPr>
            <w:tcW w:w="22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Reentry Permit</w:t>
            </w:r>
            <w:r>
              <w:rPr>
                <w:rFonts w:eastAsia="Cambria" w:cs="Cambria"/>
                <w:b w:val="false"/>
                <w:bCs w:val="false"/>
                <w:i w:val="false"/>
                <w:iCs w:val="false"/>
                <w:sz w:val="18"/>
                <w:szCs w:val="18"/>
              </w:rPr>
              <w:t xml:space="preserve"> vorher beantragen</w:t>
            </w:r>
          </w:p>
        </w:tc>
      </w:tr>
      <w:tr>
        <w:trPr>
          <w:cantSplit w:val="true"/>
        </w:trPr>
        <w:tc>
          <w:tcPr>
            <w:tcW w:w="12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einem Jahr</w:t>
            </w:r>
          </w:p>
        </w:tc>
        <w:tc>
          <w:tcPr>
            <w:tcW w:w="3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Card allein reicht nicht zur Wiedereinreise</w:t>
            </w:r>
          </w:p>
        </w:tc>
        <w:tc>
          <w:tcPr>
            <w:tcW w:w="22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Reentry Permit oder Rückkehrvisum SB-1</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w:t>
      </w:r>
      <w:r>
        <w:rPr>
          <w:rFonts w:eastAsia="Cambria" w:cs="Cambria"/>
          <w:b w:val="false"/>
          <w:bCs w:val="false"/>
          <w:i/>
          <w:iCs/>
          <w:sz w:val="22"/>
          <w:szCs w:val="22"/>
        </w:rPr>
        <w:t>Reentry Permit</w:t>
      </w:r>
      <w:r>
        <w:rPr>
          <w:rFonts w:eastAsia="Cambria" w:cs="Cambria"/>
          <w:b w:val="false"/>
          <w:bCs w:val="false"/>
          <w:i w:val="false"/>
          <w:iCs w:val="false"/>
          <w:sz w:val="22"/>
          <w:szCs w:val="22"/>
        </w:rPr>
        <w:t xml:space="preserve"> (Form I-131, 630 $, nur auf Papier) gilt bis zu zwei Jahre; du beantragst es in den USA, mit Fingerabdrucktermin (Biometrie) vor der Ausreise. Es schützt vor dem Argument, dein Aufenthalt sei nicht mehr vorübergehend – nicht aber vor dem Vorwurf, du hättest deinen Wohnsitz längst verlegt. Das Rückkehrvisum SB-1 gibt es nur bei Verzögerung außerhalb deiner Kontrolle. Wer dem Grenzbeamten nach sieben Monaten in Deutschland erklärt, er sei nur kurz weg gewesen, hat ein Beweisproblem.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Aufgabe (</w:t>
      </w:r>
      <w:r>
        <w:rPr>
          <w:rFonts w:eastAsia="Cambria" w:cs="Cambria"/>
          <w:b w:val="false"/>
          <w:bCs w:val="false"/>
          <w:i/>
          <w:iCs/>
          <w:sz w:val="22"/>
          <w:szCs w:val="22"/>
        </w:rPr>
        <w:t>Abandonment</w:t>
      </w:r>
      <w:r>
        <w:rPr>
          <w:rFonts w:eastAsia="Cambria" w:cs="Cambria"/>
          <w:b w:val="false"/>
          <w:bCs w:val="false"/>
          <w:i w:val="false"/>
          <w:iCs w:val="false"/>
          <w:sz w:val="22"/>
          <w:szCs w:val="22"/>
        </w:rPr>
        <w:t xml:space="preserve">): Du ziehst mit der Absicht weg, dauerhaft im Ausland zu leben. Indizien: lange Abwesenheit, ausländischer Wohnsitz, Steuererklärung als </w:t>
      </w:r>
      <w:r>
        <w:rPr>
          <w:rFonts w:eastAsia="Cambria" w:cs="Cambria"/>
          <w:b w:val="false"/>
          <w:bCs w:val="false"/>
          <w:i/>
          <w:iCs/>
          <w:sz w:val="22"/>
          <w:szCs w:val="22"/>
        </w:rPr>
        <w:t>Nonresident</w:t>
      </w:r>
      <w:r>
        <w:rPr>
          <w:rFonts w:eastAsia="Cambria" w:cs="Cambria"/>
          <w:b w:val="false"/>
          <w:bCs w:val="false"/>
          <w:i w:val="false"/>
          <w:iCs w:val="false"/>
          <w:sz w:val="22"/>
          <w:szCs w:val="22"/>
        </w:rPr>
        <w:t>. Kanzleien berichten 2025 und 2026 von häufigerer Zweitkontrolle (</w:t>
      </w:r>
      <w:r>
        <w:rPr>
          <w:rFonts w:eastAsia="Cambria" w:cs="Cambria"/>
          <w:b w:val="false"/>
          <w:bCs w:val="false"/>
          <w:i/>
          <w:iCs/>
          <w:sz w:val="22"/>
          <w:szCs w:val="22"/>
        </w:rPr>
        <w:t>Secondary Inspection</w:t>
      </w:r>
      <w:r>
        <w:rPr>
          <w:rFonts w:eastAsia="Cambria" w:cs="Cambria"/>
          <w:b w:val="false"/>
          <w:bCs w:val="false"/>
          <w:i w:val="false"/>
          <w:iCs w:val="false"/>
          <w:sz w:val="22"/>
          <w:szCs w:val="22"/>
        </w:rPr>
        <w:t>) bei der Wiedereinreise; halte Karte, Steuerbescheide und Mietvertrag griffbereit im Handgepäck, nicht erst zu Hause im Aktenordner.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Verlangt ein Grenzbeamter, das Formular I-407 (freiwillige Aufgabe der Green Card, kostenlos) zu unterschreiben, bist du dazu nicht verpflichtet. Kanzleien raten, nichts zu unterschreiben und ein Verfahren vor dem Einwanderungsrichter zu verlangen – bei Streit entscheidet nicht der Beamte am Schalter über den Statusverlust. Wer länger als sechs Monate weg sein will, beantragt das Reentry Permit vor der Ausreise.</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Green Card bleibt, solange die USA dein Lebensmittelpunkt sind. Nicht die Tage im Reisepass allein entscheiden, sondern das Gesamtbild aus Wohnung, Arbeit, Steuern und Absicht.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bedingte Green Card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Ist die Ehe mit dem US-Partner bei der Genehmigung jünger als zwei Jahre, erhältst du zunächst eine auf zwei Jahre befristete („bedingte“) Green Card (Kategorie CR-1); in den 90 Tagen vor Ablauf beantragst du gemeinsam mit dem Partner die Aufhebung der Bedingung mit Form I-751 (750 $ Papier, 700 $ online) – versäumst du die Frist, droht der Verlust des Status. EB-5-Investoren erhalten ebenfalls zunächst eine bedingte Karte (Aufhebung mit I-829, 3.750 $).</w:t>
      </w:r>
    </w:p>
    <w:p>
      <w:pPr>
        <w:pStyle w:val="Heading3"/>
        <w:keepNext w:val="true"/>
        <w:spacing w:before="280" w:after="100"/>
        <w:jc w:val="center"/>
        <w:rPr/>
      </w:pPr>
      <w:r>
        <w:rPr>
          <w:rFonts w:eastAsia="Amazon Ember" w:cs="Amazon Ember" w:ascii="Amazon Ember" w:hAnsi="Amazon Ember"/>
          <w:b/>
          <w:bCs/>
          <w:color w:val="0000FF"/>
          <w:sz w:val="36"/>
          <w:szCs w:val="36"/>
        </w:rPr>
        <w:t>Steuern: Ab der Green Card weltweit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Mit der Green Card giltst du für die US-Steuer als </w:t>
      </w:r>
      <w:r>
        <w:rPr>
          <w:rFonts w:eastAsia="Cambria" w:cs="Cambria"/>
          <w:b w:val="false"/>
          <w:bCs w:val="false"/>
          <w:i/>
          <w:iCs/>
          <w:sz w:val="22"/>
          <w:szCs w:val="22"/>
        </w:rPr>
        <w:t>Resident</w:t>
      </w:r>
      <w:r>
        <w:rPr>
          <w:rFonts w:eastAsia="Cambria" w:cs="Cambria"/>
          <w:b w:val="false"/>
          <w:bCs w:val="false"/>
          <w:i w:val="false"/>
          <w:iCs w:val="false"/>
          <w:sz w:val="22"/>
          <w:szCs w:val="22"/>
        </w:rPr>
        <w:t>: Die USA besteuern dein weltweites Einkommen – auch Mieten, Zinsen und Renten aus Deutschland – und verlangen Meldungen über Auslandskonten (</w:t>
      </w:r>
      <w:r>
        <w:rPr>
          <w:rFonts w:eastAsia="Cambria" w:cs="Cambria"/>
          <w:b w:val="false"/>
          <w:bCs w:val="false"/>
          <w:i/>
          <w:iCs/>
          <w:sz w:val="22"/>
          <w:szCs w:val="22"/>
        </w:rPr>
        <w:t>FBAR</w:t>
      </w:r>
      <w:r>
        <w:rPr>
          <w:rFonts w:eastAsia="Cambria" w:cs="Cambria"/>
          <w:b w:val="false"/>
          <w:bCs w:val="false"/>
          <w:i w:val="false"/>
          <w:iCs w:val="false"/>
          <w:sz w:val="22"/>
          <w:szCs w:val="22"/>
        </w:rPr>
        <w:t>, der Bericht über ausländische Bankkonten, und Form 8938). Das Doppelbesteuerungsabkommen Deutschland–USA mildert die doppelte Belastung, hebt sie aber nicht immer auf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xml:space="preserve"> für die USA,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 xml:space="preserve"> für die deutsche Seite). Kern ist die Dauer: Wer nach Deutschland zurückgeht und die Karte behält, bleibt steuerlich US-Resident, bis er sie formell aufgibt.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w:t>
      </w:r>
      <w:r>
        <w:rPr>
          <w:rFonts w:eastAsia="Cambria" w:cs="Cambria"/>
          <w:b w:val="false"/>
          <w:bCs w:val="false"/>
          <w:i/>
          <w:iCs/>
          <w:sz w:val="22"/>
          <w:szCs w:val="22"/>
        </w:rPr>
        <w:t>Exit Tax</w:t>
      </w:r>
      <w:r>
        <w:rPr>
          <w:rFonts w:eastAsia="Cambria" w:cs="Cambria"/>
          <w:b w:val="false"/>
          <w:bCs w:val="false"/>
          <w:i w:val="false"/>
          <w:iCs w:val="false"/>
          <w:sz w:val="22"/>
          <w:szCs w:val="22"/>
        </w:rPr>
        <w:t xml:space="preserve"> trifft, wer die Green Card nach mindestens acht der letzten 15 Jahre aufgibt (</w:t>
      </w:r>
      <w:r>
        <w:rPr>
          <w:rFonts w:eastAsia="Cambria" w:cs="Cambria"/>
          <w:b w:val="false"/>
          <w:bCs w:val="false"/>
          <w:i/>
          <w:iCs/>
          <w:sz w:val="22"/>
          <w:szCs w:val="22"/>
        </w:rPr>
        <w:t>Long-term Resident</w:t>
      </w:r>
      <w:r>
        <w:rPr>
          <w:rFonts w:eastAsia="Cambria" w:cs="Cambria"/>
          <w:b w:val="false"/>
          <w:bCs w:val="false"/>
          <w:i w:val="false"/>
          <w:iCs w:val="false"/>
          <w:sz w:val="22"/>
          <w:szCs w:val="22"/>
        </w:rPr>
        <w:t xml:space="preserve">) und als </w:t>
      </w:r>
      <w:r>
        <w:rPr>
          <w:rFonts w:eastAsia="Cambria" w:cs="Cambria"/>
          <w:b w:val="false"/>
          <w:bCs w:val="false"/>
          <w:i/>
          <w:iCs/>
          <w:sz w:val="22"/>
          <w:szCs w:val="22"/>
        </w:rPr>
        <w:t>Covered Expatriate</w:t>
      </w:r>
      <w:r>
        <w:rPr>
          <w:rFonts w:eastAsia="Cambria" w:cs="Cambria"/>
          <w:b w:val="false"/>
          <w:bCs w:val="false"/>
          <w:i w:val="false"/>
          <w:iCs w:val="false"/>
          <w:sz w:val="22"/>
          <w:szCs w:val="22"/>
        </w:rPr>
        <w:t xml:space="preserve"> gilt – dafür genügt eine von drei Voraussetzungen: eine durchschnittliche Einkommensteuer der letzten fünf Jahre von über 211.000 $ (2026), ein Nettovermögen ab 2 Millionen $, oder der fehlende Nachweis, alle Steuerpflichten der letzten fünf Jahre erfüllt zu haben. Dann gilt dein Vermögen als verkauft, Gewinne über 910.000 $ (2026) sind steuerpflichtig. Wer alle Erklärungen lückenlos abgegeben hat und unter den Schwellen bleibt, ist nicht betroffen (zur Rückkehr: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Gib keine Steuererklärung als </w:t>
            </w:r>
            <w:r>
              <w:rPr>
                <w:rFonts w:eastAsia="Cambria" w:cs="Cambria"/>
                <w:b w:val="false"/>
                <w:bCs w:val="false"/>
                <w:i/>
                <w:iCs/>
                <w:sz w:val="20"/>
                <w:szCs w:val="20"/>
              </w:rPr>
              <w:t>Nonresident</w:t>
            </w:r>
            <w:r>
              <w:rPr>
                <w:rFonts w:eastAsia="Cambria" w:cs="Cambria"/>
                <w:b w:val="false"/>
                <w:bCs w:val="false"/>
                <w:i w:val="false"/>
                <w:iCs w:val="false"/>
                <w:sz w:val="20"/>
                <w:szCs w:val="20"/>
              </w:rPr>
              <w:t xml:space="preserve"> ab, solange du die Green Card besitzt, ohne dich vorher beraten zu lassen. USCIS wertet das als Indiz für die Aufgabe des Status.</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erklärt Regeln und Praxis, ersetzt aber keine Beratung durch eine Einwanderungsanwältin, einen Einwanderungsanwalt oder einen Steuerberater. Wie du jemanden findest und was das kostet, steht in Kapitel </w:t>
            </w:r>
            <w:hyperlink w:anchor="k11">
              <w:r>
                <w:rPr>
                  <w:rStyle w:val="ListLabel114"/>
                  <w:rFonts w:eastAsia="Cambria" w:cs="Cambria"/>
                  <w:b w:val="false"/>
                  <w:bCs w:val="false"/>
                  <w:i w:val="false"/>
                  <w:iCs w:val="false"/>
                  <w:sz w:val="20"/>
                  <w:szCs w:val="20"/>
                </w:rPr>
                <w:t>11</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sich seit 2025 geändert hat</w:t>
      </w:r>
    </w:p>
    <w:p>
      <w:pPr>
        <w:pStyle w:val="ListParagraph"/>
        <w:numPr>
          <w:ilvl w:val="0"/>
          <w:numId w:val="1"/>
        </w:numPr>
        <w:spacing w:lineRule="exact" w:line="288" w:before="0" w:after="60"/>
        <w:rPr/>
      </w:pPr>
      <w:r>
        <w:rPr>
          <w:rFonts w:eastAsia="Cambria" w:cs="Cambria"/>
          <w:b/>
          <w:bCs/>
          <w:i w:val="false"/>
          <w:iCs w:val="false"/>
          <w:sz w:val="22"/>
          <w:szCs w:val="22"/>
        </w:rPr>
        <w:t>Kinder (CSPA):</w:t>
      </w:r>
      <w:r>
        <w:rPr>
          <w:rFonts w:eastAsia="Cambria" w:cs="Cambria"/>
          <w:b w:val="false"/>
          <w:bCs w:val="false"/>
          <w:i w:val="false"/>
          <w:iCs w:val="false"/>
          <w:sz w:val="22"/>
          <w:szCs w:val="22"/>
        </w:rPr>
        <w:t xml:space="preserve"> Für Anträge ab dem 15. August 2025 gilt für die Altersberechnung die Final-Action-Dates-Tabelle; bei EB-1 und EB-2 (Rest der Welt, derzeit current) besteht kaum Risiko. H-4-Kinder verlieren den H-4-Status mit 21 unabhängig davon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Public Charge:</w:t>
      </w:r>
      <w:r>
        <w:rPr>
          <w:rFonts w:eastAsia="Cambria" w:cs="Cambria"/>
          <w:b w:val="false"/>
          <w:bCs w:val="false"/>
          <w:i w:val="false"/>
          <w:iCs w:val="false"/>
          <w:sz w:val="22"/>
          <w:szCs w:val="22"/>
        </w:rPr>
        <w:t xml:space="preserve"> Die Endregel vom 20. Juli 2026 (91 FR 45324) gilt für I-485-Anträge ab dem 18. September 2026 und ersetzt die Regel von 2022. Officer würdigen alle relevanten Umstände im Einzelfall; Bezug von Medicaid, SNAP oder Wohngeld nach diesem Datum kann berücksichtigt werden, bei gesichertem Einkommen gilt das Risiko als gering (Einschätzung, keine Garantie). Frage vor Leistungsbezug während des Verfahrens die Kanzlei, nutze stets die aktuelle Formularausgabe.</w:t>
      </w:r>
    </w:p>
    <w:p>
      <w:pPr>
        <w:pStyle w:val="ListParagraph"/>
        <w:numPr>
          <w:ilvl w:val="0"/>
          <w:numId w:val="1"/>
        </w:numPr>
        <w:spacing w:lineRule="exact" w:line="288" w:before="0" w:after="60"/>
        <w:rPr/>
      </w:pPr>
      <w:r>
        <w:rPr>
          <w:rFonts w:eastAsia="Cambria" w:cs="Cambria"/>
          <w:b/>
          <w:bCs/>
          <w:i w:val="false"/>
          <w:iCs w:val="false"/>
          <w:sz w:val="22"/>
          <w:szCs w:val="22"/>
        </w:rPr>
        <w:t>Länderspezifische Sperren:</w:t>
      </w:r>
      <w:r>
        <w:rPr>
          <w:rFonts w:eastAsia="Cambria" w:cs="Cambria"/>
          <w:b w:val="false"/>
          <w:bCs w:val="false"/>
          <w:i w:val="false"/>
          <w:iCs w:val="false"/>
          <w:sz w:val="22"/>
          <w:szCs w:val="22"/>
        </w:rPr>
        <w:t xml:space="preserve"> Die Prüfsperren für bestimmte Staatsangehörigkeiten oder Geburtsländer und die Pause bei Einwanderungsvisa für 75 Länder nennen Deutschland nicht; Gerichte haben sie im Juni bzw. August 2026 aufgehoben (Berufungen sind möglich). Wer in einem Listenland geboren wurde, fragt die Kanzlei.</w:t>
      </w:r>
    </w:p>
    <w:p>
      <w:pPr>
        <w:pStyle w:val="ListParagraph"/>
        <w:numPr>
          <w:ilvl w:val="0"/>
          <w:numId w:val="1"/>
        </w:numPr>
        <w:spacing w:lineRule="exact" w:line="288" w:before="0" w:after="60"/>
        <w:rPr/>
      </w:pPr>
      <w:r>
        <w:rPr>
          <w:rFonts w:eastAsia="Cambria" w:cs="Cambria"/>
          <w:b/>
          <w:bCs/>
          <w:i w:val="false"/>
          <w:iCs w:val="false"/>
          <w:sz w:val="22"/>
          <w:szCs w:val="22"/>
        </w:rPr>
        <w:t>Gebühren:</w:t>
      </w:r>
      <w:r>
        <w:rPr>
          <w:rFonts w:eastAsia="Cambria" w:cs="Cambria"/>
          <w:b w:val="false"/>
          <w:bCs w:val="false"/>
          <w:i w:val="false"/>
          <w:iCs w:val="false"/>
          <w:sz w:val="22"/>
          <w:szCs w:val="22"/>
        </w:rPr>
        <w:t xml:space="preserve"> Die Zusatzgebühren aus dem Gesetz H.R. 1 (Pub. L. 119-21) betreffen I-140 und I-485 nicht (Gebührenblatt G-1055, Stand 9. September 2026).</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Unbefristetes Aufenthaltsrecht, freie Arbeits- und Ortswahl</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Dauer bei PERM: 2,5–4,5 Jahre, bis zum I-485 an den Arbeitgeber gebunden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Für Deutsche derzeit EB-1 und EB-2 ohne Stichtag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Kategorien schwanken: Rückstufung möglich, EB-3 mit Stichtag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Ehepartner und Kinder ziehen mit; Partner kann per EAD arbeiten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Familie zahlt selbst: z. B. 4.780 $ I-485-Gebühren bei zwei Erwachsenen und zwei Kindern unter 14, plus Arzt und Übersetzungen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Sponsor mehr nötig, stabile Grundlage für Hypothek und Schule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Weltweite Steuerpflicht, Meldepflichten, Exit Tax nach acht Jahren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Weg zur Einbürgerung und zum Doppelpass (Kapitel </w:t>
            </w:r>
            <w:hyperlink w:anchor="k41">
              <w:r>
                <w:rPr>
                  <w:rStyle w:val="ListLabel112"/>
                  <w:rFonts w:eastAsia="Cambria" w:cs="Cambria"/>
                  <w:b w:val="false"/>
                  <w:bCs w:val="false"/>
                  <w:i w:val="false"/>
                  <w:iCs w:val="false"/>
                  <w:sz w:val="18"/>
                  <w:szCs w:val="18"/>
                </w:rPr>
                <w:t>41</w:t>
              </w:r>
            </w:hyperlink>
            <w:r>
              <w:rPr>
                <w:rFonts w:eastAsia="Cambria" w:cs="Cambria"/>
                <w:b w:val="false"/>
                <w:bCs w:val="false"/>
                <w:i w:val="false"/>
                <w:iCs w:val="false"/>
                <w:sz w:val="18"/>
                <w:szCs w:val="18"/>
              </w:rPr>
              <w: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Auslandsaufenthalte über 180 Tage gefährden den Status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Selbstpetition ohne Arbeitgeber möglich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 NIW und EB-1A wurden im Fiskaljahr 2026 nur rund 49 % bzw. 41 % genehmigt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Klär zuerst, welche Kategorie zu dir passt: Stelle mit Masteranforderung (EB-2), Konzernwechsel (EB-1C) oder Spitzenleistung (NIW, EB-1A). Prüfe dein Geburtsland gegen die Spalten des Bulletins, sprich mit dem Arbeitgeber über Startzeitpunkt und Kosten, bevor du unterschreibst, und hole eine erste anwaltliche Einschätzung ein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 Ist dein Priority Date erreicht, handle zügig: Rund um den Fiskaljahreswechsel am 1. Oktober kann sich der Stichtag deiner Kategorie ändern.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Geburtsland prüfen: Welche Spalte des Visa Bulletin gilt für dich?</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der Vertragsunterschrift schriftlich klären: Startzeitpunkt der PERM, Kostenübernahme, Rückzahlungsklauseln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Kategorie mit der Kanzlei festlegen (EB-2, EB-3, EB-1C, NIW oder EB-1A) und einen Plan B bereithalten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Visa Bulletin monatlich prüfen (travel.state.gov/visabulletin), USCIS-Tabelle für den I-485 beachten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Priority Date notieren, Bescheide (I-797) und PERM-Zertifikat aufbewahren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Rücklage für die I-485-Gebühren der ganzen Familie und den Civil-Surgeon-Termin bilden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Konsularverfahren früh Führungszeugnis, Geburts- und Heiratsurkunden besorgen (Kapitel </w:t>
            </w:r>
            <w:hyperlink w:anchor="k19">
              <w:r>
                <w:rPr>
                  <w:rStyle w:val="ListLabel114"/>
                  <w:rFonts w:eastAsia="Cambria" w:cs="Cambria"/>
                  <w:b w:val="false"/>
                  <w:bCs w:val="false"/>
                  <w:i w:val="false"/>
                  <w:iCs w:val="false"/>
                  <w:sz w:val="20"/>
                  <w:szCs w:val="20"/>
                </w:rPr>
                <w:t>19</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Alle Auslandsreisen mit Datum in einer Liste führen; vor Reisen über sechs Monate das Reentry Permit beantragen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Steuererklärungen lückenlos als Resident abgeben, keine Nonresident-Erklärung ohne Beratung</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Adressänderungen binnen zehn Tagen melden (Form AR-11)</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dem Bezug von Medicaid, SNAP oder Wohngeld während des Verfahrens die Kanzlei fragen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hyperlink r:id="rId68">
        <w:r>
          <w:rPr>
            <w:rStyle w:val="ListLabel113"/>
            <w:rFonts w:eastAsia="Cambria" w:cs="Cambria"/>
            <w:b w:val="false"/>
            <w:bCs w:val="false"/>
            <w:i w:val="false"/>
            <w:iCs w:val="false"/>
            <w:color w:val="0563C1"/>
            <w:sz w:val="22"/>
            <w:szCs w:val="22"/>
            <w:u w:val="single"/>
          </w:rPr>
          <w:t>travel.state.gov/visabulletin</w:t>
        </w:r>
      </w:hyperlink>
      <w:r>
        <w:rPr>
          <w:rFonts w:eastAsia="Cambria" w:cs="Cambria"/>
          <w:b w:val="false"/>
          <w:bCs w:val="false"/>
          <w:i w:val="false"/>
          <w:iCs w:val="false"/>
          <w:sz w:val="22"/>
          <w:szCs w:val="22"/>
        </w:rPr>
        <w:t xml:space="preserve"> — Visa Bulletin (Stichtage) und Konsulargebühren</w:t>
      </w:r>
    </w:p>
    <w:p>
      <w:pPr>
        <w:pStyle w:val="ListParagraph"/>
        <w:numPr>
          <w:ilvl w:val="0"/>
          <w:numId w:val="1"/>
        </w:numPr>
        <w:spacing w:lineRule="exact" w:line="288" w:before="0" w:after="60"/>
        <w:rPr/>
      </w:pPr>
      <w:hyperlink r:id="rId69">
        <w:r>
          <w:rPr>
            <w:rStyle w:val="ListLabel113"/>
            <w:rFonts w:eastAsia="Cambria" w:cs="Cambria"/>
            <w:b w:val="false"/>
            <w:bCs w:val="false"/>
            <w:i w:val="false"/>
            <w:iCs w:val="false"/>
            <w:color w:val="0563C1"/>
            <w:sz w:val="22"/>
            <w:szCs w:val="22"/>
            <w:u w:val="single"/>
          </w:rPr>
          <w:t>uscis.gov/green-card</w:t>
        </w:r>
      </w:hyperlink>
      <w:r>
        <w:rPr>
          <w:rFonts w:eastAsia="Cambria" w:cs="Cambria"/>
          <w:b w:val="false"/>
          <w:bCs w:val="false"/>
          <w:i w:val="false"/>
          <w:iCs w:val="false"/>
          <w:sz w:val="22"/>
          <w:szCs w:val="22"/>
        </w:rPr>
        <w:t xml:space="preserve"> — Wege, Verfahren, Tabellen für den I-485</w:t>
      </w:r>
    </w:p>
    <w:p>
      <w:pPr>
        <w:pStyle w:val="ListParagraph"/>
        <w:numPr>
          <w:ilvl w:val="0"/>
          <w:numId w:val="1"/>
        </w:numPr>
        <w:spacing w:lineRule="exact" w:line="288" w:before="0" w:after="60"/>
        <w:rPr/>
      </w:pPr>
      <w:hyperlink r:id="rId70">
        <w:r>
          <w:rPr>
            <w:rStyle w:val="ListLabel113"/>
            <w:rFonts w:eastAsia="Cambria" w:cs="Cambria"/>
            <w:b w:val="false"/>
            <w:bCs w:val="false"/>
            <w:i w:val="false"/>
            <w:iCs w:val="false"/>
            <w:color w:val="0563C1"/>
            <w:sz w:val="22"/>
            <w:szCs w:val="22"/>
            <w:u w:val="single"/>
          </w:rPr>
          <w:t>uscis.gov/g-1055</w:t>
        </w:r>
      </w:hyperlink>
      <w:r>
        <w:rPr>
          <w:rFonts w:eastAsia="Cambria" w:cs="Cambria"/>
          <w:b w:val="false"/>
          <w:bCs w:val="false"/>
          <w:i w:val="false"/>
          <w:iCs w:val="false"/>
          <w:sz w:val="22"/>
          <w:szCs w:val="22"/>
        </w:rPr>
        <w:t xml:space="preserve"> — Gebührenverzeichnis von USCIS</w:t>
      </w:r>
    </w:p>
    <w:p>
      <w:pPr>
        <w:pStyle w:val="ListParagraph"/>
        <w:numPr>
          <w:ilvl w:val="0"/>
          <w:numId w:val="1"/>
        </w:numPr>
        <w:spacing w:lineRule="exact" w:line="288" w:before="0" w:after="60"/>
        <w:rPr/>
      </w:pPr>
      <w:hyperlink r:id="rId71">
        <w:r>
          <w:rPr>
            <w:rStyle w:val="ListLabel113"/>
            <w:rFonts w:eastAsia="Cambria" w:cs="Cambria"/>
            <w:b w:val="false"/>
            <w:bCs w:val="false"/>
            <w:i w:val="false"/>
            <w:iCs w:val="false"/>
            <w:color w:val="0563C1"/>
            <w:sz w:val="22"/>
            <w:szCs w:val="22"/>
            <w:u w:val="single"/>
          </w:rPr>
          <w:t>flag.dol.gov/processingtimes</w:t>
        </w:r>
      </w:hyperlink>
      <w:r>
        <w:rPr>
          <w:rFonts w:eastAsia="Cambria" w:cs="Cambria"/>
          <w:b w:val="false"/>
          <w:bCs w:val="false"/>
          <w:i w:val="false"/>
          <w:iCs w:val="false"/>
          <w:sz w:val="22"/>
          <w:szCs w:val="22"/>
        </w:rPr>
        <w:t xml:space="preserve"> — Bearbeitungszeiten für Lohnbescheid und PERM</w:t>
      </w:r>
    </w:p>
    <w:p>
      <w:pPr>
        <w:pStyle w:val="ListParagraph"/>
        <w:numPr>
          <w:ilvl w:val="0"/>
          <w:numId w:val="1"/>
        </w:numPr>
        <w:spacing w:lineRule="exact" w:line="288" w:before="0" w:after="60"/>
        <w:rPr/>
      </w:pPr>
      <w:hyperlink r:id="rId72">
        <w:r>
          <w:rPr>
            <w:rStyle w:val="ListLabel113"/>
            <w:rFonts w:eastAsia="Cambria" w:cs="Cambria"/>
            <w:b w:val="false"/>
            <w:bCs w:val="false"/>
            <w:i w:val="false"/>
            <w:iCs w:val="false"/>
            <w:color w:val="0563C1"/>
            <w:sz w:val="22"/>
            <w:szCs w:val="22"/>
            <w:u w:val="single"/>
          </w:rPr>
          <w:t>de.usembassy.gov</w:t>
        </w:r>
      </w:hyperlink>
      <w:r>
        <w:rPr>
          <w:rFonts w:eastAsia="Cambria" w:cs="Cambria"/>
          <w:b w:val="false"/>
          <w:bCs w:val="false"/>
          <w:i w:val="false"/>
          <w:iCs w:val="false"/>
          <w:sz w:val="22"/>
          <w:szCs w:val="22"/>
        </w:rPr>
        <w:t xml:space="preserve"> — Botschaft und Konsulate in Deutschland (Einwanderungsvisa)</w:t>
      </w:r>
    </w:p>
    <w:p>
      <w:pPr>
        <w:pStyle w:val="ListParagraph"/>
        <w:numPr>
          <w:ilvl w:val="0"/>
          <w:numId w:val="1"/>
        </w:numPr>
        <w:spacing w:lineRule="exact" w:line="288" w:before="0" w:after="60"/>
        <w:rPr/>
      </w:pPr>
      <w:hyperlink r:id="rId73">
        <w:r>
          <w:rPr>
            <w:rStyle w:val="ListLabel113"/>
            <w:rFonts w:eastAsia="Cambria" w:cs="Cambria"/>
            <w:b w:val="false"/>
            <w:bCs w:val="false"/>
            <w:i w:val="false"/>
            <w:iCs w:val="false"/>
            <w:color w:val="0563C1"/>
            <w:sz w:val="22"/>
            <w:szCs w:val="22"/>
            <w:u w:val="single"/>
          </w:rPr>
          <w:t>federalregister.gov</w:t>
        </w:r>
      </w:hyperlink>
      <w:r>
        <w:rPr>
          <w:rFonts w:eastAsia="Cambria" w:cs="Cambria"/>
          <w:b w:val="false"/>
          <w:bCs w:val="false"/>
          <w:i w:val="false"/>
          <w:iCs w:val="false"/>
          <w:sz w:val="22"/>
          <w:szCs w:val="22"/>
        </w:rPr>
        <w:t xml:space="preserve"> — Suche „Public Charge Ground of Inadmissibility“ (91 FR 45324)</w:t>
      </w:r>
    </w:p>
    <w:p>
      <w:pPr>
        <w:pStyle w:val="ListParagraph"/>
        <w:numPr>
          <w:ilvl w:val="0"/>
          <w:numId w:val="1"/>
        </w:numPr>
        <w:spacing w:lineRule="exact" w:line="288" w:before="0" w:after="60"/>
        <w:rPr/>
      </w:pPr>
      <w:hyperlink r:id="rId74">
        <w:r>
          <w:rPr>
            <w:rStyle w:val="ListLabel113"/>
            <w:rFonts w:eastAsia="Cambria" w:cs="Cambria"/>
            <w:b w:val="false"/>
            <w:bCs w:val="false"/>
            <w:i w:val="false"/>
            <w:iCs w:val="false"/>
            <w:color w:val="0563C1"/>
            <w:sz w:val="22"/>
            <w:szCs w:val="22"/>
            <w:u w:val="single"/>
          </w:rPr>
          <w:t>irs.gov/individuals/international-taxpayers</w:t>
        </w:r>
      </w:hyperlink>
      <w:r>
        <w:rPr>
          <w:rFonts w:eastAsia="Cambria" w:cs="Cambria"/>
          <w:b w:val="false"/>
          <w:bCs w:val="false"/>
          <w:i w:val="false"/>
          <w:iCs w:val="false"/>
          <w:sz w:val="22"/>
          <w:szCs w:val="22"/>
        </w:rPr>
        <w:t xml:space="preserve"> — Steuerpflicht und Exit Tax</w:t>
      </w:r>
    </w:p>
    <w:p>
      <w:pPr>
        <w:pStyle w:val="ListParagraph"/>
        <w:numPr>
          <w:ilvl w:val="0"/>
          <w:numId w:val="1"/>
        </w:numPr>
        <w:spacing w:lineRule="exact" w:line="288" w:before="0" w:after="60"/>
        <w:rPr/>
      </w:pPr>
      <w:hyperlink r:id="rId75">
        <w:r>
          <w:rPr>
            <w:rStyle w:val="ListLabel113"/>
            <w:rFonts w:eastAsia="Cambria" w:cs="Cambria"/>
            <w:b w:val="false"/>
            <w:bCs w:val="false"/>
            <w:i w:val="false"/>
            <w:iCs w:val="false"/>
            <w:color w:val="0563C1"/>
            <w:sz w:val="22"/>
            <w:szCs w:val="22"/>
            <w:u w:val="single"/>
          </w:rPr>
          <w:t>sss.gov</w:t>
        </w:r>
      </w:hyperlink>
      <w:r>
        <w:rPr>
          <w:rFonts w:eastAsia="Cambria" w:cs="Cambria"/>
          <w:b w:val="false"/>
          <w:bCs w:val="false"/>
          <w:i w:val="false"/>
          <w:iCs w:val="false"/>
          <w:sz w:val="22"/>
          <w:szCs w:val="22"/>
        </w:rPr>
        <w:t xml:space="preserve"> — Selective Service: Registrierungspflicht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ListParagraph"/>
              <w:numPr>
                <w:ilvl w:val="0"/>
                <w:numId w:val="93"/>
              </w:numPr>
              <w:spacing w:lineRule="exact" w:line="264" w:before="0" w:after="50"/>
              <w:rPr/>
            </w:pPr>
            <w:r>
              <w:rPr>
                <w:rFonts w:eastAsia="Cambria" w:cs="Cambria"/>
                <w:b w:val="false"/>
                <w:bCs w:val="false"/>
                <w:i w:val="false"/>
                <w:iCs w:val="false"/>
                <w:sz w:val="20"/>
                <w:szCs w:val="20"/>
              </w:rPr>
              <w:t>September 2026. Diese Angaben ändern sich schnell: die Stichtage im Visa Bulletin (das Oktober-Bulletin mit den Werten für das Fiskaljahr 2027 lag bei Redaktionsschluss nicht vor), die Bearbeitungszeiten von DOL und USCIS, die Genehmigungsquoten bei NIW und EB-1A, Gebühren (G-1055), die Public-Charge-Regeln, Gold Card und Diversity Visa sowie Gerichtsentscheidungen. Prüfe vor jeder Entscheidung die offiziellen Seiten und die Kanzlei.</w:t>
            </w:r>
          </w:p>
        </w:tc>
      </w:tr>
    </w:tbl>
    <w:p>
      <w:pPr>
        <w:pStyle w:val="Normal"/>
        <w:spacing w:lineRule="exact" w:line="220" w:before="0" w:after="0"/>
        <w:rPr/>
      </w:pPr>
      <w:r>
        <w:rPr/>
      </w:r>
      <w:r>
        <w:br w:type="page"/>
      </w:r>
    </w:p>
    <w:p>
      <w:pPr>
        <w:pStyle w:val="Heading2"/>
        <w:keepNext w:val="true"/>
        <w:spacing w:before="0" w:after="300"/>
        <w:jc w:val="center"/>
        <w:rPr/>
      </w:pPr>
      <w:bookmarkStart w:id="23" w:name="__RefHeading___Toc56443_3769931028"/>
      <w:bookmarkStart w:id="24" w:name="k7"/>
      <w:bookmarkEnd w:id="23"/>
      <w:r>
        <w:rPr>
          <w:rFonts w:eastAsia="Amazon Ember" w:cs="Amazon Ember" w:ascii="Amazon Ember" w:hAnsi="Amazon Ember"/>
          <w:b/>
          <w:bCs/>
          <w:color w:val="0000FF"/>
          <w:sz w:val="36"/>
          <w:szCs w:val="36"/>
        </w:rPr>
        <w:t>Kapitel 7: H-1B oder Green Card? Der direkte Vergleich</w:t>
      </w:r>
      <w:bookmarkEnd w:id="24"/>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Im Jobangebot aus Detroit steht ein Satz, der nach Zusage klingt: </w:t>
      </w:r>
      <w:r>
        <w:rPr>
          <w:rFonts w:eastAsia="Cambria" w:cs="Cambria"/>
          <w:b w:val="false"/>
          <w:bCs w:val="false"/>
          <w:i/>
          <w:iCs/>
          <w:sz w:val="22"/>
          <w:szCs w:val="22"/>
        </w:rPr>
        <w:t>The Company may sponsor you for permanent residence.</w:t>
      </w:r>
      <w:r>
        <w:rPr>
          <w:rFonts w:eastAsia="Cambria" w:cs="Cambria"/>
          <w:b w:val="false"/>
          <w:bCs w:val="false"/>
          <w:i w:val="false"/>
          <w:iCs w:val="false"/>
          <w:sz w:val="22"/>
          <w:szCs w:val="22"/>
        </w:rPr>
        <w:t xml:space="preserve"> Das Unternehmen „kann“ dich also für die Green Card unterstützen. Kann, nicht wird, und ohne Datum. Zwischen dem H-1B, der dich ins Land bringt, und der Green Card, die dich unabhängig macht, liegen meist zweieinhalb bis viereinhalb Jahre Verfahren und ein paar entscheidende Sätze im Vertrag. Dieses Kapitel stellt beide Aufenthaltsformen gegenüber, zeichnet den klassischen Weg vom einen zum anderen nach und sagt ehrlich, wer die Green Card wirklich braucht.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H-1B und Green Card sind zwei Etappen, keine Konkurrenten: Der H-1B erlaubt bis zu sechs Jahre Arbeit, gebunden an einen Arbeitgeber; die Green Card gilt unbefristet, erlaubt jeden Arbeitgeber und gibt dem Partner die Arbeitserlaubnis.</w:t>
            </w:r>
          </w:p>
          <w:p>
            <w:pPr>
              <w:pStyle w:val="ListParagraph"/>
              <w:numPr>
                <w:ilvl w:val="0"/>
                <w:numId w:val="1"/>
              </w:numPr>
              <w:spacing w:lineRule="exact" w:line="264" w:before="0" w:after="50"/>
              <w:rPr/>
            </w:pPr>
            <w:r>
              <w:rPr>
                <w:rFonts w:eastAsia="Cambria" w:cs="Cambria"/>
                <w:b w:val="false"/>
                <w:bCs w:val="false"/>
                <w:i w:val="false"/>
                <w:iCs w:val="false"/>
                <w:sz w:val="20"/>
                <w:szCs w:val="20"/>
              </w:rPr>
              <w:t>Für Deutsche gilt im September 2026: EB-1 und EB-2 sind ohne Warteschlange („current“), EB-3 hat einen Stichtag (1. September 2024); das Verfahren über den Arbeitgeber dauert grob 2,5–4,5 Jahre, und das State Department warnt vor einer Rückstufung.</w:t>
            </w:r>
          </w:p>
          <w:p>
            <w:pPr>
              <w:pStyle w:val="ListParagraph"/>
              <w:numPr>
                <w:ilvl w:val="0"/>
                <w:numId w:val="1"/>
              </w:numPr>
              <w:spacing w:lineRule="exact" w:line="264" w:before="0" w:after="50"/>
              <w:rPr/>
            </w:pPr>
            <w:r>
              <w:rPr>
                <w:rFonts w:eastAsia="Cambria" w:cs="Cambria"/>
                <w:b w:val="false"/>
                <w:bCs w:val="false"/>
                <w:i w:val="false"/>
                <w:iCs w:val="false"/>
                <w:sz w:val="20"/>
                <w:szCs w:val="20"/>
              </w:rPr>
              <w:t>Starte früh: Das Priority Date entsteht erst mit der PERM-Einreichung, während die Sechs-Jahres-Uhr des H-1B läuft. Lass Zeitpunkt, Kosten und Fortführung schriftlich zusagen – die PERM-Kosten trägt der Arbeitgeber.</w:t>
            </w:r>
          </w:p>
          <w:p>
            <w:pPr>
              <w:pStyle w:val="ListParagraph"/>
              <w:numPr>
                <w:ilvl w:val="0"/>
                <w:numId w:val="1"/>
              </w:numPr>
              <w:spacing w:lineRule="exact" w:line="264" w:before="0" w:after="50"/>
              <w:rPr/>
            </w:pPr>
            <w:r>
              <w:rPr>
                <w:rFonts w:eastAsia="Cambria" w:cs="Cambria"/>
                <w:b w:val="false"/>
                <w:bCs w:val="false"/>
                <w:i w:val="false"/>
                <w:iCs w:val="false"/>
                <w:sz w:val="20"/>
                <w:szCs w:val="20"/>
              </w:rPr>
              <w:t>Klappt die Lotterie nicht: Plan A ist der nächste Anlauf oder ein quotenfreier Arbeitgeber, Plan B ein anderes Visum oder das Studium, Plan C die Green Card direkt (Kapitel </w:t>
            </w:r>
            <w:hyperlink w:anchor="k8">
              <w:r>
                <w:rPr>
                  <w:rStyle w:val="ListLabel114"/>
                  <w:rFonts w:eastAsia="Cambria" w:cs="Cambria"/>
                  <w:b w:val="false"/>
                  <w:bCs w:val="false"/>
                  <w:i w:val="false"/>
                  <w:iCs w:val="false"/>
                  <w:sz w:val="20"/>
                  <w:szCs w:val="20"/>
                </w:rPr>
                <w:t>8</w:t>
              </w:r>
            </w:hyperlink>
            <w:r>
              <w:rPr>
                <w:rFonts w:eastAsia="Cambria" w:cs="Cambria"/>
                <w:b w:val="false"/>
                <w:bCs w:val="false"/>
                <w:i w:val="false"/>
                <w:iCs w:val="false"/>
                <w:sz w:val="20"/>
                <w:szCs w:val="20"/>
              </w:rPr>
              <w:t xml:space="preserve"> und </w:t>
            </w:r>
            <w:hyperlink w:anchor="k9">
              <w:r>
                <w:rPr>
                  <w:rStyle w:val="ListLabel114"/>
                  <w:rFonts w:eastAsia="Cambria" w:cs="Cambria"/>
                  <w:b w:val="false"/>
                  <w:bCs w:val="false"/>
                  <w:i w:val="false"/>
                  <w:iCs w:val="false"/>
                  <w:sz w:val="20"/>
                  <w:szCs w:val="20"/>
                </w:rPr>
                <w:t>9</w:t>
              </w:r>
            </w:hyperlink>
            <w:r>
              <w:rPr>
                <w:rFonts w:eastAsia="Cambria" w:cs="Cambria"/>
                <w:b w:val="false"/>
                <w:bCs w:val="false"/>
                <w:i w:val="false"/>
                <w:iCs w:val="false"/>
                <w:sz w:val="20"/>
                <w:szCs w:val="20"/>
              </w:rPr>
              <w:t>).</w:t>
            </w:r>
          </w:p>
          <w:p>
            <w:pPr>
              <w:pStyle w:val="ListParagraph"/>
              <w:numPr>
                <w:ilvl w:val="0"/>
                <w:numId w:val="1"/>
              </w:numPr>
              <w:spacing w:lineRule="exact" w:line="264" w:before="0" w:after="50"/>
              <w:rPr/>
            </w:pPr>
            <w:r>
              <w:rPr>
                <w:rFonts w:eastAsia="Cambria" w:cs="Cambria"/>
                <w:b w:val="false"/>
                <w:bCs w:val="false"/>
                <w:i w:val="false"/>
                <w:iCs w:val="false"/>
                <w:sz w:val="20"/>
                <w:szCs w:val="20"/>
              </w:rPr>
              <w:t>Nicht jeder braucht eine Green Card. Sie bringt Freiheit, aber auch weltweite Steuerpflicht und Pflichten beim Wohnsitz.</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Zwei Etappen, kein Entweder-oder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fragt „H-1B oder Green Card?“, stellt die Frage schief. Verbreiteter Irrtum: Man müsse sich für eines von beidem entscheiden. Tatsächlich ist der H-1B ein befristeter Status: Du arbeitest für den sponsernden Arbeitgeber, insgesamt höchstens sechs Jahre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xml:space="preserve">). Die Green Card (offiziell </w:t>
      </w:r>
      <w:r>
        <w:rPr>
          <w:rFonts w:eastAsia="Cambria" w:cs="Cambria"/>
          <w:b w:val="false"/>
          <w:bCs w:val="false"/>
          <w:i/>
          <w:iCs/>
          <w:sz w:val="22"/>
          <w:szCs w:val="22"/>
        </w:rPr>
        <w:t>Lawful Permanent Residence</w:t>
      </w:r>
      <w:r>
        <w:rPr>
          <w:rFonts w:eastAsia="Cambria" w:cs="Cambria"/>
          <w:b w:val="false"/>
          <w:bCs w:val="false"/>
          <w:i w:val="false"/>
          <w:iCs w:val="false"/>
          <w:sz w:val="22"/>
          <w:szCs w:val="22"/>
        </w:rPr>
        <w:t>, kurz LPR: unbefristetes Aufenthaltsrecht) ist das Ziel, das du meist über den Arbeitgeber erreichst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Der H-1B erlaubt das ausdrücklich: Die Absicht, später die Green Card zu beantragen, schadet dir nicht (</w:t>
      </w:r>
      <w:r>
        <w:rPr>
          <w:rFonts w:eastAsia="Cambria" w:cs="Cambria"/>
          <w:b w:val="false"/>
          <w:bCs w:val="false"/>
          <w:i/>
          <w:iCs/>
          <w:sz w:val="22"/>
          <w:szCs w:val="22"/>
        </w:rPr>
        <w:t>Dual Intent</w:t>
      </w:r>
      <w:r>
        <w:rPr>
          <w:rFonts w:eastAsia="Cambria" w:cs="Cambria"/>
          <w:b w:val="false"/>
          <w:bCs w:val="false"/>
          <w:i w:val="false"/>
          <w:iCs w:val="false"/>
          <w:sz w:val="22"/>
          <w:szCs w:val="22"/>
        </w:rPr>
        <w:t>). Die eigentliche Entscheidung ist deshalb nicht das Ob, sondern der Zeitpunkt des Übergangs.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Vergleich mit Deutschland zeigt, warum das fremd wirkt: Eine Fachkraft mit Blauer Karte EU kann nach 27 Monaten, mit Deutschkenntnissen (B1) nach 21 Monaten, eine Niederlassungserlaubnis beantragen (§ 18c Aufenthaltsgesetz), ohne dass der Arbeitgeber ein eigenes Verfahren führen muss – ein Gedanke, der deutschen Ohren mit ihrer Vorliebe für feste Fristen erst einmal tröstlich vorkommt. In den USA liegt der Übergang zum unbefristeten Recht dagegen in der Hand des Arbeitgebers, dauert meist länger und beginnt erst mit dessen erstem Antrag.</w:t>
      </w:r>
    </w:p>
    <w:p>
      <w:pPr>
        <w:pStyle w:val="Heading3"/>
        <w:keepNext w:val="true"/>
        <w:spacing w:before="280" w:after="100"/>
        <w:jc w:val="center"/>
        <w:rPr/>
      </w:pPr>
      <w:r>
        <w:rPr>
          <w:rFonts w:eastAsia="Amazon Ember" w:cs="Amazon Ember" w:ascii="Amazon Ember" w:hAnsi="Amazon Ember"/>
          <w:b/>
          <w:bCs/>
          <w:color w:val="0000FF"/>
          <w:sz w:val="36"/>
          <w:szCs w:val="36"/>
        </w:rPr>
        <w:t>Der große Vergleich: 20 Kriterien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drei Tabellen stellen H-1B und erteilte Green Card gegenüber. Zwischen Antrag und Erteilung bleibst du meist im H-1B-Status; was du beim Jobwechsel darfst, steht in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p>
      <w:pPr>
        <w:pStyle w:val="Heading4"/>
        <w:keepNext w:val="true"/>
        <w:spacing w:before="200" w:after="80"/>
        <w:jc w:val="center"/>
        <w:rPr/>
      </w:pPr>
      <w:r>
        <w:rPr>
          <w:rFonts w:eastAsia="Amazon Ember" w:cs="Amazon Ember" w:ascii="Amazon Ember" w:hAnsi="Amazon Ember"/>
          <w:b/>
          <w:bCs/>
          <w:color w:val="0000FF"/>
          <w:sz w:val="36"/>
          <w:szCs w:val="36"/>
        </w:rPr>
        <w:t>Arbeit und Bindung</w:t>
      </w:r>
    </w:p>
    <w:tbl>
      <w:tblPr>
        <w:tblW w:w="6480" w:type="dxa"/>
        <w:jc w:val="left"/>
        <w:tblInd w:w="0" w:type="dxa"/>
        <w:tblLayout w:type="fixed"/>
        <w:tblCellMar>
          <w:top w:w="50" w:type="dxa"/>
          <w:left w:w="80" w:type="dxa"/>
          <w:bottom w:w="50" w:type="dxa"/>
          <w:right w:w="80" w:type="dxa"/>
        </w:tblCellMar>
      </w:tblPr>
      <w:tblGrid>
        <w:gridCol w:w="951"/>
        <w:gridCol w:w="2763"/>
        <w:gridCol w:w="2766"/>
      </w:tblGrid>
      <w:tr>
        <w:trPr>
          <w:tblHeader w:val="true"/>
          <w:cantSplit w:val="true"/>
        </w:trPr>
        <w:tc>
          <w:tcPr>
            <w:tcW w:w="95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Kriterium</w:t>
            </w:r>
          </w:p>
        </w:tc>
        <w:tc>
          <w:tcPr>
            <w:tcW w:w="276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H-1B</w:t>
            </w:r>
          </w:p>
        </w:tc>
        <w:tc>
          <w:tcPr>
            <w:tcW w:w="276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Green Card</w:t>
            </w:r>
          </w:p>
        </w:tc>
      </w:tr>
      <w:tr>
        <w:trPr>
          <w:cantSplit w:val="true"/>
        </w:trPr>
        <w:tc>
          <w:tcPr>
            <w:tcW w:w="9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Rechtsnatur</w:t>
            </w:r>
          </w:p>
        </w:tc>
        <w:tc>
          <w:tcPr>
            <w:tcW w:w="2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Befristeter Status (Nichteinwanderer), Dual Intent erlaubt</w:t>
            </w:r>
          </w:p>
        </w:tc>
        <w:tc>
          <w:tcPr>
            <w:tcW w:w="27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Unbefristetes Aufenthaltsrecht (LPR)</w:t>
            </w:r>
          </w:p>
        </w:tc>
      </w:tr>
      <w:tr>
        <w:trPr>
          <w:cantSplit w:val="true"/>
        </w:trPr>
        <w:tc>
          <w:tcPr>
            <w:tcW w:w="9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Dauer</w:t>
            </w:r>
          </w:p>
        </w:tc>
        <w:tc>
          <w:tcPr>
            <w:tcW w:w="2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 + 3 Jahre; länger nur mit laufendem Green-Card-Verfahren</w:t>
            </w:r>
          </w:p>
        </w:tc>
        <w:tc>
          <w:tcPr>
            <w:tcW w:w="27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Unbefristet; Karte alle 10 Jahre erneuern (I-90: 465 $ Papier, 415 $ online)</w:t>
            </w:r>
          </w:p>
        </w:tc>
      </w:tr>
      <w:tr>
        <w:trPr>
          <w:cantSplit w:val="true"/>
        </w:trPr>
        <w:tc>
          <w:tcPr>
            <w:tcW w:w="9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Zugang</w:t>
            </w:r>
          </w:p>
        </w:tc>
        <w:tc>
          <w:tcPr>
            <w:tcW w:w="2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Lotterie im März, 85.000 Plätze (Hochschulen quotenfrei); nur mit Jobzusage</w:t>
            </w:r>
          </w:p>
        </w:tc>
        <w:tc>
          <w:tcPr>
            <w:tcW w:w="27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Los, aber Jahreskontingente mit Warteschlange (Visa Bulletin)</w:t>
            </w:r>
          </w:p>
        </w:tc>
      </w:tr>
      <w:tr>
        <w:trPr>
          <w:cantSplit w:val="true"/>
        </w:trPr>
        <w:tc>
          <w:tcPr>
            <w:tcW w:w="9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Arbeitgeberbindung</w:t>
            </w:r>
          </w:p>
        </w:tc>
        <w:tc>
          <w:tcPr>
            <w:tcW w:w="2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der Sponsor, nur die beschriebene Stelle am beschriebenen Ort</w:t>
            </w:r>
          </w:p>
        </w:tc>
        <w:tc>
          <w:tcPr>
            <w:tcW w:w="27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Jeder Arbeitgeber, jede Tätigkeit</w:t>
            </w:r>
          </w:p>
        </w:tc>
      </w:tr>
      <w:tr>
        <w:trPr>
          <w:cantSplit w:val="true"/>
        </w:trPr>
        <w:tc>
          <w:tcPr>
            <w:tcW w:w="9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Jobwechsel</w:t>
            </w:r>
          </w:p>
        </w:tc>
        <w:tc>
          <w:tcPr>
            <w:tcW w:w="2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neue Lotterie (Portabilität), aber mit neuer Petition des neuen Arbeitgebers</w:t>
            </w:r>
          </w:p>
        </w:tc>
        <w:tc>
          <w:tcPr>
            <w:tcW w:w="27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Frei, kein Antrag bei der Behörde</w:t>
            </w:r>
          </w:p>
        </w:tc>
      </w:tr>
      <w:tr>
        <w:trPr>
          <w:cantSplit w:val="true"/>
        </w:trPr>
        <w:tc>
          <w:tcPr>
            <w:tcW w:w="9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Nebenjob, Selbständigkeit</w:t>
            </w:r>
          </w:p>
        </w:tc>
        <w:tc>
          <w:tcPr>
            <w:tcW w:w="2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mit zweiter Petition eines zweiten Arbeitgebers; freiberuflich nicht möglich</w:t>
            </w:r>
          </w:p>
        </w:tc>
        <w:tc>
          <w:tcPr>
            <w:tcW w:w="27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Erlaubt, auch Firmengründung</w:t>
            </w:r>
          </w:p>
        </w:tc>
      </w:tr>
      <w:tr>
        <w:trPr>
          <w:cantSplit w:val="true"/>
        </w:trPr>
        <w:tc>
          <w:tcPr>
            <w:tcW w:w="9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Jobverlust</w:t>
            </w:r>
          </w:p>
        </w:tc>
        <w:tc>
          <w:tcPr>
            <w:tcW w:w="2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60 Tage, dann Ausreise oder neuer Status (Wegfall vorgeschlagen)</w:t>
            </w:r>
          </w:p>
        </w:tc>
        <w:tc>
          <w:tcPr>
            <w:tcW w:w="27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Status bleibt, kein Aufenthaltsdruck</w:t>
            </w:r>
          </w:p>
        </w:tc>
      </w:tr>
      <w:tr>
        <w:trPr>
          <w:cantSplit w:val="true"/>
        </w:trPr>
        <w:tc>
          <w:tcPr>
            <w:tcW w:w="9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Umzug im Land</w:t>
            </w:r>
          </w:p>
        </w:tc>
        <w:tc>
          <w:tcPr>
            <w:tcW w:w="2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Anderes Beschäftigungsgebiet: geänderte Petition mit neuer Lohnbestätigung (LCA)</w:t>
            </w:r>
          </w:p>
        </w:tc>
        <w:tc>
          <w:tcPr>
            <w:tcW w:w="27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Frei; Adresse binnen 10 Tagen melden (AR-11, gilt für alle)</w:t>
            </w:r>
          </w:p>
        </w:tc>
      </w:tr>
    </w:tbl>
    <w:p>
      <w:pPr>
        <w:pStyle w:val="Normal"/>
        <w:spacing w:lineRule="exact" w:line="180" w:before="0" w:after="0"/>
        <w:rPr/>
      </w:pPr>
      <w:r>
        <w:rPr/>
      </w:r>
    </w:p>
    <w:p>
      <w:pPr>
        <w:pStyle w:val="Heading4"/>
        <w:keepNext w:val="true"/>
        <w:spacing w:before="200" w:after="80"/>
        <w:jc w:val="center"/>
        <w:rPr/>
      </w:pPr>
      <w:r>
        <w:rPr>
          <w:rFonts w:eastAsia="Amazon Ember" w:cs="Amazon Ember" w:ascii="Amazon Ember" w:hAnsi="Amazon Ember"/>
          <w:b/>
          <w:bCs/>
          <w:color w:val="0000FF"/>
          <w:sz w:val="36"/>
          <w:szCs w:val="36"/>
        </w:rPr>
        <w:t>Familie</w:t>
      </w:r>
    </w:p>
    <w:tbl>
      <w:tblPr>
        <w:tblW w:w="6480" w:type="dxa"/>
        <w:jc w:val="left"/>
        <w:tblInd w:w="0" w:type="dxa"/>
        <w:tblLayout w:type="fixed"/>
        <w:tblCellMar>
          <w:top w:w="50" w:type="dxa"/>
          <w:left w:w="80" w:type="dxa"/>
          <w:bottom w:w="50" w:type="dxa"/>
          <w:right w:w="80" w:type="dxa"/>
        </w:tblCellMar>
      </w:tblPr>
      <w:tblGrid>
        <w:gridCol w:w="1108"/>
        <w:gridCol w:w="2686"/>
        <w:gridCol w:w="2686"/>
      </w:tblGrid>
      <w:tr>
        <w:trPr>
          <w:tblHeader w:val="true"/>
          <w:cantSplit w:val="true"/>
        </w:trPr>
        <w:tc>
          <w:tcPr>
            <w:tcW w:w="110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Kriterium</w:t>
            </w:r>
          </w:p>
        </w:tc>
        <w:tc>
          <w:tcPr>
            <w:tcW w:w="268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H-1B</w:t>
            </w:r>
          </w:p>
        </w:tc>
        <w:tc>
          <w:tcPr>
            <w:tcW w:w="268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Green Card</w:t>
            </w:r>
          </w:p>
        </w:tc>
      </w:tr>
      <w:tr>
        <w:trPr>
          <w:cantSplit w:val="true"/>
        </w:trPr>
        <w:tc>
          <w:tcPr>
            <w:tcW w:w="11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 des Partners</w:t>
            </w:r>
          </w:p>
        </w:tc>
        <w:tc>
          <w:tcPr>
            <w:tcW w:w="26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H-4-Arbeitserlaubnis erst mit genehmigter I-140 oder Verlängerung über sechs Jahre hinaus</w:t>
            </w:r>
          </w:p>
        </w:tc>
        <w:tc>
          <w:tcPr>
            <w:tcW w:w="26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Partner arbeitet frei; schon bei laufender I-485 Arbeitserlaubnis möglich (260 $)</w:t>
            </w:r>
          </w:p>
        </w:tc>
      </w:tr>
      <w:tr>
        <w:trPr>
          <w:cantSplit w:val="true"/>
        </w:trPr>
        <w:tc>
          <w:tcPr>
            <w:tcW w:w="11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 und Altersgrenze</w:t>
            </w:r>
          </w:p>
        </w:tc>
        <w:tc>
          <w:tcPr>
            <w:tcW w:w="26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H-4 endet mit dem 21. Geburtstag, dann ist ein eigener Status nötig</w:t>
            </w:r>
          </w:p>
        </w:tc>
        <w:tc>
          <w:tcPr>
            <w:tcW w:w="26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Unverheiratete Kinder unter 21 sind mitberechtigt; die Regel CSPA schützt oft vor dem Herausaltern</w:t>
            </w:r>
          </w:p>
        </w:tc>
      </w:tr>
      <w:tr>
        <w:trPr>
          <w:cantSplit w:val="true"/>
        </w:trPr>
        <w:tc>
          <w:tcPr>
            <w:tcW w:w="11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Studium der Kinder</w:t>
            </w:r>
          </w:p>
        </w:tc>
        <w:tc>
          <w:tcPr>
            <w:tcW w:w="26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 nach Bundesstaat oft Tarif für Nicht-Ansässige, keine Bundesstudienhilfe</w:t>
            </w:r>
          </w:p>
        </w:tc>
        <w:tc>
          <w:tcPr>
            <w:tcW w:w="26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Bundesstudienhilfe (FAFSA) möglich; Tarife je nach Bundesstaat</w:t>
            </w:r>
          </w:p>
        </w:tc>
      </w:tr>
    </w:tbl>
    <w:p>
      <w:pPr>
        <w:pStyle w:val="Normal"/>
        <w:spacing w:lineRule="exact" w:line="180" w:before="0" w:after="0"/>
        <w:rPr/>
      </w:pPr>
      <w:r>
        <w:rPr/>
      </w:r>
    </w:p>
    <w:p>
      <w:pPr>
        <w:pStyle w:val="Heading4"/>
        <w:keepNext w:val="true"/>
        <w:spacing w:before="200" w:after="80"/>
        <w:jc w:val="center"/>
        <w:rPr/>
      </w:pPr>
      <w:r>
        <w:rPr>
          <w:rFonts w:eastAsia="Amazon Ember" w:cs="Amazon Ember" w:ascii="Amazon Ember" w:hAnsi="Amazon Ember"/>
          <w:b/>
          <w:bCs/>
          <w:color w:val="0000FF"/>
          <w:sz w:val="36"/>
          <w:szCs w:val="36"/>
        </w:rPr>
        <w:t>Reisen, Geld und Sicherheit</w:t>
      </w:r>
    </w:p>
    <w:tbl>
      <w:tblPr>
        <w:tblW w:w="6480" w:type="dxa"/>
        <w:jc w:val="left"/>
        <w:tblInd w:w="0" w:type="dxa"/>
        <w:tblLayout w:type="fixed"/>
        <w:tblCellMar>
          <w:top w:w="50" w:type="dxa"/>
          <w:left w:w="80" w:type="dxa"/>
          <w:bottom w:w="50" w:type="dxa"/>
          <w:right w:w="80" w:type="dxa"/>
        </w:tblCellMar>
      </w:tblPr>
      <w:tblGrid>
        <w:gridCol w:w="949"/>
        <w:gridCol w:w="2765"/>
        <w:gridCol w:w="2766"/>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Kriterium</w:t>
            </w:r>
          </w:p>
        </w:tc>
        <w:tc>
          <w:tcPr>
            <w:tcW w:w="276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H-1B</w:t>
            </w:r>
          </w:p>
        </w:tc>
        <w:tc>
          <w:tcPr>
            <w:tcW w:w="276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Green Card</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Reisen</w:t>
            </w:r>
          </w:p>
        </w:tc>
        <w:tc>
          <w:tcPr>
            <w:tcW w:w="2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Wiedereinreise mit gültigem Visum im Pass; ist es abgelaufen, neues Visum im Konsulat</w:t>
            </w:r>
          </w:p>
        </w:tc>
        <w:tc>
          <w:tcPr>
            <w:tcW w:w="27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Wiedereinreise mit Green Card und Reisepass, kein Konsulat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Lange Auslandszeit</w:t>
            </w:r>
          </w:p>
        </w:tc>
        <w:tc>
          <w:tcPr>
            <w:tcW w:w="2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Zeit im Ausland (über 24 Stunden) zählt nicht zu den sechs Jahren (Recapture)</w:t>
            </w:r>
          </w:p>
        </w:tc>
        <w:tc>
          <w:tcPr>
            <w:tcW w:w="27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 180 Tage: Prüfung durch den Grenzschutz; ab einem Jahr ohne Reentry Permit gilt die Karte nicht mehr als Einreisedokument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Steuern</w:t>
            </w:r>
          </w:p>
        </w:tc>
        <w:tc>
          <w:tcPr>
            <w:tcW w:w="2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 der Regel steuerlich ansässig; die Ansässigkeit endet mit dem Wegzug</w:t>
            </w:r>
          </w:p>
        </w:tc>
        <w:tc>
          <w:tcPr>
            <w:tcW w:w="27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Weltweit steuerpflichtig bis zur formellen Aufgabe; ab 8 von 15 Jahren droht die Exit Tax</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Hypothek</w:t>
            </w:r>
          </w:p>
        </w:tc>
        <w:tc>
          <w:tcPr>
            <w:tcW w:w="2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Konformkredit möglich, oft mit Mindest-Restlaufzeit des Visums; FHA seit 25. Mai 2025 ausgeschlossen</w:t>
            </w:r>
          </w:p>
        </w:tc>
        <w:tc>
          <w:tcPr>
            <w:tcW w:w="27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Zugang wie US-Bürger, auch FHA mit kleiner Anzahlung (Kapitel </w:t>
            </w:r>
            <w:hyperlink w:anchor="k14">
              <w:r>
                <w:rPr>
                  <w:rStyle w:val="ListLabel112"/>
                  <w:rFonts w:eastAsia="Cambria" w:cs="Cambria"/>
                  <w:b w:val="false"/>
                  <w:bCs w:val="false"/>
                  <w:i w:val="false"/>
                  <w:iCs w:val="false"/>
                  <w:sz w:val="18"/>
                  <w:szCs w:val="18"/>
                </w:rPr>
                <w:t>14</w:t>
              </w:r>
            </w:hyperlink>
            <w:r>
              <w:rPr>
                <w:rFonts w:eastAsia="Cambria" w:cs="Cambria"/>
                <w:b w:val="false"/>
                <w:bCs w:val="false"/>
                <w:i w:val="false"/>
                <w:iCs w:val="false"/>
                <w:sz w:val="18"/>
                <w:szCs w:val="18"/>
              </w:rPr>
              <w: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Krankenversicherung</w:t>
            </w:r>
          </w:p>
        </w:tc>
        <w:tc>
          <w:tcPr>
            <w:tcW w:w="2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Meist Arbeitgeberplan; ab 2027 keine Marktplatz-Zuschüsse</w:t>
            </w:r>
          </w:p>
        </w:tc>
        <w:tc>
          <w:tcPr>
            <w:tcW w:w="27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Marktplatz-Zuschüsse je nach Einkommen möglich (Kapitel </w:t>
            </w:r>
            <w:hyperlink w:anchor="k26">
              <w:r>
                <w:rPr>
                  <w:rStyle w:val="ListLabel112"/>
                  <w:rFonts w:eastAsia="Cambria" w:cs="Cambria"/>
                  <w:b w:val="false"/>
                  <w:bCs w:val="false"/>
                  <w:i w:val="false"/>
                  <w:iCs w:val="false"/>
                  <w:sz w:val="18"/>
                  <w:szCs w:val="18"/>
                </w:rPr>
                <w:t>26</w:t>
              </w:r>
            </w:hyperlink>
            <w:r>
              <w:rPr>
                <w:rFonts w:eastAsia="Cambria" w:cs="Cambria"/>
                <w:b w:val="false"/>
                <w:bCs w:val="false"/>
                <w:i w:val="false"/>
                <w:iCs w:val="false"/>
                <w:sz w:val="18"/>
                <w:szCs w:val="18"/>
              </w:rPr>
              <w: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Arbeitslosengeld</w:t>
            </w:r>
          </w:p>
        </w:tc>
        <w:tc>
          <w:tcPr>
            <w:tcW w:w="2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Anspruch in der Praxis uneinheitlich, nicht einplanen</w:t>
            </w:r>
          </w:p>
        </w:tc>
        <w:tc>
          <w:tcPr>
            <w:tcW w:w="27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Regeln des Bundesstaats wie für andere Beschäftigte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w:t>
            </w:r>
          </w:p>
        </w:tc>
        <w:tc>
          <w:tcPr>
            <w:tcW w:w="2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 zahlt Behördengebühren (Großbetrieb ca. 3.380 $); du meist Konsulat und Familienanträge</w:t>
            </w:r>
          </w:p>
        </w:tc>
        <w:tc>
          <w:tcPr>
            <w:tcW w:w="27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PERM und I-140 zahlt der Arbeitgeber; die I-485 meist du: 1.440 $ je Erwachsenem, 950 $ je Kind unter 14 mit Elternteil (Papier)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Einbürgerung, Wahlrecht</w:t>
            </w:r>
          </w:p>
        </w:tc>
        <w:tc>
          <w:tcPr>
            <w:tcW w:w="2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Weg zur Staatsbürgerschaft, kein Wahlrecht</w:t>
            </w:r>
          </w:p>
        </w:tc>
        <w:tc>
          <w:tcPr>
            <w:tcW w:w="27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Einbürgerung frühestens nach 5 Jahren (Kapitel </w:t>
            </w:r>
            <w:hyperlink w:anchor="k41">
              <w:r>
                <w:rPr>
                  <w:rStyle w:val="ListLabel112"/>
                  <w:rFonts w:eastAsia="Cambria" w:cs="Cambria"/>
                  <w:b w:val="false"/>
                  <w:bCs w:val="false"/>
                  <w:i w:val="false"/>
                  <w:iCs w:val="false"/>
                  <w:sz w:val="18"/>
                  <w:szCs w:val="18"/>
                </w:rPr>
                <w:t>41</w:t>
              </w:r>
            </w:hyperlink>
            <w:r>
              <w:rPr>
                <w:rFonts w:eastAsia="Cambria" w:cs="Cambria"/>
                <w:b w:val="false"/>
                <w:bCs w:val="false"/>
                <w:i w:val="false"/>
                <w:iCs w:val="false"/>
                <w:sz w:val="18"/>
                <w:szCs w:val="18"/>
              </w:rPr>
              <w:t>); Wahlrecht erst als Staatsbürger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Regeländerungen</w:t>
            </w:r>
          </w:p>
        </w:tc>
        <w:tc>
          <w:tcPr>
            <w:tcW w:w="2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Stark betroffen: Lotterie, Gebühren, Lohnstufen, 60-Tage-Frist</w:t>
            </w:r>
          </w:p>
        </w:tc>
        <w:tc>
          <w:tcPr>
            <w:tcW w:w="27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Erteilte Karte stabiler; im Verfahren Risiko durch Stichtage, Prüfregeln, Gebühren</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Green Card bringt dir nicht mehr Gehalt, sondern Verhandlungsmacht. Wer nicht mehr am Sponsor hängt, kann wechseln, pausieren oder gehen, ohne dass der Aufenthalt daran zerbricht.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klassische Weg: vom H-1B zur Green Card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meisten, die mit dem Arbeitgeber einreisen und bleiben, gehen denselben Weg: H-1B (oder L-1,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 und parallel drei Verfahrensschritte – das Arbeitsministerium (DOL) prüft, ob US-Arbeitskräfte fehlen, die Einwanderungsbehörde USCIS entscheidet über die Petition des Arbeitgebers (I-140) und deinen Antrag auf Statusanpassung (I-485). Die Zeitleiste zeigt einen typischen Ablauf mit Richtwerten (Stand September 2026); die Gesamtdauer ist eine Schätzung, keine Zusage.</w:t>
      </w:r>
    </w:p>
    <w:tbl>
      <w:tblPr>
        <w:tblW w:w="6480" w:type="dxa"/>
        <w:jc w:val="left"/>
        <w:tblInd w:w="0" w:type="dxa"/>
        <w:tblLayout w:type="fixed"/>
        <w:tblCellMar>
          <w:top w:w="50" w:type="dxa"/>
          <w:left w:w="80" w:type="dxa"/>
          <w:bottom w:w="50" w:type="dxa"/>
          <w:right w:w="80" w:type="dxa"/>
        </w:tblCellMar>
      </w:tblPr>
      <w:tblGrid>
        <w:gridCol w:w="1135"/>
        <w:gridCol w:w="2924"/>
        <w:gridCol w:w="1471"/>
        <w:gridCol w:w="949"/>
      </w:tblGrid>
      <w:tr>
        <w:trPr>
          <w:tblHeader w:val="true"/>
          <w:cantSplit w:val="true"/>
        </w:trPr>
        <w:tc>
          <w:tcPr>
            <w:tcW w:w="113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Schritt</w:t>
            </w:r>
          </w:p>
        </w:tc>
        <w:tc>
          <w:tcPr>
            <w:tcW w:w="292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passiert</w:t>
            </w:r>
          </w:p>
        </w:tc>
        <w:tc>
          <w:tcPr>
            <w:tcW w:w="147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Dauer (ca.)</w:t>
            </w:r>
          </w:p>
        </w:tc>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Zahlt</w:t>
            </w:r>
          </w:p>
        </w:tc>
      </w:tr>
      <w:tr>
        <w:trPr>
          <w:cantSplit w:val="true"/>
        </w:trPr>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Zusage im Vertrag</w:t>
            </w:r>
          </w:p>
        </w:tc>
        <w:tc>
          <w:tcPr>
            <w:tcW w:w="2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Termin für den Start des Verfahrens festhalten</w:t>
            </w:r>
          </w:p>
        </w:tc>
        <w:tc>
          <w:tcPr>
            <w:tcW w:w="14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 der Unterschrift</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r>
      <w:tr>
        <w:trPr>
          <w:cantSplit w:val="true"/>
        </w:trPr>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H-1B-Start</w:t>
            </w:r>
          </w:p>
        </w:tc>
        <w:tc>
          <w:tcPr>
            <w:tcW w:w="2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Registrierung im März, Beginn frühestens 1. Oktober (Kapitel </w:t>
            </w:r>
            <w:hyperlink w:anchor="k5">
              <w:r>
                <w:rPr>
                  <w:rStyle w:val="ListLabel112"/>
                  <w:rFonts w:eastAsia="Cambria" w:cs="Cambria"/>
                  <w:b w:val="false"/>
                  <w:bCs w:val="false"/>
                  <w:i w:val="false"/>
                  <w:iCs w:val="false"/>
                  <w:sz w:val="18"/>
                  <w:szCs w:val="18"/>
                </w:rPr>
                <w:t>5</w:t>
              </w:r>
            </w:hyperlink>
            <w:r>
              <w:rPr>
                <w:rFonts w:eastAsia="Cambria" w:cs="Cambria"/>
                <w:b w:val="false"/>
                <w:bCs w:val="false"/>
                <w:i w:val="false"/>
                <w:iCs w:val="false"/>
                <w:sz w:val="18"/>
                <w:szCs w:val="18"/>
              </w:rPr>
              <w:t>)</w:t>
            </w:r>
          </w:p>
        </w:tc>
        <w:tc>
          <w:tcPr>
            <w:tcW w:w="14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Monat 0</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t>
            </w:r>
          </w:p>
        </w:tc>
      </w:tr>
      <w:tr>
        <w:trPr>
          <w:cantSplit w:val="true"/>
        </w:trPr>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Lohnfeststellung (PWD)</w:t>
            </w:r>
          </w:p>
        </w:tc>
        <w:tc>
          <w:tcPr>
            <w:tcW w:w="2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Das DOL legt den ortsüblichen Mindestlohn der Stelle fest (Prevailing Wage Determination, Form ETA-9141)</w:t>
            </w:r>
          </w:p>
        </w:tc>
        <w:tc>
          <w:tcPr>
            <w:tcW w:w="14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3,5–4 Monate</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t>
            </w:r>
          </w:p>
        </w:tc>
      </w:tr>
      <w:tr>
        <w:trPr>
          <w:cantSplit w:val="true"/>
        </w:trPr>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Anzeigenphase</w:t>
            </w:r>
          </w:p>
        </w:tc>
        <w:tc>
          <w:tcPr>
            <w:tcW w:w="2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 sucht öffentlich US-Bewerber, danach 30 Tage Ruhezeit</w:t>
            </w:r>
          </w:p>
        </w:tc>
        <w:tc>
          <w:tcPr>
            <w:tcW w:w="14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2–3 Monate</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t>
            </w:r>
          </w:p>
        </w:tc>
      </w:tr>
      <w:tr>
        <w:trPr>
          <w:cantSplit w:val="true"/>
        </w:trPr>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PERM (Form ETA-9089)</w:t>
            </w:r>
          </w:p>
        </w:tc>
        <w:tc>
          <w:tcPr>
            <w:tcW w:w="2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Einreichung beim DOL; damit entsteht das Priority Date</w:t>
            </w:r>
          </w:p>
        </w:tc>
        <w:tc>
          <w:tcPr>
            <w:tcW w:w="14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Prüfung im Schnitt rund 11 Monate</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t>
            </w:r>
          </w:p>
        </w:tc>
      </w:tr>
      <w:tr>
        <w:trPr>
          <w:cantSplit w:val="true"/>
        </w:trPr>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I-140</w:t>
            </w:r>
          </w:p>
        </w:tc>
        <w:tc>
          <w:tcPr>
            <w:tcW w:w="2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Einwanderungspetition bei USCIS; mit Premium Processing (2.965 $) etwa 15 Werktage</w:t>
            </w:r>
          </w:p>
        </w:tc>
        <w:tc>
          <w:tcPr>
            <w:tcW w:w="14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Wochen bis Monate</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t>
            </w:r>
          </w:p>
        </w:tc>
      </w:tr>
      <w:tr>
        <w:trPr>
          <w:cantSplit w:val="true"/>
        </w:trPr>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I-485</w:t>
            </w:r>
          </w:p>
        </w:tc>
        <w:tc>
          <w:tcPr>
            <w:tcW w:w="2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Antrag im Inland, bei „current“ gleichzeitig mit der I-140 möglich; Arbeitserlaubnis und Reisepapiere beantragbar</w:t>
            </w:r>
          </w:p>
        </w:tc>
        <w:tc>
          <w:tcPr>
            <w:tcW w:w="14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8–24 Monate</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meist du</w:t>
            </w:r>
          </w:p>
        </w:tc>
      </w:tr>
      <w:tr>
        <w:trPr>
          <w:cantSplit w:val="true"/>
        </w:trPr>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Card</w:t>
            </w:r>
          </w:p>
        </w:tc>
        <w:tc>
          <w:tcPr>
            <w:tcW w:w="2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Karte kommt per Post, die Familie erhält sie mit</w:t>
            </w:r>
          </w:p>
        </w:tc>
        <w:tc>
          <w:tcPr>
            <w:tcW w:w="14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Gesamt ca. 2,5–4,5 Jahre</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r>
      <w:tr>
        <w:trPr>
          <w:cantSplit w:val="true"/>
        </w:trPr>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Einbürgerung (optional)</w:t>
            </w:r>
          </w:p>
        </w:tc>
        <w:tc>
          <w:tcPr>
            <w:tcW w:w="2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Frühestens 5 Jahre nach der Erteilung (Kapitel </w:t>
            </w:r>
            <w:hyperlink w:anchor="k41">
              <w:r>
                <w:rPr>
                  <w:rStyle w:val="ListLabel112"/>
                  <w:rFonts w:eastAsia="Cambria" w:cs="Cambria"/>
                  <w:b w:val="false"/>
                  <w:bCs w:val="false"/>
                  <w:i w:val="false"/>
                  <w:iCs w:val="false"/>
                  <w:sz w:val="18"/>
                  <w:szCs w:val="18"/>
                </w:rPr>
                <w:t>41</w:t>
              </w:r>
            </w:hyperlink>
            <w:r>
              <w:rPr>
                <w:rFonts w:eastAsia="Cambria" w:cs="Cambria"/>
                <w:b w:val="false"/>
                <w:bCs w:val="false"/>
                <w:i w:val="false"/>
                <w:iCs w:val="false"/>
                <w:sz w:val="18"/>
                <w:szCs w:val="18"/>
              </w:rPr>
              <w:t>)</w:t>
            </w:r>
          </w:p>
        </w:tc>
        <w:tc>
          <w:tcPr>
            <w:tcW w:w="14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Erteilung</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Werte für Lohnfeststellung und PERM stammen aus den DOL-Bearbeitungszeiten vom 31. August 2026 (bearbeitet: Lohnanträge von Mai 2026, PERM-Anträge mit Priority Date November 2025). H-1B-Inhaber wählen für die letzte Etappe meist die I-485 im Inland; das Konsularverfahren in Frankfurt ginge nach eigener Schätzung schneller (4–8 Monate), verlangt aber die Ausreise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Zwei Regeln des Gesetzes </w:t>
      </w:r>
      <w:r>
        <w:rPr>
          <w:rFonts w:eastAsia="Cambria" w:cs="Cambria"/>
          <w:b w:val="false"/>
          <w:bCs w:val="false"/>
          <w:i/>
          <w:iCs/>
          <w:sz w:val="22"/>
          <w:szCs w:val="22"/>
        </w:rPr>
        <w:t>AC21</w:t>
      </w:r>
      <w:r>
        <w:rPr>
          <w:rFonts w:eastAsia="Cambria" w:cs="Cambria"/>
          <w:b w:val="false"/>
          <w:bCs w:val="false"/>
          <w:i w:val="false"/>
          <w:iCs w:val="false"/>
          <w:sz w:val="22"/>
          <w:szCs w:val="22"/>
        </w:rPr>
        <w:t xml:space="preserve"> halten deinen H-1B über die sechs Jahre hinaus am Leben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Ein-Jahres-Schritte, wenn PERM oder I-140 seit 365 Tagen anhängig ist, und Drei-Jahres-Schritte, wenn die I-140 genehmigt ist, für dich aber noch kein Visum zur Verfügung steht.</w:t>
      </w:r>
    </w:p>
    <w:p>
      <w:pPr>
        <w:pStyle w:val="Heading4"/>
        <w:keepNext w:val="true"/>
        <w:spacing w:before="200" w:after="80"/>
        <w:jc w:val="center"/>
        <w:rPr/>
      </w:pPr>
      <w:r>
        <w:rPr>
          <w:rFonts w:eastAsia="Amazon Ember" w:cs="Amazon Ember" w:ascii="Amazon Ember" w:hAnsi="Amazon Ember"/>
          <w:b/>
          <w:bCs/>
          <w:color w:val="0000FF"/>
          <w:sz w:val="36"/>
          <w:szCs w:val="36"/>
        </w:rPr>
        <w:t>Die Lage für Deutsche (Stand 20. September 2026)</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die Warteschlange zählt das Geburtsland. Deutsche gehören zur Gruppe „Rest der Welt“, nicht zu Indien oder China, wo die Wartezeiten Jahre bis Jahrzehnte betragen (Indien EB-3: Stichtag 1. Januar 2014). Das </w:t>
      </w:r>
      <w:r>
        <w:rPr>
          <w:rFonts w:eastAsia="Cambria" w:cs="Cambria"/>
          <w:b w:val="false"/>
          <w:bCs w:val="false"/>
          <w:i/>
          <w:iCs/>
          <w:sz w:val="22"/>
          <w:szCs w:val="22"/>
        </w:rPr>
        <w:t>Visa Bulletin</w:t>
      </w:r>
      <w:r>
        <w:rPr>
          <w:rFonts w:eastAsia="Cambria" w:cs="Cambria"/>
          <w:b w:val="false"/>
          <w:bCs w:val="false"/>
          <w:i w:val="false"/>
          <w:iCs w:val="false"/>
          <w:sz w:val="22"/>
          <w:szCs w:val="22"/>
        </w:rPr>
        <w:t>, die monatliche Stichtagsliste des State Department, nennt für September 2026 diese Stichtage (</w:t>
      </w:r>
      <w:r>
        <w:rPr>
          <w:rFonts w:eastAsia="Cambria" w:cs="Cambria"/>
          <w:b w:val="false"/>
          <w:bCs w:val="false"/>
          <w:i/>
          <w:iCs/>
          <w:sz w:val="22"/>
          <w:szCs w:val="22"/>
        </w:rPr>
        <w:t>Final Action Dates</w:t>
      </w:r>
      <w:r>
        <w:rPr>
          <w:rFonts w:eastAsia="Cambria" w:cs="Cambria"/>
          <w:b w:val="false"/>
          <w:bCs w:val="false"/>
          <w:i w:val="false"/>
          <w:iCs w:val="false"/>
          <w:sz w:val="22"/>
          <w:szCs w:val="22"/>
        </w:rPr>
        <w:t>) für arbeitsbasierte Anträge im Inland:</w:t>
      </w:r>
    </w:p>
    <w:p>
      <w:pPr>
        <w:pStyle w:val="ListParagraph"/>
        <w:numPr>
          <w:ilvl w:val="0"/>
          <w:numId w:val="1"/>
        </w:numPr>
        <w:spacing w:lineRule="exact" w:line="288" w:before="0" w:after="60"/>
        <w:rPr/>
      </w:pPr>
      <w:r>
        <w:rPr>
          <w:rFonts w:eastAsia="Cambria" w:cs="Cambria"/>
          <w:b/>
          <w:bCs/>
          <w:i w:val="false"/>
          <w:iCs w:val="false"/>
          <w:sz w:val="22"/>
          <w:szCs w:val="22"/>
        </w:rPr>
        <w:t>EB-1</w:t>
      </w:r>
      <w:r>
        <w:rPr>
          <w:rFonts w:eastAsia="Cambria" w:cs="Cambria"/>
          <w:b w:val="false"/>
          <w:bCs w:val="false"/>
          <w:i w:val="false"/>
          <w:iCs w:val="false"/>
          <w:sz w:val="22"/>
          <w:szCs w:val="22"/>
        </w:rPr>
        <w:t xml:space="preserve"> (außergewöhnliche Fähigkeiten, Forschende, Konzernmanager): current, also ohne Wartezeit.</w:t>
      </w:r>
    </w:p>
    <w:p>
      <w:pPr>
        <w:pStyle w:val="ListParagraph"/>
        <w:numPr>
          <w:ilvl w:val="0"/>
          <w:numId w:val="1"/>
        </w:numPr>
        <w:spacing w:lineRule="exact" w:line="288" w:before="0" w:after="60"/>
        <w:rPr/>
      </w:pPr>
      <w:r>
        <w:rPr>
          <w:rFonts w:eastAsia="Cambria" w:cs="Cambria"/>
          <w:b/>
          <w:bCs/>
          <w:i w:val="false"/>
          <w:iCs w:val="false"/>
          <w:sz w:val="22"/>
          <w:szCs w:val="22"/>
        </w:rPr>
        <w:t>EB-2</w:t>
      </w:r>
      <w:r>
        <w:rPr>
          <w:rFonts w:eastAsia="Cambria" w:cs="Cambria"/>
          <w:b w:val="false"/>
          <w:bCs w:val="false"/>
          <w:i w:val="false"/>
          <w:iCs w:val="false"/>
          <w:sz w:val="22"/>
          <w:szCs w:val="22"/>
        </w:rPr>
        <w:t xml:space="preserve"> (Master oder Bachelor plus fünf Jahre Berufserfahrung mit wachsender Verantwortung): current seit April 2026. Im Oktober 2025 lag der Stichtag noch beim 1. Dezember 2023.</w:t>
      </w:r>
    </w:p>
    <w:p>
      <w:pPr>
        <w:pStyle w:val="ListParagraph"/>
        <w:numPr>
          <w:ilvl w:val="0"/>
          <w:numId w:val="1"/>
        </w:numPr>
        <w:spacing w:lineRule="exact" w:line="288" w:before="0" w:after="60"/>
        <w:rPr/>
      </w:pPr>
      <w:r>
        <w:rPr>
          <w:rFonts w:eastAsia="Cambria" w:cs="Cambria"/>
          <w:b/>
          <w:bCs/>
          <w:i w:val="false"/>
          <w:iCs w:val="false"/>
          <w:sz w:val="22"/>
          <w:szCs w:val="22"/>
        </w:rPr>
        <w:t>EB-3</w:t>
      </w:r>
      <w:r>
        <w:rPr>
          <w:rFonts w:eastAsia="Cambria" w:cs="Cambria"/>
          <w:b w:val="false"/>
          <w:bCs w:val="false"/>
          <w:i w:val="false"/>
          <w:iCs w:val="false"/>
          <w:sz w:val="22"/>
          <w:szCs w:val="22"/>
        </w:rPr>
        <w:t xml:space="preserve"> (Bachelor oder Fachkräfte mit mindestens zwei Jahren Erfahrung): 1. September 2024. Nur Fälle mit früherem Priority Date kommen zum Zug, ein heute eingereichtes PERM liegt dahinter.</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t>
      </w:r>
      <w:r>
        <w:rPr>
          <w:rFonts w:eastAsia="Cambria" w:cs="Cambria"/>
          <w:b w:val="false"/>
          <w:bCs w:val="false"/>
          <w:i w:val="false"/>
          <w:iCs w:val="false"/>
          <w:sz w:val="22"/>
          <w:szCs w:val="22"/>
        </w:rPr>
        <w:t>Current“ heißt: Das Priority Date spielt keine Rolle, die I-485 kann zusammen mit der I-140 eingereicht werden (</w:t>
      </w:r>
      <w:r>
        <w:rPr>
          <w:rFonts w:eastAsia="Cambria" w:cs="Cambria"/>
          <w:b w:val="false"/>
          <w:bCs w:val="false"/>
          <w:i/>
          <w:iCs/>
          <w:sz w:val="22"/>
          <w:szCs w:val="22"/>
        </w:rPr>
        <w:t>Concurrent Filing</w:t>
      </w:r>
      <w:r>
        <w:rPr>
          <w:rFonts w:eastAsia="Cambria" w:cs="Cambria"/>
          <w:b w:val="false"/>
          <w:bCs w:val="false"/>
          <w:i w:val="false"/>
          <w:iCs w:val="false"/>
          <w:sz w:val="22"/>
          <w:szCs w:val="22"/>
        </w:rPr>
        <w:t>). Welche Kategorie gilt, bestimmen die Mindestanforderungen der Stelle, nicht dein Lebenslauf – frage die Kanzlei früh, ob die Stelle EB-2-fähig ist.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t>
            </w:r>
            <w:r>
              <w:rPr>
                <w:rFonts w:eastAsia="Cambria" w:cs="Cambria"/>
                <w:b w:val="false"/>
                <w:bCs w:val="false"/>
                <w:i w:val="false"/>
                <w:iCs w:val="false"/>
                <w:sz w:val="20"/>
                <w:szCs w:val="20"/>
              </w:rPr>
              <w:t>Current“ ist eine Momentaufnahme: Das Bulletin für September warnt, dass EB-2 vor Ende des Fiskaljahres zurückgestuft werden kann. Am 1. Oktober beginnt das Fiskaljahr 2027 (FY2027) mit neuen Kontingenten, die Oktober-Ausgabe lag am 20. September noch nicht vor. Das State Department führt die jüngste Beschleunigung auf gesunkene Visa-Ausstellung zurück – das kann sich umkehren. Plane nie so, als bliebe EB-2 current, und reiche die I-485 ein, sobald es möglich ist.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Wann du startest und wie du es vertraglich absicherst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Kein Arbeitgeber ist verpflichtet, ein Green-Card-Verfahren zu führen – ohne Zusage bleibt der H-1B ein Visum auf höchstens sechs Jahre. Zwei Fragen entscheiden, ob aus der Etappe ein Weg wird: wann das Verfahren beginnt und wie verbindlich die Zusage ist.</w:t>
      </w:r>
    </w:p>
    <w:p>
      <w:pPr>
        <w:pStyle w:val="Normal"/>
        <w:keepNext w:val="false"/>
        <w:keepLines w:val="false"/>
        <w:spacing w:lineRule="exact" w:line="288" w:before="0" w:after="140"/>
        <w:jc w:val="left"/>
        <w:rPr/>
      </w:pPr>
      <w:r>
        <w:rPr>
          <w:rFonts w:eastAsia="Cambria" w:cs="Cambria"/>
          <w:b/>
          <w:bCs/>
          <w:i w:val="false"/>
          <w:iCs w:val="false"/>
          <w:sz w:val="22"/>
          <w:szCs w:val="22"/>
        </w:rPr>
        <w:t>Wann.</w:t>
      </w:r>
      <w:r>
        <w:rPr>
          <w:rFonts w:eastAsia="Cambria" w:cs="Cambria"/>
          <w:b w:val="false"/>
          <w:bCs w:val="false"/>
          <w:i w:val="false"/>
          <w:iCs w:val="false"/>
          <w:sz w:val="22"/>
          <w:szCs w:val="22"/>
        </w:rPr>
        <w:t xml:space="preserve"> Das </w:t>
      </w:r>
      <w:r>
        <w:rPr>
          <w:rFonts w:eastAsia="Cambria" w:cs="Cambria"/>
          <w:b w:val="false"/>
          <w:bCs w:val="false"/>
          <w:i/>
          <w:iCs/>
          <w:sz w:val="22"/>
          <w:szCs w:val="22"/>
        </w:rPr>
        <w:t>Priority Date</w:t>
      </w:r>
      <w:r>
        <w:rPr>
          <w:rFonts w:eastAsia="Cambria" w:cs="Cambria"/>
          <w:b w:val="false"/>
          <w:bCs w:val="false"/>
          <w:i w:val="false"/>
          <w:iCs w:val="false"/>
          <w:sz w:val="22"/>
          <w:szCs w:val="22"/>
        </w:rPr>
        <w:t xml:space="preserve">, dein Platz in der Warteschlange, entsteht erst mit der Einreichung des PERM-Antrags, nicht mit dem Jobangebot – </w:t>
      </w:r>
      <w:r>
        <w:rPr>
          <w:rFonts w:eastAsia="Cambria" w:cs="Cambria"/>
          <w:b w:val="false"/>
          <w:bCs w:val="false"/>
          <w:i/>
          <w:iCs/>
          <w:sz w:val="22"/>
          <w:szCs w:val="22"/>
        </w:rPr>
        <w:t>PERM</w:t>
      </w:r>
      <w:r>
        <w:rPr>
          <w:rFonts w:eastAsia="Cambria" w:cs="Cambria"/>
          <w:b w:val="false"/>
          <w:bCs w:val="false"/>
          <w:i w:val="false"/>
          <w:iCs w:val="false"/>
          <w:sz w:val="22"/>
          <w:szCs w:val="22"/>
        </w:rPr>
        <w:t xml:space="preserve"> ist die Arbeitsmarktprüfung, bei der der Arbeitgeber nachweist, keine geeigneten US-Bewerber gefunden zu haben. Rechne rückwärts vom Ende der sechs Jahre:</w:t>
      </w:r>
    </w:p>
    <w:p>
      <w:pPr>
        <w:pStyle w:val="ListParagraph"/>
        <w:numPr>
          <w:ilvl w:val="0"/>
          <w:numId w:val="94"/>
        </w:numPr>
        <w:spacing w:lineRule="exact" w:line="288" w:before="0" w:after="60"/>
        <w:rPr/>
      </w:pPr>
      <w:r>
        <w:rPr>
          <w:rFonts w:eastAsia="Cambria" w:cs="Cambria"/>
          <w:b w:val="false"/>
          <w:bCs w:val="false"/>
          <w:i w:val="false"/>
          <w:iCs w:val="false"/>
          <w:sz w:val="22"/>
          <w:szCs w:val="22"/>
        </w:rPr>
        <w:t>Für eine Ein-Jahres-Verlängerung muss PERM oder I-140 mindestens 365 Tage anhängig sein. Die PERM-Einreichung muss also spätestens zu Beginn des sechsten Jahres liegen.</w:t>
      </w:r>
    </w:p>
    <w:p>
      <w:pPr>
        <w:pStyle w:val="ListParagraph"/>
        <w:numPr>
          <w:ilvl w:val="0"/>
          <w:numId w:val="95"/>
        </w:numPr>
        <w:spacing w:lineRule="exact" w:line="288" w:before="0" w:after="60"/>
        <w:rPr/>
      </w:pPr>
      <w:r>
        <w:rPr>
          <w:rFonts w:eastAsia="Cambria" w:cs="Cambria"/>
          <w:b w:val="false"/>
          <w:bCs w:val="false"/>
          <w:i w:val="false"/>
          <w:iCs w:val="false"/>
          <w:sz w:val="22"/>
          <w:szCs w:val="22"/>
        </w:rPr>
        <w:t>Davor liegen die Lohnfeststellung (derzeit 3,5–4 Monate) und die Anzeigenphase (2–3 Monate).</w:t>
      </w:r>
    </w:p>
    <w:p>
      <w:pPr>
        <w:pStyle w:val="ListParagraph"/>
        <w:numPr>
          <w:ilvl w:val="0"/>
          <w:numId w:val="96"/>
        </w:numPr>
        <w:spacing w:lineRule="exact" w:line="288" w:before="0" w:after="60"/>
        <w:rPr/>
      </w:pPr>
      <w:r>
        <w:rPr>
          <w:rFonts w:eastAsia="Cambria" w:cs="Cambria"/>
          <w:b w:val="false"/>
          <w:bCs w:val="false"/>
          <w:i w:val="false"/>
          <w:iCs w:val="false"/>
          <w:sz w:val="22"/>
          <w:szCs w:val="22"/>
        </w:rPr>
        <w:t>Der Startschuss muss demnach spätestens im fünften Jahr fallen (eigene Rechnung).</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ist die Untergrenze, kein Plan: Eine Nachforderung, ein Audit oder ein Jobwechsel fressen den Puffer schnell. Vernünftig ist ein fester Termin in den ersten sechs bis zwölf Monaten – verhandle ein Datum statt eines offenen „später“.</w:t>
      </w:r>
    </w:p>
    <w:p>
      <w:pPr>
        <w:pStyle w:val="Normal"/>
        <w:keepNext w:val="false"/>
        <w:keepLines w:val="false"/>
        <w:spacing w:lineRule="exact" w:line="288" w:before="0" w:after="140"/>
        <w:jc w:val="left"/>
        <w:rPr/>
      </w:pPr>
      <w:r>
        <w:rPr>
          <w:rFonts w:eastAsia="Cambria" w:cs="Cambria"/>
          <w:b/>
          <w:bCs/>
          <w:i w:val="false"/>
          <w:iCs w:val="false"/>
          <w:sz w:val="22"/>
          <w:szCs w:val="22"/>
        </w:rPr>
        <w:t>Wie.</w:t>
      </w:r>
      <w:r>
        <w:rPr>
          <w:rFonts w:eastAsia="Cambria" w:cs="Cambria"/>
          <w:b w:val="false"/>
          <w:bCs w:val="false"/>
          <w:i w:val="false"/>
          <w:iCs w:val="false"/>
          <w:sz w:val="22"/>
          <w:szCs w:val="22"/>
        </w:rPr>
        <w:t xml:space="preserve"> Lass diese Punkte vor der Unterschrift im Jobangebot (</w:t>
      </w:r>
      <w:r>
        <w:rPr>
          <w:rFonts w:eastAsia="Cambria" w:cs="Cambria"/>
          <w:b w:val="false"/>
          <w:bCs w:val="false"/>
          <w:i/>
          <w:iCs/>
          <w:sz w:val="22"/>
          <w:szCs w:val="22"/>
        </w:rPr>
        <w:t>Offer Letter</w:t>
      </w:r>
      <w:r>
        <w:rPr>
          <w:rFonts w:eastAsia="Cambria" w:cs="Cambria"/>
          <w:b w:val="false"/>
          <w:bCs w:val="false"/>
          <w:i w:val="false"/>
          <w:iCs w:val="false"/>
          <w:sz w:val="22"/>
          <w:szCs w:val="22"/>
        </w:rPr>
        <w:t>) oder im Arbeitsvertrag festhalten:</w:t>
      </w:r>
    </w:p>
    <w:p>
      <w:pPr>
        <w:pStyle w:val="ListParagraph"/>
        <w:numPr>
          <w:ilvl w:val="0"/>
          <w:numId w:val="1"/>
        </w:numPr>
        <w:spacing w:lineRule="exact" w:line="288" w:before="0" w:after="60"/>
        <w:rPr/>
      </w:pPr>
      <w:r>
        <w:rPr>
          <w:rFonts w:eastAsia="Cambria" w:cs="Cambria"/>
          <w:b/>
          <w:bCs/>
          <w:i w:val="false"/>
          <w:iCs w:val="false"/>
          <w:sz w:val="22"/>
          <w:szCs w:val="22"/>
        </w:rPr>
        <w:t>Termin:</w:t>
      </w:r>
      <w:r>
        <w:rPr>
          <w:rFonts w:eastAsia="Cambria" w:cs="Cambria"/>
          <w:b w:val="false"/>
          <w:bCs w:val="false"/>
          <w:i w:val="false"/>
          <w:iCs w:val="false"/>
          <w:sz w:val="22"/>
          <w:szCs w:val="22"/>
        </w:rPr>
        <w:t xml:space="preserve"> Der Arbeitgeber beantragt die Lohnfeststellung spätestens zu einem festen Zeitpunkt nach Arbeitsbeginn.</w:t>
      </w:r>
    </w:p>
    <w:p>
      <w:pPr>
        <w:pStyle w:val="ListParagraph"/>
        <w:numPr>
          <w:ilvl w:val="0"/>
          <w:numId w:val="1"/>
        </w:numPr>
        <w:spacing w:lineRule="exact" w:line="288" w:before="0" w:after="60"/>
        <w:rPr/>
      </w:pPr>
      <w:r>
        <w:rPr>
          <w:rFonts w:eastAsia="Cambria" w:cs="Cambria"/>
          <w:b/>
          <w:bCs/>
          <w:i w:val="false"/>
          <w:iCs w:val="false"/>
          <w:sz w:val="22"/>
          <w:szCs w:val="22"/>
        </w:rPr>
        <w:t>Verbindlichkeit:</w:t>
      </w:r>
      <w:r>
        <w:rPr>
          <w:rFonts w:eastAsia="Cambria" w:cs="Cambria"/>
          <w:b w:val="false"/>
          <w:bCs w:val="false"/>
          <w:i w:val="false"/>
          <w:iCs w:val="false"/>
          <w:sz w:val="22"/>
          <w:szCs w:val="22"/>
        </w:rPr>
        <w:t xml:space="preserve"> „wird“ statt „kann“ oder „prüft“ – eine Absichtserklärung ohne Datum hilft nicht.</w:t>
      </w:r>
    </w:p>
    <w:p>
      <w:pPr>
        <w:pStyle w:val="ListParagraph"/>
        <w:numPr>
          <w:ilvl w:val="0"/>
          <w:numId w:val="1"/>
        </w:numPr>
        <w:spacing w:lineRule="exact" w:line="288" w:before="0" w:after="60"/>
        <w:rPr/>
      </w:pPr>
      <w:r>
        <w:rPr>
          <w:rFonts w:eastAsia="Cambria" w:cs="Cambria"/>
          <w:b/>
          <w:bCs/>
          <w:i w:val="false"/>
          <w:iCs w:val="false"/>
          <w:sz w:val="22"/>
          <w:szCs w:val="22"/>
        </w:rPr>
        <w:t>Kosten:</w:t>
      </w:r>
      <w:r>
        <w:rPr>
          <w:rFonts w:eastAsia="Cambria" w:cs="Cambria"/>
          <w:b w:val="false"/>
          <w:bCs w:val="false"/>
          <w:i w:val="false"/>
          <w:iCs w:val="false"/>
          <w:sz w:val="22"/>
          <w:szCs w:val="22"/>
        </w:rPr>
        <w:t xml:space="preserve"> Der Arbeitgeber trägt alle PERM-Kosten und in der Praxis auch die I-140-Gebühren (715 $ Papier, 665 $ online, plus 600 $ </w:t>
      </w:r>
      <w:r>
        <w:rPr>
          <w:rFonts w:eastAsia="Cambria" w:cs="Cambria"/>
          <w:b w:val="false"/>
          <w:bCs w:val="false"/>
          <w:i/>
          <w:iCs/>
          <w:sz w:val="22"/>
          <w:szCs w:val="22"/>
        </w:rPr>
        <w:t>Asylum Program Fee</w:t>
      </w:r>
      <w:r>
        <w:rPr>
          <w:rFonts w:eastAsia="Cambria" w:cs="Cambria"/>
          <w:b w:val="false"/>
          <w:bCs w:val="false"/>
          <w:i w:val="false"/>
          <w:iCs w:val="false"/>
          <w:sz w:val="22"/>
          <w:szCs w:val="22"/>
        </w:rPr>
        <w:t>). Wer die I-485 der Familie zahlt, klärst du schriftlich.</w:t>
      </w:r>
    </w:p>
    <w:p>
      <w:pPr>
        <w:pStyle w:val="ListParagraph"/>
        <w:numPr>
          <w:ilvl w:val="0"/>
          <w:numId w:val="1"/>
        </w:numPr>
        <w:spacing w:lineRule="exact" w:line="288" w:before="0" w:after="60"/>
        <w:rPr/>
      </w:pPr>
      <w:r>
        <w:rPr>
          <w:rFonts w:eastAsia="Cambria" w:cs="Cambria"/>
          <w:b/>
          <w:bCs/>
          <w:i w:val="false"/>
          <w:iCs w:val="false"/>
          <w:sz w:val="22"/>
          <w:szCs w:val="22"/>
        </w:rPr>
        <w:t>Durchführung:</w:t>
      </w:r>
      <w:r>
        <w:rPr>
          <w:rFonts w:eastAsia="Cambria" w:cs="Cambria"/>
          <w:b w:val="false"/>
          <w:bCs w:val="false"/>
          <w:i w:val="false"/>
          <w:iCs w:val="false"/>
          <w:sz w:val="22"/>
          <w:szCs w:val="22"/>
        </w:rPr>
        <w:t xml:space="preserve"> Er führt das Verfahren bis zur Green Card fort, stellt nötige Bescheinigungen aus.</w:t>
      </w:r>
    </w:p>
    <w:p>
      <w:pPr>
        <w:pStyle w:val="ListParagraph"/>
        <w:numPr>
          <w:ilvl w:val="0"/>
          <w:numId w:val="1"/>
        </w:numPr>
        <w:spacing w:lineRule="exact" w:line="288" w:before="0" w:after="60"/>
        <w:rPr/>
      </w:pPr>
      <w:r>
        <w:rPr>
          <w:rFonts w:eastAsia="Cambria" w:cs="Cambria"/>
          <w:b/>
          <w:bCs/>
          <w:i w:val="false"/>
          <w:iCs w:val="false"/>
          <w:sz w:val="22"/>
          <w:szCs w:val="22"/>
        </w:rPr>
        <w:t>Kündigung:</w:t>
      </w:r>
      <w:r>
        <w:rPr>
          <w:rFonts w:eastAsia="Cambria" w:cs="Cambria"/>
          <w:b w:val="false"/>
          <w:bCs w:val="false"/>
          <w:i w:val="false"/>
          <w:iCs w:val="false"/>
          <w:sz w:val="22"/>
          <w:szCs w:val="22"/>
        </w:rPr>
        <w:t xml:space="preserve"> Frage, was mit dem Verfahren geschieht, wenn er dir kündigt. Garantieren kann er wenig, aber du solltest die Antwort kennen.</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Kosten der PERM-Arbeitsmarktprüfung (Anzeigen, Anwalt) darf der Arbeitgeber weder ganz noch teilweise von dir zurückverlangen (20 CFR 656.12(b)); erlaubt ist nur ein eigener, gesonderter Anwalt auf eigene Kosten. Lass Rückzahlungsklauseln prüfen, bevor du unterschreibst (Kapitel </w:t>
            </w:r>
            <w:hyperlink w:anchor="k11">
              <w:r>
                <w:rPr>
                  <w:rStyle w:val="ListLabel114"/>
                  <w:rFonts w:eastAsia="Cambria" w:cs="Cambria"/>
                  <w:b w:val="false"/>
                  <w:bCs w:val="false"/>
                  <w:i w:val="false"/>
                  <w:iCs w:val="false"/>
                  <w:sz w:val="20"/>
                  <w:szCs w:val="20"/>
                </w:rPr>
                <w:t>11</w:t>
              </w:r>
            </w:hyperlink>
            <w:r>
              <w:rPr>
                <w:rFonts w:eastAsia="Cambria" w:cs="Cambria"/>
                <w:b w:val="false"/>
                <w:bCs w:val="false"/>
                <w:i w:val="false"/>
                <w:iCs w:val="false"/>
                <w:sz w:val="20"/>
                <w:szCs w:val="20"/>
              </w:rPr>
              <w: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 Im Entwurf des Jobangebots steht zunächst nur „the Company may sponsor you for permanent residence“ – derselbe Satz, der auch am Anfang dieses Kapitels steht. Markus, 38, lässt ihn vor der Unterschrift ändern: Der Arbeitgeber beantragt die Lohnfeststellung spätestens sieben Monate nach Arbeitsbeginn, trägt alle PERM- und I-140-Kosten und führt das Verfahren bis zur Green Card fort. Die Kanzlei ordnet die Stelle als EB-2 ein. Rechnet Markus mit der mittleren Dauer von 3,5 Jahren, liegt die Green Card im fünften Jahr in Detroit vor, noch vor dem Ende der sechs H-1B-Jahre. Die vier I-485-Anträge zahlt die Familie selbst: 2 × 1.440 $ für Markus und Anna, 2 × 950 $ für Lena (9) und Jonas (5), zusammen 4.780 $ (Papier), dazu 260 $ für Annas Arbeitserlaubnis.</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Kinder unter 14 zahlen die I-485 nur dann ermäßigt (950 $ Papier, 900 $ online statt 1.440 $ bzw. 1.390 $), wenn der Antrag zusammen mit dem eines Elternteils eingereicht wird. Reiche die Anträge der Familie deshalb gemeinsam ein.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wechselt, bevor die I-140 genehmigt ist, beginnt beim neuen Arbeitgeber meist von vorn: Erst mit einer genehmigten I-140, mindestens 180 Tage alt, bleibt das Priority Date erhalten; erst mit einer I-485, seit 180 Tagen anhängig, kannst du in gleicher oder ähnlicher Tätigkeit wechseln, ohne neu anzufangen (Kapitel </w:t>
            </w:r>
            <w:hyperlink w:anchor="k30">
              <w:r>
                <w:rPr>
                  <w:rStyle w:val="ListLabel114"/>
                  <w:rFonts w:eastAsia="Cambria" w:cs="Cambria"/>
                  <w:b w:val="false"/>
                  <w:bCs w:val="false"/>
                  <w:i w:val="false"/>
                  <w:iCs w:val="false"/>
                  <w:sz w:val="20"/>
                  <w:szCs w:val="20"/>
                </w:rPr>
                <w:t>30</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Wenn die Lotterie nicht klappt: Plan A, B und C</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Rechne mit der Absage: Im März 2026 standen 85.000 Plätzen 211.600 gültige Registrierungen gegenüber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Lege den Ersatzweg fest, bevor du kündigst oder die Wohnung auflöst.</w:t>
      </w:r>
    </w:p>
    <w:tbl>
      <w:tblPr>
        <w:tblW w:w="6480" w:type="dxa"/>
        <w:jc w:val="left"/>
        <w:tblInd w:w="0" w:type="dxa"/>
        <w:tblLayout w:type="fixed"/>
        <w:tblCellMar>
          <w:top w:w="50" w:type="dxa"/>
          <w:left w:w="80" w:type="dxa"/>
          <w:bottom w:w="50" w:type="dxa"/>
          <w:right w:w="80" w:type="dxa"/>
        </w:tblCellMar>
      </w:tblPr>
      <w:tblGrid>
        <w:gridCol w:w="949"/>
        <w:gridCol w:w="1871"/>
        <w:gridCol w:w="2710"/>
        <w:gridCol w:w="949"/>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Plan</w:t>
            </w:r>
          </w:p>
        </w:tc>
        <w:tc>
          <w:tcPr>
            <w:tcW w:w="187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Weg</w:t>
            </w:r>
          </w:p>
        </w:tc>
        <w:tc>
          <w:tcPr>
            <w:tcW w:w="271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du brauchst</w:t>
            </w:r>
          </w:p>
        </w:tc>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w:t>
            </w:r>
          </w:p>
        </w:tc>
        <w:tc>
          <w:tcPr>
            <w:tcW w:w="18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Nächster Anlauf im März (FY2028 voraussichtlich März 2027, offiziell offen) oder quotenfreier Arbeitgeber (Hochschule, Forschung)</w:t>
            </w:r>
          </w:p>
        </w:tc>
        <w:tc>
          <w:tcPr>
            <w:tcW w:w="27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Jobzusage, höhere Lohnstufe (Level IV = 4 Lose statt 1)</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5, 8</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w:t>
            </w:r>
          </w:p>
        </w:tc>
        <w:tc>
          <w:tcPr>
            <w:tcW w:w="18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L-1 (Konzernversetzung), O-1, E-2 oder Studium mit F-1 und OPT</w:t>
            </w:r>
          </w:p>
        </w:tc>
        <w:tc>
          <w:tcPr>
            <w:tcW w:w="27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Konzernbezug, Spitzenleistung, Kapital oder Zeit und Geld</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8, 9</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w:t>
            </w:r>
          </w:p>
        </w:tc>
        <w:tc>
          <w:tcPr>
            <w:tcW w:w="18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Card ohne H-1B: NIW oder EB-1A (Selbstpetition), EB-1C für Konzernmanager, Heirat</w:t>
            </w:r>
          </w:p>
        </w:tc>
        <w:tc>
          <w:tcPr>
            <w:tcW w:w="27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Dichte Belege; Genehmigung im 3. Quartal FY2026: NIW 55 %, EB-1A 32 %</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6, 9</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Beachte zwei Dinge: Mehrere Arbeitgeber erhöhen deine Lotteriechance nicht – registrieren mehrere dieselbe Person, zählt sie nur einmal. Und Plan C ist mit NIW und EB-1A riskanter, als er klingt: I-140-Petitionen nach bestandener PERM-Prüfung (EB-2, EB-3) wurden in den ersten drei Quartalen des Fiskaljahres 2026 zu rund 97 % genehmigt, diese Selbstpetitionen deutlich seltener (kumuliert NIW 49 %, EB-1A 41 %). Als Plan D bleibt Deutschland, ohne Niederlage: Der L-1 setzt ohnehin ein Jahr im Konzern im Ausland voraus, und ein wachsendes Profil stärkt O-1 und NIW. Gold Card (1 Mio. $) und EB-5 sind Wege für Vermögende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Wer wirklich eine Green Card braucht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ehrliche Antwort: weniger Menschen, als es zu Beginn scheint, und mehr, als sie sich eingestehen. Viele planen zu Beginn in Jahren („drei, vielleicht fünf“) und merken erst nach der ersten Verlängerung, wie sehr sie inzwischen in Schulen, Freundschaften und Hypothek denken – und immer seltener in einem Rückflugtermin. Prüfe nüchtern, was zu dir passt.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Green Card lohnt sich vor allem, wenn du</w:t>
      </w:r>
    </w:p>
    <w:p>
      <w:pPr>
        <w:pStyle w:val="ListParagraph"/>
        <w:numPr>
          <w:ilvl w:val="0"/>
          <w:numId w:val="1"/>
        </w:numPr>
        <w:spacing w:lineRule="exact" w:line="288" w:before="0" w:after="60"/>
        <w:rPr/>
      </w:pPr>
      <w:r>
        <w:rPr>
          <w:rFonts w:eastAsia="Cambria" w:cs="Cambria"/>
          <w:b w:val="false"/>
          <w:bCs w:val="false"/>
          <w:i w:val="false"/>
          <w:iCs w:val="false"/>
          <w:sz w:val="22"/>
          <w:szCs w:val="22"/>
        </w:rPr>
        <w:t>länger als die sechs H-1B-Jahre bleiben willst oder das nicht sicher ausschließen kannst;</w:t>
      </w:r>
    </w:p>
    <w:p>
      <w:pPr>
        <w:pStyle w:val="ListParagraph"/>
        <w:numPr>
          <w:ilvl w:val="0"/>
          <w:numId w:val="1"/>
        </w:numPr>
        <w:spacing w:lineRule="exact" w:line="288" w:before="0" w:after="60"/>
        <w:rPr/>
      </w:pPr>
      <w:r>
        <w:rPr>
          <w:rFonts w:eastAsia="Cambria" w:cs="Cambria"/>
          <w:b w:val="false"/>
          <w:bCs w:val="false"/>
          <w:i w:val="false"/>
          <w:iCs w:val="false"/>
          <w:sz w:val="22"/>
          <w:szCs w:val="22"/>
        </w:rPr>
        <w:t>deinem Partner nicht dauerhaft die Arbeit verwehren willst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Kinder hast, die in den USA zur Schule und später an die Universität gehen, samt Herausaltern mit 21;</w:t>
      </w:r>
    </w:p>
    <w:p>
      <w:pPr>
        <w:pStyle w:val="ListParagraph"/>
        <w:numPr>
          <w:ilvl w:val="0"/>
          <w:numId w:val="1"/>
        </w:numPr>
        <w:spacing w:lineRule="exact" w:line="288" w:before="0" w:after="60"/>
        <w:rPr/>
      </w:pPr>
      <w:r>
        <w:rPr>
          <w:rFonts w:eastAsia="Cambria" w:cs="Cambria"/>
          <w:b w:val="false"/>
          <w:bCs w:val="false"/>
          <w:i w:val="false"/>
          <w:iCs w:val="false"/>
          <w:sz w:val="22"/>
          <w:szCs w:val="22"/>
        </w:rPr>
        <w:t>ein Haus kaufen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oder dich selbständig machen willst;</w:t>
      </w:r>
    </w:p>
    <w:p>
      <w:pPr>
        <w:pStyle w:val="ListParagraph"/>
        <w:numPr>
          <w:ilvl w:val="0"/>
          <w:numId w:val="1"/>
        </w:numPr>
        <w:spacing w:lineRule="exact" w:line="288" w:before="0" w:after="60"/>
        <w:rPr/>
      </w:pPr>
      <w:r>
        <w:rPr>
          <w:rFonts w:eastAsia="Cambria" w:cs="Cambria"/>
          <w:b w:val="false"/>
          <w:bCs w:val="false"/>
          <w:i w:val="false"/>
          <w:iCs w:val="false"/>
          <w:sz w:val="22"/>
          <w:szCs w:val="22"/>
        </w:rPr>
        <w:t>bei einem Stellenabbau nicht auch den Aufenthalt verlieren möchtest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Du kommst ohne Green Card gut aus, wenn du</w:t>
      </w:r>
    </w:p>
    <w:p>
      <w:pPr>
        <w:pStyle w:val="ListParagraph"/>
        <w:numPr>
          <w:ilvl w:val="0"/>
          <w:numId w:val="1"/>
        </w:numPr>
        <w:spacing w:lineRule="exact" w:line="288" w:before="0" w:after="60"/>
        <w:rPr/>
      </w:pPr>
      <w:r>
        <w:rPr>
          <w:rFonts w:eastAsia="Cambria" w:cs="Cambria"/>
          <w:b w:val="false"/>
          <w:bCs w:val="false"/>
          <w:i w:val="false"/>
          <w:iCs w:val="false"/>
          <w:sz w:val="22"/>
          <w:szCs w:val="22"/>
        </w:rPr>
        <w:t>drei bis sechs Jahre Erfahrung sammeln und zurückkehren willst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als Konzernbeschäftigter versetzt wirst und die Rückkehr fest eingeplant ist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deine steuerliche Lage in Deutschland nicht mit einer weltweiten US-Steuerpflicht belasten willst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 xml:space="preserve"> und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Karte kostet Freiheit an anderer Stelle: weltweite Steuerpflicht samt Meldepflichten für Auslandskonten, Wohnsitz in den USA, Adressmeldung, die Karte immer mitführen, für Männer von 18 bis 25 die Registrierung beim </w:t>
      </w:r>
      <w:r>
        <w:rPr>
          <w:rFonts w:eastAsia="Cambria" w:cs="Cambria"/>
          <w:b w:val="false"/>
          <w:bCs w:val="false"/>
          <w:i/>
          <w:iCs/>
          <w:sz w:val="22"/>
          <w:szCs w:val="22"/>
        </w:rPr>
        <w:t>Selective Service</w:t>
      </w:r>
      <w:r>
        <w:rPr>
          <w:rFonts w:eastAsia="Cambria" w:cs="Cambria"/>
          <w:b w:val="false"/>
          <w:bCs w:val="false"/>
          <w:i w:val="false"/>
          <w:iCs w:val="false"/>
          <w:sz w:val="22"/>
          <w:szCs w:val="22"/>
        </w:rPr>
        <w:t xml:space="preserve"> (Wehrerfassung). Die Option selbst kostet wenig: PERM und I-140 zahlt der Arbeitgeber, bezahlt wird erst mit der I-485 – die Entscheidung fällt also später, als der Start des Verfahrens vermuten lässt.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Die Green Card ist kein Sicherheitsnetz, das du aus Deutschland heraus behältst: Wer länger als 180 Tage weg ist, muss bei der Einreise mit Fragen rechnen, ab einem Jahr gilt die Karte ohne </w:t>
            </w:r>
            <w:r>
              <w:rPr>
                <w:rFonts w:eastAsia="Cambria" w:cs="Cambria"/>
                <w:b w:val="false"/>
                <w:bCs w:val="false"/>
                <w:i/>
                <w:iCs/>
                <w:sz w:val="20"/>
                <w:szCs w:val="20"/>
              </w:rPr>
              <w:t>Reentry Permit</w:t>
            </w:r>
            <w:r>
              <w:rPr>
                <w:rFonts w:eastAsia="Cambria" w:cs="Cambria"/>
                <w:b w:val="false"/>
                <w:bCs w:val="false"/>
                <w:i w:val="false"/>
                <w:iCs w:val="false"/>
                <w:sz w:val="20"/>
                <w:szCs w:val="20"/>
              </w:rPr>
              <w:t xml:space="preserve"> (Wiedereinreiseerlaubnis bis zu zwei Jahre, Antrag in den USA, 630 $) nicht mehr als Einreisedokument. Wer dauerhaft zurückzieht, gibt sie formell auf (Form I-407, 0 $) und unterschreibt nichts unter Druck an der Grenze. Wer die Karte in 8 der letzten 15 Jahre hatte und hohes Einkommen (durchschnittliche Einkommensteuer der letzten fünf Jahre über 211.000 $) oder Vermögen (ab 2 Mio. $) mitbringt, kann der </w:t>
            </w:r>
            <w:r>
              <w:rPr>
                <w:rFonts w:eastAsia="Cambria" w:cs="Cambria"/>
                <w:b w:val="false"/>
                <w:bCs w:val="false"/>
                <w:i/>
                <w:iCs/>
                <w:sz w:val="20"/>
                <w:szCs w:val="20"/>
              </w:rPr>
              <w:t>Exit Tax</w:t>
            </w:r>
            <w:r>
              <w:rPr>
                <w:rFonts w:eastAsia="Cambria" w:cs="Cambria"/>
                <w:b w:val="false"/>
                <w:bCs w:val="false"/>
                <w:i w:val="false"/>
                <w:iCs w:val="false"/>
                <w:sz w:val="20"/>
                <w:szCs w:val="20"/>
              </w:rPr>
              <w:t xml:space="preserve"> unterliegen (Kapitel </w:t>
            </w:r>
            <w:hyperlink w:anchor="k42">
              <w:r>
                <w:rPr>
                  <w:rStyle w:val="ListLabel114"/>
                  <w:rFonts w:eastAsia="Cambria" w:cs="Cambria"/>
                  <w:b w:val="false"/>
                  <w:bCs w:val="false"/>
                  <w:i w:val="false"/>
                  <w:iCs w:val="false"/>
                  <w:sz w:val="20"/>
                  <w:szCs w:val="20"/>
                </w:rPr>
                <w:t>42</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Wie stabil ist welcher Status?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Beide Wege stehen unter politischer Beobachtung, aber unterschiedlich stark. Die Übersicht nennt nur, was für deine Planung zählt (Stand 20. September 2026), ohne die Maßnahmen zu bewerten.</w:t>
      </w:r>
    </w:p>
    <w:p>
      <w:pPr>
        <w:pStyle w:val="Normal"/>
        <w:keepNext w:val="false"/>
        <w:keepLines w:val="false"/>
        <w:spacing w:lineRule="exact" w:line="288" w:before="0" w:after="140"/>
        <w:jc w:val="left"/>
        <w:rPr/>
      </w:pPr>
      <w:r>
        <w:rPr>
          <w:rFonts w:eastAsia="Cambria" w:cs="Cambria"/>
          <w:b/>
          <w:bCs/>
          <w:i w:val="false"/>
          <w:iCs w:val="false"/>
          <w:sz w:val="22"/>
          <w:szCs w:val="22"/>
        </w:rPr>
        <w:t>H-1B</w:t>
      </w:r>
      <w:r>
        <w:rPr>
          <w:rFonts w:eastAsia="Cambria" w:cs="Cambria"/>
          <w:b w:val="false"/>
          <w:bCs w:val="false"/>
          <w:i w:val="false"/>
          <w:iCs w:val="false"/>
          <w:sz w:val="22"/>
          <w:szCs w:val="22"/>
        </w:rPr>
        <w:t xml:space="preserve"> (Einzelheiten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Die 100.000-$-Zahlung für Personen im Ausland ist bis 21. September 2027 verlängert, wegen eines Gerichtsbeschlusses aber derzeit nicht erhoben. Nur vorgeschlagen, nicht in Kraft: 103.265 $ je Petition mit Quotenplatz, Wegfall der 60-Tage-Frist, höhere Lohnstufen. Hinzu kommt eine Präsidialverfügung vom 18. September 2026, die frühere Arbeitgeber-Entlassungen in die Prüfung einbeziehen soll (Umsetzung offen).</w:t>
      </w:r>
    </w:p>
    <w:p>
      <w:pPr>
        <w:pStyle w:val="Normal"/>
        <w:keepNext w:val="false"/>
        <w:keepLines w:val="false"/>
        <w:spacing w:lineRule="exact" w:line="288" w:before="0" w:after="140"/>
        <w:jc w:val="left"/>
        <w:rPr/>
      </w:pPr>
      <w:r>
        <w:rPr>
          <w:rFonts w:eastAsia="Cambria" w:cs="Cambria"/>
          <w:b/>
          <w:bCs/>
          <w:i w:val="false"/>
          <w:iCs w:val="false"/>
          <w:sz w:val="22"/>
          <w:szCs w:val="22"/>
        </w:rPr>
        <w:t>Green Card:</w:t>
      </w:r>
      <w:r>
        <w:rPr>
          <w:rFonts w:eastAsia="Cambria" w:cs="Cambria"/>
          <w:b w:val="false"/>
          <w:bCs w:val="false"/>
          <w:i w:val="false"/>
          <w:iCs w:val="false"/>
          <w:sz w:val="22"/>
          <w:szCs w:val="22"/>
        </w:rPr>
        <w:t xml:space="preserve"> Im Verfahren wirken andere Hebel: Stichtage können zurückspringen, der DOL-Entwurf höherer Lohnstufen würde auch PERM betreffen, einschließlich anhängiger Anträge. Die neue </w:t>
      </w:r>
      <w:r>
        <w:rPr>
          <w:rFonts w:eastAsia="Cambria" w:cs="Cambria"/>
          <w:b w:val="false"/>
          <w:bCs w:val="false"/>
          <w:i/>
          <w:iCs/>
          <w:sz w:val="22"/>
          <w:szCs w:val="22"/>
        </w:rPr>
        <w:t>Public-Charge</w:t>
      </w:r>
      <w:r>
        <w:rPr>
          <w:rFonts w:eastAsia="Cambria" w:cs="Cambria"/>
          <w:b w:val="false"/>
          <w:bCs w:val="false"/>
          <w:i w:val="false"/>
          <w:iCs w:val="false"/>
          <w:sz w:val="22"/>
          <w:szCs w:val="22"/>
        </w:rPr>
        <w:t>-Regel (Prüfung, ob du dauerhaft auf staatliche Leistungen angewiesen sein könntest) gilt für Anträge ab 18. September 2026; bei gesichertem Arbeitseinkommen dürfte das Risiko gering sein (Einschätzung, keine Garantie). Auch für die Einbürgerung gelten neue Prüfregeln (Kapitel </w:t>
      </w:r>
      <w:hyperlink w:anchor="k41">
        <w:r>
          <w:rPr>
            <w:rStyle w:val="ListLabel115"/>
            <w:rFonts w:eastAsia="Cambria" w:cs="Cambria"/>
            <w:b w:val="false"/>
            <w:bCs w:val="false"/>
            <w:i w:val="false"/>
            <w:iCs w:val="false"/>
            <w:sz w:val="22"/>
            <w:szCs w:val="22"/>
          </w:rPr>
          <w:t>41</w:t>
        </w:r>
      </w:hyperlink>
      <w:r>
        <w:rPr>
          <w:rFonts w:eastAsia="Cambria" w:cs="Cambria"/>
          <w:b w:val="false"/>
          <w:bCs w:val="false"/>
          <w:i w:val="false"/>
          <w:iCs w:val="false"/>
          <w:sz w:val="22"/>
          <w:szCs w:val="22"/>
        </w:rPr>
        <w:t>). Kanzleien berichten zudem häufigere Zusatzkontrollen an der Grenze: Führe Karte und Nachweise deiner Bindungen in die USA mit.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Rechtlich ist die erteilte Karte deutlich stabiler als jeder befristete Status, verloren geht sie vor allem durch Wegzug, Betrug oder bestimmte Straftaten. Praktisch heißt das: Unterlagen vollständig halten, vor jedem Schritt den Stand prüfen, einen Ersatzweg parat haben.</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Tabelle bewertet die Entscheidung, das Green-Card-Verfahren früh anzustoßen.</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Unabhängigkeit vom Sponsor: freier Jobwechsel, Nebenjob, Firmengründung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Verfahren dauert meist 2,5–4,5 Jahre, mit Stichtags- und Rückstufungsrisiko</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Partner darf ohne Einschränkung arbeiten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zur Erteilung bleibt die Bindung an den Sponsor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 altern mit 21 nicht heraus, Zugang zu Bundesstudienhilfe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 für die Familie: I-485 allein rund 4.780 $ für zwei Erwachsene und zwei Kinder unter 14</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Ablauf nach sechs Jahren, kein Konsulat bei Reisen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Weltweite Steuerpflicht mit Meldepflichten (Kapitel </w:t>
            </w:r>
            <w:hyperlink w:anchor="k28">
              <w:r>
                <w:rPr>
                  <w:rStyle w:val="ListLabel112"/>
                  <w:rFonts w:eastAsia="Cambria" w:cs="Cambria"/>
                  <w:b w:val="false"/>
                  <w:bCs w:val="false"/>
                  <w:i w:val="false"/>
                  <w:iCs w:val="false"/>
                  <w:sz w:val="18"/>
                  <w:szCs w:val="18"/>
                </w:rPr>
                <w:t>28</w:t>
              </w:r>
            </w:hyperlink>
            <w:r>
              <w:rPr>
                <w:rFonts w:eastAsia="Cambria" w:cs="Cambria"/>
                <w:b w:val="false"/>
                <w:bCs w:val="false"/>
                <w:i w:val="false"/>
                <w:iCs w:val="false"/>
                <w:sz w:val="18"/>
                <w:szCs w:val="18"/>
              </w:rPr>
              <w: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Bessere Hypothekenoptionen (FHA), Marktplatz-Zuschüsse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Lange Abwesenheit gefährdet den Status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Einbürgerung nach 5 Jahren möglich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Exit Tax bei Aufgabe nach 8 von 15 Jahren, wenn Einkommen oder Vermögen hoch sind</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Kläre zuerst mit deinem Partner oder deiner Partnerin, ob deine Familie länger als sechs Jahre bleiben könnte. Sprich dann mit dem Arbeitgeber über Termin, Kategorie und Kosten des Verfahrens, bevor du unterschreibst, und lass die Antwort in den Vertrag schreiben (zu Anwalt und Kosten: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Bleibeabsicht klären: Wie lange möchte deine Familie realistisch bleiben – was bedeutet das für Partner, Kinder, Steuern?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Im Jobangebot festhalten: Termin für die Lohnfeststellung, Kostenübernahme für PERM und I-140, Fortführung bis zur Green Card.</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Klären, welche Kategorie die Stelle hat (EB-2 oder EB-3) und ob die Mindestanforderungen erfüllt sind.</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Rückwärts rechnen: Ende der sechs Jahre, PERM-Einreichung spätestens 365 Tage davor, gut sechs Monate Vorlauf davor.</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jedem Schritt Visa Bulletin und USCIS-Filing-Charts prüfen; ist die Kategorie current, die I-485 ohne Verzug einreichen lassen.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Rücklage für Familienanträge bilden: I-485 je Person (1.440 $ bzw. 950 $ für Kinder unter 14), Arztuntersuchung, Arbeitserlaubnis.</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jedem Jobwechsel klären, wo das Verfahren steht (Priority Date, I-140-Genehmigung, 180 Tage I-485).</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Plan A, B und C mit Terminen aufschreiben, bevor du kündigst oder eine Wohnung auflöst.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Zeugnisse, Urkunden, Reisepässe und I-94-Nachweise sammeln (Kapitel </w:t>
            </w:r>
            <w:hyperlink w:anchor="k19">
              <w:r>
                <w:rPr>
                  <w:rStyle w:val="ListLabel114"/>
                  <w:rFonts w:eastAsia="Cambria" w:cs="Cambria"/>
                  <w:b w:val="false"/>
                  <w:bCs w:val="false"/>
                  <w:i w:val="false"/>
                  <w:iCs w:val="false"/>
                  <w:sz w:val="20"/>
                  <w:szCs w:val="20"/>
                </w:rPr>
                <w:t>19</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Neue Regeln regelmäßig prüfen: uscis.gov, federalregister.gov und die Kanzlei des Arbeitgebers.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State Department — Visa Bulletin (</w:t>
      </w:r>
      <w:hyperlink r:id="rId76">
        <w:r>
          <w:rPr>
            <w:rStyle w:val="ListLabel113"/>
            <w:rFonts w:eastAsia="Cambria" w:cs="Cambria"/>
            <w:b w:val="false"/>
            <w:bCs w:val="false"/>
            <w:i w:val="false"/>
            <w:iCs w:val="false"/>
            <w:color w:val="0563C1"/>
            <w:sz w:val="22"/>
            <w:szCs w:val="22"/>
            <w:u w:val="single"/>
          </w:rPr>
          <w:t>travel.state.gov</w:t>
        </w:r>
      </w:hyperlink>
      <w:r>
        <w:rPr>
          <w:rFonts w:eastAsia="Cambria" w:cs="Cambria"/>
          <w:b w:val="false"/>
          <w:bCs w:val="false"/>
          <w:i w:val="false"/>
          <w:iCs w:val="false"/>
          <w:sz w:val="22"/>
          <w:szCs w:val="22"/>
        </w:rPr>
        <w:t>, Rubrik „Visa Bulletin“)</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Filing-Charts für die Statusanpassung (</w:t>
      </w:r>
      <w:hyperlink r:id="rId77">
        <w:r>
          <w:rPr>
            <w:rStyle w:val="ListLabel113"/>
            <w:rFonts w:eastAsia="Cambria" w:cs="Cambria"/>
            <w:b w:val="false"/>
            <w:bCs w:val="false"/>
            <w:i w:val="false"/>
            <w:iCs w:val="false"/>
            <w:color w:val="0563C1"/>
            <w:sz w:val="22"/>
            <w:szCs w:val="22"/>
            <w:u w:val="single"/>
          </w:rPr>
          <w:t>uscis.gov</w:t>
        </w:r>
      </w:hyperlink>
      <w:r>
        <w:rPr>
          <w:rFonts w:eastAsia="Cambria" w:cs="Cambria"/>
          <w:b w:val="false"/>
          <w:bCs w:val="false"/>
          <w:i w:val="false"/>
          <w:iCs w:val="false"/>
          <w:sz w:val="22"/>
          <w:szCs w:val="22"/>
        </w:rPr>
        <w:t>, Suche „Adjustment of Status Filing Charts“)</w:t>
      </w:r>
    </w:p>
    <w:p>
      <w:pPr>
        <w:pStyle w:val="ListParagraph"/>
        <w:numPr>
          <w:ilvl w:val="0"/>
          <w:numId w:val="1"/>
        </w:numPr>
        <w:spacing w:lineRule="exact" w:line="288" w:before="0" w:after="60"/>
        <w:rPr/>
      </w:pPr>
      <w:r>
        <w:rPr>
          <w:rFonts w:eastAsia="Cambria" w:cs="Cambria"/>
          <w:b w:val="false"/>
          <w:bCs w:val="false"/>
          <w:i w:val="false"/>
          <w:iCs w:val="false"/>
          <w:sz w:val="22"/>
          <w:szCs w:val="22"/>
        </w:rPr>
        <w:t>DOL — Bearbeitungszeiten für PWD und PERM (</w:t>
      </w:r>
      <w:hyperlink r:id="rId78">
        <w:r>
          <w:rPr>
            <w:rStyle w:val="ListLabel113"/>
            <w:rFonts w:eastAsia="Cambria" w:cs="Cambria"/>
            <w:b w:val="false"/>
            <w:bCs w:val="false"/>
            <w:i w:val="false"/>
            <w:iCs w:val="false"/>
            <w:color w:val="0563C1"/>
            <w:sz w:val="22"/>
            <w:szCs w:val="22"/>
            <w:u w:val="single"/>
          </w:rPr>
          <w:t>flag.dol.gov/processingtimes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Gebührenübersicht G-1055 (</w:t>
      </w:r>
      <w:hyperlink r:id="rId79">
        <w:r>
          <w:rPr>
            <w:rStyle w:val="ListLabel113"/>
            <w:rFonts w:eastAsia="Cambria" w:cs="Cambria"/>
            <w:b w:val="false"/>
            <w:bCs w:val="false"/>
            <w:i w:val="false"/>
            <w:iCs w:val="false"/>
            <w:color w:val="0563C1"/>
            <w:sz w:val="22"/>
            <w:szCs w:val="22"/>
            <w:u w:val="single"/>
          </w:rPr>
          <w:t>uscis.gov/g-1055</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Arbeitsministerium — Kosten der Arbeitserlaubnis-Zertifizierung, 20 CFR 656.12 (</w:t>
      </w:r>
      <w:hyperlink r:id="rId80">
        <w:r>
          <w:rPr>
            <w:rStyle w:val="ListLabel113"/>
            <w:rFonts w:eastAsia="Cambria" w:cs="Cambria"/>
            <w:b w:val="false"/>
            <w:bCs w:val="false"/>
            <w:i w:val="false"/>
            <w:iCs w:val="false"/>
            <w:color w:val="0563C1"/>
            <w:sz w:val="22"/>
            <w:szCs w:val="22"/>
            <w:u w:val="single"/>
          </w:rPr>
          <w:t>ecfr.gov</w:t>
        </w:r>
      </w:hyperlink>
      <w:r>
        <w:rPr>
          <w:rFonts w:eastAsia="Cambria" w:cs="Cambria"/>
          <w:b w:val="false"/>
          <w:bCs w:val="false"/>
          <w:i w:val="false"/>
          <w:iCs w:val="false"/>
          <w:sz w:val="22"/>
          <w:szCs w:val="22"/>
        </w:rPr>
        <w:t>, Suche „20 CFR 656.12“)</w:t>
      </w:r>
    </w:p>
    <w:p>
      <w:pPr>
        <w:pStyle w:val="ListParagraph"/>
        <w:numPr>
          <w:ilvl w:val="0"/>
          <w:numId w:val="1"/>
        </w:numPr>
        <w:spacing w:lineRule="exact" w:line="288" w:before="0" w:after="60"/>
        <w:rPr/>
      </w:pPr>
      <w:r>
        <w:rPr>
          <w:rFonts w:eastAsia="Cambria" w:cs="Cambria"/>
          <w:b w:val="false"/>
          <w:bCs w:val="false"/>
          <w:i w:val="false"/>
          <w:iCs w:val="false"/>
          <w:sz w:val="22"/>
          <w:szCs w:val="22"/>
        </w:rPr>
        <w:t>Federal Register — Vorschläge und Endregeln, Suche „H-1B“ oder „public charge“ (</w:t>
      </w:r>
      <w:hyperlink r:id="rId81">
        <w:r>
          <w:rPr>
            <w:rStyle w:val="ListLabel113"/>
            <w:rFonts w:eastAsia="Cambria" w:cs="Cambria"/>
            <w:b w:val="false"/>
            <w:bCs w:val="false"/>
            <w:i w:val="false"/>
            <w:iCs w:val="false"/>
            <w:color w:val="0563C1"/>
            <w:sz w:val="22"/>
            <w:szCs w:val="22"/>
            <w:u w:val="single"/>
          </w:rPr>
          <w:t>federalregister.gov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Aufenthaltsgesetz — § 18c, Niederlassungserlaubnis für Fachkräfte (</w:t>
      </w:r>
      <w:hyperlink r:id="rId82">
        <w:r>
          <w:rPr>
            <w:rStyle w:val="ListLabel113"/>
            <w:rFonts w:eastAsia="Cambria" w:cs="Cambria"/>
            <w:b w:val="false"/>
            <w:bCs w:val="false"/>
            <w:i w:val="false"/>
            <w:iCs w:val="false"/>
            <w:color w:val="0563C1"/>
            <w:sz w:val="22"/>
            <w:szCs w:val="22"/>
            <w:u w:val="single"/>
          </w:rPr>
          <w:t>gesetze-im-internet.de/aufenthg_2004/__18c.html</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ListParagraph"/>
              <w:numPr>
                <w:ilvl w:val="0"/>
                <w:numId w:val="97"/>
              </w:numPr>
              <w:spacing w:lineRule="exact" w:line="264" w:before="0" w:after="50"/>
              <w:rPr/>
            </w:pPr>
            <w:r>
              <w:rPr>
                <w:rFonts w:eastAsia="Cambria" w:cs="Cambria"/>
                <w:b w:val="false"/>
                <w:bCs w:val="false"/>
                <w:i w:val="false"/>
                <w:iCs w:val="false"/>
                <w:sz w:val="20"/>
                <w:szCs w:val="20"/>
              </w:rPr>
              <w:t>September 2026. Diese Angaben ändern sich schnell: die Stichtage im Visa Bulletin (Oktober-Ausgabe lag noch nicht vor, Rückstufung von EB-2 möglich), die Bearbeitungszeiten von DOL und USCIS, die USCIS-Gebühren, ob die 100.000-$-Zahlung wieder erhoben wird, ob die Vorschläge zu 103.265 $, zum Wegfall der 60-Tage-Frist und zu höheren Lohnstufen in Kraft treten, sowie die Regeln der Registrierung im März 2027. Prüfe vor jeder Entscheidung uscis.gov und federalregister.gov, sprich mit der Kanzlei deines Arbeitgebers.</w:t>
            </w:r>
          </w:p>
        </w:tc>
      </w:tr>
    </w:tbl>
    <w:p>
      <w:pPr>
        <w:pStyle w:val="Normal"/>
        <w:spacing w:lineRule="exact" w:line="220" w:before="0" w:after="0"/>
        <w:rPr/>
      </w:pPr>
      <w:r>
        <w:rPr/>
      </w:r>
      <w:r>
        <w:br w:type="page"/>
      </w:r>
    </w:p>
    <w:p>
      <w:pPr>
        <w:pStyle w:val="Heading2"/>
        <w:keepNext w:val="true"/>
        <w:spacing w:before="0" w:after="300"/>
        <w:jc w:val="center"/>
        <w:rPr/>
      </w:pPr>
      <w:bookmarkStart w:id="25" w:name="__RefHeading___Toc56445_3769931028"/>
      <w:bookmarkStart w:id="26" w:name="k8"/>
      <w:bookmarkEnd w:id="25"/>
      <w:r>
        <w:rPr>
          <w:rFonts w:eastAsia="Amazon Ember" w:cs="Amazon Ember" w:ascii="Amazon Ember" w:hAnsi="Amazon Ember"/>
          <w:b/>
          <w:bCs/>
          <w:color w:val="0000FF"/>
          <w:sz w:val="36"/>
          <w:szCs w:val="36"/>
        </w:rPr>
        <w:t>Kapitel 8: Der Studienweg: F-1, OPT und der spätere Statuswechsel</w:t>
      </w:r>
      <w:bookmarkEnd w:id="26"/>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H-1B-Visum bekommst du nur mit einem Arbeitgeber, und viele Arbeitgeber stellen lieber jemanden ein, der schon im Land ist, eine SSN hat und morgen anfangen kann statt in sechs Monaten. Der Studienweg löst dieses Henne-Ei-Problem: Du kommst als Student mit einem F-1-Visum, arbeitest nach dem Abschluss mit einer befristeten Arbeitserlaubnis (</w:t>
      </w:r>
      <w:r>
        <w:rPr>
          <w:rFonts w:eastAsia="Cambria" w:cs="Cambria"/>
          <w:b w:val="false"/>
          <w:bCs w:val="false"/>
          <w:i/>
          <w:iCs/>
          <w:sz w:val="22"/>
          <w:szCs w:val="22"/>
        </w:rPr>
        <w:t>Optional Practical Training</w:t>
      </w:r>
      <w:r>
        <w:rPr>
          <w:rFonts w:eastAsia="Cambria" w:cs="Cambria"/>
          <w:b w:val="false"/>
          <w:bCs w:val="false"/>
          <w:i w:val="false"/>
          <w:iCs w:val="false"/>
          <w:sz w:val="22"/>
          <w:szCs w:val="22"/>
        </w:rPr>
        <w:t>, OPT) und wechselst später im Inland in den H-1B-Status. Der Weg ist real, er ist aber teuer, und 2025/26 ist er unsicherer geworden, als er es lange war.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F-1 ist ein Studentenstatus, kein Einwanderungsweg: Du musst glaubhaft machen, dass du zurückkehrst. Erst der H-1B-Status erlaubt offen den Wunsch nach einer Green Card (</w:t>
            </w:r>
            <w:r>
              <w:rPr>
                <w:rFonts w:eastAsia="Cambria" w:cs="Cambria"/>
                <w:b w:val="false"/>
                <w:bCs w:val="false"/>
                <w:i/>
                <w:iCs/>
                <w:sz w:val="20"/>
                <w:szCs w:val="20"/>
              </w:rPr>
              <w:t>Dual Intent</w:t>
            </w:r>
            <w:r>
              <w:rPr>
                <w:rFonts w:eastAsia="Cambria" w:cs="Cambria"/>
                <w:b w:val="false"/>
                <w:bCs w:val="false"/>
                <w:i w:val="false"/>
                <w:iCs w:val="false"/>
                <w:sz w:val="20"/>
                <w:szCs w:val="20"/>
              </w:rPr>
              <w:t>, doppelte Absicht).</w:t>
            </w:r>
          </w:p>
          <w:p>
            <w:pPr>
              <w:pStyle w:val="ListParagraph"/>
              <w:numPr>
                <w:ilvl w:val="0"/>
                <w:numId w:val="1"/>
              </w:numPr>
              <w:spacing w:lineRule="exact" w:line="264" w:before="0" w:after="50"/>
              <w:rPr/>
            </w:pPr>
            <w:r>
              <w:rPr>
                <w:rFonts w:eastAsia="Cambria" w:cs="Cambria"/>
                <w:b w:val="false"/>
                <w:bCs w:val="false"/>
                <w:i w:val="false"/>
                <w:iCs w:val="false"/>
                <w:sz w:val="20"/>
                <w:szCs w:val="20"/>
              </w:rPr>
              <w:t>Ablauf: Zulassung, Form I-20, Finanznachweis, SEVIS-Gebühr (350 $), Visum (185 $), Interview.</w:t>
            </w:r>
          </w:p>
          <w:p>
            <w:pPr>
              <w:pStyle w:val="ListParagraph"/>
              <w:numPr>
                <w:ilvl w:val="0"/>
                <w:numId w:val="1"/>
              </w:numPr>
              <w:spacing w:lineRule="exact" w:line="264" w:before="0" w:after="50"/>
              <w:rPr/>
            </w:pPr>
            <w:r>
              <w:rPr>
                <w:rFonts w:eastAsia="Cambria" w:cs="Cambria"/>
                <w:b w:val="false"/>
                <w:bCs w:val="false"/>
                <w:i w:val="false"/>
                <w:iCs w:val="false"/>
                <w:sz w:val="20"/>
                <w:szCs w:val="20"/>
              </w:rPr>
              <w:t>Ein zweijähriger Master kostet grob 70.000–150.000 $ mit Lebenshaltung und Krankenversicherung.</w:t>
            </w:r>
          </w:p>
          <w:p>
            <w:pPr>
              <w:pStyle w:val="ListParagraph"/>
              <w:numPr>
                <w:ilvl w:val="0"/>
                <w:numId w:val="1"/>
              </w:numPr>
              <w:spacing w:lineRule="exact" w:line="264" w:before="0" w:after="50"/>
              <w:rPr/>
            </w:pPr>
            <w:r>
              <w:rPr>
                <w:rFonts w:eastAsia="Cambria" w:cs="Cambria"/>
                <w:b w:val="false"/>
                <w:bCs w:val="false"/>
                <w:i w:val="false"/>
                <w:iCs w:val="false"/>
                <w:sz w:val="20"/>
                <w:szCs w:val="20"/>
              </w:rPr>
              <w:t>Danach folgen OPT (12 Monate) und mit STEM-Abschluss (Naturwissenschaft, Technik, Ingenieurwesen, Mathematik) weitere 24 Monate: drei bis vier Chancen in der H-1B-Lotterie.</w:t>
            </w:r>
          </w:p>
          <w:p>
            <w:pPr>
              <w:pStyle w:val="ListParagraph"/>
              <w:numPr>
                <w:ilvl w:val="0"/>
                <w:numId w:val="1"/>
              </w:numPr>
              <w:spacing w:lineRule="exact" w:line="264" w:before="0" w:after="50"/>
              <w:rPr/>
            </w:pPr>
            <w:r>
              <w:rPr>
                <w:rFonts w:eastAsia="Cambria" w:cs="Cambria"/>
                <w:b w:val="false"/>
                <w:bCs w:val="false"/>
                <w:i w:val="false"/>
                <w:iCs w:val="false"/>
                <w:sz w:val="20"/>
                <w:szCs w:val="20"/>
              </w:rPr>
              <w:t>Der Statuswechsel im Inland ist von der 100.000-$-Zahlung ausgenommen; ein Entwurf vom 25. August 2026 würde das ändern, ist aber nicht in Kraft.</w:t>
            </w:r>
          </w:p>
          <w:p>
            <w:pPr>
              <w:pStyle w:val="ListParagraph"/>
              <w:numPr>
                <w:ilvl w:val="0"/>
                <w:numId w:val="1"/>
              </w:numPr>
              <w:spacing w:lineRule="exact" w:line="264" w:before="0" w:after="50"/>
              <w:rPr/>
            </w:pPr>
            <w:r>
              <w:rPr>
                <w:rFonts w:eastAsia="Cambria" w:cs="Cambria"/>
                <w:b w:val="false"/>
                <w:bCs w:val="false"/>
                <w:i w:val="false"/>
                <w:iCs w:val="false"/>
                <w:sz w:val="20"/>
                <w:szCs w:val="20"/>
              </w:rPr>
              <w:t>Die Regeln sind in Bewegung: SEVIS-Kündigungen, Social-Media-Prüfung, strengere CPT-Auslegung und eine gerichtlich gestoppte Regel zur festen Aufenthaltsdauer.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Für wen sich der Weg lohnt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Studienweg ist keine Abkürzung, sondern eine Investition mit Restrisiko: Du bezahlst ein bis zwei Jahre Studium und erhältst einen US-Abschluss und Zeit im Land. Bis zu drei Jahre Arbeit mit OPT und STEM-OPT bedeuten mehrere Lotterie-Chancen, ohne dass du zwischendurch nach Deutschland zurückmusst – eine Garantie für ein H-1B-Visum ist das nicht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Viele gehen ihn: Im Studienjahr 2024/25 waren 1.177.766 internationale Studierende in den USA eingeschrieben, 294.253 von ihnen arbeiteten mit OPT (+21 %). Aus Deutschland kamen 9.123 (Open Doors und DAAD).</w:t>
      </w:r>
    </w:p>
    <w:p>
      <w:pPr>
        <w:pStyle w:val="Normal"/>
        <w:keepNext w:val="false"/>
        <w:keepLines w:val="false"/>
        <w:spacing w:lineRule="exact" w:line="288" w:before="0" w:after="140"/>
        <w:jc w:val="left"/>
        <w:rPr/>
      </w:pPr>
      <w:r>
        <w:rPr>
          <w:rFonts w:eastAsia="Cambria" w:cs="Cambria"/>
          <w:b/>
          <w:bCs/>
          <w:i w:val="false"/>
          <w:iCs w:val="false"/>
          <w:sz w:val="22"/>
          <w:szCs w:val="22"/>
        </w:rPr>
        <w:t>Der Weg passt, wenn:</w:t>
      </w:r>
    </w:p>
    <w:p>
      <w:pPr>
        <w:pStyle w:val="ListParagraph"/>
        <w:numPr>
          <w:ilvl w:val="0"/>
          <w:numId w:val="1"/>
        </w:numPr>
        <w:spacing w:lineRule="exact" w:line="288" w:before="0" w:after="60"/>
        <w:rPr/>
      </w:pPr>
      <w:r>
        <w:rPr>
          <w:rFonts w:eastAsia="Cambria" w:cs="Cambria"/>
          <w:b w:val="false"/>
          <w:bCs w:val="false"/>
          <w:i w:val="false"/>
          <w:iCs w:val="false"/>
          <w:sz w:val="22"/>
          <w:szCs w:val="22"/>
        </w:rPr>
        <w:t>du den Master fachlich ohnehin willst, etwa in Informatik, Ingenieurwesen oder Naturwissenschaften,</w:t>
      </w:r>
    </w:p>
    <w:p>
      <w:pPr>
        <w:pStyle w:val="ListParagraph"/>
        <w:numPr>
          <w:ilvl w:val="0"/>
          <w:numId w:val="1"/>
        </w:numPr>
        <w:spacing w:lineRule="exact" w:line="288" w:before="0" w:after="60"/>
        <w:rPr/>
      </w:pPr>
      <w:r>
        <w:rPr>
          <w:rFonts w:eastAsia="Cambria" w:cs="Cambria"/>
          <w:b w:val="false"/>
          <w:bCs w:val="false"/>
          <w:i w:val="false"/>
          <w:iCs w:val="false"/>
          <w:sz w:val="22"/>
          <w:szCs w:val="22"/>
        </w:rPr>
        <w:t>du die Kosten aus Ersparnissen, Familie oder Stipendium trägst und ein Scheitern der Lotterie finanziell verkraftest,</w:t>
      </w:r>
    </w:p>
    <w:p>
      <w:pPr>
        <w:pStyle w:val="ListParagraph"/>
        <w:numPr>
          <w:ilvl w:val="0"/>
          <w:numId w:val="1"/>
        </w:numPr>
        <w:spacing w:lineRule="exact" w:line="288" w:before="0" w:after="60"/>
        <w:rPr/>
      </w:pPr>
      <w:r>
        <w:rPr>
          <w:rFonts w:eastAsia="Cambria" w:cs="Cambria"/>
          <w:b w:val="false"/>
          <w:bCs w:val="false"/>
          <w:i w:val="false"/>
          <w:iCs w:val="false"/>
          <w:sz w:val="22"/>
          <w:szCs w:val="22"/>
        </w:rPr>
        <w:t>du allein kommst oder mit einem Partner, der die Zeit ohne Arbeitserlaubnis übersteht.</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Der Weg passt weniger, wenn:</w:t>
      </w:r>
    </w:p>
    <w:p>
      <w:pPr>
        <w:pStyle w:val="ListParagraph"/>
        <w:numPr>
          <w:ilvl w:val="0"/>
          <w:numId w:val="1"/>
        </w:numPr>
        <w:spacing w:lineRule="exact" w:line="288" w:before="0" w:after="60"/>
        <w:rPr/>
      </w:pPr>
      <w:r>
        <w:rPr>
          <w:rFonts w:eastAsia="Cambria" w:cs="Cambria"/>
          <w:b w:val="false"/>
          <w:bCs w:val="false"/>
          <w:i w:val="false"/>
          <w:iCs w:val="false"/>
          <w:sz w:val="22"/>
          <w:szCs w:val="22"/>
        </w:rPr>
        <w:t>du schon ein Jobangebot mit Sponsoring hast: Dann sind der direkte H-1B-Weg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oder ein L-1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 schneller und billiger,</w:t>
      </w:r>
    </w:p>
    <w:p>
      <w:pPr>
        <w:pStyle w:val="ListParagraph"/>
        <w:numPr>
          <w:ilvl w:val="0"/>
          <w:numId w:val="1"/>
        </w:numPr>
        <w:spacing w:lineRule="exact" w:line="288" w:before="0" w:after="60"/>
        <w:rPr/>
      </w:pPr>
      <w:r>
        <w:rPr>
          <w:rFonts w:eastAsia="Cambria" w:cs="Cambria"/>
          <w:b w:val="false"/>
          <w:bCs w:val="false"/>
          <w:i w:val="false"/>
          <w:iCs w:val="false"/>
          <w:sz w:val="22"/>
          <w:szCs w:val="22"/>
        </w:rPr>
        <w:t>du berufserfahren bist und vor allem das Land wechseln willst: Zwei Jahre Einkommensverzicht kosten oft mehr als die Studiengebühren,</w:t>
      </w:r>
    </w:p>
    <w:p>
      <w:pPr>
        <w:pStyle w:val="ListParagraph"/>
        <w:numPr>
          <w:ilvl w:val="0"/>
          <w:numId w:val="1"/>
        </w:numPr>
        <w:spacing w:lineRule="exact" w:line="288" w:before="0" w:after="60"/>
        <w:rPr/>
      </w:pPr>
      <w:r>
        <w:rPr>
          <w:rFonts w:eastAsia="Cambria" w:cs="Cambria"/>
          <w:b w:val="false"/>
          <w:bCs w:val="false"/>
          <w:i w:val="false"/>
          <w:iCs w:val="false"/>
          <w:sz w:val="22"/>
          <w:szCs w:val="22"/>
        </w:rPr>
        <w:t>deine Familie auf ein zweites Einkommen angewiesen ist, denn ein Partner mit F-2-Status darf nicht arbeiten.</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ehrliche Rechnung: Studienkosten plus entgangenes Gehalt gegen die Chance auf einen Einstieg in den US-Arbeitsmarkt (Gehaltsspannen: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 Entscheidungsrahmen: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So läuft das F-1-Verfahren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Zuerst die saubere Trennung: Das </w:t>
      </w:r>
      <w:r>
        <w:rPr>
          <w:rFonts w:eastAsia="Cambria" w:cs="Cambria"/>
          <w:b w:val="false"/>
          <w:bCs w:val="false"/>
          <w:i/>
          <w:iCs/>
          <w:sz w:val="22"/>
          <w:szCs w:val="22"/>
        </w:rPr>
        <w:t>F-1-Visum</w:t>
      </w:r>
      <w:r>
        <w:rPr>
          <w:rFonts w:eastAsia="Cambria" w:cs="Cambria"/>
          <w:b w:val="false"/>
          <w:bCs w:val="false"/>
          <w:i w:val="false"/>
          <w:iCs w:val="false"/>
          <w:sz w:val="22"/>
          <w:szCs w:val="22"/>
        </w:rPr>
        <w:t xml:space="preserve"> steht im Pass und kommt vom Konsulat, es ist die Eintrittskarte. Der </w:t>
      </w:r>
      <w:r>
        <w:rPr>
          <w:rFonts w:eastAsia="Cambria" w:cs="Cambria"/>
          <w:b w:val="false"/>
          <w:bCs w:val="false"/>
          <w:i/>
          <w:iCs/>
          <w:sz w:val="22"/>
          <w:szCs w:val="22"/>
        </w:rPr>
        <w:t>F-1-Status</w:t>
      </w:r>
      <w:r>
        <w:rPr>
          <w:rFonts w:eastAsia="Cambria" w:cs="Cambria"/>
          <w:b w:val="false"/>
          <w:bCs w:val="false"/>
          <w:i w:val="false"/>
          <w:iCs w:val="false"/>
          <w:sz w:val="22"/>
          <w:szCs w:val="22"/>
        </w:rPr>
        <w:t xml:space="preserve"> entsteht bei der Einreise (Nachweis: I-94 und Form I-20) und erlaubt Aufenthalt und Studium. Der Ablauf in sieben Schritten:</w:t>
      </w:r>
    </w:p>
    <w:p>
      <w:pPr>
        <w:pStyle w:val="ListParagraph"/>
        <w:numPr>
          <w:ilvl w:val="0"/>
          <w:numId w:val="98"/>
        </w:numPr>
        <w:spacing w:lineRule="exact" w:line="288" w:before="0" w:after="60"/>
        <w:rPr/>
      </w:pPr>
      <w:r>
        <w:rPr>
          <w:rFonts w:eastAsia="Cambria" w:cs="Cambria"/>
          <w:b/>
          <w:bCs/>
          <w:i w:val="false"/>
          <w:iCs w:val="false"/>
          <w:sz w:val="22"/>
          <w:szCs w:val="22"/>
        </w:rPr>
        <w:t>Zulassung</w:t>
      </w:r>
      <w:r>
        <w:rPr>
          <w:rFonts w:eastAsia="Cambria" w:cs="Cambria"/>
          <w:b w:val="false"/>
          <w:bCs w:val="false"/>
          <w:i w:val="false"/>
          <w:iCs w:val="false"/>
          <w:sz w:val="22"/>
          <w:szCs w:val="22"/>
        </w:rPr>
        <w:t xml:space="preserve"> an einer Hochschule, die vom </w:t>
      </w:r>
      <w:r>
        <w:rPr>
          <w:rFonts w:eastAsia="Cambria" w:cs="Cambria"/>
          <w:b w:val="false"/>
          <w:bCs w:val="false"/>
          <w:i/>
          <w:iCs/>
          <w:sz w:val="22"/>
          <w:szCs w:val="22"/>
        </w:rPr>
        <w:t>Student and Exchange Visitor Program</w:t>
      </w:r>
      <w:r>
        <w:rPr>
          <w:rFonts w:eastAsia="Cambria" w:cs="Cambria"/>
          <w:b w:val="false"/>
          <w:bCs w:val="false"/>
          <w:i w:val="false"/>
          <w:iCs w:val="false"/>
          <w:sz w:val="22"/>
          <w:szCs w:val="22"/>
        </w:rPr>
        <w:t xml:space="preserve"> (SEVP) zertifiziert ist. Bewerbung, Sprachtest und Anerkennung deines Abschlusses regelt jede Hochschule selbst.</w:t>
      </w:r>
    </w:p>
    <w:p>
      <w:pPr>
        <w:pStyle w:val="ListParagraph"/>
        <w:numPr>
          <w:ilvl w:val="0"/>
          <w:numId w:val="99"/>
        </w:numPr>
        <w:spacing w:lineRule="exact" w:line="288" w:before="0" w:after="60"/>
        <w:rPr/>
      </w:pPr>
      <w:r>
        <w:rPr>
          <w:rFonts w:eastAsia="Cambria" w:cs="Cambria"/>
          <w:b/>
          <w:bCs/>
          <w:i w:val="false"/>
          <w:iCs w:val="false"/>
          <w:sz w:val="22"/>
          <w:szCs w:val="22"/>
        </w:rPr>
        <w:t>Form I-20</w:t>
      </w:r>
      <w:r>
        <w:rPr>
          <w:rFonts w:eastAsia="Cambria" w:cs="Cambria"/>
          <w:b w:val="false"/>
          <w:bCs w:val="false"/>
          <w:i w:val="false"/>
          <w:iCs w:val="false"/>
          <w:sz w:val="22"/>
          <w:szCs w:val="22"/>
        </w:rPr>
        <w:t xml:space="preserve"> (</w:t>
      </w:r>
      <w:r>
        <w:rPr>
          <w:rFonts w:eastAsia="Cambria" w:cs="Cambria"/>
          <w:b w:val="false"/>
          <w:bCs w:val="false"/>
          <w:i/>
          <w:iCs/>
          <w:sz w:val="22"/>
          <w:szCs w:val="22"/>
        </w:rPr>
        <w:t>Certificate of Eligibility</w:t>
      </w:r>
      <w:r>
        <w:rPr>
          <w:rFonts w:eastAsia="Cambria" w:cs="Cambria"/>
          <w:b w:val="false"/>
          <w:bCs w:val="false"/>
          <w:i w:val="false"/>
          <w:iCs w:val="false"/>
          <w:sz w:val="22"/>
          <w:szCs w:val="22"/>
        </w:rPr>
        <w:t xml:space="preserve">): Die Hochschule stellt dir das Zulassungsdokument aus, mit Programmdauer und Kostenschätzung. Ansprechperson ist der </w:t>
      </w:r>
      <w:r>
        <w:rPr>
          <w:rFonts w:eastAsia="Cambria" w:cs="Cambria"/>
          <w:b w:val="false"/>
          <w:bCs w:val="false"/>
          <w:i/>
          <w:iCs/>
          <w:sz w:val="22"/>
          <w:szCs w:val="22"/>
        </w:rPr>
        <w:t>Designated School Official</w:t>
      </w:r>
      <w:r>
        <w:rPr>
          <w:rFonts w:eastAsia="Cambria" w:cs="Cambria"/>
          <w:b w:val="false"/>
          <w:bCs w:val="false"/>
          <w:i w:val="false"/>
          <w:iCs w:val="false"/>
          <w:sz w:val="22"/>
          <w:szCs w:val="22"/>
        </w:rPr>
        <w:t xml:space="preserve"> (DSO) im International Office.</w:t>
      </w:r>
    </w:p>
    <w:p>
      <w:pPr>
        <w:pStyle w:val="ListParagraph"/>
        <w:numPr>
          <w:ilvl w:val="0"/>
          <w:numId w:val="100"/>
        </w:numPr>
        <w:spacing w:lineRule="exact" w:line="288" w:before="0" w:after="60"/>
        <w:rPr/>
      </w:pPr>
      <w:r>
        <w:rPr>
          <w:rFonts w:eastAsia="Cambria" w:cs="Cambria"/>
          <w:b/>
          <w:bCs/>
          <w:i w:val="false"/>
          <w:iCs w:val="false"/>
          <w:sz w:val="22"/>
          <w:szCs w:val="22"/>
        </w:rPr>
        <w:t>Finanznachweis:</w:t>
      </w:r>
      <w:r>
        <w:rPr>
          <w:rFonts w:eastAsia="Cambria" w:cs="Cambria"/>
          <w:b w:val="false"/>
          <w:bCs w:val="false"/>
          <w:i w:val="false"/>
          <w:iCs w:val="false"/>
          <w:sz w:val="22"/>
          <w:szCs w:val="22"/>
        </w:rPr>
        <w:t xml:space="preserve"> Du belegst mit Unterlagen, dass du die Kosten laut I-20 tragen kannst: Kontoauszüge, Stipendienbescheide, Förderzusagen von Angehörigen.</w:t>
      </w:r>
    </w:p>
    <w:p>
      <w:pPr>
        <w:pStyle w:val="ListParagraph"/>
        <w:numPr>
          <w:ilvl w:val="0"/>
          <w:numId w:val="101"/>
        </w:numPr>
        <w:spacing w:lineRule="exact" w:line="288" w:before="0" w:after="60"/>
        <w:rPr/>
      </w:pPr>
      <w:r>
        <w:rPr>
          <w:rFonts w:eastAsia="Cambria" w:cs="Cambria"/>
          <w:b/>
          <w:bCs/>
          <w:i w:val="false"/>
          <w:iCs w:val="false"/>
          <w:sz w:val="22"/>
          <w:szCs w:val="22"/>
        </w:rPr>
        <w:t>SEVIS-Gebühr:</w:t>
      </w:r>
      <w:r>
        <w:rPr>
          <w:rFonts w:eastAsia="Cambria" w:cs="Cambria"/>
          <w:b w:val="false"/>
          <w:bCs w:val="false"/>
          <w:i w:val="false"/>
          <w:iCs w:val="false"/>
          <w:sz w:val="22"/>
          <w:szCs w:val="22"/>
        </w:rPr>
        <w:t xml:space="preserve"> Die Gebühr </w:t>
      </w:r>
      <w:r>
        <w:rPr>
          <w:rFonts w:eastAsia="Cambria" w:cs="Cambria"/>
          <w:b w:val="false"/>
          <w:bCs w:val="false"/>
          <w:i/>
          <w:iCs/>
          <w:sz w:val="22"/>
          <w:szCs w:val="22"/>
        </w:rPr>
        <w:t>I-901</w:t>
      </w:r>
      <w:r>
        <w:rPr>
          <w:rFonts w:eastAsia="Cambria" w:cs="Cambria"/>
          <w:b w:val="false"/>
          <w:bCs w:val="false"/>
          <w:i w:val="false"/>
          <w:iCs w:val="false"/>
          <w:sz w:val="22"/>
          <w:szCs w:val="22"/>
        </w:rPr>
        <w:t xml:space="preserve"> beträgt 350 $ und wird online bei der Einwanderungs- und Zollbehörde ICE bezahlt (</w:t>
      </w:r>
      <w:r>
        <w:rPr>
          <w:rFonts w:eastAsia="Cambria" w:cs="Cambria"/>
          <w:b w:val="false"/>
          <w:bCs w:val="false"/>
          <w:i/>
          <w:iCs/>
          <w:sz w:val="22"/>
          <w:szCs w:val="22"/>
        </w:rPr>
        <w:t>SEVIS</w:t>
      </w:r>
      <w:r>
        <w:rPr>
          <w:rFonts w:eastAsia="Cambria" w:cs="Cambria"/>
          <w:b w:val="false"/>
          <w:bCs w:val="false"/>
          <w:i w:val="false"/>
          <w:iCs w:val="false"/>
          <w:sz w:val="22"/>
          <w:szCs w:val="22"/>
        </w:rPr>
        <w:t xml:space="preserve"> ist die Datenbank, in der die Behörden Studierende erfassen). Die Quittung nimmst du zum Interview mit.</w:t>
      </w:r>
    </w:p>
    <w:p>
      <w:pPr>
        <w:pStyle w:val="ListParagraph"/>
        <w:numPr>
          <w:ilvl w:val="0"/>
          <w:numId w:val="102"/>
        </w:numPr>
        <w:spacing w:lineRule="exact" w:line="288" w:before="0" w:after="60"/>
        <w:rPr/>
      </w:pPr>
      <w:r>
        <w:rPr>
          <w:rFonts w:eastAsia="Cambria" w:cs="Cambria"/>
          <w:b/>
          <w:bCs/>
          <w:i w:val="false"/>
          <w:iCs w:val="false"/>
          <w:sz w:val="22"/>
          <w:szCs w:val="22"/>
        </w:rPr>
        <w:t>DS-160 und Visumgebühr:</w:t>
      </w:r>
      <w:r>
        <w:rPr>
          <w:rFonts w:eastAsia="Cambria" w:cs="Cambria"/>
          <w:b w:val="false"/>
          <w:bCs w:val="false"/>
          <w:i w:val="false"/>
          <w:iCs w:val="false"/>
          <w:sz w:val="22"/>
          <w:szCs w:val="22"/>
        </w:rPr>
        <w:t xml:space="preserve"> Du füllst das Online-Formular DS-160 aus, samt Social-Media-Konten der letzten fünf Jahre, und zahlst 185 $.</w:t>
      </w:r>
    </w:p>
    <w:p>
      <w:pPr>
        <w:pStyle w:val="ListParagraph"/>
        <w:numPr>
          <w:ilvl w:val="0"/>
          <w:numId w:val="103"/>
        </w:numPr>
        <w:spacing w:lineRule="exact" w:line="288" w:before="0" w:after="60"/>
        <w:rPr/>
      </w:pPr>
      <w:r>
        <w:rPr>
          <w:rFonts w:eastAsia="Cambria" w:cs="Cambria"/>
          <w:b/>
          <w:bCs/>
          <w:i w:val="false"/>
          <w:iCs w:val="false"/>
          <w:sz w:val="22"/>
          <w:szCs w:val="22"/>
        </w:rPr>
        <w:t>Interview</w:t>
      </w:r>
      <w:r>
        <w:rPr>
          <w:rFonts w:eastAsia="Cambria" w:cs="Cambria"/>
          <w:b w:val="false"/>
          <w:bCs w:val="false"/>
          <w:i w:val="false"/>
          <w:iCs w:val="false"/>
          <w:sz w:val="22"/>
          <w:szCs w:val="22"/>
        </w:rPr>
        <w:t xml:space="preserve"> in der Botschaft Berlin oder den Konsulaten Frankfurt und München. Der Verzicht auf das Gespräch wurde im September 2025 weitgehend abgeschafft; rechne mit einem persönlichen Termin, buche früh (Wartezeiten: travel.state.gov). Bei der Visumausstellung kann zusätzlich die </w:t>
      </w:r>
      <w:r>
        <w:rPr>
          <w:rFonts w:eastAsia="Cambria" w:cs="Cambria"/>
          <w:b w:val="false"/>
          <w:bCs w:val="false"/>
          <w:i/>
          <w:iCs/>
          <w:sz w:val="22"/>
          <w:szCs w:val="22"/>
        </w:rPr>
        <w:t>Visa Integrity Fee</w:t>
      </w:r>
      <w:r>
        <w:rPr>
          <w:rFonts w:eastAsia="Cambria" w:cs="Cambria"/>
          <w:b w:val="false"/>
          <w:bCs w:val="false"/>
          <w:i w:val="false"/>
          <w:iCs w:val="false"/>
          <w:sz w:val="22"/>
          <w:szCs w:val="22"/>
        </w:rPr>
        <w:t xml:space="preserve"> von 250 $ anfallen; die Erhebung ist uneinheitlich, ein Erstattungsverfahren fehlt.</w:t>
      </w:r>
    </w:p>
    <w:p>
      <w:pPr>
        <w:pStyle w:val="ListParagraph"/>
        <w:numPr>
          <w:ilvl w:val="0"/>
          <w:numId w:val="104"/>
        </w:numPr>
        <w:spacing w:lineRule="exact" w:line="288" w:before="0" w:after="60"/>
        <w:rPr/>
      </w:pPr>
      <w:r>
        <w:rPr>
          <w:rFonts w:eastAsia="Cambria" w:cs="Cambria"/>
          <w:b/>
          <w:bCs/>
          <w:i w:val="false"/>
          <w:iCs w:val="false"/>
          <w:sz w:val="22"/>
          <w:szCs w:val="22"/>
        </w:rPr>
        <w:t>Einreise:</w:t>
      </w:r>
      <w:r>
        <w:rPr>
          <w:rFonts w:eastAsia="Cambria" w:cs="Cambria"/>
          <w:b w:val="false"/>
          <w:bCs w:val="false"/>
          <w:i w:val="false"/>
          <w:iCs w:val="false"/>
          <w:sz w:val="22"/>
          <w:szCs w:val="22"/>
        </w:rPr>
        <w:t xml:space="preserve"> Üblich ist die Einreise frühestens 30 Tage vor Programmbeginn; das Visum wird bis zu 365 Tage vorher ausgestellt. Der Grenzschutz (CBP) trägt deinen Status ein.</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F-1 ist ein Visum für Personen ohne Einwanderungsabsicht. Das Konsulat prüft, ob du nach dem Studium zurückkehren willst (</w:t>
            </w:r>
            <w:r>
              <w:rPr>
                <w:rFonts w:eastAsia="Cambria" w:cs="Cambria"/>
                <w:b w:val="false"/>
                <w:bCs w:val="false"/>
                <w:i/>
                <w:iCs/>
                <w:sz w:val="20"/>
                <w:szCs w:val="20"/>
              </w:rPr>
              <w:t>INA 214(b)</w:t>
            </w:r>
            <w:r>
              <w:rPr>
                <w:rFonts w:eastAsia="Cambria" w:cs="Cambria"/>
                <w:b w:val="false"/>
                <w:bCs w:val="false"/>
                <w:i w:val="false"/>
                <w:iCs w:val="false"/>
                <w:sz w:val="20"/>
                <w:szCs w:val="20"/>
              </w:rPr>
              <w:t>): Belege deine Bindungen an Deutschland und erkläre ehrlich, wozu du den Abschluss brauchst. Beantworte Fragen wahrheitsgemäß und knapp – Falschangaben können dauerhafte Einreisesperren auslösen. Wer fest plant zu bleiben, klärt mit einem Einwanderungsanwalt vor dem Interview, wie er das ehrlich darstellt.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das Studium kostet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Studiengebühren (</w:t>
      </w:r>
      <w:r>
        <w:rPr>
          <w:rFonts w:eastAsia="Cambria" w:cs="Cambria"/>
          <w:b w:val="false"/>
          <w:bCs w:val="false"/>
          <w:i/>
          <w:iCs/>
          <w:sz w:val="22"/>
          <w:szCs w:val="22"/>
        </w:rPr>
        <w:t>Tuition</w:t>
      </w:r>
      <w:r>
        <w:rPr>
          <w:rFonts w:eastAsia="Cambria" w:cs="Cambria"/>
          <w:b w:val="false"/>
          <w:bCs w:val="false"/>
          <w:i w:val="false"/>
          <w:iCs w:val="false"/>
          <w:sz w:val="22"/>
          <w:szCs w:val="22"/>
        </w:rPr>
        <w:t>) sind der größte Posten und streuen stark. Wer die Zahl zum ersten Mal schwarz auf weiß auf der I-20 liest, hält meist kurz die Luft an, bevor er zum Taschenrechner greift. Die Tabelle zeigt Größenordnungen pro Studienjahr für einen Master (Stand 2026); verbindlich sind Hochschulseite und I-20.</w:t>
      </w:r>
    </w:p>
    <w:tbl>
      <w:tblPr>
        <w:tblW w:w="6480" w:type="dxa"/>
        <w:jc w:val="left"/>
        <w:tblInd w:w="0" w:type="dxa"/>
        <w:tblLayout w:type="fixed"/>
        <w:tblCellMar>
          <w:top w:w="50" w:type="dxa"/>
          <w:left w:w="80" w:type="dxa"/>
          <w:bottom w:w="50" w:type="dxa"/>
          <w:right w:w="80" w:type="dxa"/>
        </w:tblCellMar>
      </w:tblPr>
      <w:tblGrid>
        <w:gridCol w:w="2404"/>
        <w:gridCol w:w="1073"/>
        <w:gridCol w:w="3003"/>
      </w:tblGrid>
      <w:tr>
        <w:trPr>
          <w:tblHeader w:val="true"/>
          <w:cantSplit w:val="true"/>
        </w:trPr>
        <w:tc>
          <w:tcPr>
            <w:tcW w:w="240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Posten</w:t>
            </w:r>
          </w:p>
        </w:tc>
        <w:tc>
          <w:tcPr>
            <w:tcW w:w="107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Spanne pro Jahr</w:t>
            </w:r>
          </w:p>
        </w:tc>
        <w:tc>
          <w:tcPr>
            <w:tcW w:w="300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Anmerkung</w:t>
            </w:r>
          </w:p>
        </w:tc>
      </w:tr>
      <w:tr>
        <w:trPr>
          <w:cantSplit w:val="true"/>
        </w:trPr>
        <w:tc>
          <w:tcPr>
            <w:tcW w:w="24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Studiengebühren, öffentliche Hochschule</w:t>
            </w:r>
          </w:p>
        </w:tc>
        <w:tc>
          <w:tcPr>
            <w:tcW w:w="10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20.000–35.000 $</w:t>
            </w:r>
          </w:p>
        </w:tc>
        <w:tc>
          <w:tcPr>
            <w:tcW w:w="30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Internationale zahlen meist den Auslandstarif</w:t>
            </w:r>
          </w:p>
        </w:tc>
      </w:tr>
      <w:tr>
        <w:trPr>
          <w:cantSplit w:val="true"/>
        </w:trPr>
        <w:tc>
          <w:tcPr>
            <w:tcW w:w="24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Studiengebühren, private Hochschule</w:t>
            </w:r>
          </w:p>
        </w:tc>
        <w:tc>
          <w:tcPr>
            <w:tcW w:w="10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30.000–75.000 $</w:t>
            </w:r>
          </w:p>
        </w:tc>
        <w:tc>
          <w:tcPr>
            <w:tcW w:w="30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Boston University: 73.364 $ (2026/27)</w:t>
            </w:r>
          </w:p>
        </w:tc>
      </w:tr>
      <w:tr>
        <w:trPr>
          <w:cantSplit w:val="true"/>
        </w:trPr>
        <w:tc>
          <w:tcPr>
            <w:tcW w:w="24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Lebenshaltung inkl. Miete</w:t>
            </w:r>
          </w:p>
        </w:tc>
        <w:tc>
          <w:tcPr>
            <w:tcW w:w="10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15.000–30.000 $</w:t>
            </w:r>
          </w:p>
        </w:tc>
        <w:tc>
          <w:tcPr>
            <w:tcW w:w="30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Boston University: rund 27.000 $ für neun Monate</w:t>
            </w:r>
          </w:p>
        </w:tc>
      </w:tr>
      <w:tr>
        <w:trPr>
          <w:cantSplit w:val="true"/>
        </w:trPr>
        <w:tc>
          <w:tcPr>
            <w:tcW w:w="24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Krankenversicherung</w:t>
            </w:r>
          </w:p>
        </w:tc>
        <w:tc>
          <w:tcPr>
            <w:tcW w:w="10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1.800–4.000 $</w:t>
            </w:r>
          </w:p>
        </w:tc>
        <w:tc>
          <w:tcPr>
            <w:tcW w:w="30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Uni-Plan; Boston University: 3.715 $</w:t>
            </w:r>
          </w:p>
        </w:tc>
      </w:tr>
      <w:tr>
        <w:trPr>
          <w:cantSplit w:val="true"/>
        </w:trPr>
        <w:tc>
          <w:tcPr>
            <w:tcW w:w="24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Einmalig: SEVIS, Visum, Integrity Fee</w:t>
            </w:r>
          </w:p>
        </w:tc>
        <w:tc>
          <w:tcPr>
            <w:tcW w:w="10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785 $</w:t>
            </w:r>
          </w:p>
        </w:tc>
        <w:tc>
          <w:tcPr>
            <w:tcW w:w="30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Summe aus 350, 185 und 250 $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einen zweijährigen Master ergeben sich damit grob 70.000–150.000 $; ein einjähriges Programm halbiert den Betrag ungefähr. Elite-Universitäten liegen darüber: Die I-20 der Boston University weist für neun Monate 105.566 $ aus – diese Summe musst du im Visumverfahren belegen können.</w:t>
      </w:r>
    </w:p>
    <w:p>
      <w:pPr>
        <w:pStyle w:val="Heading3"/>
        <w:keepNext w:val="true"/>
        <w:spacing w:before="280" w:after="100"/>
        <w:jc w:val="center"/>
        <w:rPr/>
      </w:pPr>
      <w:r>
        <w:rPr>
          <w:rFonts w:eastAsia="Amazon Ember" w:cs="Amazon Ember" w:ascii="Amazon Ember" w:hAnsi="Amazon Ember"/>
          <w:b/>
          <w:bCs/>
          <w:color w:val="0000FF"/>
          <w:sz w:val="36"/>
          <w:szCs w:val="36"/>
        </w:rPr>
        <w:t>Finanzierung: Stipendien, Assistenzstellen, BAföG</w:t>
      </w:r>
    </w:p>
    <w:p>
      <w:pPr>
        <w:pStyle w:val="ListParagraph"/>
        <w:numPr>
          <w:ilvl w:val="0"/>
          <w:numId w:val="1"/>
        </w:numPr>
        <w:spacing w:lineRule="exact" w:line="288" w:before="0" w:after="60"/>
        <w:rPr/>
      </w:pPr>
      <w:r>
        <w:rPr>
          <w:rFonts w:eastAsia="Cambria" w:cs="Cambria"/>
          <w:b/>
          <w:bCs/>
          <w:i w:val="false"/>
          <w:iCs w:val="false"/>
          <w:sz w:val="22"/>
          <w:szCs w:val="22"/>
        </w:rPr>
        <w:t>Fulbright:</w:t>
      </w:r>
      <w:r>
        <w:rPr>
          <w:rFonts w:eastAsia="Cambria" w:cs="Cambria"/>
          <w:b w:val="false"/>
          <w:bCs w:val="false"/>
          <w:i w:val="false"/>
          <w:iCs w:val="false"/>
          <w:sz w:val="22"/>
          <w:szCs w:val="22"/>
        </w:rPr>
        <w:t xml:space="preserve"> Die Fulbright-Kommission in Deutschland vergibt in rund 20 Programmen bis zu 700 Stipendien pro Jahr. Master-Programme starten im August oder September 2027; neue Ausschreibungen erscheinen Ende 2026 oder Anfang 2027 (fulbright.de).</w:t>
      </w:r>
    </w:p>
    <w:p>
      <w:pPr>
        <w:pStyle w:val="ListParagraph"/>
        <w:numPr>
          <w:ilvl w:val="0"/>
          <w:numId w:val="1"/>
        </w:numPr>
        <w:spacing w:lineRule="exact" w:line="288" w:before="0" w:after="60"/>
        <w:rPr/>
      </w:pPr>
      <w:r>
        <w:rPr>
          <w:rFonts w:eastAsia="Cambria" w:cs="Cambria"/>
          <w:b/>
          <w:bCs/>
          <w:i w:val="false"/>
          <w:iCs w:val="false"/>
          <w:sz w:val="22"/>
          <w:szCs w:val="22"/>
        </w:rPr>
        <w:t>DAAD:</w:t>
      </w:r>
      <w:r>
        <w:rPr>
          <w:rFonts w:eastAsia="Cambria" w:cs="Cambria"/>
          <w:b w:val="false"/>
          <w:bCs w:val="false"/>
          <w:i w:val="false"/>
          <w:iCs w:val="false"/>
          <w:sz w:val="22"/>
          <w:szCs w:val="22"/>
        </w:rPr>
        <w:t xml:space="preserve"> Das Masterstipendium für die USA umfasst laut DAAD 1.250 € im Monat, einen Zuschuss zu den Studiengebühren von bis zu 18.000 € pro Jahr, Reisekostenzuschuss und Versicherungen, längstens 24 Monate. Dein Abschluss darf nicht länger als fünf Jahre zurückliegen. Die Bewerbungsfrist liegt fast ein Jahr vor Studienbeginn: 1. Oktober 2026 für einen Start im September 2027 (Raten und Fristen ändern sich; prüfe daad.de).</w:t>
      </w:r>
    </w:p>
    <w:p>
      <w:pPr>
        <w:pStyle w:val="ListParagraph"/>
        <w:numPr>
          <w:ilvl w:val="0"/>
          <w:numId w:val="1"/>
        </w:numPr>
        <w:spacing w:lineRule="exact" w:line="288" w:before="0" w:after="60"/>
        <w:rPr/>
      </w:pPr>
      <w:r>
        <w:rPr>
          <w:rFonts w:eastAsia="Cambria" w:cs="Cambria"/>
          <w:b/>
          <w:bCs/>
          <w:i w:val="false"/>
          <w:iCs w:val="false"/>
          <w:sz w:val="22"/>
          <w:szCs w:val="22"/>
        </w:rPr>
        <w:t>Assistenzstellen:</w:t>
      </w:r>
      <w:r>
        <w:rPr>
          <w:rFonts w:eastAsia="Cambria" w:cs="Cambria"/>
          <w:b w:val="false"/>
          <w:bCs w:val="false"/>
          <w:i w:val="false"/>
          <w:iCs w:val="false"/>
          <w:sz w:val="22"/>
          <w:szCs w:val="22"/>
        </w:rPr>
        <w:t xml:space="preserve"> Eine </w:t>
      </w:r>
      <w:r>
        <w:rPr>
          <w:rFonts w:eastAsia="Cambria" w:cs="Cambria"/>
          <w:b w:val="false"/>
          <w:bCs w:val="false"/>
          <w:i/>
          <w:iCs/>
          <w:sz w:val="22"/>
          <w:szCs w:val="22"/>
        </w:rPr>
        <w:t>Teaching</w:t>
      </w:r>
      <w:r>
        <w:rPr>
          <w:rFonts w:eastAsia="Cambria" w:cs="Cambria"/>
          <w:b w:val="false"/>
          <w:bCs w:val="false"/>
          <w:i w:val="false"/>
          <w:iCs w:val="false"/>
          <w:sz w:val="22"/>
          <w:szCs w:val="22"/>
        </w:rPr>
        <w:t xml:space="preserve"> oder </w:t>
      </w:r>
      <w:r>
        <w:rPr>
          <w:rFonts w:eastAsia="Cambria" w:cs="Cambria"/>
          <w:b w:val="false"/>
          <w:bCs w:val="false"/>
          <w:i/>
          <w:iCs/>
          <w:sz w:val="22"/>
          <w:szCs w:val="22"/>
        </w:rPr>
        <w:t>Research Assistantship</w:t>
      </w:r>
      <w:r>
        <w:rPr>
          <w:rFonts w:eastAsia="Cambria" w:cs="Cambria"/>
          <w:b w:val="false"/>
          <w:bCs w:val="false"/>
          <w:i w:val="false"/>
          <w:iCs w:val="false"/>
          <w:sz w:val="22"/>
          <w:szCs w:val="22"/>
        </w:rPr>
        <w:t xml:space="preserve"> (Lehr- oder Forschungsstelle mit Gehalt, oft mit Gebührenerlass) ist im Master selten, in der Promotion in STEM-Fächern üblich. Frage im Zulassungsverfahren gezielt danach.</w:t>
      </w:r>
    </w:p>
    <w:p>
      <w:pPr>
        <w:pStyle w:val="ListParagraph"/>
        <w:numPr>
          <w:ilvl w:val="0"/>
          <w:numId w:val="1"/>
        </w:numPr>
        <w:spacing w:lineRule="exact" w:line="288" w:before="0" w:after="60"/>
        <w:rPr/>
      </w:pPr>
      <w:r>
        <w:rPr>
          <w:rFonts w:eastAsia="Cambria" w:cs="Cambria"/>
          <w:b/>
          <w:bCs/>
          <w:i w:val="false"/>
          <w:iCs w:val="false"/>
          <w:sz w:val="22"/>
          <w:szCs w:val="22"/>
        </w:rPr>
        <w:t>Auslands-BAföG:</w:t>
      </w:r>
      <w:r>
        <w:rPr>
          <w:rFonts w:eastAsia="Cambria" w:cs="Cambria"/>
          <w:b w:val="false"/>
          <w:bCs w:val="false"/>
          <w:i w:val="false"/>
          <w:iCs w:val="false"/>
          <w:sz w:val="22"/>
          <w:szCs w:val="22"/>
        </w:rPr>
        <w:t xml:space="preserve"> Nach § 5 Abs. 2 BAföG lässt sich ein Studium in den USA fördern, wenn es mindestens ein Semester oder sechs Monate dauert. Die Höhe hängt vom Einzelfall ab; Auskunft gibt das zuständige Amt für Ausbildungsförderung.</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mit Regierungsgeld gefördert wird, etwa über Fulbright, bekommt oft ein J-1-Visum statt F-1 – dann kann die Zwei-Jahres-Regel (</w:t>
            </w:r>
            <w:r>
              <w:rPr>
                <w:rFonts w:eastAsia="Cambria" w:cs="Cambria"/>
                <w:b w:val="false"/>
                <w:bCs w:val="false"/>
                <w:i/>
                <w:iCs/>
                <w:sz w:val="20"/>
                <w:szCs w:val="20"/>
              </w:rPr>
              <w:t>Section 212(e)</w:t>
            </w:r>
            <w:r>
              <w:rPr>
                <w:rFonts w:eastAsia="Cambria" w:cs="Cambria"/>
                <w:b w:val="false"/>
                <w:bCs w:val="false"/>
                <w:i w:val="false"/>
                <w:iCs w:val="false"/>
                <w:sz w:val="20"/>
                <w:szCs w:val="20"/>
              </w:rPr>
              <w:t>) greifen: Du müsstest zwei Jahre außerhalb der USA verbringen, bevor du in H-1B, L-1 oder Green Card wechseln darfst, sofern kein Verzicht (</w:t>
            </w:r>
            <w:r>
              <w:rPr>
                <w:rFonts w:eastAsia="Cambria" w:cs="Cambria"/>
                <w:b w:val="false"/>
                <w:bCs w:val="false"/>
                <w:i/>
                <w:iCs/>
                <w:sz w:val="20"/>
                <w:szCs w:val="20"/>
              </w:rPr>
              <w:t>Waiver</w:t>
            </w:r>
            <w:r>
              <w:rPr>
                <w:rFonts w:eastAsia="Cambria" w:cs="Cambria"/>
                <w:b w:val="false"/>
                <w:bCs w:val="false"/>
                <w:i w:val="false"/>
                <w:iCs w:val="false"/>
                <w:sz w:val="20"/>
                <w:szCs w:val="20"/>
              </w:rPr>
              <w:t>) gewährt wird. Frage vor der Annahme schriftlich nach, welches Visum das Stipendium auslöst.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Arbeiten während des Studiums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Wer als Student in den USA lebt, kann sich nebenbei mit denselben Aushilfsjobs über Wasser halten wie zu Hause – kellnern, Nachhilfe geben, Kisten schleppen. Tatsächlich sind die Grenzen eng gezogen, und im ersten Studienjahr sind deine Möglichkeiten besonders begrenzt. </w:t>
      </w:r>
      <w:r>
        <w:rPr>
          <w:rFonts w:eastAsia="Cambria" w:cs="Cambria"/>
          <w:b w:val="false"/>
          <w:bCs w:val="false"/>
          <w:i/>
          <w:iCs/>
          <w:sz w:val="22"/>
          <w:szCs w:val="22"/>
        </w:rPr>
        <w:t>On-campus</w:t>
      </w:r>
      <w:r>
        <w:rPr>
          <w:rFonts w:eastAsia="Cambria" w:cs="Cambria"/>
          <w:b w:val="false"/>
          <w:bCs w:val="false"/>
          <w:i w:val="false"/>
          <w:iCs w:val="false"/>
          <w:sz w:val="22"/>
          <w:szCs w:val="22"/>
        </w:rPr>
        <w:t xml:space="preserve"> (auf dem Uni-Gelände) darfst du im Semester bis zu 20 Stunden pro Woche arbeiten, in den Ferien Vollzeit: Bibliothek, Mensa, Labor, Assistenzstelle. Dafür brauchst du eine Sozialversicherungsnummer (Kapitel </w:t>
      </w:r>
      <w:hyperlink w:anchor="k24">
        <w:r>
          <w:rPr>
            <w:rStyle w:val="ListLabel115"/>
            <w:rFonts w:eastAsia="Cambria" w:cs="Cambria"/>
            <w:b w:val="false"/>
            <w:bCs w:val="false"/>
            <w:i w:val="false"/>
            <w:iCs w:val="false"/>
            <w:sz w:val="22"/>
            <w:szCs w:val="22"/>
          </w:rPr>
          <w:t>24</w:t>
        </w:r>
      </w:hyperlink>
      <w:r>
        <w:rPr>
          <w:rFonts w:eastAsia="Cambria" w:cs="Cambria"/>
          <w:b w:val="false"/>
          <w:bCs w:val="false"/>
          <w:i w:val="false"/>
          <w:iCs w:val="false"/>
          <w:sz w:val="22"/>
          <w:szCs w:val="22"/>
        </w:rPr>
        <w:t>). Außerhalb des Campus ist Arbeit erst nach einem vollen akademischen Jahr und nur mit Genehmigung erlaubt; Lieferdienst, Freelance-Aufträge oder bezahlte Nachhilfe ohne Erlaubnis sind ein Statusverstoß.</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wichtigste Genehmigung während des Studiums ist </w:t>
      </w:r>
      <w:r>
        <w:rPr>
          <w:rFonts w:eastAsia="Cambria" w:cs="Cambria"/>
          <w:b w:val="false"/>
          <w:bCs w:val="false"/>
          <w:i/>
          <w:iCs/>
          <w:sz w:val="22"/>
          <w:szCs w:val="22"/>
        </w:rPr>
        <w:t>Curricular Practical Training</w:t>
      </w:r>
      <w:r>
        <w:rPr>
          <w:rFonts w:eastAsia="Cambria" w:cs="Cambria"/>
          <w:b w:val="false"/>
          <w:bCs w:val="false"/>
          <w:i w:val="false"/>
          <w:iCs w:val="false"/>
          <w:sz w:val="22"/>
          <w:szCs w:val="22"/>
        </w:rPr>
        <w:t xml:space="preserve"> (CPT): ein Praktikum oder eine Stelle, die Teil deines Studiengangs ist. Dein DSO muss sie vor dem ersten Arbeitstag genehmigen und in SEVIS eintragen. Wer 12 Monate oder länger in Vollzeit-CPT arbeitet, verliert den Anspruch auf OPT.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Das SEVP hat am 12. und 24. August 2026 die Auslegung von CPT verengt: Das Praktikum muss verpflichtender Bestandteil des Studiengangs für alle Studierenden sein. Wahlfächer und optionale Praktika genügen nicht, frühere Genehmigungen begründen keinen Anspruch, Schulen haften für fehlerhafte Freigaben. Als Überbrückung nach OPT-Ende oder verlorener Lotterie taugt CPT damit nicht, und die Leitlinie gilt unabhängig von der gestoppten Aufenthaltsregel weiter. Frage vor der Einschreibung schriftlich, ob das Praktikum im Programm verpflichtend ist.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OPT und STEM-OPT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OPT ist das Herzstück des Studienwegs: eine Arbeitserlaubnis (</w:t>
      </w:r>
      <w:r>
        <w:rPr>
          <w:rFonts w:eastAsia="Cambria" w:cs="Cambria"/>
          <w:b w:val="false"/>
          <w:bCs w:val="false"/>
          <w:i/>
          <w:iCs/>
          <w:sz w:val="22"/>
          <w:szCs w:val="22"/>
        </w:rPr>
        <w:t>Employment Authorization Document</w:t>
      </w:r>
      <w:r>
        <w:rPr>
          <w:rFonts w:eastAsia="Cambria" w:cs="Cambria"/>
          <w:b w:val="false"/>
          <w:bCs w:val="false"/>
          <w:i w:val="false"/>
          <w:iCs w:val="false"/>
          <w:sz w:val="22"/>
          <w:szCs w:val="22"/>
        </w:rPr>
        <w:t>, EAD) für Arbeit in deinem Fachgebiet. Du beantragst sie mit Form I-765 bei USCIS, nachdem dein DSO die Empfehlung in SEVIS eingetragen hat – arbeiten darfst du erst ab dem Startdatum auf der EAD-Karte.</w:t>
      </w:r>
    </w:p>
    <w:tbl>
      <w:tblPr>
        <w:tblW w:w="6480" w:type="dxa"/>
        <w:jc w:val="left"/>
        <w:tblInd w:w="0" w:type="dxa"/>
        <w:tblLayout w:type="fixed"/>
        <w:tblCellMar>
          <w:top w:w="50" w:type="dxa"/>
          <w:left w:w="80" w:type="dxa"/>
          <w:bottom w:w="50" w:type="dxa"/>
          <w:right w:w="80" w:type="dxa"/>
        </w:tblCellMar>
      </w:tblPr>
      <w:tblGrid>
        <w:gridCol w:w="953"/>
        <w:gridCol w:w="2415"/>
        <w:gridCol w:w="3112"/>
      </w:tblGrid>
      <w:tr>
        <w:trPr>
          <w:tblHeader w:val="true"/>
          <w:cantSplit w:val="true"/>
        </w:trPr>
        <w:tc>
          <w:tcPr>
            <w:tcW w:w="95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
          </w:p>
        </w:tc>
        <w:tc>
          <w:tcPr>
            <w:tcW w:w="241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OPT</w:t>
            </w:r>
          </w:p>
        </w:tc>
        <w:tc>
          <w:tcPr>
            <w:tcW w:w="311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STEM-OPT-Verlängerung</w:t>
            </w:r>
          </w:p>
        </w:tc>
      </w:tr>
      <w:tr>
        <w:trPr>
          <w:cantSplit w:val="true"/>
        </w:trPr>
        <w:tc>
          <w:tcPr>
            <w:tcW w:w="9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Dauer</w:t>
            </w:r>
          </w:p>
        </w:tc>
        <w:tc>
          <w:tcPr>
            <w:tcW w:w="2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 Monate je Abschlussniveau</w:t>
            </w:r>
          </w:p>
        </w:tc>
        <w:tc>
          <w:tcPr>
            <w:tcW w:w="31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zusätzlich 24 Monate (insgesamt 36)</w:t>
            </w:r>
          </w:p>
        </w:tc>
      </w:tr>
      <w:tr>
        <w:trPr>
          <w:cantSplit w:val="true"/>
        </w:trPr>
        <w:tc>
          <w:tcPr>
            <w:tcW w:w="9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Antrag</w:t>
            </w:r>
          </w:p>
        </w:tc>
        <w:tc>
          <w:tcPr>
            <w:tcW w:w="2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90 Tage vor bis 60 Tage nach Studienende</w:t>
            </w:r>
          </w:p>
        </w:tc>
        <w:tc>
          <w:tcPr>
            <w:tcW w:w="31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90 Tage vor Ablauf der EAD</w:t>
            </w:r>
          </w:p>
        </w:tc>
      </w:tr>
      <w:tr>
        <w:trPr>
          <w:cantSplit w:val="true"/>
        </w:trPr>
        <w:tc>
          <w:tcPr>
            <w:tcW w:w="9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Bedingung</w:t>
            </w:r>
          </w:p>
        </w:tc>
        <w:tc>
          <w:tcPr>
            <w:tcW w:w="2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Stelle passt zum Fach, mind. 20 Std./Woche</w:t>
            </w:r>
          </w:p>
        </w:tc>
        <w:tc>
          <w:tcPr>
            <w:tcW w:w="31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STEM-Abschluss, E-Verify-Arbeitgeber, Ausbildungsplan</w:t>
            </w:r>
          </w:p>
        </w:tc>
      </w:tr>
      <w:tr>
        <w:trPr>
          <w:cantSplit w:val="true"/>
        </w:trPr>
        <w:tc>
          <w:tcPr>
            <w:tcW w:w="9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Arbeitslos höchstens</w:t>
            </w:r>
          </w:p>
        </w:tc>
        <w:tc>
          <w:tcPr>
            <w:tcW w:w="2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90 Tage</w:t>
            </w:r>
          </w:p>
        </w:tc>
        <w:tc>
          <w:tcPr>
            <w:tcW w:w="31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insgesamt 150 Tage</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Nach der DSO-Empfehlung bleiben 30 Tage für den OPT-Antrag (STEM-OPT: 60 Tage). Form I-765 kostet 520 $ auf Papier und 470 $ online, Premium Processing 1.780 $. </w:t>
      </w:r>
      <w:r>
        <w:rPr>
          <w:rFonts w:eastAsia="Cambria" w:cs="Cambria"/>
          <w:b w:val="false"/>
          <w:bCs w:val="false"/>
          <w:i/>
          <w:iCs/>
          <w:sz w:val="22"/>
          <w:szCs w:val="22"/>
        </w:rPr>
        <w:t>E-Verify</w:t>
      </w:r>
      <w:r>
        <w:rPr>
          <w:rFonts w:eastAsia="Cambria" w:cs="Cambria"/>
          <w:b w:val="false"/>
          <w:bCs w:val="false"/>
          <w:i w:val="false"/>
          <w:iCs w:val="false"/>
          <w:sz w:val="22"/>
          <w:szCs w:val="22"/>
        </w:rPr>
        <w:t xml:space="preserve"> ist das Online-System, mit dem Arbeitgeber die Arbeitsberechtigung prüfen; nicht jeder nimmt teil, und ohne E-Verify gibt es keine STEM-OPT. Arbeitgeber und du erstellt zudem einen Ausbildungsplan (Form I-983); die Behörde kann den Arbeitsplatz besuchen. Bei rechtzeitigem STEM-Antrag darfst du bis zu 180 Tage über das EAD-Ende hinaus weiterarbeiten. Eine zweite STEM-OPT gibt es nur mit einem höheren STEM-Abschluss.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Reiche den I-765 online ein: 470 statt 520 $ pro Antrag. Beantrage früh, ab 90 Tage vor Studienende – wer zu spät dran ist, zahlt für Premium Processing 1.780 $.</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Zähle deine Arbeitslosentage mit (90 bei OPT, insgesamt 150 mit STEM-OPT) und melde jeden Arbeitgeberwechsel binnen 10 Tagen deinem DSO, sonst kann dein SEVIS-Eintrag beendet werden und der Status ist verloren. Unerlaubte Arbeit gefährdet außerdem den späteren Statuswechsel.</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OPT beruht auf einer Verordnung, nicht auf einem Gesetz, und lässt sich per Regel ändern – was eine Behörde per Federstrich gewährt, kann sie per Federstrich auch wieder einkassieren. Ein DHS-Entwurf zur Neufassung wird nicht vor Februar 2027 erwartet; eine Gebührenregel für OPT hat am 14. September 2026 die Prüfung im Weißen Haus bestanden, ihre Höhe ist unbekannt. Plane deshalb nicht blind mit 36 gesicherten Monaten.</w:t>
      </w:r>
    </w:p>
    <w:p>
      <w:pPr>
        <w:pStyle w:val="Heading3"/>
        <w:keepNext w:val="true"/>
        <w:spacing w:before="280" w:after="100"/>
        <w:jc w:val="center"/>
        <w:rPr/>
      </w:pPr>
      <w:r>
        <w:rPr>
          <w:rFonts w:eastAsia="Amazon Ember" w:cs="Amazon Ember" w:ascii="Amazon Ember" w:hAnsi="Amazon Ember"/>
          <w:b/>
          <w:bCs/>
          <w:color w:val="0000FF"/>
          <w:sz w:val="36"/>
          <w:szCs w:val="36"/>
        </w:rPr>
        <w:t>Der Statuswechsel: vom Studium zum H-1B</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entscheidende Moment kommt im März. Dein Arbeitgeber registriert dich für die H-1B-Lotterie (Fiskaljahr 2027, kurz FY2027: 4. bis 19. März 2026, 215 $ je Registrierung); das Ergebnis liegt bis Ende März vor. Bei Auswahl reicht er zwischen 1. April und 30. Juni die Petition (Form I-129) ein und beantragt den </w:t>
      </w:r>
      <w:r>
        <w:rPr>
          <w:rFonts w:eastAsia="Cambria" w:cs="Cambria"/>
          <w:b w:val="false"/>
          <w:bCs w:val="false"/>
          <w:i/>
          <w:iCs/>
          <w:sz w:val="22"/>
          <w:szCs w:val="22"/>
        </w:rPr>
        <w:t>Change of Status</w:t>
      </w:r>
      <w:r>
        <w:rPr>
          <w:rFonts w:eastAsia="Cambria" w:cs="Cambria"/>
          <w:b w:val="false"/>
          <w:bCs w:val="false"/>
          <w:i w:val="false"/>
          <w:iCs w:val="false"/>
          <w:sz w:val="22"/>
          <w:szCs w:val="22"/>
        </w:rPr>
        <w:t>: den Statuswechsel im Inland von F-1 zu H-1B, ohne Ausreise und ohne Konsulat. Der H-1B-Status beginnt frühestens am 1. Oktober (Verfahren im Detail: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Problem: Dein OPT endet oft vor dem 1. Oktober. Die </w:t>
      </w:r>
      <w:r>
        <w:rPr>
          <w:rFonts w:eastAsia="Cambria" w:cs="Cambria"/>
          <w:b w:val="false"/>
          <w:bCs w:val="false"/>
          <w:i/>
          <w:iCs/>
          <w:sz w:val="22"/>
          <w:szCs w:val="22"/>
        </w:rPr>
        <w:t>Cap-Gap</w:t>
      </w:r>
      <w:r>
        <w:rPr>
          <w:rFonts w:eastAsia="Cambria" w:cs="Cambria"/>
          <w:b w:val="false"/>
          <w:bCs w:val="false"/>
          <w:i w:val="false"/>
          <w:iCs w:val="false"/>
          <w:sz w:val="22"/>
          <w:szCs w:val="22"/>
        </w:rPr>
        <w:t>-Regel überbrückt die Lücke – reicht dein Arbeitgeber rechtzeitig eine Cap-H-1B-Petition mit Startdatum 1. Oktober ein und ist dein F-1-Status oder OPT gültig, laufen Status und Arbeitserlaubnis bis zum 1. April des Folgejahres weiter (Regel seit 17. Januar 2025). Läuft deine EAD-Karte vor dem Ende des Einreichungsfensters ab, muss die Petition vor dem Ablaufdatum eingehen.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Reise während des laufenden Statuswechsels oder der Cap-Gap-Zeit nur, wenn die Genehmigung schon vorliegt – sonst gilt die Petition als aufgegeben, und die Ausreise vor der Entscheidung kann die 100.000-$-Zahlung auslösen (derzeit gerichtlich blockiert). Kläre jede Reise vorher mit dem Anwalt des Arbeitgebers.</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Zur 100.000-$-Zahlung: Die Proklamation vom 19. September 2025 verlangt sie für neue Petitionen für Personen im Ausland. Für den Statuswechsel im Inland gilt sie nach der USCIS-Leitlinie vom 20. Oktober 2025 nicht, es sei denn, die Petition wird abgelehnt oder du reist vor der Entscheidung aus. Am 18. September 2026 wurde die Proklamation bis zum 21. September 2027 verlängert; die Erhebung ist seit dem Urteil vom 8. Juni 2026 gerichtlich blockiert. Ein DHS-Entwurf vom 25. August 2026 sieht 103.265 $ für Cap-Petitionen vor und würde nach drei Kanzleien auch den Inlandswechsel und das Master-Kontingent erfassen – ein Vorschlag, keine geltende Regel, der frühestens ab der Saison im April 2027 greifen könnte.</w:t>
      </w:r>
    </w:p>
    <w:p>
      <w:pPr>
        <w:pStyle w:val="Heading3"/>
        <w:keepNext w:val="true"/>
        <w:spacing w:before="280" w:after="100"/>
        <w:jc w:val="center"/>
        <w:rPr/>
      </w:pPr>
      <w:r>
        <w:rPr>
          <w:rFonts w:eastAsia="Amazon Ember" w:cs="Amazon Ember" w:ascii="Amazon Ember" w:hAnsi="Amazon Ember"/>
          <w:b/>
          <w:bCs/>
          <w:color w:val="0000FF"/>
          <w:sz w:val="36"/>
          <w:szCs w:val="36"/>
        </w:rPr>
        <w:t>Deine Chancen in der Lotterie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US-Master zählt doppelt: Neben den 65.000 regulären Plätzen gibt es 20.000 Plätze für Abschlüsse ab Master von US-Hochschulen (</w:t>
      </w:r>
      <w:r>
        <w:rPr>
          <w:rFonts w:eastAsia="Cambria" w:cs="Cambria"/>
          <w:b w:val="false"/>
          <w:bCs w:val="false"/>
          <w:i/>
          <w:iCs/>
          <w:sz w:val="22"/>
          <w:szCs w:val="22"/>
        </w:rPr>
        <w:t>Master-Quote</w:t>
      </w:r>
      <w:r>
        <w:rPr>
          <w:rFonts w:eastAsia="Cambria" w:cs="Cambria"/>
          <w:b w:val="false"/>
          <w:bCs w:val="false"/>
          <w:i w:val="false"/>
          <w:iCs w:val="false"/>
          <w:sz w:val="22"/>
          <w:szCs w:val="22"/>
        </w:rPr>
        <w:t>) – wer im regulären Durchgang nicht gezogen wird, kommt in eine zweite Auswahl für diese Plätze. Seit dem Fiskaljahr 2027 gewichtet USCIS zudem nach Lohn: Level IV, die höchste Lohnstufe, bringt vier Lose, Level I nur eines. DHS rechnete vor der Einführung mit Chancen von etwa 15 % (Level I) bis 61 % (Level IV), gegenüber etwa 30 % bei reinem Zufall.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Zahlen für FY2027: 211.600 zulässige Registrierungen, rund 38 % weniger als im Vorjahr. 71,5 % der Ausgewählten hatten einen US-Master oder mehr (Vorjahr 57 %), nur 17,7 % lagen in Level I. Die Auswahlquote hat USCIS nicht genannt; im Vorjahr lag sie bei rund 35 % (120.141 von 343.981). DHS begründete die Gewichtung damit, dass zuvor etwa 80 % der Stellen in Level I oder II lagen und Einstiegsgehälter oft dorthin fallen. Lass dir vom Arbeitgeber vorab bestätigen, welche Lohnstufe dein Angebot erreicht – sie bestimmt die Zahl deiner Lose.</w:t>
      </w:r>
    </w:p>
    <w:p>
      <w:pPr>
        <w:pStyle w:val="Heading3"/>
        <w:keepNext w:val="true"/>
        <w:spacing w:before="280" w:after="100"/>
        <w:jc w:val="center"/>
        <w:rPr/>
      </w:pPr>
      <w:r>
        <w:rPr>
          <w:rFonts w:eastAsia="Amazon Ember" w:cs="Amazon Ember" w:ascii="Amazon Ember" w:hAnsi="Amazon Ember"/>
          <w:b/>
          <w:bCs/>
          <w:color w:val="0000FF"/>
          <w:sz w:val="36"/>
          <w:szCs w:val="36"/>
        </w:rPr>
        <w:t>Die Zeitleiste: Studium, OPT, H-1B, Green Card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Beispiel für einen Master-Abschluss im Mai 2028, abgeleitet aus den Fristen (kein festes Schema):</w:t>
      </w:r>
    </w:p>
    <w:tbl>
      <w:tblPr>
        <w:tblW w:w="6480" w:type="dxa"/>
        <w:jc w:val="left"/>
        <w:tblInd w:w="0" w:type="dxa"/>
        <w:tblLayout w:type="fixed"/>
        <w:tblCellMar>
          <w:top w:w="50" w:type="dxa"/>
          <w:left w:w="80" w:type="dxa"/>
          <w:bottom w:w="50" w:type="dxa"/>
          <w:right w:w="80" w:type="dxa"/>
        </w:tblCellMar>
      </w:tblPr>
      <w:tblGrid>
        <w:gridCol w:w="1084"/>
        <w:gridCol w:w="2207"/>
        <w:gridCol w:w="950"/>
        <w:gridCol w:w="2238"/>
      </w:tblGrid>
      <w:tr>
        <w:trPr>
          <w:tblHeader w:val="true"/>
          <w:cantSplit w:val="true"/>
        </w:trPr>
        <w:tc>
          <w:tcPr>
            <w:tcW w:w="108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Phase</w:t>
            </w:r>
          </w:p>
        </w:tc>
        <w:tc>
          <w:tcPr>
            <w:tcW w:w="220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Zeitraum</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Status</w:t>
            </w:r>
          </w:p>
        </w:tc>
        <w:tc>
          <w:tcPr>
            <w:tcW w:w="223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Wichtig</w:t>
            </w:r>
          </w:p>
        </w:tc>
      </w:tr>
      <w:tr>
        <w:trPr>
          <w:cantSplit w:val="true"/>
        </w:trPr>
        <w:tc>
          <w:tcPr>
            <w:tcW w:w="1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Zulassung, I-20, Visum</w:t>
            </w:r>
          </w:p>
        </w:tc>
        <w:tc>
          <w:tcPr>
            <w:tcW w:w="22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2026, vor Studienstart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F-1-Visum</w:t>
            </w:r>
          </w:p>
        </w:tc>
        <w:tc>
          <w:tcPr>
            <w:tcW w:w="22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Finanznachweis, Interview</w:t>
            </w:r>
          </w:p>
        </w:tc>
      </w:tr>
      <w:tr>
        <w:trPr>
          <w:cantSplit w:val="true"/>
        </w:trPr>
        <w:tc>
          <w:tcPr>
            <w:tcW w:w="1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Master</w:t>
            </w:r>
          </w:p>
        </w:tc>
        <w:tc>
          <w:tcPr>
            <w:tcW w:w="22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Aug. 2026 bis Mai 2028</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F-1</w:t>
            </w:r>
          </w:p>
        </w:tc>
        <w:tc>
          <w:tcPr>
            <w:tcW w:w="22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On-campus, CPT nach DSO-Freigabe</w:t>
            </w:r>
          </w:p>
        </w:tc>
      </w:tr>
      <w:tr>
        <w:trPr>
          <w:cantSplit w:val="true"/>
        </w:trPr>
        <w:tc>
          <w:tcPr>
            <w:tcW w:w="1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OPT</w:t>
            </w:r>
          </w:p>
        </w:tc>
        <w:tc>
          <w:tcPr>
            <w:tcW w:w="22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Juni 2028 bis Mai 2029</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F-1 mit EAD</w:t>
            </w:r>
          </w:p>
        </w:tc>
        <w:tc>
          <w:tcPr>
            <w:tcW w:w="22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höchstens 90 Tage arbeitslos</w:t>
            </w:r>
          </w:p>
        </w:tc>
      </w:tr>
      <w:tr>
        <w:trPr>
          <w:cantSplit w:val="true"/>
        </w:trPr>
        <w:tc>
          <w:tcPr>
            <w:tcW w:w="1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STEM-OPT</w:t>
            </w:r>
          </w:p>
        </w:tc>
        <w:tc>
          <w:tcPr>
            <w:tcW w:w="22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Juni 2029 bis Mai 2031</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F-1 mit STEM-EAD</w:t>
            </w:r>
          </w:p>
        </w:tc>
        <w:tc>
          <w:tcPr>
            <w:tcW w:w="22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E-Verify, Form I-983</w:t>
            </w:r>
          </w:p>
        </w:tc>
      </w:tr>
      <w:tr>
        <w:trPr>
          <w:cantSplit w:val="true"/>
        </w:trPr>
        <w:tc>
          <w:tcPr>
            <w:tcW w:w="1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H-1B-Lotterien</w:t>
            </w:r>
          </w:p>
        </w:tc>
        <w:tc>
          <w:tcPr>
            <w:tcW w:w="22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März 2028, 2029, 2030, mit Cap-Gap 2031</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c>
          <w:tcPr>
            <w:tcW w:w="22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drei bis vier Versuche</w:t>
            </w:r>
          </w:p>
        </w:tc>
      </w:tr>
      <w:tr>
        <w:trPr>
          <w:cantSplit w:val="true"/>
        </w:trPr>
        <w:tc>
          <w:tcPr>
            <w:tcW w:w="1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H-1B</w:t>
            </w:r>
          </w:p>
        </w:tc>
        <w:tc>
          <w:tcPr>
            <w:tcW w:w="22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1. Oktober nach Gewinn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H-1B</w:t>
            </w:r>
          </w:p>
        </w:tc>
        <w:tc>
          <w:tcPr>
            <w:tcW w:w="22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 + 3 Jahre, Dual Intent</w:t>
            </w:r>
          </w:p>
        </w:tc>
      </w:tr>
      <w:tr>
        <w:trPr>
          <w:cantSplit w:val="true"/>
        </w:trPr>
        <w:tc>
          <w:tcPr>
            <w:tcW w:w="1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Card</w:t>
            </w:r>
          </w:p>
        </w:tc>
        <w:tc>
          <w:tcPr>
            <w:tcW w:w="22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früh im H-1B starten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Card</w:t>
            </w:r>
          </w:p>
        </w:tc>
        <w:tc>
          <w:tcPr>
            <w:tcW w:w="22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PERM, I-140, I-485 (Kapitel </w:t>
            </w:r>
            <w:hyperlink w:anchor="k6">
              <w:r>
                <w:rPr>
                  <w:rStyle w:val="ListLabel112"/>
                  <w:rFonts w:eastAsia="Cambria" w:cs="Cambria"/>
                  <w:b w:val="false"/>
                  <w:bCs w:val="false"/>
                  <w:i w:val="false"/>
                  <w:iCs w:val="false"/>
                  <w:sz w:val="18"/>
                  <w:szCs w:val="18"/>
                </w:rPr>
                <w:t>6</w:t>
              </w:r>
            </w:hyperlink>
            <w:r>
              <w:rPr>
                <w:rFonts w:eastAsia="Cambria" w:cs="Cambria"/>
                <w:b w:val="false"/>
                <w:bCs w:val="false"/>
                <w:i w:val="false"/>
                <w:iCs w:val="false"/>
                <w:sz w:val="18"/>
                <w:szCs w:val="18"/>
              </w:rPr>
              <w:t xml:space="preserve">, </w:t>
            </w:r>
            <w:hyperlink w:anchor="k7">
              <w:r>
                <w:rPr>
                  <w:rStyle w:val="ListLabel112"/>
                  <w:rFonts w:eastAsia="Cambria" w:cs="Cambria"/>
                  <w:b w:val="false"/>
                  <w:bCs w:val="false"/>
                  <w:i w:val="false"/>
                  <w:iCs w:val="false"/>
                  <w:sz w:val="18"/>
                  <w:szCs w:val="18"/>
                </w:rPr>
                <w:t>7</w:t>
              </w:r>
            </w:hyperlink>
            <w:r>
              <w:rPr>
                <w:rFonts w:eastAsia="Cambria" w:cs="Cambria"/>
                <w:b w:val="false"/>
                <w:bCs w:val="false"/>
                <w:i w:val="false"/>
                <w:iCs w:val="false"/>
                <w:sz w:val="18"/>
                <w:szCs w:val="18"/>
              </w:rPr>
              <w:t>)</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Voraussetzung für die späteren Versuche ist ein STEM-OPT-fähiger Job bei einem E-Verify-Arbeitgeber.</w:t>
      </w:r>
    </w:p>
    <w:p>
      <w:pPr>
        <w:pStyle w:val="Heading3"/>
        <w:keepNext w:val="true"/>
        <w:spacing w:before="280" w:after="100"/>
        <w:jc w:val="center"/>
        <w:rPr/>
      </w:pPr>
      <w:r>
        <w:rPr>
          <w:rFonts w:eastAsia="Amazon Ember" w:cs="Amazon Ember" w:ascii="Amazon Ember" w:hAnsi="Amazon Ember"/>
          <w:b/>
          <w:bCs/>
          <w:color w:val="0000FF"/>
          <w:sz w:val="36"/>
          <w:szCs w:val="36"/>
        </w:rPr>
        <w:t>Green Card: das Dual-Intent-Problem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Ein US-Studium sei bereits der erste Schritt zur Einwanderung, quasi Green Card auf Raten. Tatsächlich gilt rechtlich eher das Gegenteil: Das Einwanderungsgesetz (</w:t>
      </w:r>
      <w:r>
        <w:rPr>
          <w:rFonts w:eastAsia="Cambria" w:cs="Cambria"/>
          <w:b w:val="false"/>
          <w:bCs w:val="false"/>
          <w:i/>
          <w:iCs/>
          <w:sz w:val="22"/>
          <w:szCs w:val="22"/>
        </w:rPr>
        <w:t>INA 214(b)</w:t>
      </w:r>
      <w:r>
        <w:rPr>
          <w:rFonts w:eastAsia="Cambria" w:cs="Cambria"/>
          <w:b w:val="false"/>
          <w:bCs w:val="false"/>
          <w:i w:val="false"/>
          <w:iCs w:val="false"/>
          <w:sz w:val="22"/>
          <w:szCs w:val="22"/>
        </w:rPr>
        <w:t>) unterstellt jedem Nichteinwanderer zunächst die Absicht, dauerhaft zu bleiben, und verlangt von den meisten den Nachweis, dass genau das nicht stimmt. Ausgenommen von dieser Vermutung sind nur L, V und H-1B; F, E und O gehören nicht dazu. Deshalb musst du beim F-1-Interview die Rückkehrabsicht belegen, während H-1B-Inhaber offen eine Green Card anstreben dürfen. Ein Plan, der erst später entsteht, ist rechtlich nicht per se schädlich; wie streng die Behörden eine schon früh gefasste Absicht (</w:t>
      </w:r>
      <w:r>
        <w:rPr>
          <w:rFonts w:eastAsia="Cambria" w:cs="Cambria"/>
          <w:b w:val="false"/>
          <w:bCs w:val="false"/>
          <w:i/>
          <w:iCs/>
          <w:sz w:val="22"/>
          <w:szCs w:val="22"/>
        </w:rPr>
        <w:t>Preconceived Intent</w:t>
      </w:r>
      <w:r>
        <w:rPr>
          <w:rFonts w:eastAsia="Cambria" w:cs="Cambria"/>
          <w:b w:val="false"/>
          <w:bCs w:val="false"/>
          <w:i w:val="false"/>
          <w:iCs w:val="false"/>
          <w:sz w:val="22"/>
          <w:szCs w:val="22"/>
        </w:rPr>
        <w:t>) bewerten, ist Einzelfall und gehört in die Hände einer Kanzlei. Die übliche Route: F-1, OPT, H-1B, dann PERM und I-140 über den Arbeitgeber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xml:space="preserve"> und </w:t>
      </w:r>
      <w:hyperlink w:anchor="k7">
        <w:r>
          <w:rPr>
            <w:rStyle w:val="ListLabel115"/>
            <w:rFonts w:eastAsia="Cambria" w:cs="Cambria"/>
            <w:b w:val="false"/>
            <w:bCs w:val="false"/>
            <w:i w:val="false"/>
            <w:iCs w:val="false"/>
            <w:sz w:val="22"/>
            <w:szCs w:val="22"/>
          </w:rPr>
          <w:t>7</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Studienweg kauft dir Zeit und Lotterie-Chancen, aber kein Aufenthaltsrecht. Erst mit dem H-1B-Status ist eine Green-Card-Absicht offen erlaubt.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Plan B: Wenn die Lotterie nicht klappt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Rechne von Anfang an damit, dass du mehrmals nicht gezogen wirst. Diese Wege bleiben:</w:t>
      </w:r>
    </w:p>
    <w:p>
      <w:pPr>
        <w:pStyle w:val="ListParagraph"/>
        <w:numPr>
          <w:ilvl w:val="0"/>
          <w:numId w:val="1"/>
        </w:numPr>
        <w:spacing w:lineRule="exact" w:line="288" w:before="0" w:after="60"/>
        <w:rPr/>
      </w:pPr>
      <w:r>
        <w:rPr>
          <w:rFonts w:eastAsia="Cambria" w:cs="Cambria"/>
          <w:b/>
          <w:bCs/>
          <w:i w:val="false"/>
          <w:iCs w:val="false"/>
          <w:sz w:val="22"/>
          <w:szCs w:val="22"/>
        </w:rPr>
        <w:t>Weitere Versuche:</w:t>
      </w:r>
      <w:r>
        <w:rPr>
          <w:rFonts w:eastAsia="Cambria" w:cs="Cambria"/>
          <w:b w:val="false"/>
          <w:bCs w:val="false"/>
          <w:i w:val="false"/>
          <w:iCs w:val="false"/>
          <w:sz w:val="22"/>
          <w:szCs w:val="22"/>
        </w:rPr>
        <w:t xml:space="preserve"> OPT und STEM-OPT geben dir drei, mit Cap-Gap vier Registrierungen, sofern du einen passenden Job bei einem E-Verify-Arbeitgeber hast.</w:t>
      </w:r>
    </w:p>
    <w:p>
      <w:pPr>
        <w:pStyle w:val="ListParagraph"/>
        <w:numPr>
          <w:ilvl w:val="0"/>
          <w:numId w:val="1"/>
        </w:numPr>
        <w:spacing w:lineRule="exact" w:line="288" w:before="0" w:after="60"/>
        <w:rPr/>
      </w:pPr>
      <w:r>
        <w:rPr>
          <w:rFonts w:eastAsia="Cambria" w:cs="Cambria"/>
          <w:b/>
          <w:bCs/>
          <w:i w:val="false"/>
          <w:iCs w:val="false"/>
          <w:sz w:val="22"/>
          <w:szCs w:val="22"/>
        </w:rPr>
        <w:t>Cap-exempt-H-1B:</w:t>
      </w:r>
      <w:r>
        <w:rPr>
          <w:rFonts w:eastAsia="Cambria" w:cs="Cambria"/>
          <w:b w:val="false"/>
          <w:bCs w:val="false"/>
          <w:i w:val="false"/>
          <w:iCs w:val="false"/>
          <w:sz w:val="22"/>
          <w:szCs w:val="22"/>
        </w:rPr>
        <w:t xml:space="preserve"> Hochschulen, verbundene gemeinnützige Einrichtungen und Forschungsinstitute unterliegen keiner Quote; die Einreichung ist ganzjährig möglich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O-1:</w:t>
      </w:r>
      <w:r>
        <w:rPr>
          <w:rFonts w:eastAsia="Cambria" w:cs="Cambria"/>
          <w:b w:val="false"/>
          <w:bCs w:val="false"/>
          <w:i w:val="false"/>
          <w:iCs w:val="false"/>
          <w:sz w:val="22"/>
          <w:szCs w:val="22"/>
        </w:rPr>
        <w:t xml:space="preserve"> für außergewöhnliche Leistungen, belegt über mindestens drei von acht Kriterien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L-1:</w:t>
      </w:r>
      <w:r>
        <w:rPr>
          <w:rFonts w:eastAsia="Cambria" w:cs="Cambria"/>
          <w:b w:val="false"/>
          <w:bCs w:val="false"/>
          <w:i w:val="false"/>
          <w:iCs w:val="false"/>
          <w:sz w:val="22"/>
          <w:szCs w:val="22"/>
        </w:rPr>
        <w:t xml:space="preserve"> nach mindestens einem Jahr bei einem verbundenen Konzernunternehmen im Ausland; Zeit in den USA zählt dafür nicht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E-2:</w:t>
      </w:r>
      <w:r>
        <w:rPr>
          <w:rFonts w:eastAsia="Cambria" w:cs="Cambria"/>
          <w:b w:val="false"/>
          <w:bCs w:val="false"/>
          <w:i w:val="false"/>
          <w:iCs w:val="false"/>
          <w:sz w:val="22"/>
          <w:szCs w:val="22"/>
        </w:rPr>
        <w:t xml:space="preserve"> für Gründerinnen und Gründer mit eigener Investition; Deutschland ist Vertragsstaat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Green Card direkt:</w:t>
      </w:r>
      <w:r>
        <w:rPr>
          <w:rFonts w:eastAsia="Cambria" w:cs="Cambria"/>
          <w:b w:val="false"/>
          <w:bCs w:val="false"/>
          <w:i w:val="false"/>
          <w:iCs w:val="false"/>
          <w:sz w:val="22"/>
          <w:szCs w:val="22"/>
        </w:rPr>
        <w:t xml:space="preserve"> Für Hochqualifizierte kommt ein </w:t>
      </w:r>
      <w:r>
        <w:rPr>
          <w:rFonts w:eastAsia="Cambria" w:cs="Cambria"/>
          <w:b w:val="false"/>
          <w:bCs w:val="false"/>
          <w:i/>
          <w:iCs/>
          <w:sz w:val="22"/>
          <w:szCs w:val="22"/>
        </w:rPr>
        <w:t>National Interest Waiver</w:t>
      </w:r>
      <w:r>
        <w:rPr>
          <w:rFonts w:eastAsia="Cambria" w:cs="Cambria"/>
          <w:b w:val="false"/>
          <w:bCs w:val="false"/>
          <w:i w:val="false"/>
          <w:iCs w:val="false"/>
          <w:sz w:val="22"/>
          <w:szCs w:val="22"/>
        </w:rPr>
        <w:t xml:space="preserve"> infrage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Weiterer Abschluss:</w:t>
      </w:r>
      <w:r>
        <w:rPr>
          <w:rFonts w:eastAsia="Cambria" w:cs="Cambria"/>
          <w:b w:val="false"/>
          <w:bCs w:val="false"/>
          <w:i w:val="false"/>
          <w:iCs w:val="false"/>
          <w:sz w:val="22"/>
          <w:szCs w:val="22"/>
        </w:rPr>
        <w:t xml:space="preserve"> Er bringt neues OPT, kostet aber erneut Zeit und Geld.</w:t>
      </w:r>
    </w:p>
    <w:p>
      <w:pPr>
        <w:pStyle w:val="ListParagraph"/>
        <w:numPr>
          <w:ilvl w:val="0"/>
          <w:numId w:val="1"/>
        </w:numPr>
        <w:spacing w:lineRule="exact" w:line="288" w:before="0" w:after="60"/>
        <w:rPr/>
      </w:pPr>
      <w:r>
        <w:rPr>
          <w:rFonts w:eastAsia="Cambria" w:cs="Cambria"/>
          <w:b/>
          <w:bCs/>
          <w:i w:val="false"/>
          <w:iCs w:val="false"/>
          <w:sz w:val="22"/>
          <w:szCs w:val="22"/>
        </w:rPr>
        <w:t>Rückkehr:</w:t>
      </w:r>
      <w:r>
        <w:rPr>
          <w:rFonts w:eastAsia="Cambria" w:cs="Cambria"/>
          <w:b w:val="false"/>
          <w:bCs w:val="false"/>
          <w:i w:val="false"/>
          <w:iCs w:val="false"/>
          <w:sz w:val="22"/>
          <w:szCs w:val="22"/>
        </w:rPr>
        <w:t xml:space="preserve"> Ein US-Abschluss und Berufserfahrung zählen auch in Deutschland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dem Ende von OPT oder STEM-OPT bleiben dir 60 Tage zur Ausreise, wenn du nicht in einen anderen Status wechselst. Lege Plan B deshalb vor dem letzten OPT-Jahr fest, nicht danach.</w:t>
      </w:r>
    </w:p>
    <w:p>
      <w:pPr>
        <w:pStyle w:val="Heading3"/>
        <w:keepNext w:val="true"/>
        <w:spacing w:before="280" w:after="100"/>
        <w:jc w:val="center"/>
        <w:rPr/>
      </w:pPr>
      <w:r>
        <w:rPr>
          <w:rFonts w:eastAsia="Amazon Ember" w:cs="Amazon Ember" w:ascii="Amazon Ember" w:hAnsi="Amazon Ember"/>
          <w:b/>
          <w:bCs/>
          <w:color w:val="0000FF"/>
          <w:sz w:val="36"/>
          <w:szCs w:val="36"/>
        </w:rPr>
        <w:t>Familie: Partner und Kinder mit F-2</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Ehepartner und Kinder unter 21 reisen mit F-2. Der Partner darf nicht arbeiten und nur ein Freizeitstudium in Teilzeit aufnehmen; der Wechsel in einen eigenen F-1-Status geht per Form I-539 (470 $ auf Papier, 420 $ online). Kinder dürfen Vollzeit zur Schule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 Rechne den Finanznachweis mit: Die I-20 der Boston University verlangt für einen Angehörigen 12.563 $ zusätzlich, für zwei 22.735 $. Nach dem Statuswechsel erhält der Partner H-4, mit Arbeitserlaubnis nur unter besonderen Bedingungen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Krankenversicherung an der Uni</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Eine bundesweite Pflicht für F-1-Studierende gibt es nicht, aber fast jede Hochschule verlangt einen Nachweis oder bucht ihren eigenen Plan automatisch. Ein Verzicht (</w:t>
      </w:r>
      <w:r>
        <w:rPr>
          <w:rFonts w:eastAsia="Cambria" w:cs="Cambria"/>
          <w:b w:val="false"/>
          <w:bCs w:val="false"/>
          <w:i/>
          <w:iCs/>
          <w:sz w:val="22"/>
          <w:szCs w:val="22"/>
        </w:rPr>
        <w:t>Waiver</w:t>
      </w:r>
      <w:r>
        <w:rPr>
          <w:rFonts w:eastAsia="Cambria" w:cs="Cambria"/>
          <w:b w:val="false"/>
          <w:bCs w:val="false"/>
          <w:i w:val="false"/>
          <w:iCs w:val="false"/>
          <w:sz w:val="22"/>
          <w:szCs w:val="22"/>
        </w:rPr>
        <w:t>) klappt nur mit gleichwertigem Schutz, an manchen Hochschulen nur mit einer US-Police. Die Jahresbeiträge 2026/27 reichen von etwa 1.800 $ (Purdue Fort Wayne) über 2.759 $ (American University) und 3.418 $ (Roger Williams University) bis 3.715 $ (Boston University). Ob deine deutsche Auslandsversicherung zählt, klärst du vor dem Kauf mit dem International Office (Kapitel </w:t>
      </w:r>
      <w:hyperlink w:anchor="k18">
        <w:r>
          <w:rPr>
            <w:rStyle w:val="ListLabel115"/>
            <w:rFonts w:eastAsia="Cambria" w:cs="Cambria"/>
            <w:b w:val="false"/>
            <w:bCs w:val="false"/>
            <w:i w:val="false"/>
            <w:iCs w:val="false"/>
            <w:sz w:val="22"/>
            <w:szCs w:val="22"/>
          </w:rPr>
          <w:t>18</w:t>
        </w:r>
      </w:hyperlink>
      <w:r>
        <w:rPr>
          <w:rFonts w:eastAsia="Cambria" w:cs="Cambria"/>
          <w:b w:val="false"/>
          <w:bCs w:val="false"/>
          <w:i w:val="false"/>
          <w:iCs w:val="false"/>
          <w:sz w:val="22"/>
          <w:szCs w:val="22"/>
        </w:rPr>
        <w:t>); wie es mit Arbeitgeberversicherung und Alternativen weitergeht, steht in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Steuern als F-1</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Als F-1-Studierender bist du steuerlich zunächst Nichtresident: Fünf Kalenderjahre lang zählen deine Tage nicht für den </w:t>
      </w:r>
      <w:r>
        <w:rPr>
          <w:rFonts w:eastAsia="Cambria" w:cs="Cambria"/>
          <w:b w:val="false"/>
          <w:bCs w:val="false"/>
          <w:i/>
          <w:iCs/>
          <w:sz w:val="22"/>
          <w:szCs w:val="22"/>
        </w:rPr>
        <w:t>Substantial Presence Test</w:t>
      </w:r>
      <w:r>
        <w:rPr>
          <w:rFonts w:eastAsia="Cambria" w:cs="Cambria"/>
          <w:b w:val="false"/>
          <w:bCs w:val="false"/>
          <w:i w:val="false"/>
          <w:iCs w:val="false"/>
          <w:sz w:val="22"/>
          <w:szCs w:val="22"/>
        </w:rPr>
        <w:t xml:space="preserve"> (den Aufenthaltstest des IRS), wobei auch ein angefangenes Jahr als volles zählt. Für erlaubte Arbeit, auch OPT und CPT, bist du in dieser Zeit von Sozialversicherungs- und Medicare-Beiträgen (FICA) befreit; fälschlich abgezogen, holst du sie mit Form 8316 zurück. Im Beispiel der Zeitleiste (Einreise 2026) endet die Befreiung mit dem Jahr 2030, also noch während STEM-OPT.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Form 8843 gibst du jedes Jahr ab, auch ohne Einkommen; für Stipendien und Assistentengehalt nutzt du Form 1040-NR. Das Steuerabkommen Deutschland–USA (Art. 20) hilft: Zahlungen aus dem Ausland für Unterhalt und Ausbildung sind steuerfrei, ebenso Arbeitseinkommen bis 9.000 $ pro Jahr, solange der Aufenthalt höchstens vier Jahre dauert. Wird die Frist überschritten, kann der gesamte Aufenthalt besteuert werden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deutsche Seite: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Risiken und Änderungen 2025/26</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Bisher erhalten F-1-Studierende einen Aufenthalt „für die Dauer des Status“ (</w:t>
      </w:r>
      <w:r>
        <w:rPr>
          <w:rFonts w:eastAsia="Cambria" w:cs="Cambria"/>
          <w:b w:val="false"/>
          <w:bCs w:val="false"/>
          <w:i/>
          <w:iCs/>
          <w:sz w:val="22"/>
          <w:szCs w:val="22"/>
        </w:rPr>
        <w:t>Duration of Status</w:t>
      </w:r>
      <w:r>
        <w:rPr>
          <w:rFonts w:eastAsia="Cambria" w:cs="Cambria"/>
          <w:b w:val="false"/>
          <w:bCs w:val="false"/>
          <w:i w:val="false"/>
          <w:iCs w:val="false"/>
          <w:sz w:val="22"/>
          <w:szCs w:val="22"/>
        </w:rPr>
        <w:t>), also ohne festes Enddatum im I-94. Das Heimatschutzministerium (DHS) wollte das ändern, das Gericht hat es vorerst verhindert. Der Überblick (Stand 20. September 2026):</w:t>
      </w:r>
    </w:p>
    <w:tbl>
      <w:tblPr>
        <w:tblW w:w="6480" w:type="dxa"/>
        <w:jc w:val="left"/>
        <w:tblInd w:w="0" w:type="dxa"/>
        <w:tblLayout w:type="fixed"/>
        <w:tblCellMar>
          <w:top w:w="50" w:type="dxa"/>
          <w:left w:w="80" w:type="dxa"/>
          <w:bottom w:w="50" w:type="dxa"/>
          <w:right w:w="80" w:type="dxa"/>
        </w:tblCellMar>
      </w:tblPr>
      <w:tblGrid>
        <w:gridCol w:w="1062"/>
        <w:gridCol w:w="2800"/>
        <w:gridCol w:w="2618"/>
      </w:tblGrid>
      <w:tr>
        <w:trPr>
          <w:tblHeader w:val="true"/>
          <w:cantSplit w:val="true"/>
        </w:trPr>
        <w:tc>
          <w:tcPr>
            <w:tcW w:w="106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Thema</w:t>
            </w:r>
          </w:p>
        </w:tc>
        <w:tc>
          <w:tcPr>
            <w:tcW w:w="280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Stand</w:t>
            </w:r>
          </w:p>
        </w:tc>
        <w:tc>
          <w:tcPr>
            <w:tcW w:w="261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du tun kannst</w:t>
            </w:r>
          </w:p>
        </w:tc>
      </w:tr>
      <w:tr>
        <w:trPr>
          <w:cantSplit w:val="true"/>
        </w:trPr>
        <w:tc>
          <w:tcPr>
            <w:tcW w:w="10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SEVIS-Kündigungen</w:t>
            </w:r>
          </w:p>
        </w:tc>
        <w:tc>
          <w:tcPr>
            <w:tcW w:w="28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 April 2025 wurden mehrere tausend Einträge beendet, teils wiederhergestellt; über 100 Klagen, Streit offen</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Status sauber halten, I-20, I-94 und Belege aufbewahren</w:t>
            </w:r>
          </w:p>
        </w:tc>
      </w:tr>
      <w:tr>
        <w:trPr>
          <w:cantSplit w:val="true"/>
        </w:trPr>
        <w:tc>
          <w:tcPr>
            <w:tcW w:w="10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Social-Media-Prüfung</w:t>
            </w:r>
          </w:p>
        </w:tc>
        <w:tc>
          <w:tcPr>
            <w:tcW w:w="28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Seit 18. Juni 2025 für F/M/J, seit 15. Dezember 2025 auch für H-1B/H-4</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Profile öffentlich stellen, alles angeben</w:t>
            </w:r>
          </w:p>
        </w:tc>
      </w:tr>
      <w:tr>
        <w:trPr>
          <w:cantSplit w:val="true"/>
        </w:trPr>
        <w:tc>
          <w:tcPr>
            <w:tcW w:w="10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Feste Aufenthaltsdauer</w:t>
            </w:r>
          </w:p>
        </w:tc>
        <w:tc>
          <w:tcPr>
            <w:tcW w:w="28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DHS-Regel vom 17. Juli 2026 (höchstens 4 Jahre, Verlängerung per I-539) am 14. September 2026 gerichtlich gestoppt; Berufung erwartet</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I-20-Ende und Hinweise des DSO im Blick behalten</w:t>
            </w:r>
          </w:p>
        </w:tc>
      </w:tr>
      <w:tr>
        <w:trPr>
          <w:cantSplit w:val="true"/>
        </w:trPr>
        <w:tc>
          <w:tcPr>
            <w:tcW w:w="10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CPT und OPT</w:t>
            </w:r>
          </w:p>
        </w:tc>
        <w:tc>
          <w:tcPr>
            <w:tcW w:w="28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CPT-Leitlinie vom August 2026; OPT-Neufassung frühestens Februar 2027, Gebührenregel offen</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Job früh suchen, Plan B parallel</w:t>
            </w:r>
          </w:p>
        </w:tc>
      </w:tr>
      <w:tr>
        <w:trPr>
          <w:cantSplit w:val="true"/>
        </w:trPr>
        <w:tc>
          <w:tcPr>
            <w:tcW w:w="10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Markt und Einreise</w:t>
            </w:r>
          </w:p>
        </w:tc>
        <w:tc>
          <w:tcPr>
            <w:tcW w:w="28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Neueinschreibungen Herbst 2025: −17 %; Prognose Herbst 2026: −6,2 bis −9,6 %; Einreisestopp für 39 Länder seit Dezember 2025, Deutschland nach bisherigem Stand nicht betroffen</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Länderliste vor jeder Reise prüfen</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Gib im DS-160 alle Social-Media-Konten der letzten fünf Jahre an. „Keine“ bei vorhandenen Konten gilt als Falschangabe und kann eine dauerhafte Sperre nach sich ziehen. Lösche keine Beiträge, um sie zu verbergen.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Das ist keine Rechts- oder Steuerberatung. Status- und Visumfragen klärst du mit deinem DSO und einem Einwanderungsanwalt, Steuerfragen mit dem Auslandsbüro der Uni oder einer Steuerberatung mit Erfahrung bei Ausländern.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Studium in Deutschland oder in den USA?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An staatlichen Hochschulen in Deutschland studierst du nahezu gebührenfrei; in den USA sind die Studiengebühren der größte Kostenblock. Der übliche Weg ist deshalb der deutsche Bachelor plus US-Master. Ein Bachelor in den USA kostet Ausländer an öffentlichen Hochschulen 31.880 $ und an privaten 45.000 $ pro Jahr, jeweils ohne Wohnen (College Board, 2025/26). Das Abitur gilt als Hochschulzugang, doch ein nationales Anerkennungsverfahren gibt es nicht: Jede Uni entscheidet selbst, verlangt häufig SAT oder ACT sowie einen Sprachnachweis und rechnet Leistungen unterschiedlich an. Dafür bringt jedes Abschlussniveau ein neues OPT-Jahr, und ein Auslandssemester ist ein günstiger Probelauf – das Auslands-BAföG fördert schon ab einem Semester.</w:t>
      </w:r>
    </w:p>
    <w:p>
      <w:pPr>
        <w:pStyle w:val="Heading3"/>
        <w:keepNext w:val="true"/>
        <w:spacing w:before="280" w:after="100"/>
        <w:jc w:val="center"/>
        <w:rPr/>
      </w:pPr>
      <w:r>
        <w:rPr>
          <w:rFonts w:eastAsia="Amazon Ember" w:cs="Amazon Ember" w:ascii="Amazon Ember" w:hAnsi="Amazon Ember"/>
          <w:b/>
          <w:bCs/>
          <w:color w:val="0000FF"/>
          <w:sz w:val="36"/>
          <w:szCs w:val="36"/>
        </w:rPr>
        <w:t>Promotion: F-1 oder J-1</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STEM-Fächern finanziert die Universität Promotionsstellen meist selbst: Stipendium oder Assistenzstelle plus Erlass der Studiengebühren, oft mit Zuschuss zur Krankenversicherung. Nach Sekundärquellen liegen die Stipendien häufig bei 30.000–40.000 $ pro Jahr; sie sind steuerpflichtig (Form 1040-NR), der Gebührenerlass in der Regel nicht. Das übliche Visum ist F-1, bei Fulbright- oder DAAD-Mitteln kann es J-1 sein (siehe die Achtung zu Section 212(e)); später bieten Hochschulen und Forschungsinstitute Cap-exempt-Stellen. Die Zahl der Promotionsbewerbungen aus dem Ausland sank zuletzt um 21 % (NAFSA).</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Felix Wagner (24, Bachelor Informatik aus Aachen, fiktiv) macht einen zweijährigen Master an einer privaten Universität im Raum Boston, Abschluss Mai 2028. Gebühren 2 × 34.000 $, Lebenshaltung 2 × 25.000 $, Versicherung 2 × 3.500 $: zusammen rund 125.000 $, gedeckt aus Ersparnissen, Familienhilfe und einer Assistenzstelle. Sein Pflichtpraktikum läuft als CPT. Ab Juni 2028 arbeitet er mit OPT bei einem Softwareunternehmen mit E-Verify. Die Registrierungen 2028 und 2029 gehen leer aus – zweimal öffnet er im März das USCIS-Portal und liest dieselbe Zeile: „not selected“. Nach einer Gehaltserhöhung (Level III) wird er im März 2030 gezogen und wechselt zum 1. Oktober 2030 im Inland zu H-1B. Später zieht er zu einem neuen Arbeitgeber nach Austin (Kapitel </w:t>
            </w:r>
            <w:hyperlink w:anchor="k30">
              <w:r>
                <w:rPr>
                  <w:rStyle w:val="ListLabel114"/>
                  <w:rFonts w:eastAsia="Cambria" w:cs="Cambria"/>
                  <w:b w:val="false"/>
                  <w:bCs w:val="false"/>
                  <w:i w:val="false"/>
                  <w:iCs w:val="false"/>
                  <w:sz w:val="20"/>
                  <w:szCs w:val="20"/>
                </w:rPr>
                <w:t>30</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US-Abschluss und bis zu 36 Monate Arbeit mit OPT und STEM-OPT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 von 70.000–150.000 $ ohne Garantie auf ein H-1B</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Statuswechsel im Inland: kein Konsulatstermin, derzeit keine 100.000-$-Zahlung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Entwurf (103.265 $) könnte das ab 2027 ändern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Zwei Chancen pro Registrierung durch die Master-Quote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Lohnstufe entscheidet über die Zahl der Lose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zu vier Lotterie-Versuche, ohne das Land zu verlassen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OPT, CPT und Aufenthaltsdauer sind politisch beweglich</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 lernst Land und Arbeitsmarkt kennen, bevor du dich bindest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 Partner darf mit F-2 nicht arbeiten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Netzwerk und Praxis im US-Arbeitsmarkt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 Status hängt an Auflagen: Arbeitslosentage, Meldefristen, Rückkehrabsicht</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Kosten für zwei Jahre mit der Tabelle und den I-20-Schätzungen deiner Wunschhochschulen durchrechnen (Kapitel </w:t>
            </w:r>
            <w:hyperlink w:anchor="k3">
              <w:r>
                <w:rPr>
                  <w:rStyle w:val="ListLabel114"/>
                  <w:rFonts w:eastAsia="Cambria" w:cs="Cambria"/>
                  <w:b w:val="false"/>
                  <w:bCs w:val="false"/>
                  <w:i w:val="false"/>
                  <w:iCs w:val="false"/>
                  <w:sz w:val="20"/>
                  <w:szCs w:val="20"/>
                </w:rPr>
                <w:t>3</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Beim DSO schriftlich klären: STEM-designiertes Programm, Praktikum als verpflichtender CPT-Bestandteil</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Stipendienfristen notieren: DAAD (1. Oktober), Fulbright (Ausschreibung ab Ende 2026)</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Nachfragen, ob ein Stipendium ein J-1-Visum mit Zwei-Jahres-Regel auslöst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Finanznachweis in Höhe der I-20-Kostenschätzung zusammenstellen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SEVIS-Gebühr zahlen, DS-160 mit allen Social-Media-Konten ausfüllen, Interviewtermin früh buchen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Bindungen an Deutschland für das Interview belegen und wahrheitsgemäß antworten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OPT-Antrag ab 90 Tage vor Studienende einplanen, Arbeitslosentage zählen, Meldungen binnen 10 Tagen abgeben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Für STEM-OPT nur Arbeitgeber mit E-Verify anpeilen; vor der Registrierung die Lohnstufe des Angebots klären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Plan B (Cap-exempt, O-1, L-1, E-2, Rückkehr) vor dem letzten OPT-Jahr festlegen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Form 8843 jedes Jahr abgeben und die Kalenderjahre zählen (Kapitel </w:t>
            </w:r>
            <w:hyperlink w:anchor="k28">
              <w:r>
                <w:rPr>
                  <w:rStyle w:val="ListLabel114"/>
                  <w:rFonts w:eastAsia="Cambria" w:cs="Cambria"/>
                  <w:b w:val="false"/>
                  <w:bCs w:val="false"/>
                  <w:i w:val="false"/>
                  <w:iCs w:val="false"/>
                  <w:sz w:val="20"/>
                  <w:szCs w:val="20"/>
                </w:rPr>
                <w:t>28</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Study in the States (DHS) — F-1, CPT, OPT, Cap-Gap (</w:t>
      </w:r>
      <w:hyperlink r:id="rId83">
        <w:r>
          <w:rPr>
            <w:rStyle w:val="ListLabel113"/>
            <w:rFonts w:eastAsia="Cambria" w:cs="Cambria"/>
            <w:b w:val="false"/>
            <w:bCs w:val="false"/>
            <w:i w:val="false"/>
            <w:iCs w:val="false"/>
            <w:color w:val="0563C1"/>
            <w:sz w:val="22"/>
            <w:szCs w:val="22"/>
            <w:u w:val="single"/>
          </w:rPr>
          <w:t>studyinthestates.dhs.gov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OPT, STEM-OPT, Statuswechsel, H-1B (</w:t>
      </w:r>
      <w:hyperlink r:id="rId84">
        <w:r>
          <w:rPr>
            <w:rStyle w:val="ListLabel113"/>
            <w:rFonts w:eastAsia="Cambria" w:cs="Cambria"/>
            <w:b w:val="false"/>
            <w:bCs w:val="false"/>
            <w:i w:val="false"/>
            <w:iCs w:val="false"/>
            <w:color w:val="0563C1"/>
            <w:sz w:val="22"/>
            <w:szCs w:val="22"/>
            <w:u w:val="single"/>
          </w:rPr>
          <w:t>uscis.gov/working-in-the-united-states/students-and-exchange-visitors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Gebührenübersicht (</w:t>
      </w:r>
      <w:hyperlink r:id="rId85">
        <w:r>
          <w:rPr>
            <w:rStyle w:val="ListLabel113"/>
            <w:rFonts w:eastAsia="Cambria" w:cs="Cambria"/>
            <w:b w:val="false"/>
            <w:bCs w:val="false"/>
            <w:i w:val="false"/>
            <w:iCs w:val="false"/>
            <w:color w:val="0563C1"/>
            <w:sz w:val="22"/>
            <w:szCs w:val="22"/>
            <w:u w:val="single"/>
          </w:rPr>
          <w:t>uscis.gov/g-1055</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ICE — SEVIS-Gebühr I-901 (</w:t>
      </w:r>
      <w:hyperlink r:id="rId86">
        <w:r>
          <w:rPr>
            <w:rStyle w:val="ListLabel113"/>
            <w:rFonts w:eastAsia="Cambria" w:cs="Cambria"/>
            <w:b w:val="false"/>
            <w:bCs w:val="false"/>
            <w:i w:val="false"/>
            <w:iCs w:val="false"/>
            <w:color w:val="0563C1"/>
            <w:sz w:val="22"/>
            <w:szCs w:val="22"/>
            <w:u w:val="single"/>
          </w:rPr>
          <w:t>ice.gov/sevis/i901</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State Department — Studentenvisum, Termine (</w:t>
      </w:r>
      <w:hyperlink r:id="rId87">
        <w:r>
          <w:rPr>
            <w:rStyle w:val="ListLabel113"/>
            <w:rFonts w:eastAsia="Cambria" w:cs="Cambria"/>
            <w:b w:val="false"/>
            <w:bCs w:val="false"/>
            <w:i w:val="false"/>
            <w:iCs w:val="false"/>
            <w:color w:val="0563C1"/>
            <w:sz w:val="22"/>
            <w:szCs w:val="22"/>
            <w:u w:val="single"/>
          </w:rPr>
          <w:t>travel.state.gov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Steuern für ausländische Studierende (</w:t>
      </w:r>
      <w:hyperlink r:id="rId88">
        <w:r>
          <w:rPr>
            <w:rStyle w:val="ListLabel113"/>
            <w:rFonts w:eastAsia="Cambria" w:cs="Cambria"/>
            <w:b w:val="false"/>
            <w:bCs w:val="false"/>
            <w:i w:val="false"/>
            <w:iCs w:val="false"/>
            <w:color w:val="0563C1"/>
            <w:sz w:val="22"/>
            <w:szCs w:val="22"/>
            <w:u w:val="single"/>
          </w:rPr>
          <w:t>irs.gov/individuals/international-taxpayers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DAAD und Fulbright Deutschland — Stipendien (</w:t>
      </w:r>
      <w:hyperlink r:id="rId89">
        <w:r>
          <w:rPr>
            <w:rStyle w:val="ListLabel113"/>
            <w:rFonts w:eastAsia="Cambria" w:cs="Cambria"/>
            <w:b w:val="false"/>
            <w:bCs w:val="false"/>
            <w:i w:val="false"/>
            <w:iCs w:val="false"/>
            <w:color w:val="0563C1"/>
            <w:sz w:val="22"/>
            <w:szCs w:val="22"/>
            <w:u w:val="single"/>
          </w:rPr>
          <w:t>daad.de</w:t>
        </w:r>
      </w:hyperlink>
      <w:r>
        <w:rPr>
          <w:rFonts w:eastAsia="Cambria" w:cs="Cambria"/>
          <w:b w:val="false"/>
          <w:bCs w:val="false"/>
          <w:i w:val="false"/>
          <w:iCs w:val="false"/>
          <w:sz w:val="22"/>
          <w:szCs w:val="22"/>
        </w:rPr>
        <w:t xml:space="preserve">, </w:t>
      </w:r>
      <w:hyperlink r:id="rId90">
        <w:r>
          <w:rPr>
            <w:rStyle w:val="ListLabel113"/>
            <w:rFonts w:eastAsia="Cambria" w:cs="Cambria"/>
            <w:b w:val="false"/>
            <w:bCs w:val="false"/>
            <w:i w:val="false"/>
            <w:iCs w:val="false"/>
            <w:color w:val="0563C1"/>
            <w:sz w:val="22"/>
            <w:szCs w:val="22"/>
            <w:u w:val="single"/>
          </w:rPr>
          <w:t>fulbright.de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Open Doors (IIE) — Zahlen internationaler Studierender (</w:t>
      </w:r>
      <w:hyperlink r:id="rId91">
        <w:r>
          <w:rPr>
            <w:rStyle w:val="ListLabel113"/>
            <w:rFonts w:eastAsia="Cambria" w:cs="Cambria"/>
            <w:b w:val="false"/>
            <w:bCs w:val="false"/>
            <w:i w:val="false"/>
            <w:iCs w:val="false"/>
            <w:color w:val="0563C1"/>
            <w:sz w:val="22"/>
            <w:szCs w:val="22"/>
            <w:u w:val="single"/>
          </w:rPr>
          <w:t>opendoorsdata.org</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(Recherchestand 20. September 2026). Diese Angaben ändern sich schnell: Berufung gegen den Stopp der Aufenthaltsdauer-Regel, OPT-Neufassung und OPT-Gebühr, CPT-Leitlinien des SEVP, die 100.000-$-Proklamation (bis 21. September 2027) und der Entwurf über 103.265 $, USCIS-Gebühren, Stipendienraten und -fristen, H-1B-Registrierung im März 2027. Prüfe vor jeder Entscheidung die offiziellen Seiten und sprich mit deinem DSO.</w:t>
            </w:r>
          </w:p>
        </w:tc>
      </w:tr>
    </w:tbl>
    <w:p>
      <w:pPr>
        <w:pStyle w:val="Normal"/>
        <w:spacing w:lineRule="exact" w:line="220" w:before="0" w:after="0"/>
        <w:rPr/>
      </w:pPr>
      <w:r>
        <w:rPr/>
      </w:r>
      <w:r>
        <w:br w:type="page"/>
      </w:r>
    </w:p>
    <w:p>
      <w:pPr>
        <w:pStyle w:val="Heading2"/>
        <w:keepNext w:val="true"/>
        <w:spacing w:before="0" w:after="300"/>
        <w:jc w:val="center"/>
        <w:rPr/>
      </w:pPr>
      <w:bookmarkStart w:id="27" w:name="__RefHeading___Toc56447_3769931028"/>
      <w:bookmarkStart w:id="28" w:name="k9"/>
      <w:bookmarkEnd w:id="27"/>
      <w:r>
        <w:rPr>
          <w:rFonts w:eastAsia="Amazon Ember" w:cs="Amazon Ember" w:ascii="Amazon Ember" w:hAnsi="Amazon Ember"/>
          <w:b/>
          <w:bCs/>
          <w:color w:val="0000FF"/>
          <w:sz w:val="36"/>
          <w:szCs w:val="36"/>
        </w:rPr>
        <w:t>Kapitel 9: Weitere Wege: L-1, O-1, E-2, J-1, Lotterie, Heirat, Selbständigkeit</w:t>
      </w:r>
      <w:bookmarkEnd w:id="28"/>
    </w:p>
    <w:p>
      <w:pPr>
        <w:pStyle w:val="Normal"/>
        <w:keepNext w:val="false"/>
        <w:keepLines w:val="false"/>
        <w:spacing w:lineRule="exact" w:line="288" w:before="0" w:after="140"/>
        <w:jc w:val="left"/>
        <w:rPr/>
      </w:pPr>
      <w:r>
        <w:rPr>
          <w:rFonts w:eastAsia="Cambria" w:cs="Cambria"/>
          <w:b w:val="false"/>
          <w:bCs w:val="false"/>
          <w:i w:val="false"/>
          <w:iCs w:val="false"/>
          <w:sz w:val="22"/>
          <w:szCs w:val="22"/>
        </w:rPr>
        <w:t>Im März kommt die Absage aus der H-1B-Lotterie, im April fragt dein Abteilungsleiter beiläufig, ob du nicht für ein paar Jahre ins Schwesterwerk nach Phoenix wechseln möchtest. Oder ein Bekannter erzählt, er arbeite „einfach drei Monate von Austin aus“ für seinen Berliner Arbeitgeber, mit ESTA, das merke doch niemand. Beides gehört in dieses Kapitel: Neben H-1B und Studium gibt es ein gutes Dutzend weiterer Wege, von denen einige genau auf deine Lage passen. Und es gibt einen scheinbaren Weg, der keiner ist.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Der L-1 ist für Beschäftigte internationaler Konzerne oft der direkteste Weg: keine Lotterie, keine Quote, der Partner darf arbeiten. Voraussetzung ist ein Jahr im Konzern im Ausland.</w:t>
            </w:r>
          </w:p>
          <w:p>
            <w:pPr>
              <w:pStyle w:val="ListParagraph"/>
              <w:numPr>
                <w:ilvl w:val="0"/>
                <w:numId w:val="1"/>
              </w:numPr>
              <w:spacing w:lineRule="exact" w:line="264" w:before="0" w:after="50"/>
              <w:rPr/>
            </w:pPr>
            <w:r>
              <w:rPr>
                <w:rFonts w:eastAsia="Cambria" w:cs="Cambria"/>
                <w:b w:val="false"/>
                <w:bCs w:val="false"/>
                <w:i w:val="false"/>
                <w:iCs w:val="false"/>
                <w:sz w:val="20"/>
                <w:szCs w:val="20"/>
              </w:rPr>
              <w:t>O-1 (Spitzenleistung) und E-2 (eigene Investition; Deutschland ist Vertragsstaat) sind Nischenwege mit hoher Beweislast, passend nur, wenn du die Kriterien wirklich erfüllst.</w:t>
            </w:r>
          </w:p>
          <w:p>
            <w:pPr>
              <w:pStyle w:val="ListParagraph"/>
              <w:numPr>
                <w:ilvl w:val="0"/>
                <w:numId w:val="1"/>
              </w:numPr>
              <w:spacing w:lineRule="exact" w:line="264" w:before="0" w:after="50"/>
              <w:rPr/>
            </w:pPr>
            <w:r>
              <w:rPr>
                <w:rFonts w:eastAsia="Cambria" w:cs="Cambria"/>
                <w:b w:val="false"/>
                <w:bCs w:val="false"/>
                <w:i w:val="false"/>
                <w:iCs w:val="false"/>
                <w:sz w:val="20"/>
                <w:szCs w:val="20"/>
              </w:rPr>
              <w:t>Das J-1 ist ein Austauschprogramm auf Zeit, kein Einwanderungsweg; die Zwei-Jahres-Regel kann den späteren Wechsel in ein Arbeitsvisum sperren.</w:t>
            </w:r>
          </w:p>
          <w:p>
            <w:pPr>
              <w:pStyle w:val="ListParagraph"/>
              <w:numPr>
                <w:ilvl w:val="0"/>
                <w:numId w:val="1"/>
              </w:numPr>
              <w:spacing w:lineRule="exact" w:line="264" w:before="0" w:after="50"/>
              <w:rPr/>
            </w:pPr>
            <w:r>
              <w:rPr>
                <w:rFonts w:eastAsia="Cambria" w:cs="Cambria"/>
                <w:b w:val="false"/>
                <w:bCs w:val="false"/>
                <w:i w:val="false"/>
                <w:iCs w:val="false"/>
                <w:sz w:val="20"/>
                <w:szCs w:val="20"/>
              </w:rPr>
              <w:t>ESTA und B-1 erlauben Meetings, Kundenbesuche und Vorstellungsgespräche, aber keine Arbeit – auch nicht am Laptop für den deutschen Arbeitgeber.</w:t>
            </w:r>
          </w:p>
          <w:p>
            <w:pPr>
              <w:pStyle w:val="ListParagraph"/>
              <w:numPr>
                <w:ilvl w:val="0"/>
                <w:numId w:val="1"/>
              </w:numPr>
              <w:spacing w:lineRule="exact" w:line="264" w:before="0" w:after="50"/>
              <w:rPr/>
            </w:pPr>
            <w:r>
              <w:rPr>
                <w:rFonts w:eastAsia="Cambria" w:cs="Cambria"/>
                <w:b w:val="false"/>
                <w:bCs w:val="false"/>
                <w:i w:val="false"/>
                <w:iCs w:val="false"/>
                <w:sz w:val="20"/>
                <w:szCs w:val="20"/>
              </w:rPr>
              <w:t>Lotterie, Heirat, EB-5 und Gold Card führen direkt zur Green Card, sind aber schlecht planbar, an Bedingungen geknüpft oder sehr teuer.</w:t>
            </w:r>
          </w:p>
          <w:p>
            <w:pPr>
              <w:pStyle w:val="ListParagraph"/>
              <w:numPr>
                <w:ilvl w:val="0"/>
                <w:numId w:val="1"/>
              </w:numPr>
              <w:spacing w:lineRule="exact" w:line="264" w:before="0" w:after="50"/>
              <w:rPr/>
            </w:pPr>
            <w:r>
              <w:rPr>
                <w:rFonts w:eastAsia="Cambria" w:cs="Cambria"/>
                <w:b w:val="false"/>
                <w:bCs w:val="false"/>
                <w:i w:val="false"/>
                <w:iCs w:val="false"/>
                <w:sz w:val="20"/>
                <w:szCs w:val="20"/>
              </w:rPr>
              <w:t>Ein Visum für Freiberufler oder digitale Nomaden gibt es nicht.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Wege im Überblick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Zwei Begriffe vorab, die fast alle Neulinge verwechseln: Das </w:t>
      </w:r>
      <w:r>
        <w:rPr>
          <w:rFonts w:eastAsia="Cambria" w:cs="Cambria"/>
          <w:b w:val="false"/>
          <w:bCs w:val="false"/>
          <w:i/>
          <w:iCs/>
          <w:sz w:val="22"/>
          <w:szCs w:val="22"/>
        </w:rPr>
        <w:t>Visum</w:t>
      </w:r>
      <w:r>
        <w:rPr>
          <w:rFonts w:eastAsia="Cambria" w:cs="Cambria"/>
          <w:b w:val="false"/>
          <w:bCs w:val="false"/>
          <w:i w:val="false"/>
          <w:iCs w:val="false"/>
          <w:sz w:val="22"/>
          <w:szCs w:val="22"/>
        </w:rPr>
        <w:t xml:space="preserve"> ist das Einreisedokument im Pass, ausgestellt vom Konsulat. Der </w:t>
      </w:r>
      <w:r>
        <w:rPr>
          <w:rFonts w:eastAsia="Cambria" w:cs="Cambria"/>
          <w:b w:val="false"/>
          <w:bCs w:val="false"/>
          <w:i/>
          <w:iCs/>
          <w:sz w:val="22"/>
          <w:szCs w:val="22"/>
        </w:rPr>
        <w:t>Status</w:t>
      </w:r>
      <w:r>
        <w:rPr>
          <w:rFonts w:eastAsia="Cambria" w:cs="Cambria"/>
          <w:b w:val="false"/>
          <w:bCs w:val="false"/>
          <w:i w:val="false"/>
          <w:iCs w:val="false"/>
          <w:sz w:val="22"/>
          <w:szCs w:val="22"/>
        </w:rPr>
        <w:t xml:space="preserve"> ist die Aufenthaltserlaubnis nach der Einreise, dokumentiert im Formular I-94, dem elektronischen Einreisenachweis. Die meisten Wege dieses Kapitels führen in einen zeitlich begrenzten Status (</w:t>
      </w:r>
      <w:r>
        <w:rPr>
          <w:rFonts w:eastAsia="Cambria" w:cs="Cambria"/>
          <w:b w:val="false"/>
          <w:bCs w:val="false"/>
          <w:i/>
          <w:iCs/>
          <w:sz w:val="22"/>
          <w:szCs w:val="22"/>
        </w:rPr>
        <w:t>Nonimmigrant</w:t>
      </w:r>
      <w:r>
        <w:rPr>
          <w:rFonts w:eastAsia="Cambria" w:cs="Cambria"/>
          <w:b w:val="false"/>
          <w:bCs w:val="false"/>
          <w:i w:val="false"/>
          <w:iCs w:val="false"/>
          <w:sz w:val="22"/>
          <w:szCs w:val="22"/>
        </w:rPr>
        <w:t>, Nichteinwanderer); nur Heirat, Lotterie und EB-5 führen unmittelbar zur Green Card. Die erste Tabelle zeigt, für wen welcher Weg gedacht ist, die zweite, was aus Partner und Green Card wird:</w:t>
      </w:r>
    </w:p>
    <w:tbl>
      <w:tblPr>
        <w:tblW w:w="6480" w:type="dxa"/>
        <w:jc w:val="left"/>
        <w:tblInd w:w="0" w:type="dxa"/>
        <w:tblLayout w:type="fixed"/>
        <w:tblCellMar>
          <w:top w:w="50" w:type="dxa"/>
          <w:left w:w="80" w:type="dxa"/>
          <w:bottom w:w="50" w:type="dxa"/>
          <w:right w:w="80" w:type="dxa"/>
        </w:tblCellMar>
      </w:tblPr>
      <w:tblGrid>
        <w:gridCol w:w="949"/>
        <w:gridCol w:w="3086"/>
        <w:gridCol w:w="2445"/>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Weg</w:t>
            </w:r>
          </w:p>
        </w:tc>
        <w:tc>
          <w:tcPr>
            <w:tcW w:w="308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Für wen</w:t>
            </w:r>
          </w:p>
        </w:tc>
        <w:tc>
          <w:tcPr>
            <w:tcW w:w="244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Dauer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L-1</w:t>
            </w:r>
          </w:p>
        </w:tc>
        <w:tc>
          <w:tcPr>
            <w:tcW w:w="30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Konzernbeschäftigte mit einem Jahr im Ausland</w:t>
            </w:r>
          </w:p>
        </w:tc>
        <w:tc>
          <w:tcPr>
            <w:tcW w:w="24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L-1A bis 7 Jahre, L-1B bis 5 Jahre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O-1</w:t>
            </w:r>
          </w:p>
        </w:tc>
        <w:tc>
          <w:tcPr>
            <w:tcW w:w="30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Personen mit außergewöhnlichen Leistungen im Fach</w:t>
            </w:r>
          </w:p>
        </w:tc>
        <w:tc>
          <w:tcPr>
            <w:tcW w:w="24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 Jahre, danach jährlich verlängerbar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E-2</w:t>
            </w:r>
          </w:p>
        </w:tc>
        <w:tc>
          <w:tcPr>
            <w:tcW w:w="30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Investoren und Gründer aus dem Vertragsstaat Deutschland</w:t>
            </w:r>
          </w:p>
        </w:tc>
        <w:tc>
          <w:tcPr>
            <w:tcW w:w="24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 Jahre, unbegrenzt verlängerbar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J-1</w:t>
            </w:r>
          </w:p>
        </w:tc>
        <w:tc>
          <w:tcPr>
            <w:tcW w:w="30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Forschende, Praktikanten, Au-pairs</w:t>
            </w:r>
          </w:p>
        </w:tc>
        <w:tc>
          <w:tcPr>
            <w:tcW w:w="24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 nach Programm 12 Monate bis 5 Jahre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ESTA, B-1</w:t>
            </w:r>
          </w:p>
        </w:tc>
        <w:tc>
          <w:tcPr>
            <w:tcW w:w="30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Besuch und Geschäftstermine</w:t>
            </w:r>
          </w:p>
        </w:tc>
        <w:tc>
          <w:tcPr>
            <w:tcW w:w="24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90 Tage, keine Arbeit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Heirat</w:t>
            </w:r>
          </w:p>
        </w:tc>
        <w:tc>
          <w:tcPr>
            <w:tcW w:w="30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Partner eines US-Bürgers</w:t>
            </w:r>
          </w:p>
        </w:tc>
        <w:tc>
          <w:tcPr>
            <w:tcW w:w="24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dauerhaft (Green Card)</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Lotterie, EB-5</w:t>
            </w:r>
          </w:p>
        </w:tc>
        <w:tc>
          <w:tcPr>
            <w:tcW w:w="30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Losglück; Investoren ab 800.000 $</w:t>
            </w:r>
          </w:p>
        </w:tc>
        <w:tc>
          <w:tcPr>
            <w:tcW w:w="24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dauerhaft (Green Card)</w:t>
            </w:r>
          </w:p>
        </w:tc>
      </w:tr>
    </w:tbl>
    <w:p>
      <w:pPr>
        <w:pStyle w:val="Normal"/>
        <w:spacing w:lineRule="exact" w:line="180" w:before="0" w:after="0"/>
        <w:rPr/>
      </w:pPr>
      <w:r>
        <w:rPr/>
      </w:r>
    </w:p>
    <w:tbl>
      <w:tblPr>
        <w:tblW w:w="6480" w:type="dxa"/>
        <w:jc w:val="left"/>
        <w:tblInd w:w="0" w:type="dxa"/>
        <w:tblLayout w:type="fixed"/>
        <w:tblCellMar>
          <w:top w:w="50" w:type="dxa"/>
          <w:left w:w="80" w:type="dxa"/>
          <w:bottom w:w="50" w:type="dxa"/>
          <w:right w:w="80" w:type="dxa"/>
        </w:tblCellMar>
      </w:tblPr>
      <w:tblGrid>
        <w:gridCol w:w="1139"/>
        <w:gridCol w:w="2299"/>
        <w:gridCol w:w="3042"/>
      </w:tblGrid>
      <w:tr>
        <w:trPr>
          <w:tblHeader w:val="true"/>
          <w:cantSplit w:val="true"/>
        </w:trPr>
        <w:tc>
          <w:tcPr>
            <w:tcW w:w="11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Weg</w:t>
            </w:r>
          </w:p>
        </w:tc>
        <w:tc>
          <w:tcPr>
            <w:tcW w:w="229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Partner arbeitet?</w:t>
            </w:r>
          </w:p>
        </w:tc>
        <w:tc>
          <w:tcPr>
            <w:tcW w:w="304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Weg zur Green Card</w:t>
            </w:r>
          </w:p>
        </w:tc>
      </w:tr>
      <w:tr>
        <w:trPr>
          <w:cantSplit w:val="true"/>
        </w:trPr>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L-1</w:t>
            </w:r>
          </w:p>
        </w:tc>
        <w:tc>
          <w:tcPr>
            <w:tcW w:w="22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ohne eigenen Antrag (L-2)</w:t>
            </w:r>
          </w:p>
        </w:tc>
        <w:tc>
          <w:tcPr>
            <w:tcW w:w="30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Möglich; Manager oft über EB-1C, sonst PERM</w:t>
            </w:r>
          </w:p>
        </w:tc>
      </w:tr>
      <w:tr>
        <w:trPr>
          <w:cantSplit w:val="true"/>
        </w:trPr>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O-1</w:t>
            </w:r>
          </w:p>
        </w:tc>
        <w:tc>
          <w:tcPr>
            <w:tcW w:w="22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 (O-3)</w:t>
            </w:r>
          </w:p>
        </w:tc>
        <w:tc>
          <w:tcPr>
            <w:tcW w:w="30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Eigener Antrag nötig (Kapitel </w:t>
            </w:r>
            <w:hyperlink w:anchor="k6">
              <w:r>
                <w:rPr>
                  <w:rStyle w:val="ListLabel112"/>
                  <w:rFonts w:eastAsia="Cambria" w:cs="Cambria"/>
                  <w:b w:val="false"/>
                  <w:bCs w:val="false"/>
                  <w:i w:val="false"/>
                  <w:iCs w:val="false"/>
                  <w:sz w:val="18"/>
                  <w:szCs w:val="18"/>
                </w:rPr>
                <w:t>6</w:t>
              </w:r>
            </w:hyperlink>
            <w:r>
              <w:rPr>
                <w:rFonts w:eastAsia="Cambria" w:cs="Cambria"/>
                <w:b w:val="false"/>
                <w:bCs w:val="false"/>
                <w:i w:val="false"/>
                <w:iCs w:val="false"/>
                <w:sz w:val="18"/>
                <w:szCs w:val="18"/>
              </w:rPr>
              <w:t>)</w:t>
            </w:r>
          </w:p>
        </w:tc>
      </w:tr>
      <w:tr>
        <w:trPr>
          <w:cantSplit w:val="true"/>
        </w:trPr>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E-2</w:t>
            </w:r>
          </w:p>
        </w:tc>
        <w:tc>
          <w:tcPr>
            <w:tcW w:w="22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bei jedem Arbeitgeber</w:t>
            </w:r>
          </w:p>
        </w:tc>
        <w:tc>
          <w:tcPr>
            <w:tcW w:w="30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direkter Weg</w:t>
            </w:r>
          </w:p>
        </w:tc>
      </w:tr>
      <w:tr>
        <w:trPr>
          <w:cantSplit w:val="true"/>
        </w:trPr>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J-1</w:t>
            </w:r>
          </w:p>
        </w:tc>
        <w:tc>
          <w:tcPr>
            <w:tcW w:w="22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mit Arbeitserlaubnis (J-2)</w:t>
            </w:r>
          </w:p>
        </w:tc>
        <w:tc>
          <w:tcPr>
            <w:tcW w:w="30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direkt; Zwei-Jahres-Regel prüfen</w:t>
            </w:r>
          </w:p>
        </w:tc>
      </w:tr>
      <w:tr>
        <w:trPr>
          <w:cantSplit w:val="true"/>
        </w:trPr>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ESTA, B-1</w:t>
            </w:r>
          </w:p>
        </w:tc>
        <w:tc>
          <w:tcPr>
            <w:tcW w:w="22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w:t>
            </w:r>
          </w:p>
        </w:tc>
        <w:tc>
          <w:tcPr>
            <w:tcW w:w="30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w:t>
            </w:r>
          </w:p>
        </w:tc>
      </w:tr>
      <w:tr>
        <w:trPr>
          <w:cantSplit w:val="true"/>
        </w:trPr>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Heirat, Lotterie, EB-5</w:t>
            </w:r>
          </w:p>
        </w:tc>
        <w:tc>
          <w:tcPr>
            <w:tcW w:w="22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 der Green Card ja</w:t>
            </w:r>
          </w:p>
        </w:tc>
        <w:tc>
          <w:tcPr>
            <w:tcW w:w="30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Ist die Green Card</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Nicht für Deutsche gibt es das TN (nur Kanada und Mexiko), das E-3 (nur Australien) und das H-1B1 (nur Chile und Singapur). Die Einreisebeschränkungen des Jahres 2026 treffen Deutsche nicht: Deutschland steht weder auf der Liste der 39 Länder (Proklamation vom 16. Dezember 2025) noch auf der Liste der 75 Länder mit Einwanderervisa-Pause, die ein Gericht am 21. August 2026 aufhob (Stand: 20.09.2026). Neu für alle Nichteinwanderervisa: die Visa Integrity Fee von 250 $, bisher uneinheitlich erhoben, und die Prüfung deiner Online-Profile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Jeder dieser Wege verlangt eine Eintrittskarte: ein Jahr im Konzern, eine Akte voller Belege, Kapital oder einen Programmplatz. Prüfe zuerst, welche du schon hast, und erst danach, welches Visum dir gefällt.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L-1: die Versetzung im Konzern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Wer keinen Treffer in der H-1B-Lotterie hat, hat keine Chance mehr auf ein Arbeitsvisum. Tatsächlich ist die Lotterie nur eine von mehreren Türen. Der L-1 (</w:t>
      </w:r>
      <w:r>
        <w:rPr>
          <w:rFonts w:eastAsia="Cambria" w:cs="Cambria"/>
          <w:b w:val="false"/>
          <w:bCs w:val="false"/>
          <w:i/>
          <w:iCs/>
          <w:sz w:val="22"/>
          <w:szCs w:val="22"/>
        </w:rPr>
        <w:t>Intracompany Transferee</w:t>
      </w:r>
      <w:r>
        <w:rPr>
          <w:rFonts w:eastAsia="Cambria" w:cs="Cambria"/>
          <w:b w:val="false"/>
          <w:bCs w:val="false"/>
          <w:i w:val="false"/>
          <w:iCs w:val="false"/>
          <w:sz w:val="22"/>
          <w:szCs w:val="22"/>
        </w:rPr>
        <w:t>, konzerninterne Versetzung) ist neben dem H-1B der zweite große Arbeitgeberweg. Für Beschäftigte internationaler Konzerne ist er oft der bessere: keine Registrierung, keine Lotterie, keine Jahresquote. Auch die 100.000-$-Zahlung, die die H-1B-Proklamation für Anträge aus dem Ausland vorsieht, betrifft ihn nicht (Stand: September 2026; siehe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Drei Voraussetzungen müssen stimmen:</w:t>
      </w:r>
    </w:p>
    <w:p>
      <w:pPr>
        <w:pStyle w:val="ListParagraph"/>
        <w:numPr>
          <w:ilvl w:val="0"/>
          <w:numId w:val="1"/>
        </w:numPr>
        <w:spacing w:lineRule="exact" w:line="288" w:before="0" w:after="60"/>
        <w:rPr/>
      </w:pPr>
      <w:r>
        <w:rPr>
          <w:rFonts w:eastAsia="Cambria" w:cs="Cambria"/>
          <w:b w:val="false"/>
          <w:bCs w:val="false"/>
          <w:i w:val="false"/>
          <w:iCs w:val="false"/>
          <w:sz w:val="22"/>
          <w:szCs w:val="22"/>
        </w:rPr>
        <w:t>Dein Arbeitgeber in Deutschland und das US-Unternehmen gehören zur selben Gruppe: Mutter, Tochter, Zweigniederlassung oder Schwestergesellschaft.</w:t>
      </w:r>
    </w:p>
    <w:p>
      <w:pPr>
        <w:pStyle w:val="ListParagraph"/>
        <w:numPr>
          <w:ilvl w:val="0"/>
          <w:numId w:val="1"/>
        </w:numPr>
        <w:spacing w:lineRule="exact" w:line="288" w:before="0" w:after="60"/>
        <w:rPr/>
      </w:pPr>
      <w:r>
        <w:rPr>
          <w:rFonts w:eastAsia="Cambria" w:cs="Cambria"/>
          <w:b w:val="false"/>
          <w:bCs w:val="false"/>
          <w:i w:val="false"/>
          <w:iCs w:val="false"/>
          <w:sz w:val="22"/>
          <w:szCs w:val="22"/>
        </w:rPr>
        <w:t>Du warst in den letzten drei Jahren mindestens ein Jahr ununterbrochen bei einem Konzernunternehmen im Ausland beschäftigt.</w:t>
      </w:r>
    </w:p>
    <w:p>
      <w:pPr>
        <w:pStyle w:val="ListParagraph"/>
        <w:numPr>
          <w:ilvl w:val="0"/>
          <w:numId w:val="1"/>
        </w:numPr>
        <w:spacing w:lineRule="exact" w:line="288" w:before="0" w:after="60"/>
        <w:rPr/>
      </w:pPr>
      <w:r>
        <w:rPr>
          <w:rFonts w:eastAsia="Cambria" w:cs="Cambria"/>
          <w:b w:val="false"/>
          <w:bCs w:val="false"/>
          <w:i w:val="false"/>
          <w:iCs w:val="false"/>
          <w:sz w:val="22"/>
          <w:szCs w:val="22"/>
        </w:rPr>
        <w:t>Du wirst in den USA als Führungskraft oder Manager (L-1A) oder mit Spezialwissen (</w:t>
      </w:r>
      <w:r>
        <w:rPr>
          <w:rFonts w:eastAsia="Cambria" w:cs="Cambria"/>
          <w:b w:val="false"/>
          <w:bCs w:val="false"/>
          <w:i/>
          <w:iCs/>
          <w:sz w:val="22"/>
          <w:szCs w:val="22"/>
        </w:rPr>
        <w:t>Specialized Knowledge</w:t>
      </w:r>
      <w:r>
        <w:rPr>
          <w:rFonts w:eastAsia="Cambria" w:cs="Cambria"/>
          <w:b w:val="false"/>
          <w:bCs w:val="false"/>
          <w:i w:val="false"/>
          <w:iCs w:val="false"/>
          <w:sz w:val="22"/>
          <w:szCs w:val="22"/>
        </w:rPr>
        <w:t>, L-1B) eingesetzt. Spezialwissen heißt: besondere Kenntnisse über Produkte, Verfahren oder Prozesse des Unternehmens, nicht schlicht „ich bin gut in meinem Job“.</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Erstzulassung gilt bis zu drei Jahre, für ein neu gegründetes US-Büro nur ein Jahr. Verlängert wird in Zwei-Jahres-Schritten, insgesamt höchstens sieben Jahre beim L-1A und fünf Jahre beim L-1B. Große Konzerne besitzen mitunter eine Sammelgenehmigung (</w:t>
      </w:r>
      <w:r>
        <w:rPr>
          <w:rFonts w:eastAsia="Cambria" w:cs="Cambria"/>
          <w:b w:val="false"/>
          <w:bCs w:val="false"/>
          <w:i/>
          <w:iCs/>
          <w:sz w:val="22"/>
          <w:szCs w:val="22"/>
        </w:rPr>
        <w:t>Blanket L</w:t>
      </w:r>
      <w:r>
        <w:rPr>
          <w:rFonts w:eastAsia="Cambria" w:cs="Cambria"/>
          <w:b w:val="false"/>
          <w:bCs w:val="false"/>
          <w:i w:val="false"/>
          <w:iCs w:val="false"/>
          <w:sz w:val="22"/>
          <w:szCs w:val="22"/>
        </w:rPr>
        <w:t>): Das US-Büro besteht seit mindestens einem Jahr, die Gruppe hat mindestens drei Einheiten, und eines von drei Kriterien ist erfüllt (zehn L-Genehmigungen in zwölf Monaten, 25 Millionen $ US-Umsatz oder 1.000 US-Beschäftigte) – dann entfällt der Einzelantrag bei USCIS, der Konzern stellt das Formular I-129S aus, und du gehst damit zum Konsulat.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Kosten trägt in der Regel der Arbeitgeber. Für den Antrag (</w:t>
      </w:r>
      <w:r>
        <w:rPr>
          <w:rFonts w:eastAsia="Cambria" w:cs="Cambria"/>
          <w:b w:val="false"/>
          <w:bCs w:val="false"/>
          <w:i/>
          <w:iCs/>
          <w:sz w:val="22"/>
          <w:szCs w:val="22"/>
        </w:rPr>
        <w:t>Petition</w:t>
      </w:r>
      <w:r>
        <w:rPr>
          <w:rFonts w:eastAsia="Cambria" w:cs="Cambria"/>
          <w:b w:val="false"/>
          <w:bCs w:val="false"/>
          <w:i w:val="false"/>
          <w:iCs w:val="false"/>
          <w:sz w:val="22"/>
          <w:szCs w:val="22"/>
        </w:rPr>
        <w:t>) fallen an: Formular I-129 mit 1.385 $ (kleine Betriebe 695 $), Asylum Program Fee 600 $ (300 $) und beim Erstantrag 500 $ Fraud-Gebühr, zusammen rund 2.485 $ (Gebührenblatt G-1055, Ausgabe 09.09.2026); Arbeitgeber mit vielen H-1B- und L-1-Beschäftigten zahlen weitere 4.500 $, Premium Processing (Entscheidung binnen 15 Werktagen) 2.965 $ extra. Bei dir fallen 205 $ Konsulargebühr und die Visa Integrity Fee von 250 $ an.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Ehepartner erhält den Status L-2 und darf ohne eigenen Antrag arbeiten; der I-94 genügt als Nachweis. Kinder unter 21 gehen zur Schule, dürfen aber nicht arbeiten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 Wie beim H-1B schadet die Absicht, später die Green Card zu beantragen, nicht (</w:t>
      </w:r>
      <w:r>
        <w:rPr>
          <w:rFonts w:eastAsia="Cambria" w:cs="Cambria"/>
          <w:b w:val="false"/>
          <w:bCs w:val="false"/>
          <w:i/>
          <w:iCs/>
          <w:sz w:val="22"/>
          <w:szCs w:val="22"/>
        </w:rPr>
        <w:t>Dual Intent</w:t>
      </w:r>
      <w:r>
        <w:rPr>
          <w:rFonts w:eastAsia="Cambria" w:cs="Cambria"/>
          <w:b w:val="false"/>
          <w:bCs w:val="false"/>
          <w:i w:val="false"/>
          <w:iCs w:val="false"/>
          <w:sz w:val="22"/>
          <w:szCs w:val="22"/>
        </w:rPr>
        <w:t>); Manager und Führungskräfte kommen häufig über die Kategorie EB-1C ohne Arbeitsmarktprüfung zur Green Card, Spezialwissen-Fälle meist über das PERM-Verfahren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Status hängt an deiner Stelle: Verlierst du sie, gilt nach heutigem Recht eine Frist von bis zu 60 Tagen, um einen neuen Status zu beantragen oder auszureisen. Ein Entwurf des Heimatschutzministeriums vom 11. September 2026 will diese Frist ersatzlos streichen; er betrifft auch O-1 und E-2. Kommentare sind bis 10. November 2026 möglich, in Kraft ist nichts (siehe Kapitel </w:t>
            </w:r>
            <w:hyperlink w:anchor="k30">
              <w:r>
                <w:rPr>
                  <w:rStyle w:val="ListLabel114"/>
                  <w:rFonts w:eastAsia="Cambria" w:cs="Cambria"/>
                  <w:b w:val="false"/>
                  <w:bCs w:val="false"/>
                  <w:i w:val="false"/>
                  <w:iCs w:val="false"/>
                  <w:sz w:val="20"/>
                  <w:szCs w:val="20"/>
                </w:rPr>
                <w:t>30</w:t>
              </w:r>
            </w:hyperlink>
            <w:r>
              <w:rPr>
                <w:rFonts w:eastAsia="Cambria" w:cs="Cambria"/>
                <w:b w:val="false"/>
                <w:bCs w:val="false"/>
                <w:i w:val="false"/>
                <w:iCs w:val="false"/>
                <w:sz w:val="20"/>
                <w:szCs w:val="20"/>
              </w:rPr>
              <w: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Jan Hoffmann (fiktiv), 46, Prozessingenieur in einem Dresdner Halbleiterwerk, arbeitet seit sechs Jahren für einen Konzern, der auch im Großraum Phoenix fertigt. Dort soll er neue Prozesslinien einführen. Als ihm die Kanzlei am Telefon bestätigt, dass für den L-1 weder Registrierung noch Lotterie nötig sind, fragt Jan zweimal nach – nach den zwei erfolglosen H-1B-Anläufen eines Kollegen klingt „keine Lotterie“ fast zu einfach. Weil er besonderes Verfahrenswissen mitbringt, beantragt der Arbeitgeber den L-1B mit Premium Processing und trägt die USCIS-Gebühren von rund 2.485 $; Jan zahlt 205 $ Konsulargebühr. Laut Terminportalen lag der nächste freie Termin im September 2026 in Berlin bei etwa einem Monat, in Frankfurt bei zwei. Katrin (44), Physiotherapeutin, darf als L-2 sofort arbeiten, braucht aber eine Lizenz aus Arizona (Kapitel </w:t>
            </w:r>
            <w:hyperlink w:anchor="k10">
              <w:r>
                <w:rPr>
                  <w:rStyle w:val="ListLabel114"/>
                  <w:rFonts w:eastAsia="Cambria" w:cs="Cambria"/>
                  <w:b w:val="false"/>
                  <w:bCs w:val="false"/>
                  <w:i w:val="false"/>
                  <w:iCs w:val="false"/>
                  <w:sz w:val="20"/>
                  <w:szCs w:val="20"/>
                </w:rPr>
                <w:t>10</w:t>
              </w:r>
            </w:hyperlink>
            <w:r>
              <w:rPr>
                <w:rFonts w:eastAsia="Cambria" w:cs="Cambria"/>
                <w:b w:val="false"/>
                <w:bCs w:val="false"/>
                <w:i w:val="false"/>
                <w:iCs w:val="false"/>
                <w:sz w:val="20"/>
                <w:szCs w:val="20"/>
              </w:rPr>
              <w:t>). Paul (15) besucht die High School. Der L-1B endet nach spätestens fünf Jahren; für ein Bleiben muss der Konzern das Green-Card-Verfahren früh anstoßen.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O-1: für herausragende Leistungen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O-1 richtet sich an Menschen, die in ihrem Fach zur kleinen Spitze gehören. Ein tüchtiger Ingenieur oder eine solide Entwicklerin ist noch kein O-1-Fall; es braucht Belege. Der O-1A gilt für Wissenschaft, Bildung, Wirtschaft und Sport, der O-1B für Kunst; in Film und Fernsehen ist der Maßstab „außergewöhnliche Leistung“, sonst „anhaltende nationale oder internationale Anerkennung“.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Nachweisen musst du einen bedeutenden internationalen Preis oder mindestens drei von acht Kriterien: Preise, Medienberichte über dich, wissenschaftliche Veröffentlichungen, Gutachtertätigkeit für Fachkollegen, Beiträge von wesentlicher Bedeutung, eine Schlüsselrolle in angesehenen Organisationen, ein überdurchschnittlich hohes Gehalt. Hinzu kommen ein Beratungsgutachten (</w:t>
      </w:r>
      <w:r>
        <w:rPr>
          <w:rFonts w:eastAsia="Cambria" w:cs="Cambria"/>
          <w:b w:val="false"/>
          <w:bCs w:val="false"/>
          <w:i/>
          <w:iCs/>
          <w:sz w:val="22"/>
          <w:szCs w:val="22"/>
        </w:rPr>
        <w:t>Advisory Opinion</w:t>
      </w:r>
      <w:r>
        <w:rPr>
          <w:rFonts w:eastAsia="Cambria" w:cs="Cambria"/>
          <w:b w:val="false"/>
          <w:bCs w:val="false"/>
          <w:i w:val="false"/>
          <w:iCs w:val="false"/>
          <w:sz w:val="22"/>
          <w:szCs w:val="22"/>
        </w:rPr>
        <w:t>) einer Fachorganisation, ein Vertrag oder eine Tätigkeitsbeschreibung und ein Reiseplan. Den Antrag stellt ein US-Arbeitgeber oder ein US-Agent, mindestens 45 Tage vor Beginn; du selbst kannst ihn nicht stellen.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Status gilt zunächst bis zu drei Jahre, danach wird in Ein-Jahres-Schritten verlängert. An USCIS zahlt der Antragsteller 1.055 $ (kleine Betriebe 530 $) plus 600 $ Asylum Program Fee (300 $), optional 2.965 $ für Premium Processing; du zahlst 205 $ Konsulargebühr. Teurer ist die Akte selbst, die Wochen Vorbereitung und meist eine Kanzlei braucht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Statistik klingt freundlich: Im Fiskaljahr 2025 genehmigte USCIS rund 94 % der abgeschlossenen O-Anträge (29.733 von 31.681; Kanzleiauswertung von USCIS-Daten, inklusive O-2-Begleitpersonal) – das zeigt nur, dass gut vorbereitete Akten meist durchgehen, über deine Chancen bei knapp erfüllten Kriterien sagt es wenig.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Partner und Kinder unter 21 erhalten den Status O-3, dürfen studieren oder zur Schule gehen, aber nicht arbeiten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 Wer die Kriterien wirklich erfüllt, kann oft auch eine Green Card in den Kategorien für Personen mit außergewöhnlichen Fähigkeiten beantragen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für Studierende, die in der H-1B-Lotterie scheitern, ist der O-1 ein möglicher Plan B (Kapitel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E-1 und E-2: Handel und Investition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Deutschland ist Vertragsstaat der E-Visa, ein echter Vorteil: Deutsche können als Händler (</w:t>
      </w:r>
      <w:r>
        <w:rPr>
          <w:rFonts w:eastAsia="Cambria" w:cs="Cambria"/>
          <w:b w:val="false"/>
          <w:bCs w:val="false"/>
          <w:i/>
          <w:iCs/>
          <w:sz w:val="22"/>
          <w:szCs w:val="22"/>
        </w:rPr>
        <w:t>Treaty Trader</w:t>
      </w:r>
      <w:r>
        <w:rPr>
          <w:rFonts w:eastAsia="Cambria" w:cs="Cambria"/>
          <w:b w:val="false"/>
          <w:bCs w:val="false"/>
          <w:i w:val="false"/>
          <w:iCs w:val="false"/>
          <w:sz w:val="22"/>
          <w:szCs w:val="22"/>
        </w:rPr>
        <w:t>, E-1) oder Investor (</w:t>
      </w:r>
      <w:r>
        <w:rPr>
          <w:rFonts w:eastAsia="Cambria" w:cs="Cambria"/>
          <w:b w:val="false"/>
          <w:bCs w:val="false"/>
          <w:i/>
          <w:iCs/>
          <w:sz w:val="22"/>
          <w:szCs w:val="22"/>
        </w:rPr>
        <w:t>Treaty Investor</w:t>
      </w:r>
      <w:r>
        <w:rPr>
          <w:rFonts w:eastAsia="Cambria" w:cs="Cambria"/>
          <w:b w:val="false"/>
          <w:bCs w:val="false"/>
          <w:i w:val="false"/>
          <w:iCs w:val="false"/>
          <w:sz w:val="22"/>
          <w:szCs w:val="22"/>
        </w:rPr>
        <w:t>, E-2) einreisen, ohne Lotterie und ohne sponsernden Arbeitgeber. Der E-1 setzt laufenden Handel voraus, der überwiegend – zu mehr als 50 % des Handelsvolumens – zwischen den USA und Deutschland stattfindet. Häufiger ist der E-2, um den es hier geht.</w:t>
      </w:r>
    </w:p>
    <w:p>
      <w:pPr>
        <w:pStyle w:val="ListParagraph"/>
        <w:numPr>
          <w:ilvl w:val="0"/>
          <w:numId w:val="1"/>
        </w:numPr>
        <w:spacing w:lineRule="exact" w:line="288" w:before="0" w:after="60"/>
        <w:rPr/>
      </w:pPr>
      <w:r>
        <w:rPr>
          <w:rFonts w:eastAsia="Cambria" w:cs="Cambria"/>
          <w:b/>
          <w:bCs/>
          <w:i w:val="false"/>
          <w:iCs w:val="false"/>
          <w:sz w:val="22"/>
          <w:szCs w:val="22"/>
        </w:rPr>
        <w:t>Staatsangehörigkeit und Kontrolle:</w:t>
      </w:r>
      <w:r>
        <w:rPr>
          <w:rFonts w:eastAsia="Cambria" w:cs="Cambria"/>
          <w:b w:val="false"/>
          <w:bCs w:val="false"/>
          <w:i w:val="false"/>
          <w:iCs w:val="false"/>
          <w:sz w:val="22"/>
          <w:szCs w:val="22"/>
        </w:rPr>
        <w:t xml:space="preserve"> Du bist deutsche Staatsangehörige oder deutscher Staatsangehöriger, besitzt mindestens die Hälfte des Unternehmens oder kontrollierst es operativ, und du entwickelst und leitest es selbst.</w:t>
      </w:r>
    </w:p>
    <w:p>
      <w:pPr>
        <w:pStyle w:val="ListParagraph"/>
        <w:numPr>
          <w:ilvl w:val="0"/>
          <w:numId w:val="1"/>
        </w:numPr>
        <w:spacing w:lineRule="exact" w:line="288" w:before="0" w:after="60"/>
        <w:rPr/>
      </w:pPr>
      <w:r>
        <w:rPr>
          <w:rFonts w:eastAsia="Cambria" w:cs="Cambria"/>
          <w:b/>
          <w:bCs/>
          <w:i w:val="false"/>
          <w:iCs w:val="false"/>
          <w:sz w:val="22"/>
          <w:szCs w:val="22"/>
        </w:rPr>
        <w:t>Investition:</w:t>
      </w:r>
      <w:r>
        <w:rPr>
          <w:rFonts w:eastAsia="Cambria" w:cs="Cambria"/>
          <w:b w:val="false"/>
          <w:bCs w:val="false"/>
          <w:i w:val="false"/>
          <w:iCs w:val="false"/>
          <w:sz w:val="22"/>
          <w:szCs w:val="22"/>
        </w:rPr>
        <w:t xml:space="preserve"> Einen gesetzlichen Mindestbetrag gibt es nicht. Verlangt wird eine „wesentliche“ (</w:t>
      </w:r>
      <w:r>
        <w:rPr>
          <w:rFonts w:eastAsia="Cambria" w:cs="Cambria"/>
          <w:b w:val="false"/>
          <w:bCs w:val="false"/>
          <w:i/>
          <w:iCs/>
          <w:sz w:val="22"/>
          <w:szCs w:val="22"/>
        </w:rPr>
        <w:t>substantial</w:t>
      </w:r>
      <w:r>
        <w:rPr>
          <w:rFonts w:eastAsia="Cambria" w:cs="Cambria"/>
          <w:b w:val="false"/>
          <w:bCs w:val="false"/>
          <w:i w:val="false"/>
          <w:iCs w:val="false"/>
          <w:sz w:val="22"/>
          <w:szCs w:val="22"/>
        </w:rPr>
        <w:t>) Summe im Verhältnis zu den Gesamtkosten des Unternehmens: Je billiger das Geschäft, desto größer muss der eingesetzte Anteil sein. Kanzleien nennen für kleine Betriebe häufig Beträge ab etwa 50.000–100.000 $; das ist Erfahrungswert, keine Regel.</w:t>
      </w:r>
    </w:p>
    <w:p>
      <w:pPr>
        <w:pStyle w:val="ListParagraph"/>
        <w:numPr>
          <w:ilvl w:val="0"/>
          <w:numId w:val="1"/>
        </w:numPr>
        <w:spacing w:lineRule="exact" w:line="288" w:before="0" w:after="60"/>
        <w:rPr/>
      </w:pPr>
      <w:r>
        <w:rPr>
          <w:rFonts w:eastAsia="Cambria" w:cs="Cambria"/>
          <w:b/>
          <w:bCs/>
          <w:i w:val="false"/>
          <w:iCs w:val="false"/>
          <w:sz w:val="22"/>
          <w:szCs w:val="22"/>
        </w:rPr>
        <w:t>Unternehmen:</w:t>
      </w:r>
      <w:r>
        <w:rPr>
          <w:rFonts w:eastAsia="Cambria" w:cs="Cambria"/>
          <w:b w:val="false"/>
          <w:bCs w:val="false"/>
          <w:i w:val="false"/>
          <w:iCs w:val="false"/>
          <w:sz w:val="22"/>
          <w:szCs w:val="22"/>
        </w:rPr>
        <w:t xml:space="preserve"> Es muss echt sein und tatsächlich laufen. Es darf nicht „marginal“ sein, also mehr abwerfen als den knappen Lebensunterhalt der Familie. Das Geld muss bereits im Unternehmen stecken und ein Verlustrisiko tragen (</w:t>
      </w:r>
      <w:r>
        <w:rPr>
          <w:rFonts w:eastAsia="Cambria" w:cs="Cambria"/>
          <w:b w:val="false"/>
          <w:bCs w:val="false"/>
          <w:i/>
          <w:iCs/>
          <w:sz w:val="22"/>
          <w:szCs w:val="22"/>
        </w:rPr>
        <w:t>at risk</w:t>
      </w:r>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Mitarbeiter aus Deutschland:</w:t>
      </w:r>
      <w:r>
        <w:rPr>
          <w:rFonts w:eastAsia="Cambria" w:cs="Cambria"/>
          <w:b w:val="false"/>
          <w:bCs w:val="false"/>
          <w:i w:val="false"/>
          <w:iCs w:val="false"/>
          <w:sz w:val="22"/>
          <w:szCs w:val="22"/>
        </w:rPr>
        <w:t xml:space="preserve"> Angestellte müssen ebenfalls deutsche Staatsangehörige sein und Führungs- oder Spezialaufgaben erfüllen.</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Zulassung gilt zwei Jahre und lässt sich in Zwei-Jahres-Schritten unbegrenzt verlängern, solange das Unternehmen die Bedingungen erfüllt. Das Visum im Pass kann länger gültig sein als ein einzelner Aufenthalt (Reziprozitätstabelle auf travel.state.gov). Die Konsulargebühr für E-Visa beträgt 315 $, dazu die Visa Integrity Fee von 250 $; wer den Status im Inland per Formular I-129 beantragt, zahlt an USCIS 1.015 $ (kleine Betriebe 510 $). Nach Kanzleiangaben bearbeitet in Deutschland allein das Generalkonsulat Frankfurt E-Visa (prüfe das auf de.usembassy.gov). Ein Anwalt ist hier kein Luxus: Businessplan, Investitionsnachweise und die Herkunft des Geldes müssen lückenlos belegt sein.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Ehepartner darf ohne eigenen Antrag bei jedem Arbeitgeber arbeiten; Kinder unter 21 dürfen nicht arbeiten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E-2 ist keine Green-Card-Schiene: Er setzt voraus, dass du nur vorübergehend bleibst, und die Investition kommt nicht zurück, wenn das Geschäft scheitert. Plane die Green Card über einen eigenen Weg (Kapitel </w:t>
            </w:r>
            <w:hyperlink w:anchor="k6">
              <w:r>
                <w:rPr>
                  <w:rStyle w:val="ListLabel114"/>
                  <w:rFonts w:eastAsia="Cambria" w:cs="Cambria"/>
                  <w:b w:val="false"/>
                  <w:bCs w:val="false"/>
                  <w:i w:val="false"/>
                  <w:iCs w:val="false"/>
                  <w:sz w:val="20"/>
                  <w:szCs w:val="20"/>
                </w:rPr>
                <w:t>6</w:t>
              </w:r>
            </w:hyperlink>
            <w:r>
              <w:rPr>
                <w:rFonts w:eastAsia="Cambria" w:cs="Cambria"/>
                <w:b w:val="false"/>
                <w:bCs w:val="false"/>
                <w:i w:val="false"/>
                <w:iCs w:val="false"/>
                <w:sz w:val="20"/>
                <w:szCs w:val="20"/>
              </w:rPr>
              <w:t>) und behandle das Geld als Risikokapital, nicht als Guthaben, das du jederzeit zurückholst.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Miriam Scholz (fiktiv), 39, führt in Deutschland eine Designagentur. Mit Tobias (41, Projektleiter) und den Kindern Ida (8) und Ben (3) will sie in den Raum Raleigh–Durham ziehen. Sie gründet eine US-Tochter in North Carolina, die ihr zu 100 % gehört, und investiert 150.000 $ in Büro, Ausstattung, Software und die ersten Gehälter. Der Businessplan sieht drei Stellen für US-Beschäftigte binnen zwei Jahren vor; die Herkunft des Geldes belegt sie mit Kontoauszügen. Als die Überweisung der ersten Tranche bestätigt ist, klebt sie den Grundriss des künftigen Büros in Raleigh an die Küchenwand in Deutschland – von da an ist das Projekt für die ganze Familie sichtbar, nicht nur ein Ordner voller Formulare. Tobias darf als E-2-Partner ohne eigenen Antrag arbeiten, etwa bei einer US-Agentur. Ida geht zur Schule, Ben in die Vorschule. Nach zwei Jahren beantragt Miriam die Verlängerung; bis dahin muss die Firma tatsächlich laufen. Zur Green Card führt der E-2 nicht (Kapitel </w:t>
            </w:r>
            <w:hyperlink w:anchor="k6">
              <w:r>
                <w:rPr>
                  <w:rStyle w:val="ListLabel114"/>
                  <w:rFonts w:eastAsia="Cambria" w:cs="Cambria"/>
                  <w:b w:val="false"/>
                  <w:bCs w:val="false"/>
                  <w:i w:val="false"/>
                  <w:iCs w:val="false"/>
                  <w:sz w:val="20"/>
                  <w:szCs w:val="20"/>
                </w:rPr>
                <w:t>6</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J-1: Austausch auf Zeit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J-1 (</w:t>
      </w:r>
      <w:r>
        <w:rPr>
          <w:rFonts w:eastAsia="Cambria" w:cs="Cambria"/>
          <w:b w:val="false"/>
          <w:bCs w:val="false"/>
          <w:i/>
          <w:iCs/>
          <w:sz w:val="22"/>
          <w:szCs w:val="22"/>
        </w:rPr>
        <w:t>Exchange Visitor</w:t>
      </w:r>
      <w:r>
        <w:rPr>
          <w:rFonts w:eastAsia="Cambria" w:cs="Cambria"/>
          <w:b w:val="false"/>
          <w:bCs w:val="false"/>
          <w:i w:val="false"/>
          <w:iCs w:val="false"/>
          <w:sz w:val="22"/>
          <w:szCs w:val="22"/>
        </w:rPr>
        <w:t>, Austauschbesucher) ist ein Programmvisum: Ein vom Außenministerium (State Department) zugelassener Sponsor – Hochschule, Forschungsinstitut oder Vermittlungsorganisation – nimmt dich in sein Programm auf und stellt das Formular DS-2019 aus, mit dem du das Visum beantragst. Die häufigsten Programme für Deutsche:</w:t>
      </w:r>
    </w:p>
    <w:tbl>
      <w:tblPr>
        <w:tblW w:w="6480" w:type="dxa"/>
        <w:jc w:val="left"/>
        <w:tblInd w:w="0" w:type="dxa"/>
        <w:tblLayout w:type="fixed"/>
        <w:tblCellMar>
          <w:top w:w="50" w:type="dxa"/>
          <w:left w:w="80" w:type="dxa"/>
          <w:bottom w:w="50" w:type="dxa"/>
          <w:right w:w="80" w:type="dxa"/>
        </w:tblCellMar>
      </w:tblPr>
      <w:tblGrid>
        <w:gridCol w:w="1275"/>
        <w:gridCol w:w="1475"/>
        <w:gridCol w:w="3730"/>
      </w:tblGrid>
      <w:tr>
        <w:trPr>
          <w:tblHeader w:val="true"/>
          <w:cantSplit w:val="true"/>
        </w:trPr>
        <w:tc>
          <w:tcPr>
            <w:tcW w:w="127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Programm</w:t>
            </w:r>
          </w:p>
        </w:tc>
        <w:tc>
          <w:tcPr>
            <w:tcW w:w="147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Dauer</w:t>
            </w:r>
          </w:p>
        </w:tc>
        <w:tc>
          <w:tcPr>
            <w:tcW w:w="373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Voraussetzung</w:t>
            </w:r>
          </w:p>
        </w:tc>
      </w:tr>
      <w:tr>
        <w:trPr>
          <w:cantSplit w:val="true"/>
        </w:trPr>
        <w:tc>
          <w:tcPr>
            <w:tcW w:w="12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Forschende, Professoren</w:t>
            </w:r>
          </w:p>
        </w:tc>
        <w:tc>
          <w:tcPr>
            <w:tcW w:w="14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5 Jahre</w:t>
            </w:r>
          </w:p>
        </w:tc>
        <w:tc>
          <w:tcPr>
            <w:tcW w:w="373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Einladung einer US-Einrichtung</w:t>
            </w:r>
          </w:p>
        </w:tc>
      </w:tr>
      <w:tr>
        <w:trPr>
          <w:cantSplit w:val="true"/>
        </w:trPr>
        <w:tc>
          <w:tcPr>
            <w:tcW w:w="12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Trainee</w:t>
            </w:r>
          </w:p>
        </w:tc>
        <w:tc>
          <w:tcPr>
            <w:tcW w:w="14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18 Monate</w:t>
            </w:r>
          </w:p>
        </w:tc>
        <w:tc>
          <w:tcPr>
            <w:tcW w:w="373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Abschluss und ein Jahr Erfahrung oder fünf Jahre Berufserfahrung</w:t>
            </w:r>
          </w:p>
        </w:tc>
      </w:tr>
      <w:tr>
        <w:trPr>
          <w:cantSplit w:val="true"/>
        </w:trPr>
        <w:tc>
          <w:tcPr>
            <w:tcW w:w="12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Intern (Praktikum)</w:t>
            </w:r>
          </w:p>
        </w:tc>
        <w:tc>
          <w:tcPr>
            <w:tcW w:w="14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12 Monate</w:t>
            </w:r>
          </w:p>
        </w:tc>
        <w:tc>
          <w:tcPr>
            <w:tcW w:w="373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 Ausland eingeschrieben oder Abschluss vor weniger als zwölf Monaten</w:t>
            </w:r>
          </w:p>
        </w:tc>
      </w:tr>
      <w:tr>
        <w:trPr>
          <w:cantSplit w:val="true"/>
        </w:trPr>
        <w:tc>
          <w:tcPr>
            <w:tcW w:w="12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Au-pair</w:t>
            </w:r>
          </w:p>
        </w:tc>
        <w:tc>
          <w:tcPr>
            <w:tcW w:w="14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 Monate, plus 6, 9 oder 12</w:t>
            </w:r>
          </w:p>
        </w:tc>
        <w:tc>
          <w:tcPr>
            <w:tcW w:w="373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 bis 26 Jahre</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fünf Jahren als Forschender gilt eine Sperre von zwei Jahren für eine Wiederholung. Trainees und Interns brauchen einen Ausbildungsplan (Formular DS-7002), mindestens 32 Wochenstunden und höchstens 20 % Büroarbeit. Au-pairs betreuen bis zu 45 Stunden pro Woche Kinder und belegen Kurse im Umfang von sechs Semesterstunden; die Gastfamilie zahlt bis zu 500 $ dazu, mindestens 195,75 $ Taschengeld pro Woche (Stand 2026, nach Angaben von Vermittlern).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An Gebühren fallen an: die SEVIS-Gebühr von 220 $ (Au-pairs 35 $), die Konsulargebühr von 185 $ und die stark schwankenden Programmgebühren des Sponsors. Der Partner erhält den Status J-2 und kann eine Arbeitserlaubnis beantragen (Formular I-765, 520 $ Papier, 470 $ online) – anders als bei L-2 und E-2 nicht automatisch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 Für Studierende und Promovierende gilt meist der F-1 (Kapitel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als Forschender an eine Hochschule kommt, kann später oft ohne Lotterie in einen H-1B derselben Einrichtung wechseln, denn Hochschulen sind von der Quote befreit (</w:t>
      </w:r>
      <w:r>
        <w:rPr>
          <w:rFonts w:eastAsia="Cambria" w:cs="Cambria"/>
          <w:b w:val="false"/>
          <w:bCs w:val="false"/>
          <w:i/>
          <w:iCs/>
          <w:sz w:val="22"/>
          <w:szCs w:val="22"/>
        </w:rPr>
        <w:t>Cap-exempt</w:t>
      </w:r>
      <w:r>
        <w:rPr>
          <w:rFonts w:eastAsia="Cambria" w:cs="Cambria"/>
          <w:b w:val="false"/>
          <w:bCs w:val="false"/>
          <w:i w:val="false"/>
          <w:iCs w:val="false"/>
          <w:sz w:val="22"/>
          <w:szCs w:val="22"/>
        </w:rPr>
        <w:t>;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 vorausgesetzt, die Zwei-Jahres-Regel steht nicht im Weg.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Falle steht in Paragraf 212(e) des Einwanderungsgesetzes, der Zwei-Jahres-Regel (</w:t>
            </w:r>
            <w:r>
              <w:rPr>
                <w:rFonts w:eastAsia="Cambria" w:cs="Cambria"/>
                <w:b w:val="false"/>
                <w:bCs w:val="false"/>
                <w:i/>
                <w:iCs/>
                <w:sz w:val="20"/>
                <w:szCs w:val="20"/>
              </w:rPr>
              <w:t>Two-Year Home Residency Requirement</w:t>
            </w:r>
            <w:r>
              <w:rPr>
                <w:rFonts w:eastAsia="Cambria" w:cs="Cambria"/>
                <w:b w:val="false"/>
                <w:bCs w:val="false"/>
                <w:i w:val="false"/>
                <w:iCs w:val="false"/>
                <w:sz w:val="20"/>
                <w:szCs w:val="20"/>
              </w:rPr>
              <w:t>): Wer ihr unterliegt, muss zwei Jahre im Heimatland gelebt oder einen Verzicht (</w:t>
            </w:r>
            <w:r>
              <w:rPr>
                <w:rFonts w:eastAsia="Cambria" w:cs="Cambria"/>
                <w:b w:val="false"/>
                <w:bCs w:val="false"/>
                <w:i/>
                <w:iCs/>
                <w:sz w:val="20"/>
                <w:szCs w:val="20"/>
              </w:rPr>
              <w:t>Waiver</w:t>
            </w:r>
            <w:r>
              <w:rPr>
                <w:rFonts w:eastAsia="Cambria" w:cs="Cambria"/>
                <w:b w:val="false"/>
                <w:bCs w:val="false"/>
                <w:i w:val="false"/>
                <w:iCs w:val="false"/>
                <w:sz w:val="20"/>
                <w:szCs w:val="20"/>
              </w:rPr>
              <w:t>) erhalten haben, bevor er in einen H- oder L-Status oder in die Green Card wechseln darf. Deutschland steht seit der Revision der Fachkräfteliste vom 9. Dezember 2024 nicht darauf. Die Regel greift aber auch bei staatlicher Finanzierung, etwa durch US-Regierungsgeld wie bei Fulbright, und bei ärztlicher Ausbildung. Nach Auskunft von Hochschulbüros ist ein Verzicht bei US-Regierungsgeld kaum zu bekommen, bei Förderung durch die Heimatregierung gelingt er oft mit einer Unbedenklichkeitserklärung (</w:t>
            </w:r>
            <w:r>
              <w:rPr>
                <w:rFonts w:eastAsia="Cambria" w:cs="Cambria"/>
                <w:b w:val="false"/>
                <w:bCs w:val="false"/>
                <w:i/>
                <w:iCs/>
                <w:sz w:val="20"/>
                <w:szCs w:val="20"/>
              </w:rPr>
              <w:t>No Objection Letter</w:t>
            </w:r>
            <w:r>
              <w:rPr>
                <w:rFonts w:eastAsia="Cambria" w:cs="Cambria"/>
                <w:b w:val="false"/>
                <w:bCs w:val="false"/>
                <w:i w:val="false"/>
                <w:iCs w:val="false"/>
                <w:sz w:val="20"/>
                <w:szCs w:val="20"/>
              </w:rPr>
              <w:t>). Frage den Sponsor vor der Zusage schriftlich, ob die Regel für dich gilt.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ESTA und B-1/B-2: was erlaubt ist und was nicht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Deutsche reisen für Geschäft oder Tourismus bis zu 90 Tage ohne Visum ein (</w:t>
      </w:r>
      <w:r>
        <w:rPr>
          <w:rFonts w:eastAsia="Cambria" w:cs="Cambria"/>
          <w:b w:val="false"/>
          <w:bCs w:val="false"/>
          <w:i/>
          <w:iCs/>
          <w:sz w:val="22"/>
          <w:szCs w:val="22"/>
        </w:rPr>
        <w:t>Visa Waiver Program</w:t>
      </w:r>
      <w:r>
        <w:rPr>
          <w:rFonts w:eastAsia="Cambria" w:cs="Cambria"/>
          <w:b w:val="false"/>
          <w:bCs w:val="false"/>
          <w:i w:val="false"/>
          <w:iCs w:val="false"/>
          <w:sz w:val="22"/>
          <w:szCs w:val="22"/>
        </w:rPr>
        <w:t>), mit einer Reisegenehmigung namens ESTA (</w:t>
      </w:r>
      <w:r>
        <w:rPr>
          <w:rFonts w:eastAsia="Cambria" w:cs="Cambria"/>
          <w:b w:val="false"/>
          <w:bCs w:val="false"/>
          <w:i/>
          <w:iCs/>
          <w:sz w:val="22"/>
          <w:szCs w:val="22"/>
        </w:rPr>
        <w:t>Electronic System for Travel Authorization</w:t>
      </w:r>
      <w:r>
        <w:rPr>
          <w:rFonts w:eastAsia="Cambria" w:cs="Cambria"/>
          <w:b w:val="false"/>
          <w:bCs w:val="false"/>
          <w:i w:val="false"/>
          <w:iCs w:val="false"/>
          <w:sz w:val="22"/>
          <w:szCs w:val="22"/>
        </w:rPr>
        <w:t>). Sie kostet 40 $ (seit 30. September 2025) und ist keine Einreisegarantie: Über die Einreise entscheidet der Grenzschutz CBP an der Grenze. Der Aufenthalt lässt sich nicht verlängern, aus dem ESTA-Aufenthalt heraus ist kein Statuswechsel möglich, etwa in den H-1B oder F-1. Wer länger bleiben will oder ESTA nicht nutzen kann, beantragt ein B-1/B-2-Besuchervisum; der Aufenthalt beträgt dann meist bis zu sechs Monate.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Beantrage ESTA nur über die offizielle Seite esta.cbp.dhs.gov (40 $). Drittanbieter mit ähnlich klingenden Adressen verlangen Aufschläge für dasselbe Formular.</w:t>
            </w:r>
          </w:p>
        </w:tc>
      </w:tr>
    </w:tbl>
    <w:p>
      <w:pPr>
        <w:pStyle w:val="Normal"/>
        <w:spacing w:lineRule="exact" w:line="220" w:before="0" w:after="0"/>
        <w:rPr/>
      </w:pPr>
      <w:r>
        <w:rPr/>
      </w:r>
    </w:p>
    <w:tbl>
      <w:tblPr>
        <w:tblW w:w="6480" w:type="dxa"/>
        <w:jc w:val="left"/>
        <w:tblInd w:w="0" w:type="dxa"/>
        <w:tblLayout w:type="fixed"/>
        <w:tblCellMar>
          <w:top w:w="50" w:type="dxa"/>
          <w:left w:w="80" w:type="dxa"/>
          <w:bottom w:w="50" w:type="dxa"/>
          <w:right w:w="80" w:type="dxa"/>
        </w:tblCellMar>
      </w:tblPr>
      <w:tblGrid>
        <w:gridCol w:w="2726"/>
        <w:gridCol w:w="3753"/>
      </w:tblGrid>
      <w:tr>
        <w:trPr>
          <w:tblHeader w:val="true"/>
          <w:cantSplit w:val="true"/>
        </w:trPr>
        <w:tc>
          <w:tcPr>
            <w:tcW w:w="272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Erlaubt (B-1 und ESTA)</w:t>
            </w:r>
          </w:p>
        </w:tc>
        <w:tc>
          <w:tcPr>
            <w:tcW w:w="375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Nicht erlaubt</w:t>
            </w:r>
          </w:p>
        </w:tc>
      </w:tr>
      <w:tr>
        <w:trPr>
          <w:cantSplit w:val="true"/>
        </w:trPr>
        <w:tc>
          <w:tcPr>
            <w:tcW w:w="27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Meetings, Konferenzen, Messen</w:t>
            </w:r>
          </w:p>
        </w:tc>
        <w:tc>
          <w:tcPr>
            <w:tcW w:w="37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Am Laptop für den deutschen Arbeitgeber arbeiten, auch remote</w:t>
            </w:r>
          </w:p>
        </w:tc>
      </w:tr>
      <w:tr>
        <w:trPr>
          <w:cantSplit w:val="true"/>
        </w:trPr>
        <w:tc>
          <w:tcPr>
            <w:tcW w:w="27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Verträge verhandeln, Kunden treffen</w:t>
            </w:r>
          </w:p>
        </w:tc>
        <w:tc>
          <w:tcPr>
            <w:tcW w:w="37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Bezahlte oder unbezahlte Mitarbeit in einer US-Firma</w:t>
            </w:r>
          </w:p>
        </w:tc>
      </w:tr>
      <w:tr>
        <w:trPr>
          <w:cantSplit w:val="true"/>
        </w:trPr>
        <w:tc>
          <w:tcPr>
            <w:tcW w:w="27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Vorstellungsgespräche in den USA</w:t>
            </w:r>
          </w:p>
        </w:tc>
        <w:tc>
          <w:tcPr>
            <w:tcW w:w="37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Probearbeiten, Praktikum, Einarbeitung</w:t>
            </w:r>
          </w:p>
        </w:tc>
      </w:tr>
      <w:tr>
        <w:trPr>
          <w:cantSplit w:val="true"/>
        </w:trPr>
        <w:tc>
          <w:tcPr>
            <w:tcW w:w="27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Wohnungen, Schulen, Städte besichtigen</w:t>
            </w:r>
          </w:p>
        </w:tc>
        <w:tc>
          <w:tcPr>
            <w:tcW w:w="37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Aufträge für US-Kunden ausführen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Maßstab ist die Vorschrift 22 CFR 41.31: Ausgeschlossen sind Beschäftigung vor Ort und Arbeit gegen Bezahlung (</w:t>
      </w:r>
      <w:r>
        <w:rPr>
          <w:rFonts w:eastAsia="Cambria" w:cs="Cambria"/>
          <w:b w:val="false"/>
          <w:bCs w:val="false"/>
          <w:i/>
          <w:iCs/>
          <w:sz w:val="22"/>
          <w:szCs w:val="22"/>
        </w:rPr>
        <w:t>local employment or labor for hire</w:t>
      </w:r>
      <w:r>
        <w:rPr>
          <w:rFonts w:eastAsia="Cambria" w:cs="Cambria"/>
          <w:b w:val="false"/>
          <w:bCs w:val="false"/>
          <w:i w:val="false"/>
          <w:iCs w:val="false"/>
          <w:sz w:val="22"/>
          <w:szCs w:val="22"/>
        </w:rPr>
        <w:t>), auch unbezahlte produktive Arbeit für US-Quellen zählt dazu. Dass dein Arbeitgeber in Deutschland sitzt und das Gehalt auf ein deutsches Konto fließt, ändert daran nichts: Arbeit auf US-Boden bleibt Arbeit in den USA. Bei einzelnen E-Mails am Flughafen gibt es Grauzonen, aber keinen sicheren Hafen (</w:t>
      </w:r>
      <w:r>
        <w:rPr>
          <w:rFonts w:eastAsia="Cambria" w:cs="Cambria"/>
          <w:b w:val="false"/>
          <w:bCs w:val="false"/>
          <w:i/>
          <w:iCs/>
          <w:sz w:val="22"/>
          <w:szCs w:val="22"/>
        </w:rPr>
        <w:t>Safe Harbor</w:t>
      </w:r>
      <w:r>
        <w:rPr>
          <w:rFonts w:eastAsia="Cambria" w:cs="Cambria"/>
          <w:b w:val="false"/>
          <w:bCs w:val="false"/>
          <w:i w:val="false"/>
          <w:iCs w:val="false"/>
          <w:sz w:val="22"/>
          <w:szCs w:val="22"/>
        </w:rPr>
        <w:t>); wer wochenlang von Austin aus Projekte für Berlin bearbeitet, arbeitet. Der Laptop merkt nicht, in welchem Land er steht – die Einwanderungsbehörde schon. Vorstellungsgespräche sind nach gängiger Auslegung der Regeln des Außenministeriums zulässig, eine Bezahlung durch US-Quellen nicht (Auslagenerstattung ausgenommen).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Homeoffice für den deutschen Arbeitgeber sei überall auf der Welt erlaubt, solange das Gehalt weiter in Deutschland versteuert wird. Steuerlich bleibt bei kurzen Aufenthalten oft Deutschland zuständig (Doppelbesteuerungsabkommen, Art. 15: höchstens 183 Tage im Kalenderjahr, kein US-Arbeitgeber, keine US-Betriebsstätte); aufenthaltsrechtlich rettet dich das nicht. Die Pflicht, Social-Media-Konten der letzten fünf Jahre anzugeben, ist für ESTA Stand 20.09.2026 nur vorgeschlagen (Entwurf vom 10. Dezember 2025), einen Starttermin gibt es nicht.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Arbeit auf ESTA oder B-1 kann zu Einreiseverweigerung, Visaentzug und Sperren für ESTA und spätere Visa führen. Wer sie bei einem späteren Antrag verschweigt, riskiert den Vorwurf der Falschangabe, mit möglicher Dauersperre – für den H-1B oder die Green Card der teuerste Fehler, den man vermeiden kann.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Green-Card-Lotterie: Stand und Vorsicht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w:t>
      </w:r>
      <w:r>
        <w:rPr>
          <w:rFonts w:eastAsia="Cambria" w:cs="Cambria"/>
          <w:b w:val="false"/>
          <w:bCs w:val="false"/>
          <w:i/>
          <w:iCs/>
          <w:sz w:val="22"/>
          <w:szCs w:val="22"/>
        </w:rPr>
        <w:t>Diversity Visa Program</w:t>
      </w:r>
      <w:r>
        <w:rPr>
          <w:rFonts w:eastAsia="Cambria" w:cs="Cambria"/>
          <w:b w:val="false"/>
          <w:bCs w:val="false"/>
          <w:i w:val="false"/>
          <w:iCs w:val="false"/>
          <w:sz w:val="22"/>
          <w:szCs w:val="22"/>
        </w:rPr>
        <w:t xml:space="preserve"> verlost jährlich 55.000 Green Cards an Staatsangehörige von Ländern mit geringer Einwanderung in die USA. Deutsche waren zuletzt teilnahmeberechtigt: Deutschland stand nicht auf der Ausschlussliste für DV-2026. Voraussetzung ist ein Schulabschluss oder qualifizierte Berufserfahrung, die Chancen sind gering: Bei DV-2026 standen rund 20,8 Millionen Einträgen rund 129.500 Ausgewählte und 55.000 Visa gegenüber, ausgewählt wurden also gut 0,6 % der Einträge, und auch die Auswahl garantiert kein Visum. Der Stand am 20. September 2026:</w:t>
      </w:r>
    </w:p>
    <w:p>
      <w:pPr>
        <w:pStyle w:val="ListParagraph"/>
        <w:numPr>
          <w:ilvl w:val="0"/>
          <w:numId w:val="1"/>
        </w:numPr>
        <w:spacing w:lineRule="exact" w:line="288" w:before="0" w:after="60"/>
        <w:rPr/>
      </w:pPr>
      <w:r>
        <w:rPr>
          <w:rFonts w:eastAsia="Cambria" w:cs="Cambria"/>
          <w:b/>
          <w:bCs/>
          <w:i w:val="false"/>
          <w:iCs w:val="false"/>
          <w:sz w:val="22"/>
          <w:szCs w:val="22"/>
        </w:rPr>
        <w:t>DV-2027:</w:t>
      </w:r>
      <w:r>
        <w:rPr>
          <w:rFonts w:eastAsia="Cambria" w:cs="Cambria"/>
          <w:b w:val="false"/>
          <w:bCs w:val="false"/>
          <w:i w:val="false"/>
          <w:iCs w:val="false"/>
          <w:sz w:val="22"/>
          <w:szCs w:val="22"/>
        </w:rPr>
        <w:t xml:space="preserve"> Die Registrierung hat nie geöffnet. Das Außenministerium kündigte am 5. November 2025 an, den Start „so bald wie praktikabel“ bekanntzugeben; einen Termin gibt es nicht. Für DV-2028 ebenfalls nicht.</w:t>
      </w:r>
    </w:p>
    <w:p>
      <w:pPr>
        <w:pStyle w:val="ListParagraph"/>
        <w:numPr>
          <w:ilvl w:val="0"/>
          <w:numId w:val="1"/>
        </w:numPr>
        <w:spacing w:lineRule="exact" w:line="288" w:before="0" w:after="60"/>
        <w:rPr/>
      </w:pPr>
      <w:r>
        <w:rPr>
          <w:rFonts w:eastAsia="Cambria" w:cs="Cambria"/>
          <w:b/>
          <w:bCs/>
          <w:i w:val="false"/>
          <w:iCs w:val="false"/>
          <w:sz w:val="22"/>
          <w:szCs w:val="22"/>
        </w:rPr>
        <w:t>Neue Regeln:</w:t>
      </w:r>
      <w:r>
        <w:rPr>
          <w:rFonts w:eastAsia="Cambria" w:cs="Cambria"/>
          <w:b w:val="false"/>
          <w:bCs w:val="false"/>
          <w:i w:val="false"/>
          <w:iCs w:val="false"/>
          <w:sz w:val="22"/>
          <w:szCs w:val="22"/>
        </w:rPr>
        <w:t xml:space="preserve"> eine Registrierungsgebühr von 1 $ (Regel vom 16. September 2025) und ein Passscan (gültig seit 10. April 2026; nach Kanzleiangaben).</w:t>
      </w:r>
    </w:p>
    <w:p>
      <w:pPr>
        <w:pStyle w:val="ListParagraph"/>
        <w:numPr>
          <w:ilvl w:val="0"/>
          <w:numId w:val="1"/>
        </w:numPr>
        <w:spacing w:lineRule="exact" w:line="288" w:before="0" w:after="60"/>
        <w:rPr/>
      </w:pPr>
      <w:r>
        <w:rPr>
          <w:rFonts w:eastAsia="Cambria" w:cs="Cambria"/>
          <w:b/>
          <w:bCs/>
          <w:i w:val="false"/>
          <w:iCs w:val="false"/>
          <w:sz w:val="22"/>
          <w:szCs w:val="22"/>
        </w:rPr>
        <w:t>DV-2026:</w:t>
      </w:r>
      <w:r>
        <w:rPr>
          <w:rFonts w:eastAsia="Cambria" w:cs="Cambria"/>
          <w:b w:val="false"/>
          <w:bCs w:val="false"/>
          <w:i w:val="false"/>
          <w:iCs w:val="false"/>
          <w:sz w:val="22"/>
          <w:szCs w:val="22"/>
        </w:rPr>
        <w:t xml:space="preserve"> Die Visavergabe war seit Dezember 2025 ausgesetzt. Am 28. August 2026 hob ein Bundesgericht die Aussetzung per einstweiliger Verfügung auf; das Außenministerium meldete am 31. August 2026 die Wiederaufnahme. Das Programmjahr endet am 30. September 2026, nicht ausgestellte Visa verfallen dann.</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Als Planungsgrundlage taugt die Lotterie unter diesen Umständen nicht. Öffnet die Registrierung wieder, ist die Teilnahme ein Lotterielos, kein Plan.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Melde dich nur über dvprogram.state.gov an. US-Vertretungen warnen vor Betrügern, die eine Anmeldung zu DV-2027 anbieten, obwohl sie gar nicht geöffnet ist. Wer für „bessere Chancen“ oder ein „garantiertes“ Ergebnis Geld verlangt, gehört nicht zum offiziellen Verfahren.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Heirat und Verlobtenvisum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Ehe mit einem US-Bürger oder einer US-Bürgerin ist ein echter Einwanderungsweg, aber keiner, den man sich zum Zweck der Einreise aussucht; eine Ehe nur für die Papiere ist strafbar. Es gibt zwei Routen (Green Card: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Rolle des Partners: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Verlobtenvisum K-1 (</w:t>
      </w:r>
      <w:r>
        <w:rPr>
          <w:rFonts w:eastAsia="Cambria" w:cs="Cambria"/>
          <w:b/>
          <w:bCs/>
          <w:i/>
          <w:iCs/>
          <w:sz w:val="22"/>
          <w:szCs w:val="22"/>
        </w:rPr>
        <w:t>Fiancé(e) Visa</w:t>
      </w:r>
      <w:r>
        <w:rPr>
          <w:rFonts w:eastAsia="Cambria" w:cs="Cambria"/>
          <w:b/>
          <w:bCs/>
          <w:i w:val="false"/>
          <w:iCs w:val="false"/>
          <w:sz w:val="22"/>
          <w:szCs w:val="22"/>
        </w:rPr>
        <w:t>):</w:t>
      </w:r>
      <w:r>
        <w:rPr>
          <w:rFonts w:eastAsia="Cambria" w:cs="Cambria"/>
          <w:b w:val="false"/>
          <w:bCs w:val="false"/>
          <w:i w:val="false"/>
          <w:iCs w:val="false"/>
          <w:sz w:val="22"/>
          <w:szCs w:val="22"/>
        </w:rPr>
        <w:t xml:space="preserve"> Der US-Partner beantragt es mit Formular I-129F (675 $); das Paar muss sich in den zwei Jahren davor persönlich begegnet sein. Die Konsulargebühr für K-Visa beträgt 265 $. Nach der Einreise musst du innerhalb von 90 Tagen heiraten und danach die Green Card beantragen (Formular I-485: 1.440 $ Papier, 1.390 $ online). Kanzleiangaben für 2026: USCIS braucht für den Antrag rund ein Jahr, dazu einige Monate beim Konsulat.</w:t>
      </w:r>
    </w:p>
    <w:p>
      <w:pPr>
        <w:pStyle w:val="ListParagraph"/>
        <w:numPr>
          <w:ilvl w:val="0"/>
          <w:numId w:val="1"/>
        </w:numPr>
        <w:spacing w:lineRule="exact" w:line="288" w:before="0" w:after="60"/>
        <w:rPr/>
      </w:pPr>
      <w:r>
        <w:rPr>
          <w:rFonts w:eastAsia="Cambria" w:cs="Cambria"/>
          <w:b/>
          <w:bCs/>
          <w:i w:val="false"/>
          <w:iCs w:val="false"/>
          <w:sz w:val="22"/>
          <w:szCs w:val="22"/>
        </w:rPr>
        <w:t>Ehegattenvisum (IR-1 oder CR-1):</w:t>
      </w:r>
      <w:r>
        <w:rPr>
          <w:rFonts w:eastAsia="Cambria" w:cs="Cambria"/>
          <w:b w:val="false"/>
          <w:bCs w:val="false"/>
          <w:i w:val="false"/>
          <w:iCs w:val="false"/>
          <w:sz w:val="22"/>
          <w:szCs w:val="22"/>
        </w:rPr>
        <w:t xml:space="preserve"> Zuerst wird geheiratet, auch in Deutschland. Dann beantragt der US-Partner das Formular I-130 (675 $ Papier, 625 $ online); es folgt das Konsularverfahren, und du reist mit der Green Card ein. Kanzleien nennen für 2026 etwa 14 bis 24 Monate. Bestand die Ehe bei der Einreise weniger als zwei Jahre, erhältst du zunächst eine bedingte Green Card.</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Ist der Partner nur Green-Card-Inhaber und kein Staatsbürger, gelten Wartezeiten nach dem </w:t>
      </w:r>
      <w:r>
        <w:rPr>
          <w:rFonts w:eastAsia="Cambria" w:cs="Cambria"/>
          <w:b w:val="false"/>
          <w:bCs w:val="false"/>
          <w:i/>
          <w:iCs/>
          <w:sz w:val="22"/>
          <w:szCs w:val="22"/>
        </w:rPr>
        <w:t>Visa Bulletin</w:t>
      </w:r>
      <w:r>
        <w:rPr>
          <w:rFonts w:eastAsia="Cambria" w:cs="Cambria"/>
          <w:b w:val="false"/>
          <w:bCs w:val="false"/>
          <w:i w:val="false"/>
          <w:iCs w:val="false"/>
          <w:sz w:val="22"/>
          <w:szCs w:val="22"/>
        </w:rPr>
        <w:t xml:space="preserve">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US-Partner unterschreibt eine Verpflichtungserklärung (</w:t>
            </w:r>
            <w:r>
              <w:rPr>
                <w:rFonts w:eastAsia="Cambria" w:cs="Cambria"/>
                <w:b w:val="false"/>
                <w:bCs w:val="false"/>
                <w:i/>
                <w:iCs/>
                <w:sz w:val="20"/>
                <w:szCs w:val="20"/>
              </w:rPr>
              <w:t>Affidavit of Support</w:t>
            </w:r>
            <w:r>
              <w:rPr>
                <w:rFonts w:eastAsia="Cambria" w:cs="Cambria"/>
                <w:b w:val="false"/>
                <w:bCs w:val="false"/>
                <w:i w:val="false"/>
                <w:iCs w:val="false"/>
                <w:sz w:val="20"/>
                <w:szCs w:val="20"/>
              </w:rPr>
              <w:t>, Formular I-864) und muss ein Einkommen von mindestens 125 % der Armutsgrenze nachweisen; diese Pflicht endet in der Regel nicht durch Scheidung. Und wer mit ESTA einreist, um vor Ort zu heiraten und zu bleiben, riskiert den Vorwurf der Täuschung, wenn die Absicht schon bei der Einreise bestand. Lass beides von einem Anwalt prüfen.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EB-5 und Gold Card: Wege für Vermögende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EB-5 ist die Investoren-Green-Card. Du investierst 800.000 $ in ein Projekt in einer ländlichen Region, einem Gebiet mit hoher Arbeitslosigkeit oder in Infrastruktur (</w:t>
      </w:r>
      <w:r>
        <w:rPr>
          <w:rFonts w:eastAsia="Cambria" w:cs="Cambria"/>
          <w:b w:val="false"/>
          <w:bCs w:val="false"/>
          <w:i/>
          <w:iCs/>
          <w:sz w:val="22"/>
          <w:szCs w:val="22"/>
        </w:rPr>
        <w:t>Targeted Employment Area</w:t>
      </w:r>
      <w:r>
        <w:rPr>
          <w:rFonts w:eastAsia="Cambria" w:cs="Cambria"/>
          <w:b w:val="false"/>
          <w:bCs w:val="false"/>
          <w:i w:val="false"/>
          <w:iCs w:val="false"/>
          <w:sz w:val="22"/>
          <w:szCs w:val="22"/>
        </w:rPr>
        <w:t>), sonst 1.050.000 $; dein Kapital muss mindestens zehn Vollzeitstellen für US-Beschäftigte schaffen. Rund 10.000 Visa gibt es pro Jahr; die Regionalzentren, über die viele Investoren einsteigen, sind bis 30. September 2027 zugelassen. An USCIS zahlst du für die Petition (I-526E) 3.675 $ plus 1.000 $ Integritätsfonds-Gebühr und später 3.750 $ für die Aufhebung der Bedingungen (I-829). Die Beträge stammen aus dem Gebührenblatt G-1055 (Ausgabe 09.09.2026), sind aber umstritten; prüfe das aktuelle Blatt. Dazu kommen Anwalts- und Projektkosten. Das Kapital ist Risikokapital; für die typische Fachkraft ist der EB-5 kein realistischer Weg.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eine I-526E-Petition bis zum 30. September 2026 einreicht, sichert sich die heutigen Investitionssummen (800.000 $ bzw. 1.050.000 $) für dieses Verfahren dauerhaft ab (</w:t>
            </w:r>
            <w:r>
              <w:rPr>
                <w:rFonts w:eastAsia="Cambria" w:cs="Cambria"/>
                <w:b w:val="false"/>
                <w:bCs w:val="false"/>
                <w:i/>
                <w:iCs/>
                <w:sz w:val="20"/>
                <w:szCs w:val="20"/>
              </w:rPr>
              <w:t>Grandfathering</w:t>
            </w:r>
            <w:r>
              <w:rPr>
                <w:rFonts w:eastAsia="Cambria" w:cs="Cambria"/>
                <w:b w:val="false"/>
                <w:bCs w:val="false"/>
                <w:i w:val="false"/>
                <w:iCs w:val="false"/>
                <w:sz w:val="20"/>
                <w:szCs w:val="20"/>
              </w:rPr>
              <w:t>), danach drohen höhere Beträge ab 2027. Für die ohnehin seltene Zielgruppe dieses Wegs ist das eine sehr kurzfristige Frist – prüfe sofort mit einer Kanzlei, ob das noch machbar ist.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Nur als Randnotiz mit klarer Warnung: Die „Gold Card“ (Executive Order 14351 vom 19. September 2025) verspricht eine Green Card in den Kategorien EB-1 oder EB-2 gegen ein „Geschenk“ von 1 Million $ (Unternehmen: 2 Millionen $ je Person) plus 15.000 $ Gebühr. Nach Presse- und Kanzleiberichten gab es bis Juli 2026 wenige hundert Anträge und eine einzige Genehmigung (April 2026, laut US-Handelsminister); gegen das Programm läuft eine Klage (AAUP gegen DHS, Bundesgericht in Washington). Wer eine reguläre Karte erhält, wird als Green-Card-Inhaber weltweit besteuert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xml:space="preserve"> und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 für die Lebensplanung ist sie nicht geeignet.</w:t>
      </w:r>
    </w:p>
    <w:p>
      <w:pPr>
        <w:pStyle w:val="Heading3"/>
        <w:keepNext w:val="true"/>
        <w:spacing w:before="280" w:after="100"/>
        <w:jc w:val="center"/>
        <w:rPr/>
      </w:pPr>
      <w:r>
        <w:rPr>
          <w:rFonts w:eastAsia="Amazon Ember" w:cs="Amazon Ember" w:ascii="Amazon Ember" w:hAnsi="Amazon Ember"/>
          <w:b/>
          <w:bCs/>
          <w:color w:val="0000FF"/>
          <w:sz w:val="36"/>
          <w:szCs w:val="36"/>
        </w:rPr>
        <w:t>Selbständige, Freiberufler, digitale Nomaden: die Falle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Es gibt kein Freelancer-Visum und kein Digital-Nomad-Visum. Der Traum vom Laptop in Austin mit Kunden in Europa hat aufenthaltsrechtlich keine Grundlage (Stand 2026). H-1B, L-1 und O-1 sind an einen Arbeitgeber oder einen Agenten gebunden, eigene Aufträge nebenher sind damit nicht erlaubt. Das gilt auch für ESTA und B-1, siehe oben.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Was dir bleibt: eine eigene US-Firma mit E-2, wenn du das Kapital hast; eine US-Niederlassung deiner bestehenden Firma per L-1A (siehe unten); der O-1 über einen Agenten, wenn du Spitzenleistung nachweist; eine Anstellung mit Sponsor, bei der die Selbständigkeit ruht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Green Card und Ehe, mit denen du frei arbeiten darfst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Steuerlich kommt ein zweites Thema dazu: Wer sich lange aufhält, wird in den USA steuerlich ansässig. Der </w:t>
      </w:r>
      <w:r>
        <w:rPr>
          <w:rFonts w:eastAsia="Cambria" w:cs="Cambria"/>
          <w:b w:val="false"/>
          <w:bCs w:val="false"/>
          <w:i/>
          <w:iCs/>
          <w:sz w:val="22"/>
          <w:szCs w:val="22"/>
        </w:rPr>
        <w:t>Substantial Presence Test</w:t>
      </w:r>
      <w:r>
        <w:rPr>
          <w:rFonts w:eastAsia="Cambria" w:cs="Cambria"/>
          <w:b w:val="false"/>
          <w:bCs w:val="false"/>
          <w:i w:val="false"/>
          <w:iCs w:val="false"/>
          <w:sz w:val="22"/>
          <w:szCs w:val="22"/>
        </w:rPr>
        <w:t xml:space="preserve"> zählt Tage: mindestens 31 Tage im laufenden Jahr und 183 gewichtete Tage (das laufende Jahr voll, das Vorjahr zu einem Drittel, das Jahr davor zu einem Sechstel) – das hat mit der Aufenthaltserlaubnis nichts zu tun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Entscheidend ist der Ort, an dem du arbeitest, nicht der Sitz deines Arbeitgebers und nicht das Konto, auf dem das Geld landet.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Start-up-Gründung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Eine Firma in Delaware online zu gründen, dauert einen Nachmittag; ein Aufenthaltsrecht folgt daraus nicht. Für Gründerinnen und Gründer kommen diese Wege infrage:</w:t>
      </w:r>
    </w:p>
    <w:p>
      <w:pPr>
        <w:pStyle w:val="ListParagraph"/>
        <w:numPr>
          <w:ilvl w:val="0"/>
          <w:numId w:val="1"/>
        </w:numPr>
        <w:spacing w:lineRule="exact" w:line="288" w:before="0" w:after="60"/>
        <w:rPr/>
      </w:pPr>
      <w:r>
        <w:rPr>
          <w:rFonts w:eastAsia="Cambria" w:cs="Cambria"/>
          <w:b/>
          <w:bCs/>
          <w:i w:val="false"/>
          <w:iCs w:val="false"/>
          <w:sz w:val="22"/>
          <w:szCs w:val="22"/>
        </w:rPr>
        <w:t>E-2:</w:t>
      </w:r>
      <w:r>
        <w:rPr>
          <w:rFonts w:eastAsia="Cambria" w:cs="Cambria"/>
          <w:b w:val="false"/>
          <w:bCs w:val="false"/>
          <w:i w:val="false"/>
          <w:iCs w:val="false"/>
          <w:sz w:val="22"/>
          <w:szCs w:val="22"/>
        </w:rPr>
        <w:t xml:space="preserve"> Du investierst eigenes Kapital in die US-Firma (siehe oben). Das ist der häufigste Gründerweg für Deutsche.</w:t>
      </w:r>
    </w:p>
    <w:p>
      <w:pPr>
        <w:pStyle w:val="ListParagraph"/>
        <w:numPr>
          <w:ilvl w:val="0"/>
          <w:numId w:val="1"/>
        </w:numPr>
        <w:spacing w:lineRule="exact" w:line="288" w:before="0" w:after="60"/>
        <w:rPr/>
      </w:pPr>
      <w:r>
        <w:rPr>
          <w:rFonts w:eastAsia="Cambria" w:cs="Cambria"/>
          <w:b/>
          <w:bCs/>
          <w:i w:val="false"/>
          <w:iCs w:val="false"/>
          <w:sz w:val="22"/>
          <w:szCs w:val="22"/>
        </w:rPr>
        <w:t>L-1A mit neuem Büro (</w:t>
      </w:r>
      <w:r>
        <w:rPr>
          <w:rFonts w:eastAsia="Cambria" w:cs="Cambria"/>
          <w:b/>
          <w:bCs/>
          <w:i/>
          <w:iCs/>
          <w:sz w:val="22"/>
          <w:szCs w:val="22"/>
        </w:rPr>
        <w:t>New Office</w:t>
      </w:r>
      <w:r>
        <w:rPr>
          <w:rFonts w:eastAsia="Cambria" w:cs="Cambria"/>
          <w:b/>
          <w:bCs/>
          <w:i w:val="false"/>
          <w:iCs w:val="false"/>
          <w:sz w:val="22"/>
          <w:szCs w:val="22"/>
        </w:rPr>
        <w:t>):</w:t>
      </w:r>
      <w:r>
        <w:rPr>
          <w:rFonts w:eastAsia="Cambria" w:cs="Cambria"/>
          <w:b w:val="false"/>
          <w:bCs w:val="false"/>
          <w:i w:val="false"/>
          <w:iCs w:val="false"/>
          <w:sz w:val="22"/>
          <w:szCs w:val="22"/>
        </w:rPr>
        <w:t xml:space="preserve"> Voraussetzung ist ein Jahr Leitung deiner deutschen Firma. Die US-Niederlassung braucht tatsächliche Räume, Finanzkraft und einen Plan; ein virtuelles Büro genügt nach den USCIS-Leitlinien in der Regel nicht. Die Erstzulassung gilt ein Jahr.</w:t>
      </w:r>
    </w:p>
    <w:p>
      <w:pPr>
        <w:pStyle w:val="ListParagraph"/>
        <w:numPr>
          <w:ilvl w:val="0"/>
          <w:numId w:val="1"/>
        </w:numPr>
        <w:spacing w:lineRule="exact" w:line="288" w:before="0" w:after="60"/>
        <w:rPr/>
      </w:pPr>
      <w:r>
        <w:rPr>
          <w:rFonts w:eastAsia="Cambria" w:cs="Cambria"/>
          <w:b/>
          <w:bCs/>
          <w:i w:val="false"/>
          <w:iCs w:val="false"/>
          <w:sz w:val="22"/>
          <w:szCs w:val="22"/>
        </w:rPr>
        <w:t>O-1:</w:t>
      </w:r>
      <w:r>
        <w:rPr>
          <w:rFonts w:eastAsia="Cambria" w:cs="Cambria"/>
          <w:b w:val="false"/>
          <w:bCs w:val="false"/>
          <w:i w:val="false"/>
          <w:iCs w:val="false"/>
          <w:sz w:val="22"/>
          <w:szCs w:val="22"/>
        </w:rPr>
        <w:t xml:space="preserve"> Er passt, wenn deine Leistungen die Kriterien erfüllen (siehe oben).</w:t>
      </w:r>
    </w:p>
    <w:p>
      <w:pPr>
        <w:pStyle w:val="ListParagraph"/>
        <w:numPr>
          <w:ilvl w:val="0"/>
          <w:numId w:val="1"/>
        </w:numPr>
        <w:spacing w:lineRule="exact" w:line="288" w:before="0" w:after="60"/>
        <w:rPr/>
      </w:pPr>
      <w:r>
        <w:rPr>
          <w:rFonts w:eastAsia="Cambria" w:cs="Cambria"/>
          <w:b/>
          <w:bCs/>
          <w:i w:val="false"/>
          <w:iCs w:val="false"/>
          <w:sz w:val="22"/>
          <w:szCs w:val="22"/>
        </w:rPr>
        <w:t>International Entrepreneur Rule:</w:t>
      </w:r>
      <w:r>
        <w:rPr>
          <w:rFonts w:eastAsia="Cambria" w:cs="Cambria"/>
          <w:b w:val="false"/>
          <w:bCs w:val="false"/>
          <w:i w:val="false"/>
          <w:iCs w:val="false"/>
          <w:sz w:val="22"/>
          <w:szCs w:val="22"/>
        </w:rPr>
        <w:t xml:space="preserve"> ein Sonderweg mit befristeter Einreiseerlaubnis (</w:t>
      </w:r>
      <w:r>
        <w:rPr>
          <w:rFonts w:eastAsia="Cambria" w:cs="Cambria"/>
          <w:b w:val="false"/>
          <w:bCs w:val="false"/>
          <w:i/>
          <w:iCs/>
          <w:sz w:val="22"/>
          <w:szCs w:val="22"/>
        </w:rPr>
        <w:t>Parole</w:t>
      </w:r>
      <w:r>
        <w:rPr>
          <w:rFonts w:eastAsia="Cambria" w:cs="Cambria"/>
          <w:b w:val="false"/>
          <w:bCs w:val="false"/>
          <w:i w:val="false"/>
          <w:iCs w:val="false"/>
          <w:sz w:val="22"/>
          <w:szCs w:val="22"/>
        </w:rPr>
        <w:t>, kein Visum; Formular I-941) für Gründer mit erheblichen Mitteln qualifizierter US-Investoren. Laut USCIS besteht das Programm weiter, die Schwellen liegen nach Kanzleiangaben bei gut 300.000 $ (Stand Oktober 2024), die Entscheidung ist Ermessenssache.</w:t>
      </w:r>
    </w:p>
    <w:p>
      <w:pPr>
        <w:pStyle w:val="ListParagraph"/>
        <w:numPr>
          <w:ilvl w:val="0"/>
          <w:numId w:val="1"/>
        </w:numPr>
        <w:spacing w:lineRule="exact" w:line="288" w:before="0" w:after="60"/>
        <w:rPr/>
      </w:pPr>
      <w:r>
        <w:rPr>
          <w:rFonts w:eastAsia="Cambria" w:cs="Cambria"/>
          <w:b/>
          <w:bCs/>
          <w:i w:val="false"/>
          <w:iCs w:val="false"/>
          <w:sz w:val="22"/>
          <w:szCs w:val="22"/>
        </w:rPr>
        <w:t>H-1B mit eigener Firma:</w:t>
      </w:r>
      <w:r>
        <w:rPr>
          <w:rFonts w:eastAsia="Cambria" w:cs="Cambria"/>
          <w:b w:val="false"/>
          <w:bCs w:val="false"/>
          <w:i w:val="false"/>
          <w:iCs w:val="false"/>
          <w:sz w:val="22"/>
          <w:szCs w:val="22"/>
        </w:rPr>
        <w:t xml:space="preserve"> Wer mehr als 50 % der Anteile oder Stimmrechte hält, erhält Erstgenehmigung und erste Verlängerung nur für je 18 Monate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B-1 oder ESTA deckt nur die Vorbereitung ab: Gespräche mit Investoren, Marktbesuche, Formalitäten – sobald du das laufende Geschäft führst, arbeitest du.</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 L-1, O-1, E-2 und J-1 gibt es weder Lotterie noch Jahresquote wie beim H-1B</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Jeder Weg verlangt eine Eintrittskarte: Konzern, Spitzenakte, Kapital oder Programmplatz</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L-2- und E-2-Partner dürfen ohne eigenen Antrag arbeiten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Beim O-1 dürfen Partner nicht arbeiten, beim J-2 ist ein Antrag nötig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 L-1 erlaubt Green-Card-Pläne (</w:t>
            </w:r>
            <w:r>
              <w:rPr>
                <w:rFonts w:eastAsia="Cambria" w:cs="Cambria"/>
                <w:b w:val="false"/>
                <w:bCs w:val="false"/>
                <w:i/>
                <w:iCs/>
                <w:sz w:val="18"/>
                <w:szCs w:val="18"/>
              </w:rPr>
              <w:t>Dual Intent</w:t>
            </w:r>
            <w:r>
              <w:rPr>
                <w:rFonts w:eastAsia="Cambria" w:cs="Cambria"/>
                <w:b w:val="false"/>
                <w:bCs w:val="false"/>
                <w:i w:val="false"/>
                <w:iCs w:val="false"/>
                <w:sz w:val="18"/>
                <w:szCs w:val="18"/>
              </w:rPr>
              <w: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L-1B endet nach fünf Jahren, L-1A nach sieben; E-2 und J-1 führen nicht zur Green Card</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E-2 lässt sich unbegrenzt, O-1 jährlich verlängern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 Status hängt an Konzern, Firma oder Programm; bei Jobverlust bleibt nur eine kurze Frist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 L-1 und O-1 trägt meist der Arbeitgeber die USCIS-Gebühren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O-1 und E-2 brauchen aufwendige Belege und in der Praxis einen Anwalt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sind E-2-berechtigt und von den Einreisestopps 2026 nicht betroffen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Gebühren und Regeln ändern sich schnell (Visa Integrity Fee, Online-Prüfung)</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ListParagraph"/>
        <w:numPr>
          <w:ilvl w:val="0"/>
          <w:numId w:val="105"/>
        </w:numPr>
        <w:spacing w:lineRule="exact" w:line="288" w:before="0" w:after="60"/>
        <w:rPr/>
      </w:pPr>
      <w:r>
        <w:rPr>
          <w:rFonts w:eastAsia="Cambria" w:cs="Cambria"/>
          <w:b w:val="false"/>
          <w:bCs w:val="false"/>
          <w:i w:val="false"/>
          <w:iCs w:val="false"/>
          <w:sz w:val="22"/>
          <w:szCs w:val="22"/>
        </w:rPr>
        <w:t>Prüfe, welche Eintrittskarte du hast: Konzernverbindung mit einem Jahr im Ausland (L-1), belegbare Spitzenleistung (O-1), Kapital und Geschäftsidee (E-2) oder Programmplatz (J-1).</w:t>
      </w:r>
    </w:p>
    <w:p>
      <w:pPr>
        <w:pStyle w:val="ListParagraph"/>
        <w:numPr>
          <w:ilvl w:val="0"/>
          <w:numId w:val="106"/>
        </w:numPr>
        <w:spacing w:lineRule="exact" w:line="288" w:before="0" w:after="60"/>
        <w:rPr/>
      </w:pPr>
      <w:r>
        <w:rPr>
          <w:rFonts w:eastAsia="Cambria" w:cs="Cambria"/>
          <w:b w:val="false"/>
          <w:bCs w:val="false"/>
          <w:i w:val="false"/>
          <w:iCs w:val="false"/>
          <w:sz w:val="22"/>
          <w:szCs w:val="22"/>
        </w:rPr>
        <w:t>Frage als Konzernbeschäftigte oder Konzernbeschäftigter die Personalabteilung, ob Versetzungen in die USA üblich sind und der Konzern eine Sammelgenehmigung besitzt.</w:t>
      </w:r>
    </w:p>
    <w:p>
      <w:pPr>
        <w:pStyle w:val="ListParagraph"/>
        <w:numPr>
          <w:ilvl w:val="0"/>
          <w:numId w:val="107"/>
        </w:numPr>
        <w:spacing w:lineRule="exact" w:line="288" w:before="0" w:after="60"/>
        <w:rPr/>
      </w:pPr>
      <w:r>
        <w:rPr>
          <w:rFonts w:eastAsia="Cambria" w:cs="Cambria"/>
          <w:b w:val="false"/>
          <w:bCs w:val="false"/>
          <w:i w:val="false"/>
          <w:iCs w:val="false"/>
          <w:sz w:val="22"/>
          <w:szCs w:val="22"/>
        </w:rPr>
        <w:t>Lass bei O-1 und E-2 eine Ersteinschätzung durch eine Einwanderungsanwältin oder einen Einwanderungsanwalt machen, bevor du Geld einsetzt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p>
      <w:pPr>
        <w:pStyle w:val="ListParagraph"/>
        <w:numPr>
          <w:ilvl w:val="0"/>
          <w:numId w:val="108"/>
        </w:numPr>
        <w:spacing w:lineRule="exact" w:line="288" w:before="0" w:after="60"/>
        <w:rPr/>
      </w:pPr>
      <w:r>
        <w:rPr>
          <w:rFonts w:eastAsia="Cambria" w:cs="Cambria"/>
          <w:b w:val="false"/>
          <w:bCs w:val="false"/>
          <w:i w:val="false"/>
          <w:iCs w:val="false"/>
          <w:sz w:val="22"/>
          <w:szCs w:val="22"/>
        </w:rPr>
        <w:t>Plane Erkundungsreisen und Vorstellungsgespräche mit ESTA, aber ohne Arbeit.</w:t>
      </w:r>
    </w:p>
    <w:p>
      <w:pPr>
        <w:pStyle w:val="ListParagraph"/>
        <w:numPr>
          <w:ilvl w:val="0"/>
          <w:numId w:val="109"/>
        </w:numPr>
        <w:spacing w:lineRule="exact" w:line="288" w:before="0" w:after="60"/>
        <w:rPr/>
      </w:pPr>
      <w:r>
        <w:rPr>
          <w:rFonts w:eastAsia="Cambria" w:cs="Cambria"/>
          <w:b w:val="false"/>
          <w:bCs w:val="false"/>
          <w:i w:val="false"/>
          <w:iCs w:val="false"/>
          <w:sz w:val="22"/>
          <w:szCs w:val="22"/>
        </w:rPr>
        <w:t>Halte einen Plan B bereit, etwa den Studienweg (Kapitel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beschreibt Regeln und Praxis, ersetzt aber keine Beratung im Einzelfall. Ob L-1, O-1 oder E-2 für dich tragen, entscheidet sich an Details, die nur eine Einwanderungsanwältin oder ein Einwanderungsanwalt anhand deiner Unterlagen beurteilen kann.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Eintrittskarte geklärt: Konzernjahr, Leistungsbelege, Kapital oder Programmplatz.</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Konzernbeschäftigung: Personalabteilung nach Versetzung, L-1 und Blanket L gefragt; Zeit im Konzern im Ausland dokumentiert.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O-1: Belege gesammelt (Preise, Veröffentlichungen, Medienberichte, Gutachtertätigkeit, Gehalt) und gegen die acht Kriterien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E-2: Businessplan, Investitionshöhe und Herkunft des Geldes mit einem Anwalt besprochen.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J-1: Sponsor schriftlich gefragt, ob die Zwei-Jahres-Regel (212(e)) gilt.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Reisen mit ESTA oder B-1 ohne jede Arbeit geplant; ESTA nur über die offizielle Seite beantragt.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Lotterie: nur dvprogram.state.gov genutzt, keine Zahlung an Vermittler.</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Gebühren mit aktuellem USCIS-Gebührenblatt G-1055 abgeglichen.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Plan B parallel festgelegt (Kapitel </w:t>
            </w:r>
            <w:hyperlink w:anchor="k5">
              <w:r>
                <w:rPr>
                  <w:rStyle w:val="ListLabel114"/>
                  <w:rFonts w:eastAsia="Cambria" w:cs="Cambria"/>
                  <w:b w:val="false"/>
                  <w:bCs w:val="false"/>
                  <w:i w:val="false"/>
                  <w:iCs w:val="false"/>
                  <w:sz w:val="20"/>
                  <w:szCs w:val="20"/>
                </w:rPr>
                <w:t>5</w:t>
              </w:r>
            </w:hyperlink>
            <w:r>
              <w:rPr>
                <w:rFonts w:eastAsia="Cambria" w:cs="Cambria"/>
                <w:b w:val="false"/>
                <w:bCs w:val="false"/>
                <w:i w:val="false"/>
                <w:iCs w:val="false"/>
                <w:sz w:val="20"/>
                <w:szCs w:val="20"/>
              </w:rPr>
              <w:t xml:space="preserve"> und </w:t>
            </w:r>
            <w:hyperlink w:anchor="k8">
              <w:r>
                <w:rPr>
                  <w:rStyle w:val="ListLabel114"/>
                  <w:rFonts w:eastAsia="Cambria" w:cs="Cambria"/>
                  <w:b w:val="false"/>
                  <w:bCs w:val="false"/>
                  <w:i w:val="false"/>
                  <w:iCs w:val="false"/>
                  <w:sz w:val="20"/>
                  <w:szCs w:val="20"/>
                </w:rPr>
                <w:t>8</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L-1, O-1, E-1/E-2 und weitere Arbeitsvisa (</w:t>
      </w:r>
      <w:hyperlink r:id="rId92">
        <w:r>
          <w:rPr>
            <w:rStyle w:val="ListLabel113"/>
            <w:rFonts w:eastAsia="Cambria" w:cs="Cambria"/>
            <w:b w:val="false"/>
            <w:bCs w:val="false"/>
            <w:i w:val="false"/>
            <w:iCs w:val="false"/>
            <w:color w:val="0563C1"/>
            <w:sz w:val="22"/>
            <w:szCs w:val="22"/>
            <w:u w:val="single"/>
          </w:rPr>
          <w:t>uscis.gov/working-in-the-united-states/temporary-workers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Gebührenblatt G-1055 (</w:t>
      </w:r>
      <w:hyperlink r:id="rId93">
        <w:r>
          <w:rPr>
            <w:rStyle w:val="ListLabel113"/>
            <w:rFonts w:eastAsia="Cambria" w:cs="Cambria"/>
            <w:b w:val="false"/>
            <w:bCs w:val="false"/>
            <w:i w:val="false"/>
            <w:iCs w:val="false"/>
            <w:color w:val="0563C1"/>
            <w:sz w:val="22"/>
            <w:szCs w:val="22"/>
            <w:u w:val="single"/>
          </w:rPr>
          <w:t>uscis.gov/g-1055</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International Entrepreneur Rule (</w:t>
      </w:r>
      <w:hyperlink r:id="rId94">
        <w:r>
          <w:rPr>
            <w:rStyle w:val="ListLabel113"/>
            <w:rFonts w:eastAsia="Cambria" w:cs="Cambria"/>
            <w:b w:val="false"/>
            <w:bCs w:val="false"/>
            <w:i w:val="false"/>
            <w:iCs w:val="false"/>
            <w:color w:val="0563C1"/>
            <w:sz w:val="22"/>
            <w:szCs w:val="22"/>
            <w:u w:val="single"/>
          </w:rPr>
          <w:t>uscis.gov/working-in-the-united-states/international-entrepreneur-rule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State Department — J-1-Austauschprogramme (</w:t>
      </w:r>
      <w:hyperlink r:id="rId95">
        <w:r>
          <w:rPr>
            <w:rStyle w:val="ListLabel113"/>
            <w:rFonts w:eastAsia="Cambria" w:cs="Cambria"/>
            <w:b w:val="false"/>
            <w:bCs w:val="false"/>
            <w:i w:val="false"/>
            <w:iCs w:val="false"/>
            <w:color w:val="0563C1"/>
            <w:sz w:val="22"/>
            <w:szCs w:val="22"/>
            <w:u w:val="single"/>
          </w:rPr>
          <w:t>exchanges.state.gov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State Department — B-1-Visum, erlaubte Tätigkeiten (</w:t>
      </w:r>
      <w:hyperlink r:id="rId96">
        <w:r>
          <w:rPr>
            <w:rStyle w:val="ListLabel113"/>
            <w:rFonts w:eastAsia="Cambria" w:cs="Cambria"/>
            <w:b w:val="false"/>
            <w:bCs w:val="false"/>
            <w:i w:val="false"/>
            <w:iCs w:val="false"/>
            <w:color w:val="0563C1"/>
            <w:sz w:val="22"/>
            <w:szCs w:val="22"/>
            <w:u w:val="single"/>
          </w:rPr>
          <w:t>travel.state.gov/content/travel/en/us-visas/business/b-1-fact-sheet.html</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CBP — ESTA und Visa Waiver Program (</w:t>
      </w:r>
      <w:hyperlink r:id="rId97">
        <w:r>
          <w:rPr>
            <w:rStyle w:val="ListLabel113"/>
            <w:rFonts w:eastAsia="Cambria" w:cs="Cambria"/>
            <w:b w:val="false"/>
            <w:bCs w:val="false"/>
            <w:i w:val="false"/>
            <w:iCs w:val="false"/>
            <w:color w:val="0563C1"/>
            <w:sz w:val="22"/>
            <w:szCs w:val="22"/>
            <w:u w:val="single"/>
          </w:rPr>
          <w:t>esta.cbp.dhs.gov</w:t>
        </w:r>
      </w:hyperlink>
      <w:r>
        <w:rPr>
          <w:rFonts w:eastAsia="Cambria" w:cs="Cambria"/>
          <w:b w:val="false"/>
          <w:bCs w:val="false"/>
          <w:i w:val="false"/>
          <w:iCs w:val="false"/>
          <w:sz w:val="22"/>
          <w:szCs w:val="22"/>
        </w:rPr>
        <w:t xml:space="preserve">, </w:t>
      </w:r>
      <w:hyperlink r:id="rId98">
        <w:r>
          <w:rPr>
            <w:rStyle w:val="ListLabel113"/>
            <w:rFonts w:eastAsia="Cambria" w:cs="Cambria"/>
            <w:b w:val="false"/>
            <w:bCs w:val="false"/>
            <w:i w:val="false"/>
            <w:iCs w:val="false"/>
            <w:color w:val="0563C1"/>
            <w:sz w:val="22"/>
            <w:szCs w:val="22"/>
            <w:u w:val="single"/>
          </w:rPr>
          <w:t>cbp.gov/travel/international-visitors/visa-waiver-program</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State Department — Diversity-Visa-Anmeldung (</w:t>
      </w:r>
      <w:hyperlink r:id="rId99">
        <w:r>
          <w:rPr>
            <w:rStyle w:val="ListLabel113"/>
            <w:rFonts w:eastAsia="Cambria" w:cs="Cambria"/>
            <w:b w:val="false"/>
            <w:bCs w:val="false"/>
            <w:i w:val="false"/>
            <w:iCs w:val="false"/>
            <w:color w:val="0563C1"/>
            <w:sz w:val="22"/>
            <w:szCs w:val="22"/>
            <w:u w:val="single"/>
          </w:rPr>
          <w:t>dvprogram.state.gov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US-Vertretungen in Deutschland — Visa (</w:t>
      </w:r>
      <w:hyperlink r:id="rId100">
        <w:r>
          <w:rPr>
            <w:rStyle w:val="ListLabel113"/>
            <w:rFonts w:eastAsia="Cambria" w:cs="Cambria"/>
            <w:b w:val="false"/>
            <w:bCs w:val="false"/>
            <w:i w:val="false"/>
            <w:iCs w:val="false"/>
            <w:color w:val="0563C1"/>
            <w:sz w:val="22"/>
            <w:szCs w:val="22"/>
            <w:u w:val="single"/>
          </w:rPr>
          <w:t>de.usembassy.gov</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(Recherchestand 20.09.2026). Diese Angaben ändern sich schnell: USCIS-Gebühren (G-1055) und Visa Integrity Fee, die Diversity-Visa-Lotterie (DV-2026-Frist 30.09.2026, DV-2027-Start offen), die Klage gegen die Gold Card, die Pflicht zu Social-Media-Angaben bei ESTA (nur vorgeschlagen), der Entwurf zur Abschaffung der 60-Tage-Frist nach Jobverlust (Kommentare bis 10.11.2026) sowie die Regeln zu E-2 und Gründerwegen. Prüfe die offiziellen Seiten vor jeder Entscheidung.</w:t>
            </w:r>
          </w:p>
        </w:tc>
      </w:tr>
    </w:tbl>
    <w:p>
      <w:pPr>
        <w:pStyle w:val="Normal"/>
        <w:spacing w:lineRule="exact" w:line="220" w:before="0" w:after="0"/>
        <w:rPr/>
      </w:pPr>
      <w:r>
        <w:rPr/>
      </w:r>
      <w:r>
        <w:br w:type="page"/>
      </w:r>
    </w:p>
    <w:p>
      <w:pPr>
        <w:pStyle w:val="Heading2"/>
        <w:keepNext w:val="true"/>
        <w:spacing w:before="0" w:after="300"/>
        <w:jc w:val="center"/>
        <w:rPr/>
      </w:pPr>
      <w:bookmarkStart w:id="29" w:name="__RefHeading___Toc56449_3769931028"/>
      <w:bookmarkStart w:id="30" w:name="k10"/>
      <w:bookmarkEnd w:id="29"/>
      <w:r>
        <w:rPr>
          <w:rFonts w:eastAsia="Amazon Ember" w:cs="Amazon Ember" w:ascii="Amazon Ember" w:hAnsi="Amazon Ember"/>
          <w:b/>
          <w:bCs/>
          <w:color w:val="0000FF"/>
          <w:sz w:val="36"/>
          <w:szCs w:val="36"/>
        </w:rPr>
        <w:t>Kapitel 10: Ehepartner und Kinder im Visumssystem</w:t>
      </w:r>
      <w:bookmarkEnd w:id="30"/>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Genehmigung ist da, die Familie feiert, und erst beim Lesen der Unterlagen fällt die Zeile auf, die die nächsten Jahre prägt: Ehepartner, Status H-4, keine Arbeitserlaubnis. Das Visum trägt einen Namen, der Umzug betrifft vier Personen, und ob der zweite Erwachsene in den USA arbeiten darf, hängt allein vom Status der Hauptperson ab. Bei L-1 und E-2 beginnt der Partner am ersten Tag, beim H-1B meist erst nach Jahren, beim Studienvisum gar nicht. Dieses Kapitel zeigt, was jeder Status erlaubt, wo Kinder an eine Altersgrenze stoßen und wie aus dem Mitreisen kein Stillstand wird.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Ehepartner und unverheiratete Kinder unter 21 erhalten einen abgeleiteten Status (H-4, L-2, E-2, F-2, J-2, O-3); endet der Status der Hauptperson, endet auch der abgeleitete.</w:t>
            </w:r>
          </w:p>
          <w:p>
            <w:pPr>
              <w:pStyle w:val="ListParagraph"/>
              <w:numPr>
                <w:ilvl w:val="0"/>
                <w:numId w:val="1"/>
              </w:numPr>
              <w:spacing w:lineRule="exact" w:line="264" w:before="0" w:after="50"/>
              <w:rPr/>
            </w:pPr>
            <w:r>
              <w:rPr>
                <w:rFonts w:eastAsia="Cambria" w:cs="Cambria"/>
                <w:b w:val="false"/>
                <w:bCs w:val="false"/>
                <w:i w:val="false"/>
                <w:iCs w:val="false"/>
                <w:sz w:val="20"/>
                <w:szCs w:val="20"/>
              </w:rPr>
              <w:t>Arbeiten darf der Partner bei L-2 und E-2 ohne eigenen Antrag, bei J-2 nach Antrag, bei H-4 nur mit Arbeitserlaubnis (erst nach genehmigter I-140 oder H-1B über sechs Jahre hinaus), bei F-2 und O-3 gar nicht.</w:t>
            </w:r>
          </w:p>
          <w:p>
            <w:pPr>
              <w:pStyle w:val="ListParagraph"/>
              <w:numPr>
                <w:ilvl w:val="0"/>
                <w:numId w:val="1"/>
              </w:numPr>
              <w:spacing w:lineRule="exact" w:line="264" w:before="0" w:after="50"/>
              <w:rPr/>
            </w:pPr>
            <w:r>
              <w:rPr>
                <w:rFonts w:eastAsia="Cambria" w:cs="Cambria"/>
                <w:b w:val="false"/>
                <w:bCs w:val="false"/>
                <w:i w:val="false"/>
                <w:iCs w:val="false"/>
                <w:sz w:val="20"/>
                <w:szCs w:val="20"/>
              </w:rPr>
              <w:t>Mit 21 endet der Status der Kinder (</w:t>
            </w:r>
            <w:r>
              <w:rPr>
                <w:rFonts w:eastAsia="Cambria" w:cs="Cambria"/>
                <w:b w:val="false"/>
                <w:bCs w:val="false"/>
                <w:i/>
                <w:iCs/>
                <w:sz w:val="20"/>
                <w:szCs w:val="20"/>
              </w:rPr>
              <w:t>Age-out</w:t>
            </w:r>
            <w:r>
              <w:rPr>
                <w:rFonts w:eastAsia="Cambria" w:cs="Cambria"/>
                <w:b w:val="false"/>
                <w:bCs w:val="false"/>
                <w:i w:val="false"/>
                <w:iCs w:val="false"/>
                <w:sz w:val="20"/>
                <w:szCs w:val="20"/>
              </w:rPr>
              <w:t xml:space="preserve">), auch wenn der Status der Eltern weiterläuft. Der </w:t>
            </w:r>
            <w:r>
              <w:rPr>
                <w:rFonts w:eastAsia="Cambria" w:cs="Cambria"/>
                <w:b w:val="false"/>
                <w:bCs w:val="false"/>
                <w:i/>
                <w:iCs/>
                <w:sz w:val="20"/>
                <w:szCs w:val="20"/>
              </w:rPr>
              <w:t>Child Status Protection Act</w:t>
            </w:r>
            <w:r>
              <w:rPr>
                <w:rFonts w:eastAsia="Cambria" w:cs="Cambria"/>
                <w:b w:val="false"/>
                <w:bCs w:val="false"/>
                <w:i w:val="false"/>
                <w:iCs w:val="false"/>
                <w:sz w:val="20"/>
                <w:szCs w:val="20"/>
              </w:rPr>
              <w:t xml:space="preserve"> schützt die Green-Card-Berechtigung, nicht den H-4.</w:t>
            </w:r>
          </w:p>
          <w:p>
            <w:pPr>
              <w:pStyle w:val="ListParagraph"/>
              <w:numPr>
                <w:ilvl w:val="0"/>
                <w:numId w:val="1"/>
              </w:numPr>
              <w:spacing w:lineRule="exact" w:line="264" w:before="0" w:after="50"/>
              <w:rPr/>
            </w:pPr>
            <w:r>
              <w:rPr>
                <w:rFonts w:eastAsia="Cambria" w:cs="Cambria"/>
                <w:b w:val="false"/>
                <w:bCs w:val="false"/>
                <w:i w:val="false"/>
                <w:iCs w:val="false"/>
                <w:sz w:val="20"/>
                <w:szCs w:val="20"/>
              </w:rPr>
              <w:t>Unverheiratete Paare erhalten keinen Partnerstatus: Wer gemeinsam ausreist, heiratet vorher. Gleichgeschlechtliche Ehen zählen; eine deutsche eingetragene Lebenspartnerschaft zählt nach dem USCIS-Handbuch nicht.</w:t>
            </w:r>
          </w:p>
          <w:p>
            <w:pPr>
              <w:pStyle w:val="ListParagraph"/>
              <w:numPr>
                <w:ilvl w:val="0"/>
                <w:numId w:val="1"/>
              </w:numPr>
              <w:spacing w:lineRule="exact" w:line="264" w:before="0" w:after="50"/>
              <w:rPr/>
            </w:pPr>
            <w:r>
              <w:rPr>
                <w:rFonts w:eastAsia="Cambria" w:cs="Cambria"/>
                <w:b w:val="false"/>
                <w:bCs w:val="false"/>
                <w:i w:val="false"/>
                <w:iCs w:val="false"/>
                <w:sz w:val="20"/>
                <w:szCs w:val="20"/>
              </w:rPr>
              <w:t>Berufsabschlüsse werden nicht bundesweit anerkannt. Lehrkräfte, Pflege und Medizin brauchen eine Lizenz des Bundesstaats; das Verfahren lässt sich oft vor der Arbeitserlaubnis beginnen.</w:t>
            </w:r>
          </w:p>
          <w:p>
            <w:pPr>
              <w:pStyle w:val="ListParagraph"/>
              <w:numPr>
                <w:ilvl w:val="0"/>
                <w:numId w:val="1"/>
              </w:numPr>
              <w:spacing w:lineRule="exact" w:line="264" w:before="0" w:after="50"/>
              <w:rPr/>
            </w:pPr>
            <w:r>
              <w:rPr>
                <w:rFonts w:eastAsia="Cambria" w:cs="Cambria"/>
                <w:b w:val="false"/>
                <w:bCs w:val="false"/>
                <w:i w:val="false"/>
                <w:iCs w:val="false"/>
                <w:sz w:val="20"/>
                <w:szCs w:val="20"/>
              </w:rPr>
              <w:t>Wer nicht arbeiten darf, trägt die größte Last des Umzugs – plane Einkommenslücke und Isolation ein (Kapitel </w:t>
            </w:r>
            <w:hyperlink w:anchor="k32">
              <w:r>
                <w:rPr>
                  <w:rStyle w:val="ListLabel114"/>
                  <w:rFonts w:eastAsia="Cambria" w:cs="Cambria"/>
                  <w:b w:val="false"/>
                  <w:bCs w:val="false"/>
                  <w:i w:val="false"/>
                  <w:iCs w:val="false"/>
                  <w:sz w:val="20"/>
                  <w:szCs w:val="20"/>
                </w:rPr>
                <w:t>32</w:t>
              </w:r>
            </w:hyperlink>
            <w:r>
              <w:rPr>
                <w:rFonts w:eastAsia="Cambria" w:cs="Cambria"/>
                <w:b w:val="false"/>
                <w:bCs w:val="false"/>
                <w:i w:val="false"/>
                <w:iCs w:val="false"/>
                <w:sz w:val="20"/>
                <w:szCs w:val="20"/>
              </w:rPr>
              <w:t xml:space="preserve"> und </w:t>
            </w:r>
            <w:hyperlink w:anchor="k33">
              <w:r>
                <w:rPr>
                  <w:rStyle w:val="ListLabel114"/>
                  <w:rFonts w:eastAsia="Cambria" w:cs="Cambria"/>
                  <w:b w:val="false"/>
                  <w:bCs w:val="false"/>
                  <w:i w:val="false"/>
                  <w:iCs w:val="false"/>
                  <w:sz w:val="20"/>
                  <w:szCs w:val="20"/>
                </w:rPr>
                <w:t>33</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Wer als Familie zählt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Einwanderungsrecht zieht die Grenze eng: Begleiten dürfen Ehepartner und unverheiratete Kinder unter 21, Eltern, Geschwister, volljährige Kinder und Lebensgefährten sind nicht erfasst. Jede Person beantragt ihr eigenes Visum, mit eigenem Formular DS-160 und eigener Konsulargebühr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 und erhält einen abgeleiteten Status (</w:t>
      </w:r>
      <w:r>
        <w:rPr>
          <w:rFonts w:eastAsia="Cambria" w:cs="Cambria"/>
          <w:b w:val="false"/>
          <w:bCs w:val="false"/>
          <w:i/>
          <w:iCs/>
          <w:sz w:val="22"/>
          <w:szCs w:val="22"/>
        </w:rPr>
        <w:t>Dependent Status</w:t>
      </w:r>
      <w:r>
        <w:rPr>
          <w:rFonts w:eastAsia="Cambria" w:cs="Cambria"/>
          <w:b w:val="false"/>
          <w:bCs w:val="false"/>
          <w:i w:val="false"/>
          <w:iCs w:val="false"/>
          <w:sz w:val="22"/>
          <w:szCs w:val="22"/>
        </w:rPr>
        <w:t>), der so lange gilt wie der Status der Hauptperson und mit ihm endet. Das Visum im Pass ermöglicht die Einreise, den erlaubten Aufenthalt legt der I-94 fest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Verliert die Hauptperson die Stelle, läuft für die Familie dieselbe Frist wie für sie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Gleichgeschlechtliche Ehepartner gelten in allen diesen Kategorien als Ehepartner: Nach dem USCIS-Handbuch zählt jede Ehe, die dort gültig ist, wo sie geschlossen wurde. In Deutschland ist die Ehe seit dem 1. Oktober 2017 geöffnet, in den USA gilt sie seit 2015 in allen Bundesstaaten (Supreme Court, </w:t>
      </w:r>
      <w:r>
        <w:rPr>
          <w:rFonts w:eastAsia="Cambria" w:cs="Cambria"/>
          <w:b w:val="false"/>
          <w:bCs w:val="false"/>
          <w:i/>
          <w:iCs/>
          <w:sz w:val="22"/>
          <w:szCs w:val="22"/>
        </w:rPr>
        <w:t>Obergefell v. Hodges</w:t>
      </w:r>
      <w:r>
        <w:rPr>
          <w:rFonts w:eastAsia="Cambria" w:cs="Cambria"/>
          <w:b w:val="false"/>
          <w:bCs w:val="false"/>
          <w:i w:val="false"/>
          <w:iCs w:val="false"/>
          <w:sz w:val="22"/>
          <w:szCs w:val="22"/>
        </w:rPr>
        <w:t>). Eine deutsche eingetragene Lebenspartnerschaft ist dagegen keine Ehe: Nach dem Handbuch (Band 6, Teil B,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Stand Oktober 2025) zählen Verbindungen nicht, die am Ort ihrer Begründung nicht als Ehe gelten. Das Standesamt kann sie umwandeln; besprich das mit der Kanzlei, bevor die Anträge laufen.</w:t>
      </w:r>
    </w:p>
    <w:p>
      <w:pPr>
        <w:pStyle w:val="Heading3"/>
        <w:keepNext w:val="true"/>
        <w:spacing w:before="280" w:after="100"/>
        <w:jc w:val="center"/>
        <w:rPr/>
      </w:pPr>
      <w:r>
        <w:rPr>
          <w:rFonts w:eastAsia="Amazon Ember" w:cs="Amazon Ember" w:ascii="Amazon Ember" w:hAnsi="Amazon Ember"/>
          <w:b/>
          <w:bCs/>
          <w:color w:val="0000FF"/>
          <w:sz w:val="36"/>
          <w:szCs w:val="36"/>
        </w:rPr>
        <w:t>Unverheiratet? Dann vorher heiraten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Nach Jahren gemeinsamer Wohnung, gemeinsamem Kind und einer festen Beziehung zählt man doch irgendwie als Familie. Tatsächlich kennen die Einwanderungskategorien keinen Status für Lebensgefährten, ganz gleich, wie lange die Beziehung schon Bestand hat. Ein Partner ohne Trauschein braucht einen eigenen Weg: ein eigenes Stellenangebot mit Sponsoring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ein eigenes Studium (Kapitel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 oder Besuche mit ESTA (bis zu 90 Tage, ohne Arbeit;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 Für ein gemeinsames Leben über Jahre taugt das selten.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einfache Lösung ist die Heirat vor dem Antrag. Standesämter haben Vorlauf, frage also früh an, wie lange Anmeldung und Termin dauern und welche Papiere fehlen. Die Heiratsurkunde samt Übersetzung brauchst du für den Antrag; ob eine Apostille verlangt wird, steht in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 Kinder unverheirateter Eltern können ebenfalls mitreisen; für die Vaterschaft verlangen die Behörden Nachweise (frage die Kanzlei).</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Heirate vor dem Konsulatstermin, nicht danach – ohne bestehende Ehe gibt es kein H-4. Wer mit ESTA einreist und erst in den USA heiratet, kann den Status im Inland in aller Regel nicht mehr wechseln; die Ausnahme gilt nur für Ehen mit US-Staatsbürgern. Ändert die Heirat einen Namen, müssen Pass, Urkunde und Antragsformulare zusammenpassen. Kläre die Reihenfolge, bevor du einen neuen Pass beantragst.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Status im Überblick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Tabelle zeigt die Regel für Angehörige (Stand September 2026). Wer einen eigenen Status hat, etwa einen eigenen H-1B, folgt den Regeln dieses Status.</w:t>
      </w:r>
    </w:p>
    <w:tbl>
      <w:tblPr>
        <w:tblW w:w="6480" w:type="dxa"/>
        <w:jc w:val="left"/>
        <w:tblInd w:w="0" w:type="dxa"/>
        <w:tblLayout w:type="fixed"/>
        <w:tblCellMar>
          <w:top w:w="50" w:type="dxa"/>
          <w:left w:w="80" w:type="dxa"/>
          <w:bottom w:w="50" w:type="dxa"/>
          <w:right w:w="80" w:type="dxa"/>
        </w:tblCellMar>
      </w:tblPr>
      <w:tblGrid>
        <w:gridCol w:w="949"/>
        <w:gridCol w:w="1915"/>
        <w:gridCol w:w="1487"/>
        <w:gridCol w:w="2128"/>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Status</w:t>
            </w:r>
          </w:p>
        </w:tc>
        <w:tc>
          <w:tcPr>
            <w:tcW w:w="191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Partner darf arbeiten?</w:t>
            </w:r>
          </w:p>
        </w:tc>
        <w:tc>
          <w:tcPr>
            <w:tcW w:w="148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Kinder unter 21</w:t>
            </w:r>
          </w:p>
        </w:tc>
        <w:tc>
          <w:tcPr>
            <w:tcW w:w="212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Besonderheiten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H-4 (zu H-1B)</w:t>
            </w:r>
          </w:p>
        </w:tc>
        <w:tc>
          <w:tcPr>
            <w:tcW w:w="19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mit Arbeitserlaubnis (H-4-EAD), erst nach genehmigter I-140 oder H-1B über 6 Jahre</w:t>
            </w:r>
          </w:p>
        </w:tc>
        <w:tc>
          <w:tcPr>
            <w:tcW w:w="14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Schule und Studium ja, Arbeit nein</w:t>
            </w:r>
          </w:p>
        </w:tc>
        <w:tc>
          <w:tcPr>
            <w:tcW w:w="2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Job in den ersten Jahren; I-765: 520 $ Papier, 470 $ online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L-2 (zu L-1)</w:t>
            </w:r>
          </w:p>
        </w:tc>
        <w:tc>
          <w:tcPr>
            <w:tcW w:w="19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ohne Antrag; I-94 mit Kennung L-2S genügt</w:t>
            </w:r>
          </w:p>
        </w:tc>
        <w:tc>
          <w:tcPr>
            <w:tcW w:w="14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Schule ja, Arbeit nein</w:t>
            </w:r>
          </w:p>
        </w:tc>
        <w:tc>
          <w:tcPr>
            <w:tcW w:w="2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Lizenzpflichtige Berufe brauchen trotzdem eine Lizenz</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E-2 (zu E-2-Investor)</w:t>
            </w:r>
          </w:p>
        </w:tc>
        <w:tc>
          <w:tcPr>
            <w:tcW w:w="19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ohne Antrag</w:t>
            </w:r>
          </w:p>
        </w:tc>
        <w:tc>
          <w:tcPr>
            <w:tcW w:w="14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Schule ja, Arbeit nein</w:t>
            </w:r>
          </w:p>
        </w:tc>
        <w:tc>
          <w:tcPr>
            <w:tcW w:w="2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Status hängt am laufenden Unternehmen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F-2 (zu F-1)</w:t>
            </w:r>
          </w:p>
        </w:tc>
        <w:tc>
          <w:tcPr>
            <w:tcW w:w="19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 nur Freizeitstudium in Teilzeit</w:t>
            </w:r>
          </w:p>
        </w:tc>
        <w:tc>
          <w:tcPr>
            <w:tcW w:w="14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Schule in Vollzeit</w:t>
            </w:r>
          </w:p>
        </w:tc>
        <w:tc>
          <w:tcPr>
            <w:tcW w:w="2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Wechsel in F-1 per I-539 möglich</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J-2 (zu J-1)</w:t>
            </w:r>
          </w:p>
        </w:tc>
        <w:tc>
          <w:tcPr>
            <w:tcW w:w="19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nach Antrag (I-765)</w:t>
            </w:r>
          </w:p>
        </w:tc>
        <w:tc>
          <w:tcPr>
            <w:tcW w:w="14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Schule ja; Antrag auf Arbeitserlaubnis möglich</w:t>
            </w:r>
          </w:p>
        </w:tc>
        <w:tc>
          <w:tcPr>
            <w:tcW w:w="2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Einkommen darf die J-1-Person nicht unterhalten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O-3 (zu O-1)</w:t>
            </w:r>
          </w:p>
        </w:tc>
        <w:tc>
          <w:tcPr>
            <w:tcW w:w="19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w:t>
            </w:r>
          </w:p>
        </w:tc>
        <w:tc>
          <w:tcPr>
            <w:tcW w:w="14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Schule ja, Arbeit nein</w:t>
            </w:r>
          </w:p>
        </w:tc>
        <w:tc>
          <w:tcPr>
            <w:tcW w:w="2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Studium erlaubt</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Schulbesuch ist in allen diesen Status erlaubt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H-4 und H-4-Arbeitserlaubnis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H-4 ist der Status der Ehepartner und Kinder von H-1B-Beschäftigten und damit die häufigste Konstellation dieses Buchs. Er erlaubt Aufenthalt, Schule und Studium, aber keine Arbeit – das schließt Anstellung, Freiberuflichkeit und Mitarbeit im Betrieb der Familie ein. Auch Arbeit für einen deutschen Arbeitgeber, die du von den USA aus erledigst, bleibt Arbeit auf US-Boden; für B-1 und ESTA sagen Kanzleien das ausdrücklich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 xml:space="preserve">), und für H-4 ohne Arbeitserlaubnis gilt nichts anderes. Ohne Arbeitserlaubnis stellt die Sozialversicherungsbehörde in der Regel auch keine </w:t>
      </w:r>
      <w:r>
        <w:rPr>
          <w:rFonts w:eastAsia="Cambria" w:cs="Cambria"/>
          <w:b w:val="false"/>
          <w:bCs w:val="false"/>
          <w:i/>
          <w:iCs/>
          <w:sz w:val="22"/>
          <w:szCs w:val="22"/>
        </w:rPr>
        <w:t>Social Security Number</w:t>
      </w:r>
      <w:r>
        <w:rPr>
          <w:rFonts w:eastAsia="Cambria" w:cs="Cambria"/>
          <w:b w:val="false"/>
          <w:bCs w:val="false"/>
          <w:i w:val="false"/>
          <w:iCs w:val="false"/>
          <w:sz w:val="22"/>
          <w:szCs w:val="22"/>
        </w:rPr>
        <w:t xml:space="preserve"> (SSN) aus (Kapitel </w:t>
      </w:r>
      <w:hyperlink w:anchor="k24">
        <w:r>
          <w:rPr>
            <w:rStyle w:val="ListLabel115"/>
            <w:rFonts w:eastAsia="Cambria" w:cs="Cambria"/>
            <w:b w:val="false"/>
            <w:bCs w:val="false"/>
            <w:i w:val="false"/>
            <w:iCs w:val="false"/>
            <w:sz w:val="22"/>
            <w:szCs w:val="22"/>
          </w:rPr>
          <w:t>24</w:t>
        </w:r>
      </w:hyperlink>
      <w:r>
        <w:rPr>
          <w:rFonts w:eastAsia="Cambria" w:cs="Cambria"/>
          <w:b w:val="false"/>
          <w:bCs w:val="false"/>
          <w:i w:val="false"/>
          <w:iCs w:val="false"/>
          <w:sz w:val="22"/>
          <w:szCs w:val="22"/>
        </w:rPr>
        <w:t>). Die Krankenversicherung für Partner und Kinder läuft meist über den Arbeitgeberplan der Hauptperson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Arbeit ohne gültige Erlaubnis gefährdet deinen Status und kann spätere Anträge belasten. Echtes Ehrenamt bei einer gemeinnützigen Einrichtung ist in der Regel möglich, solange es unbezahlt ist und keine bezahlte Stelle ersetzt – im Zweifel fragst du vorher die Kanzlei.</w:t>
            </w:r>
          </w:p>
        </w:tc>
      </w:tr>
    </w:tbl>
    <w:p>
      <w:pPr>
        <w:pStyle w:val="Normal"/>
        <w:spacing w:lineRule="exact" w:line="220" w:before="0" w:after="0"/>
        <w:rPr/>
      </w:pPr>
      <w:r>
        <w:rPr/>
      </w:r>
    </w:p>
    <w:p>
      <w:pPr>
        <w:pStyle w:val="Heading4"/>
        <w:keepNext w:val="true"/>
        <w:spacing w:before="200" w:after="80"/>
        <w:jc w:val="center"/>
        <w:rPr/>
      </w:pPr>
      <w:r>
        <w:rPr>
          <w:rFonts w:eastAsia="Amazon Ember" w:cs="Amazon Ember" w:ascii="Amazon Ember" w:hAnsi="Amazon Ember"/>
          <w:b/>
          <w:bCs/>
          <w:color w:val="0000FF"/>
          <w:sz w:val="36"/>
          <w:szCs w:val="36"/>
        </w:rPr>
        <w:t>Wann es eine Arbeitserlaubnis gibt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Arbeitserlaubnis (</w:t>
      </w:r>
      <w:r>
        <w:rPr>
          <w:rFonts w:eastAsia="Cambria" w:cs="Cambria"/>
          <w:b w:val="false"/>
          <w:bCs w:val="false"/>
          <w:i/>
          <w:iCs/>
          <w:sz w:val="22"/>
          <w:szCs w:val="22"/>
        </w:rPr>
        <w:t>Employment Authorization Document</w:t>
      </w:r>
      <w:r>
        <w:rPr>
          <w:rFonts w:eastAsia="Cambria" w:cs="Cambria"/>
          <w:b w:val="false"/>
          <w:bCs w:val="false"/>
          <w:i w:val="false"/>
          <w:iCs w:val="false"/>
          <w:sz w:val="22"/>
          <w:szCs w:val="22"/>
        </w:rPr>
        <w:t>, EAD) erhalten H-4-Ehepartner nur, wenn der H-1B-Inhaber eine genehmigte I-140 hat – also die Einwanderungspetition seines Arbeitgebers im Green-Card-Verfahren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xml:space="preserve">) – oder wenn sein H-1B nach dem Gesetz </w:t>
      </w:r>
      <w:r>
        <w:rPr>
          <w:rFonts w:eastAsia="Cambria" w:cs="Cambria"/>
          <w:b w:val="false"/>
          <w:bCs w:val="false"/>
          <w:i/>
          <w:iCs/>
          <w:sz w:val="22"/>
          <w:szCs w:val="22"/>
        </w:rPr>
        <w:t>AC21</w:t>
      </w:r>
      <w:r>
        <w:rPr>
          <w:rFonts w:eastAsia="Cambria" w:cs="Cambria"/>
          <w:b w:val="false"/>
          <w:bCs w:val="false"/>
          <w:i w:val="false"/>
          <w:iCs w:val="false"/>
          <w:sz w:val="22"/>
          <w:szCs w:val="22"/>
        </w:rPr>
        <w:t xml:space="preserve"> über sechs Jahre hinaus verlängert wurde. Beantragt wird sie mit Form I-765 (520 $ Papier, 470 $ online); nachweisen musst du die Ehe, den H-1B-Status der Hauptperson und deinen H-4-Status. Kinder mit H-4 bekommen keine Arbeitserlaubnis.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Wie lange das dauert, hängt vom Start des Green-Card-Verfahrens ab. Beginnt der Arbeitgeber am ersten Tag, vergehen nach den Zeiten aus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xml:space="preserve"> gut anderthalb Jahre bis zur genehmigten I-140 (eigene Rechnung: Lohnfestlegung etwa vier Monate, Stellenanzeigen zwei bis drei, Prüfung beim Arbeitsministerium im August 2026 im Schnitt 336 Tage, dazu die I-140). Startet das Verfahren später, verschiebt sich alles – rechne mit mindestens zwei Jahren ohne zweites Einkommen (zum richtigen Startzeitpunkt: Kapitel </w:t>
      </w:r>
      <w:hyperlink w:anchor="k7">
        <w:r>
          <w:rPr>
            <w:rStyle w:val="ListLabel115"/>
            <w:rFonts w:eastAsia="Cambria" w:cs="Cambria"/>
            <w:b w:val="false"/>
            <w:bCs w:val="false"/>
            <w:i w:val="false"/>
            <w:iCs w:val="false"/>
            <w:sz w:val="22"/>
            <w:szCs w:val="22"/>
          </w:rPr>
          <w:t>7</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Seit dem 30. Oktober 2025 gibt es für Verlängerungsanträge keine automatische Verlängerung der Arbeitserlaubnis mehr (früher bis zu 540 Tage). Den Antrag darfst du bis zu 180 Tage vor Ablauf stellen; aktuelle Bearbeitungszeiten stehen auf uscis.gov („Processing Times“). Für H-4-Anträge gilt außerdem seit dem 15. Dezember 2025 die Prüfung von Online-Profilen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 Wird der H-1B im Inland verlängert, verlängerst du den H-4 mit Form I-539 (470 $ Papier, 420 $ online), für jede Person einzeln. Ob die Arbeitserlaubnis nach einem Jobverlust der Hauptperson weitergilt, bestätigt dir die Kanzlei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Reiche die Verlängerung der Arbeitserlaubnis so früh ein, wie es erlaubt ist, also 180 Tage vor Ablauf. Jeder Tag zwischen Ablaufdatum und neuer Karte ist Arbeitsverbot: Der Arbeitgeber darf dich dann nicht beschäftigen, und dein Gehalt fällt aus.</w:t>
            </w:r>
          </w:p>
        </w:tc>
      </w:tr>
    </w:tbl>
    <w:p>
      <w:pPr>
        <w:pStyle w:val="Normal"/>
        <w:spacing w:lineRule="exact" w:line="220" w:before="0" w:after="0"/>
        <w:rPr/>
      </w:pPr>
      <w:r>
        <w:rPr/>
      </w:r>
    </w:p>
    <w:p>
      <w:pPr>
        <w:pStyle w:val="Heading4"/>
        <w:keepNext w:val="true"/>
        <w:spacing w:before="200" w:after="80"/>
        <w:jc w:val="center"/>
        <w:rPr/>
      </w:pPr>
      <w:r>
        <w:rPr>
          <w:rFonts w:eastAsia="Amazon Ember" w:cs="Amazon Ember" w:ascii="Amazon Ember" w:hAnsi="Amazon Ember"/>
          <w:b/>
          <w:bCs/>
          <w:color w:val="0000FF"/>
          <w:sz w:val="36"/>
          <w:szCs w:val="36"/>
        </w:rPr>
        <w:t>Was sich ändern könnte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H-4-Arbeitserlaubnis beruht nicht auf einem Gesetz, sondern auf einer Verordnung des Heimatschutzministeriums DHS von 2015. Für die Regelungsagenda 2026 hat das DHS ein Vorhaben aufgenommen, das H-4-Ehepartner aus dem Kreis der Arbeitsberechtigten streichen soll („Removing H-4 Dependent Spouses From the Classes of Noncitizens Eligible for Employment Authorization“, RIN 1615-AD14): Es steht als Langzeitvorhaben mit dem Termin „To Be Determined“; einen Entwurf hat das DHS nach Kanzleiberichten bis zum 20. September 2026 nicht veröffentlicht. Offen ist, wen es träfe und ob bestehende Karten bis zum Ablauf weitergelten würden – ähnliche Pläne aus dem Jahr 2017 wurden nie umgesetzt, in Kraft ist nichts. Behandle die Arbeitserlaubnis dennoch als Zugabe, nicht als Grundlage: Das Familienbudget sollte mit einem Einkommen tragen.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beschreibt Regeln und Praxis, ersetzt aber keine Beratung durch eine Einwanderungsanwältin oder einen Einwanderungsanwalt. Wie du jemanden findest, steht in Kapitel </w:t>
            </w:r>
            <w:hyperlink w:anchor="k11">
              <w:r>
                <w:rPr>
                  <w:rStyle w:val="ListLabel114"/>
                  <w:rFonts w:eastAsia="Cambria" w:cs="Cambria"/>
                  <w:b w:val="false"/>
                  <w:bCs w:val="false"/>
                  <w:i w:val="false"/>
                  <w:iCs w:val="false"/>
                  <w:sz w:val="20"/>
                  <w:szCs w:val="20"/>
                </w:rPr>
                <w:t>11</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L-2, E-2, F-2 und J-2: die anderen Status</w:t>
      </w:r>
    </w:p>
    <w:p>
      <w:pPr>
        <w:pStyle w:val="Normal"/>
        <w:keepNext w:val="false"/>
        <w:keepLines w:val="false"/>
        <w:spacing w:lineRule="exact" w:line="288" w:before="0" w:after="140"/>
        <w:jc w:val="left"/>
        <w:rPr/>
      </w:pPr>
      <w:r>
        <w:rPr>
          <w:rFonts w:eastAsia="Cambria" w:cs="Cambria"/>
          <w:b/>
          <w:bCs/>
          <w:i w:val="false"/>
          <w:iCs w:val="false"/>
          <w:sz w:val="22"/>
          <w:szCs w:val="22"/>
        </w:rPr>
        <w:t>L-2 und E-2.</w:t>
      </w:r>
      <w:r>
        <w:rPr>
          <w:rFonts w:eastAsia="Cambria" w:cs="Cambria"/>
          <w:b w:val="false"/>
          <w:bCs w:val="false"/>
          <w:i w:val="false"/>
          <w:iCs w:val="false"/>
          <w:sz w:val="22"/>
          <w:szCs w:val="22"/>
        </w:rPr>
        <w:t xml:space="preserve"> Ehepartner von L-1- und E-2-Inhabern gelten als </w:t>
      </w:r>
      <w:r>
        <w:rPr>
          <w:rFonts w:eastAsia="Cambria" w:cs="Cambria"/>
          <w:b w:val="false"/>
          <w:bCs w:val="false"/>
          <w:i/>
          <w:iCs/>
          <w:sz w:val="22"/>
          <w:szCs w:val="22"/>
        </w:rPr>
        <w:t>employment authorized incident to status</w:t>
      </w:r>
      <w:r>
        <w:rPr>
          <w:rFonts w:eastAsia="Cambria" w:cs="Cambria"/>
          <w:b w:val="false"/>
          <w:bCs w:val="false"/>
          <w:i w:val="false"/>
          <w:iCs w:val="false"/>
          <w:sz w:val="22"/>
          <w:szCs w:val="22"/>
        </w:rPr>
        <w:t>, also allein wegen ihres Status als arbeitsberechtigt. Nach USCIS genügt als Nachweis ein gültiger I-94 mit der Kennung L-2S, für E-2 gilt dasselbe Prinzip mit der Kennung E-2S. Eine Arbeitserlaubniskarte kannst du zusätzlich beantragen (Form I-765), musst es aber nicht. Prüfe nach der Landung im I-94-Portal des Grenzschutzes (i94.cbp.dhs.gov), ob die Kennung mit dem „S“ eingetragen ist, und kläre Abweichungen sofort mit der Kanzlei. Der Partner darf bei jedem Arbeitgeber arbeiten, Kinder dürfen es nicht.</w:t>
      </w:r>
    </w:p>
    <w:p>
      <w:pPr>
        <w:pStyle w:val="Normal"/>
        <w:keepNext w:val="false"/>
        <w:keepLines w:val="false"/>
        <w:spacing w:lineRule="exact" w:line="288" w:before="0" w:after="140"/>
        <w:jc w:val="left"/>
        <w:rPr/>
      </w:pPr>
      <w:r>
        <w:rPr>
          <w:rFonts w:eastAsia="Cambria" w:cs="Cambria"/>
          <w:b/>
          <w:bCs/>
          <w:i w:val="false"/>
          <w:iCs w:val="false"/>
          <w:sz w:val="22"/>
          <w:szCs w:val="22"/>
        </w:rPr>
        <w:t>F-2.</w:t>
      </w:r>
      <w:r>
        <w:rPr>
          <w:rFonts w:eastAsia="Cambria" w:cs="Cambria"/>
          <w:b w:val="false"/>
          <w:bCs w:val="false"/>
          <w:i w:val="false"/>
          <w:iCs w:val="false"/>
          <w:sz w:val="22"/>
          <w:szCs w:val="22"/>
        </w:rPr>
        <w:t xml:space="preserve"> Der Partner darf nicht arbeiten und nur ein Freizeitstudium in Teilzeit aufnehmen. Wer selbst studieren will, wechselt per Form I-539 in den F-1 (Kapitel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 Kinder besuchen die Schule in Vollzeit.</w:t>
      </w:r>
    </w:p>
    <w:p>
      <w:pPr>
        <w:pStyle w:val="Normal"/>
        <w:keepNext w:val="false"/>
        <w:keepLines w:val="false"/>
        <w:spacing w:lineRule="exact" w:line="288" w:before="0" w:after="140"/>
        <w:jc w:val="left"/>
        <w:rPr/>
      </w:pPr>
      <w:r>
        <w:rPr>
          <w:rFonts w:eastAsia="Cambria" w:cs="Cambria"/>
          <w:b/>
          <w:bCs/>
          <w:i w:val="false"/>
          <w:iCs w:val="false"/>
          <w:sz w:val="22"/>
          <w:szCs w:val="22"/>
        </w:rPr>
        <w:t>J-2.</w:t>
      </w:r>
      <w:r>
        <w:rPr>
          <w:rFonts w:eastAsia="Cambria" w:cs="Cambria"/>
          <w:b w:val="false"/>
          <w:bCs w:val="false"/>
          <w:i w:val="false"/>
          <w:iCs w:val="false"/>
          <w:sz w:val="22"/>
          <w:szCs w:val="22"/>
        </w:rPr>
        <w:t xml:space="preserve"> Partner (und auch Kinder) können eine Arbeitserlaubnis mit Form I-765 beantragen (520 $ Papier, 470 $ online). Im Antrag erklärst du schriftlich, dass das Einkommen nicht dem Unterhalt der J-1-Person dient. Die Erlaubnis gilt längstens vier Jahre oder für die Dauer des J-1, je nachdem, was kürzer ist, und nur, solange die J-1-Person ihren Status hält – für ein Familienbudget auf zwei Gehältern keine verlässliche Grundlage (zur Zwei-Jahres-Heimatregel des J-1: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Kinder: Age-out mit 21 und der Child Status Protection Act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Kinder sind im Einwanderungsrecht unverheiratet und unter 21. Am 21. Geburtstag verliert ein Kind seinen abgeleiteten Status, auch wenn der Status der Eltern noch Jahre läuft; eine Heirat beendet den Kinderstatus ebenfalls. Dieses Herauswachsen heißt </w:t>
      </w:r>
      <w:r>
        <w:rPr>
          <w:rFonts w:eastAsia="Cambria" w:cs="Cambria"/>
          <w:b w:val="false"/>
          <w:bCs w:val="false"/>
          <w:i/>
          <w:iCs/>
          <w:sz w:val="22"/>
          <w:szCs w:val="22"/>
        </w:rPr>
        <w:t>Age-out</w:t>
      </w:r>
      <w:r>
        <w:rPr>
          <w:rFonts w:eastAsia="Cambria" w:cs="Cambria"/>
          <w:b w:val="false"/>
          <w:bCs w:val="false"/>
          <w:i w:val="false"/>
          <w:iCs w:val="false"/>
          <w:sz w:val="22"/>
          <w:szCs w:val="22"/>
        </w:rPr>
        <w:t>. Rechne früh: Wer mit 16 einreist, wird nach fünf Jahren 21, wer mit 18, nach drei – der H-1B der Eltern läuft dann oft noch. Der Geburtstag, der in Deutschland nur eine Familienfeier ist, wird hier zum Stichtag mit Aktenzeichen.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Was dann bleibt, sind vier Wege:</w:t>
      </w:r>
    </w:p>
    <w:p>
      <w:pPr>
        <w:pStyle w:val="ListParagraph"/>
        <w:numPr>
          <w:ilvl w:val="0"/>
          <w:numId w:val="1"/>
        </w:numPr>
        <w:spacing w:lineRule="exact" w:line="288" w:before="0" w:after="60"/>
        <w:rPr/>
      </w:pPr>
      <w:r>
        <w:rPr>
          <w:rFonts w:eastAsia="Cambria" w:cs="Cambria"/>
          <w:b/>
          <w:bCs/>
          <w:i w:val="false"/>
          <w:iCs w:val="false"/>
          <w:sz w:val="22"/>
          <w:szCs w:val="22"/>
        </w:rPr>
        <w:t>Statuswechsel vor dem 21. Geburtstag</w:t>
      </w:r>
      <w:r>
        <w:rPr>
          <w:rFonts w:eastAsia="Cambria" w:cs="Cambria"/>
          <w:b w:val="false"/>
          <w:bCs w:val="false"/>
          <w:i w:val="false"/>
          <w:iCs w:val="false"/>
          <w:sz w:val="22"/>
          <w:szCs w:val="22"/>
        </w:rPr>
        <w:t xml:space="preserve"> (</w:t>
      </w:r>
      <w:r>
        <w:rPr>
          <w:rFonts w:eastAsia="Cambria" w:cs="Cambria"/>
          <w:b w:val="false"/>
          <w:bCs w:val="false"/>
          <w:i/>
          <w:iCs/>
          <w:sz w:val="22"/>
          <w:szCs w:val="22"/>
        </w:rPr>
        <w:t>Change of Status</w:t>
      </w:r>
      <w:r>
        <w:rPr>
          <w:rFonts w:eastAsia="Cambria" w:cs="Cambria"/>
          <w:b w:val="false"/>
          <w:bCs w:val="false"/>
          <w:i w:val="false"/>
          <w:iCs w:val="false"/>
          <w:sz w:val="22"/>
          <w:szCs w:val="22"/>
        </w:rPr>
        <w:t>), meist in den F-1 für ein Studium: Form I-539 (470 $ Papier, 420 $ online) plus Zulassung und Form I-20 einer Hochschule (Kapitel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 Der Antrag muss gestellt sein, solange das Kind unter 21 ist und der H-4 gültig ist.</w:t>
      </w:r>
    </w:p>
    <w:p>
      <w:pPr>
        <w:pStyle w:val="ListParagraph"/>
        <w:numPr>
          <w:ilvl w:val="0"/>
          <w:numId w:val="1"/>
        </w:numPr>
        <w:spacing w:lineRule="exact" w:line="288" w:before="0" w:after="60"/>
        <w:rPr/>
      </w:pPr>
      <w:r>
        <w:rPr>
          <w:rFonts w:eastAsia="Cambria" w:cs="Cambria"/>
          <w:b/>
          <w:bCs/>
          <w:i w:val="false"/>
          <w:iCs w:val="false"/>
          <w:sz w:val="22"/>
          <w:szCs w:val="22"/>
        </w:rPr>
        <w:t>Ein eigener Arbeitsstatus,</w:t>
      </w:r>
      <w:r>
        <w:rPr>
          <w:rFonts w:eastAsia="Cambria" w:cs="Cambria"/>
          <w:b w:val="false"/>
          <w:bCs w:val="false"/>
          <w:i w:val="false"/>
          <w:iCs w:val="false"/>
          <w:sz w:val="22"/>
          <w:szCs w:val="22"/>
        </w:rPr>
        <w:t xml:space="preserve"> etwa ein H-1B nach einem US-Abschluss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xml:space="preserve"> und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Die Green Card,</w:t>
      </w:r>
      <w:r>
        <w:rPr>
          <w:rFonts w:eastAsia="Cambria" w:cs="Cambria"/>
          <w:b w:val="false"/>
          <w:bCs w:val="false"/>
          <w:i w:val="false"/>
          <w:iCs w:val="false"/>
          <w:sz w:val="22"/>
          <w:szCs w:val="22"/>
        </w:rPr>
        <w:t xml:space="preserve"> wenn das Kind im Verfahren der Eltern mitläuft (siehe unten).</w:t>
      </w:r>
    </w:p>
    <w:p>
      <w:pPr>
        <w:pStyle w:val="ListParagraph"/>
        <w:numPr>
          <w:ilvl w:val="0"/>
          <w:numId w:val="1"/>
        </w:numPr>
        <w:spacing w:lineRule="exact" w:line="288" w:before="0" w:after="60"/>
        <w:rPr/>
      </w:pPr>
      <w:r>
        <w:rPr>
          <w:rFonts w:eastAsia="Cambria" w:cs="Cambria"/>
          <w:b/>
          <w:bCs/>
          <w:i w:val="false"/>
          <w:iCs w:val="false"/>
          <w:sz w:val="22"/>
          <w:szCs w:val="22"/>
        </w:rPr>
        <w:t>Die Rückkehr</w:t>
      </w:r>
      <w:r>
        <w:rPr>
          <w:rFonts w:eastAsia="Cambria" w:cs="Cambria"/>
          <w:b w:val="false"/>
          <w:bCs w:val="false"/>
          <w:i w:val="false"/>
          <w:iCs w:val="false"/>
          <w:sz w:val="22"/>
          <w:szCs w:val="22"/>
        </w:rPr>
        <w:t xml:space="preserve"> zum Studium oder Beruf in Deutschland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w:t>
      </w:r>
      <w:r>
        <w:rPr>
          <w:rFonts w:eastAsia="Cambria" w:cs="Cambria"/>
          <w:b w:val="false"/>
          <w:bCs w:val="false"/>
          <w:i/>
          <w:iCs/>
          <w:sz w:val="22"/>
          <w:szCs w:val="22"/>
        </w:rPr>
        <w:t>Child Status Protection Act</w:t>
      </w:r>
      <w:r>
        <w:rPr>
          <w:rFonts w:eastAsia="Cambria" w:cs="Cambria"/>
          <w:b w:val="false"/>
          <w:bCs w:val="false"/>
          <w:i w:val="false"/>
          <w:iCs w:val="false"/>
          <w:sz w:val="22"/>
          <w:szCs w:val="22"/>
        </w:rPr>
        <w:t xml:space="preserve"> (CSPA), ein Gesetz von 2002, friert das Lebensalter eines Kindes für die Green Card teilweise ein. Gerechnet wird mit dem Lebensalter am Tag, an dem ein Visum verfügbar wird, abzüglich der Tage, an denen die I-140 anhängig war; liegt das Ergebnis unter 21, gilt das Kind weiter als Kind, sofern der Green-Card-Antrag binnen eines Jahres nach der Verfügbarkeit folgt. Seit dem 15. August 2025 bewertet USCIS neue Anträge nach der Tabelle der </w:t>
      </w:r>
      <w:r>
        <w:rPr>
          <w:rFonts w:eastAsia="Cambria" w:cs="Cambria"/>
          <w:b w:val="false"/>
          <w:bCs w:val="false"/>
          <w:i/>
          <w:iCs/>
          <w:sz w:val="22"/>
          <w:szCs w:val="22"/>
        </w:rPr>
        <w:t>Final Action Dates</w:t>
      </w:r>
      <w:r>
        <w:rPr>
          <w:rFonts w:eastAsia="Cambria" w:cs="Cambria"/>
          <w:b w:val="false"/>
          <w:bCs w:val="false"/>
          <w:i w:val="false"/>
          <w:iCs w:val="false"/>
          <w:sz w:val="22"/>
          <w:szCs w:val="22"/>
        </w:rPr>
        <w:t xml:space="preserve"> im </w:t>
      </w:r>
      <w:r>
        <w:rPr>
          <w:rFonts w:eastAsia="Cambria" w:cs="Cambria"/>
          <w:b w:val="false"/>
          <w:bCs w:val="false"/>
          <w:i/>
          <w:iCs/>
          <w:sz w:val="22"/>
          <w:szCs w:val="22"/>
        </w:rPr>
        <w:t>Visa Bulletin</w:t>
      </w:r>
      <w:r>
        <w:rPr>
          <w:rFonts w:eastAsia="Cambria" w:cs="Cambria"/>
          <w:b w:val="false"/>
          <w:bCs w:val="false"/>
          <w:i w:val="false"/>
          <w:iCs w:val="false"/>
          <w:sz w:val="22"/>
          <w:szCs w:val="22"/>
        </w:rPr>
        <w:t>, dem monatlichen Stichtagsbericht des Außenministeriums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Für Deutsche ist das im September 2026 günstig: EB-1 und EB-2 waren „current“, bei EB-3 lag der Stichtag beim 1. September 2024.</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CSPA schützt nur die Green-Card-Berechtigung, nicht den H-4 – mit 21 endet der H-4 in jedem Fall. Steht das Kind bis dahin nicht im Green-Card-Antrag oder in einem neuen Status, endet sein rechtmäßiger Aufenthalt, oft mitten im College. Besprich den Zeitplan mit der Kanzlei, sobald ein Kind 17 ist, und prüfe bei jedem Meilenstein, wie alt es dann ist.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Im Green-Card-Verfahren laufen Ehepartner und Kinder als Mitantragstellende (</w:t>
      </w:r>
      <w:r>
        <w:rPr>
          <w:rFonts w:eastAsia="Cambria" w:cs="Cambria"/>
          <w:b w:val="false"/>
          <w:bCs w:val="false"/>
          <w:i/>
          <w:iCs/>
          <w:sz w:val="22"/>
          <w:szCs w:val="22"/>
        </w:rPr>
        <w:t>Derivate</w:t>
      </w:r>
      <w:r>
        <w:rPr>
          <w:rFonts w:eastAsia="Cambria" w:cs="Cambria"/>
          <w:b w:val="false"/>
          <w:bCs w:val="false"/>
          <w:i w:val="false"/>
          <w:iCs w:val="false"/>
          <w:sz w:val="22"/>
          <w:szCs w:val="22"/>
        </w:rPr>
        <w:t>) mit und teilen Kategorie und Prioritätsdatum (</w:t>
      </w:r>
      <w:r>
        <w:rPr>
          <w:rFonts w:eastAsia="Cambria" w:cs="Cambria"/>
          <w:b w:val="false"/>
          <w:bCs w:val="false"/>
          <w:i/>
          <w:iCs/>
          <w:sz w:val="22"/>
          <w:szCs w:val="22"/>
        </w:rPr>
        <w:t>Priority Date</w:t>
      </w:r>
      <w:r>
        <w:rPr>
          <w:rFonts w:eastAsia="Cambria" w:cs="Cambria"/>
          <w:b w:val="false"/>
          <w:bCs w:val="false"/>
          <w:i w:val="false"/>
          <w:iCs w:val="false"/>
          <w:sz w:val="22"/>
          <w:szCs w:val="22"/>
        </w:rPr>
        <w:t>) der Hauptperson. Die Gebühren tragen in der Praxis die Beschäftigten: Das Formular I-485 kostet 1.440 $ (Papier) bzw. 1.390 $ (online), für Kinder unter 14, die mit einem Elternteil einreichen, 950 $ bzw. 900 $ – ein Paar mit zwei kleinen Kindern zahlt damit 4.780 $ (Papier) bzw. 4.580 $ (online), ohne Untersuchung, Anwalt sowie Arbeits- und Reiseerlaubnis (eigene Summe aus dem Gebührenblatt G-1055).</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Kinder, die in den USA zur Welt kommen, sind nach der Entscheidung des Supreme Court vom 30. Juni 2026 (</w:t>
      </w:r>
      <w:r>
        <w:rPr>
          <w:rFonts w:eastAsia="Cambria" w:cs="Cambria"/>
          <w:b w:val="false"/>
          <w:bCs w:val="false"/>
          <w:i/>
          <w:iCs/>
          <w:sz w:val="22"/>
          <w:szCs w:val="22"/>
        </w:rPr>
        <w:t>Trump v. Barbara</w:t>
      </w:r>
      <w:r>
        <w:rPr>
          <w:rFonts w:eastAsia="Cambria" w:cs="Cambria"/>
          <w:b w:val="false"/>
          <w:bCs w:val="false"/>
          <w:i w:val="false"/>
          <w:iCs w:val="false"/>
          <w:sz w:val="22"/>
          <w:szCs w:val="22"/>
        </w:rPr>
        <w:t>) US-Bürger und brauchen keinen Status, auch bei Eltern mit H-1B oder L-1. Einzelheiten und die deutsche Seite stehen in Kapitel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 xml:space="preserve"> und </w:t>
      </w:r>
      <w:hyperlink w:anchor="k41">
        <w:r>
          <w:rPr>
            <w:rStyle w:val="ListLabel115"/>
            <w:rFonts w:eastAsia="Cambria" w:cs="Cambria"/>
            <w:b w:val="false"/>
            <w:bCs w:val="false"/>
            <w:i w:val="false"/>
            <w:iCs w:val="false"/>
            <w:sz w:val="22"/>
            <w:szCs w:val="22"/>
          </w:rPr>
          <w:t>41</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Studium mit H-4</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H-4 erlaubt Schulbesuch und Studium: Partner und Kinder dürfen ohne Umweg über den F-1 an einer Hochschule oder einem Community College studieren. Ein Wechsel vom H-4 in den F-1 (Form I-539 plus I-20) lohnt sich nur, wenn du aus dem F-1 etwas Bestimmtes brauchst, etwa die Arbeitserlaubnis nach dem Abschluss (</w:t>
      </w:r>
      <w:r>
        <w:rPr>
          <w:rFonts w:eastAsia="Cambria" w:cs="Cambria"/>
          <w:b w:val="false"/>
          <w:bCs w:val="false"/>
          <w:i/>
          <w:iCs/>
          <w:sz w:val="22"/>
          <w:szCs w:val="22"/>
        </w:rPr>
        <w:t>OPT</w:t>
      </w:r>
      <w:r>
        <w:rPr>
          <w:rFonts w:eastAsia="Cambria" w:cs="Cambria"/>
          <w:b w:val="false"/>
          <w:bCs w:val="false"/>
          <w:i w:val="false"/>
          <w:iCs w:val="false"/>
          <w:sz w:val="22"/>
          <w:szCs w:val="22"/>
        </w:rPr>
        <w:t>, Kapitel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 oder bei Kindern kurz vor dem Age-out. Der F-1 ist anders als H-1B und L nicht von der Einwanderungsvermutung ausgenommen, sprich vor dem Wechsel mit der Kanzlei, wenn ein Green-Card-Verfahren läuft oder geplant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große Unterschied ist der Preis: Laut College Board kostet ein Bachelor-Jahr 2025/26 an einer öffentlichen Hochschule im Durchschnitt 11.950 $ für Landeskinder (</w:t>
      </w:r>
      <w:r>
        <w:rPr>
          <w:rFonts w:eastAsia="Cambria" w:cs="Cambria"/>
          <w:b w:val="false"/>
          <w:bCs w:val="false"/>
          <w:i/>
          <w:iCs/>
          <w:sz w:val="22"/>
          <w:szCs w:val="22"/>
        </w:rPr>
        <w:t>In-State</w:t>
      </w:r>
      <w:r>
        <w:rPr>
          <w:rFonts w:eastAsia="Cambria" w:cs="Cambria"/>
          <w:b w:val="false"/>
          <w:bCs w:val="false"/>
          <w:i w:val="false"/>
          <w:iCs w:val="false"/>
          <w:sz w:val="22"/>
          <w:szCs w:val="22"/>
        </w:rPr>
        <w:t>), 31.880 $ für Auswärtige (</w:t>
      </w:r>
      <w:r>
        <w:rPr>
          <w:rFonts w:eastAsia="Cambria" w:cs="Cambria"/>
          <w:b w:val="false"/>
          <w:bCs w:val="false"/>
          <w:i/>
          <w:iCs/>
          <w:sz w:val="22"/>
          <w:szCs w:val="22"/>
        </w:rPr>
        <w:t>Out-of-State</w:t>
      </w:r>
      <w:r>
        <w:rPr>
          <w:rFonts w:eastAsia="Cambria" w:cs="Cambria"/>
          <w:b w:val="false"/>
          <w:bCs w:val="false"/>
          <w:i w:val="false"/>
          <w:iCs w:val="false"/>
          <w:sz w:val="22"/>
          <w:szCs w:val="22"/>
        </w:rPr>
        <w:t>) und 45.000 $ an einer privaten Hochschule, jeweils ohne Wohnen. Ein Community College im eigenen Bezirk kostet im Schnitt 4.150 $. Ob dich eine Hochschule als Landeskind einstuft, regeln Bundesstaat und oft die Hochschule selbst.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Frage die Zulassungsstelle vor der Bewerbung, welche Regeln für Inhaber von H-4 zur </w:t>
            </w:r>
            <w:r>
              <w:rPr>
                <w:rFonts w:eastAsia="Cambria" w:cs="Cambria"/>
                <w:b w:val="false"/>
                <w:bCs w:val="false"/>
                <w:i/>
                <w:iCs/>
                <w:sz w:val="20"/>
                <w:szCs w:val="20"/>
              </w:rPr>
              <w:t>In-State Tuition</w:t>
            </w:r>
            <w:r>
              <w:rPr>
                <w:rFonts w:eastAsia="Cambria" w:cs="Cambria"/>
                <w:b w:val="false"/>
                <w:bCs w:val="false"/>
                <w:i w:val="false"/>
                <w:iCs w:val="false"/>
                <w:sz w:val="20"/>
                <w:szCs w:val="20"/>
              </w:rPr>
              <w:t xml:space="preserve"> gelten (Wohnsitzfrist, Nachweise). Im Durchschnitt trennen Landeskinder und Auswärtige fast 20.000 $ pro Jahr.</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US-Master kann für den H-4-Partner zum Weg in einen eigenen Status werden: F-1, dann OPT und STEM-OPT (zusammen bis zu 36 Monate), dann ein eigener H-1B, auch im Master-Kontingent mit 20.000 Plätzen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xml:space="preserve"> und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 Das ist teuer (Gesamtkosten im Schnitt rund 62.820 $ laut einer Auswertung von 2026, für alle Studierenden) und ohne Garantie, denn auch dieser Weg führt durch die Lotterie.</w:t>
      </w:r>
    </w:p>
    <w:p>
      <w:pPr>
        <w:pStyle w:val="Heading3"/>
        <w:keepNext w:val="true"/>
        <w:spacing w:before="280" w:after="100"/>
        <w:jc w:val="center"/>
        <w:rPr/>
      </w:pPr>
      <w:r>
        <w:rPr>
          <w:rFonts w:eastAsia="Amazon Ember" w:cs="Amazon Ember" w:ascii="Amazon Ember" w:hAnsi="Amazon Ember"/>
          <w:b/>
          <w:bCs/>
          <w:color w:val="0000FF"/>
          <w:sz w:val="36"/>
          <w:szCs w:val="36"/>
        </w:rPr>
        <w:t>Partnerkarriere, Berufsanerkennung und Lizenzen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Eine deutsche Berufsqualifikation gilt in den USA nicht automatisch. Es gibt keine bundesweite Anerkennung: Über die Zulassung in regulierten Berufen entscheiden die Bundesstaaten und ihre Fachbehörden (</w:t>
      </w:r>
      <w:r>
        <w:rPr>
          <w:rFonts w:eastAsia="Cambria" w:cs="Cambria"/>
          <w:b w:val="false"/>
          <w:bCs w:val="false"/>
          <w:i/>
          <w:iCs/>
          <w:sz w:val="22"/>
          <w:szCs w:val="22"/>
        </w:rPr>
        <w:t>Licensing Boards</w:t>
      </w:r>
      <w:r>
        <w:rPr>
          <w:rFonts w:eastAsia="Cambria" w:cs="Cambria"/>
          <w:b w:val="false"/>
          <w:bCs w:val="false"/>
          <w:i w:val="false"/>
          <w:iCs w:val="false"/>
          <w:sz w:val="22"/>
          <w:szCs w:val="22"/>
        </w:rPr>
        <w:t>). Wer aus Deutschland eine bundesweit einheitliche Approbation oder Lehrbefähigung gewohnt ist, lernt hier schnell: Amerika ist ein Land, verwaltungstechnisch aber eher eine Ansammlung von 50 Ländern, die sich zufällig auf eine Flagge geeinigt haben. In nicht regulierten Berufen wie Software, Marketing, Vertrieb oder Design zählen dagegen Lebenslauf, Zeugnisse und Erfahrung – dort brauchst du keine Lizenz. Die Bewertung deiner Abschlüsse (</w:t>
      </w:r>
      <w:r>
        <w:rPr>
          <w:rFonts w:eastAsia="Cambria" w:cs="Cambria"/>
          <w:b w:val="false"/>
          <w:bCs w:val="false"/>
          <w:i/>
          <w:iCs/>
          <w:sz w:val="22"/>
          <w:szCs w:val="22"/>
        </w:rPr>
        <w:t>Credential Evaluation</w:t>
      </w:r>
      <w:r>
        <w:rPr>
          <w:rFonts w:eastAsia="Cambria" w:cs="Cambria"/>
          <w:b w:val="false"/>
          <w:bCs w:val="false"/>
          <w:i w:val="false"/>
          <w:iCs w:val="false"/>
          <w:sz w:val="22"/>
          <w:szCs w:val="22"/>
        </w:rPr>
        <w:t>) und die Übersetzungen behandelt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1369"/>
        <w:gridCol w:w="1871"/>
        <w:gridCol w:w="3240"/>
      </w:tblGrid>
      <w:tr>
        <w:trPr>
          <w:tblHeader w:val="true"/>
          <w:cantSplit w:val="true"/>
        </w:trPr>
        <w:tc>
          <w:tcPr>
            <w:tcW w:w="136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Beruf</w:t>
            </w:r>
          </w:p>
        </w:tc>
        <w:tc>
          <w:tcPr>
            <w:tcW w:w="187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Wer entscheidet</w:t>
            </w:r>
          </w:p>
        </w:tc>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Typischer Weg</w:t>
            </w:r>
          </w:p>
        </w:tc>
      </w:tr>
      <w:tr>
        <w:trPr>
          <w:cantSplit w:val="true"/>
        </w:trPr>
        <w:tc>
          <w:tcPr>
            <w:tcW w:w="13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Lehrkräfte an öffentlichen Schulen</w:t>
            </w:r>
          </w:p>
        </w:tc>
        <w:tc>
          <w:tcPr>
            <w:tcW w:w="18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Bildungsbehörde des Bundesstaats</w:t>
            </w:r>
          </w:p>
        </w:tc>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Bewertung der Abschlüsse, Staatsprüfungen, Antrag</w:t>
            </w:r>
          </w:p>
        </w:tc>
      </w:tr>
      <w:tr>
        <w:trPr>
          <w:cantSplit w:val="true"/>
        </w:trPr>
        <w:tc>
          <w:tcPr>
            <w:tcW w:w="13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Pflege</w:t>
            </w:r>
          </w:p>
        </w:tc>
        <w:tc>
          <w:tcPr>
            <w:tcW w:w="18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Landesbehörde (</w:t>
            </w:r>
            <w:r>
              <w:rPr>
                <w:rFonts w:eastAsia="Cambria" w:cs="Cambria"/>
                <w:b w:val="false"/>
                <w:bCs w:val="false"/>
                <w:i/>
                <w:iCs/>
                <w:sz w:val="18"/>
                <w:szCs w:val="18"/>
              </w:rPr>
              <w:t>Board of Nursing</w:t>
            </w:r>
            <w:r>
              <w:rPr>
                <w:rFonts w:eastAsia="Cambria" w:cs="Cambria"/>
                <w:b w:val="false"/>
                <w:bCs w:val="false"/>
                <w:i w:val="false"/>
                <w:iCs w:val="false"/>
                <w:sz w:val="18"/>
                <w:szCs w:val="18"/>
              </w:rPr>
              <w:t>)</w:t>
            </w:r>
          </w:p>
        </w:tc>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Bewertung der Ausbildung, bundesweite Prüfung (NCLEX), Antrag</w:t>
            </w:r>
          </w:p>
        </w:tc>
      </w:tr>
      <w:tr>
        <w:trPr>
          <w:cantSplit w:val="true"/>
        </w:trPr>
        <w:tc>
          <w:tcPr>
            <w:tcW w:w="13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Physiotherapie</w:t>
            </w:r>
          </w:p>
        </w:tc>
        <w:tc>
          <w:tcPr>
            <w:tcW w:w="18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Landesbehörde</w:t>
            </w:r>
          </w:p>
        </w:tc>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Bewertung der Ausbildung, bundesweite Prüfung (NPTE), Antrag</w:t>
            </w:r>
          </w:p>
        </w:tc>
      </w:tr>
      <w:tr>
        <w:trPr>
          <w:cantSplit w:val="true"/>
        </w:trPr>
        <w:tc>
          <w:tcPr>
            <w:tcW w:w="13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Medizin</w:t>
            </w:r>
          </w:p>
        </w:tc>
        <w:tc>
          <w:tcPr>
            <w:tcW w:w="18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Landesbehörde (</w:t>
            </w:r>
            <w:r>
              <w:rPr>
                <w:rFonts w:eastAsia="Cambria" w:cs="Cambria"/>
                <w:b w:val="false"/>
                <w:bCs w:val="false"/>
                <w:i/>
                <w:iCs/>
                <w:sz w:val="18"/>
                <w:szCs w:val="18"/>
              </w:rPr>
              <w:t>Medical Board</w:t>
            </w:r>
            <w:r>
              <w:rPr>
                <w:rFonts w:eastAsia="Cambria" w:cs="Cambria"/>
                <w:b w:val="false"/>
                <w:bCs w:val="false"/>
                <w:i w:val="false"/>
                <w:iCs w:val="false"/>
                <w:sz w:val="18"/>
                <w:szCs w:val="18"/>
              </w:rPr>
              <w:t>)</w:t>
            </w:r>
          </w:p>
        </w:tc>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ECFMG-Zertifizierung, US-Prüfungen, meist US-Facharztausbildung (</w:t>
            </w:r>
            <w:r>
              <w:rPr>
                <w:rFonts w:eastAsia="Cambria" w:cs="Cambria"/>
                <w:b w:val="false"/>
                <w:bCs w:val="false"/>
                <w:i/>
                <w:iCs/>
                <w:sz w:val="18"/>
                <w:szCs w:val="18"/>
              </w:rPr>
              <w:t>Residency</w:t>
            </w:r>
            <w:r>
              <w:rPr>
                <w:rFonts w:eastAsia="Cambria" w:cs="Cambria"/>
                <w:b w:val="false"/>
                <w:bCs w:val="false"/>
                <w:i w:val="false"/>
                <w:iCs w:val="false"/>
                <w:sz w:val="18"/>
                <w:szCs w:val="18"/>
              </w:rPr>
              <w:t>)</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Regeln unterscheiden sich von Staat zu Staat, die Verfahren dauern oft Monate. Deshalb lohnt es, früh zu beginnen:</w:t>
      </w:r>
    </w:p>
    <w:p>
      <w:pPr>
        <w:pStyle w:val="ListParagraph"/>
        <w:numPr>
          <w:ilvl w:val="0"/>
          <w:numId w:val="110"/>
        </w:numPr>
        <w:spacing w:lineRule="exact" w:line="288" w:before="0" w:after="60"/>
        <w:rPr/>
      </w:pPr>
      <w:r>
        <w:rPr>
          <w:rFonts w:eastAsia="Cambria" w:cs="Cambria"/>
          <w:b/>
          <w:bCs/>
          <w:i w:val="false"/>
          <w:iCs w:val="false"/>
          <w:sz w:val="22"/>
          <w:szCs w:val="22"/>
        </w:rPr>
        <w:t>Behörde finden:</w:t>
      </w:r>
      <w:r>
        <w:rPr>
          <w:rFonts w:eastAsia="Cambria" w:cs="Cambria"/>
          <w:b w:val="false"/>
          <w:bCs w:val="false"/>
          <w:i w:val="false"/>
          <w:iCs w:val="false"/>
          <w:sz w:val="22"/>
          <w:szCs w:val="22"/>
        </w:rPr>
        <w:t xml:space="preserve"> Bundesstaat, Beruf und „licensing board“ suchen.</w:t>
      </w:r>
    </w:p>
    <w:p>
      <w:pPr>
        <w:pStyle w:val="ListParagraph"/>
        <w:numPr>
          <w:ilvl w:val="0"/>
          <w:numId w:val="111"/>
        </w:numPr>
        <w:spacing w:lineRule="exact" w:line="288" w:before="0" w:after="60"/>
        <w:rPr/>
      </w:pPr>
      <w:r>
        <w:rPr>
          <w:rFonts w:eastAsia="Cambria" w:cs="Cambria"/>
          <w:b/>
          <w:bCs/>
          <w:i w:val="false"/>
          <w:iCs w:val="false"/>
          <w:sz w:val="22"/>
          <w:szCs w:val="22"/>
        </w:rPr>
        <w:t>Abschlüsse bewerten lassen:</w:t>
      </w:r>
      <w:r>
        <w:rPr>
          <w:rFonts w:eastAsia="Cambria" w:cs="Cambria"/>
          <w:b w:val="false"/>
          <w:bCs w:val="false"/>
          <w:i w:val="false"/>
          <w:iCs w:val="false"/>
          <w:sz w:val="22"/>
          <w:szCs w:val="22"/>
        </w:rPr>
        <w:t xml:space="preserve"> Viele Behörden schreiben Dienst oder Berichtstyp vor.</w:t>
      </w:r>
    </w:p>
    <w:p>
      <w:pPr>
        <w:pStyle w:val="ListParagraph"/>
        <w:numPr>
          <w:ilvl w:val="0"/>
          <w:numId w:val="112"/>
        </w:numPr>
        <w:spacing w:lineRule="exact" w:line="288" w:before="0" w:after="60"/>
        <w:rPr/>
      </w:pPr>
      <w:r>
        <w:rPr>
          <w:rFonts w:eastAsia="Cambria" w:cs="Cambria"/>
          <w:b/>
          <w:bCs/>
          <w:i w:val="false"/>
          <w:iCs w:val="false"/>
          <w:sz w:val="22"/>
          <w:szCs w:val="22"/>
        </w:rPr>
        <w:t>Prüfungen und Zusatzleistungen klären:</w:t>
      </w:r>
      <w:r>
        <w:rPr>
          <w:rFonts w:eastAsia="Cambria" w:cs="Cambria"/>
          <w:b w:val="false"/>
          <w:bCs w:val="false"/>
          <w:i w:val="false"/>
          <w:iCs w:val="false"/>
          <w:sz w:val="22"/>
          <w:szCs w:val="22"/>
        </w:rPr>
        <w:t xml:space="preserve"> Kurse, Praxisstunden, Sprachnachweis.</w:t>
      </w:r>
    </w:p>
    <w:p>
      <w:pPr>
        <w:pStyle w:val="ListParagraph"/>
        <w:numPr>
          <w:ilvl w:val="0"/>
          <w:numId w:val="113"/>
        </w:numPr>
        <w:spacing w:lineRule="exact" w:line="288" w:before="0" w:after="60"/>
        <w:rPr/>
      </w:pPr>
      <w:r>
        <w:rPr>
          <w:rFonts w:eastAsia="Cambria" w:cs="Cambria"/>
          <w:b/>
          <w:bCs/>
          <w:i w:val="false"/>
          <w:iCs w:val="false"/>
          <w:sz w:val="22"/>
          <w:szCs w:val="22"/>
        </w:rPr>
        <w:t>Antrag stellen:</w:t>
      </w:r>
      <w:r>
        <w:rPr>
          <w:rFonts w:eastAsia="Cambria" w:cs="Cambria"/>
          <w:b w:val="false"/>
          <w:bCs w:val="false"/>
          <w:i w:val="false"/>
          <w:iCs w:val="false"/>
          <w:sz w:val="22"/>
          <w:szCs w:val="22"/>
        </w:rPr>
        <w:t xml:space="preserve"> Fristen und Gebühren beachten; frage vorher, ob die Behörde Aufenthaltsstatus oder SSN verlangt.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Aufenthaltsstatus, Arbeitserlaubnis und Berufslizenz sind drei getrennte Dinge. Für die Arbeit im erlernten Beruf brauchst du alle drei, und die Lizenz lässt sich oft schon vor der Arbeitserlaubnis erwerben.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 Anna, 36, Grundschullehrerin, reist mit H-4 nach Michigan und darf zunächst nicht arbeiten. Sie nutzt die Zeit: Noch in Deutschland lässt sie Studium und Lehrerausbildung von einem Bewertungsdienst begutachten, der zu NACES oder AICE gehört, den Zusammenschlüssen anerkannter Dienste. Das Michigan Department of Education verlangt diesen Bericht (</w:t>
            </w:r>
            <w:r>
              <w:rPr>
                <w:rFonts w:eastAsia="Cambria" w:cs="Cambria"/>
                <w:b w:val="false"/>
                <w:bCs w:val="false"/>
                <w:i/>
                <w:iCs/>
                <w:sz w:val="20"/>
                <w:szCs w:val="20"/>
              </w:rPr>
              <w:t>Course-by-Course Evaluation</w:t>
            </w:r>
            <w:r>
              <w:rPr>
                <w:rFonts w:eastAsia="Cambria" w:cs="Cambria"/>
                <w:b w:val="false"/>
                <w:bCs w:val="false"/>
                <w:i w:val="false"/>
                <w:iCs w:val="false"/>
                <w:sz w:val="20"/>
                <w:szCs w:val="20"/>
              </w:rPr>
              <w:t>) statt deutscher Zeugnisse. Er zeigt, ob ihre Ausbildung als abgeschlossene Lehrerausbildung gilt und welche Prüfungen (</w:t>
            </w:r>
            <w:r>
              <w:rPr>
                <w:rFonts w:eastAsia="Cambria" w:cs="Cambria"/>
                <w:b w:val="false"/>
                <w:bCs w:val="false"/>
                <w:i/>
                <w:iCs/>
                <w:sz w:val="20"/>
                <w:szCs w:val="20"/>
              </w:rPr>
              <w:t>MTTC</w:t>
            </w:r>
            <w:r>
              <w:rPr>
                <w:rFonts w:eastAsia="Cambria" w:cs="Cambria"/>
                <w:b w:val="false"/>
                <w:bCs w:val="false"/>
                <w:i w:val="false"/>
                <w:iCs w:val="false"/>
                <w:sz w:val="20"/>
                <w:szCs w:val="20"/>
              </w:rPr>
              <w:t>) noch fehlen; hat sie nach der Zulassung im Ausland mindestens drei Jahre erfolgreich unterrichtet, kann sie laut Behörde davon befreit sein. Als der Bericht drei Monate später ankommt und bestätigt, dass ihre Berufserfahrung die MTTC-Pflicht aufhebt, ist das für Anna der erste Moment seit der Ausreise, an dem sich Michigan nach einem Plan anfühlt und nicht nur nach Warten. Die H-4-Arbeitserlaubnis kann sie erst beantragen, wenn Markus’ I-140 genehmigt ist. Bis dahin ist ihre Lehrbefähigung geklärt.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Hoffmann (fiktiv). Katrin, 44, Physiotherapeutin, darf als L-2-Ehefrau von Jan in Phoenix sofort arbeiten; ihr I-94 trägt die Kennung L-2S. Trotzdem kann sie nicht am ersten Tag in einer Praxis anfangen: Physiotherapie verlangt in Arizona wie in jedem Bundesstaat eine Lizenz, mit Bewertung der Ausbildung und bundesweiter Prüfung (NPTE). Katrin beginnt das Verfahren schon vor dem Umzug. Ihre Arbeitsberechtigung ist mit der Landung da, ihre Berufsberechtigung erst mit der Lizenz.</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Zwei Berufstätige, zwei Visa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Viele Paare wollen nicht auf ein Einkommen setzen. Das geht, wenn jede Person einen eigenen Status hat. Die Wege im Überblick:</w:t>
      </w:r>
    </w:p>
    <w:p>
      <w:pPr>
        <w:pStyle w:val="ListParagraph"/>
        <w:numPr>
          <w:ilvl w:val="0"/>
          <w:numId w:val="1"/>
        </w:numPr>
        <w:spacing w:lineRule="exact" w:line="288" w:before="0" w:after="60"/>
        <w:rPr/>
      </w:pPr>
      <w:r>
        <w:rPr>
          <w:rFonts w:eastAsia="Cambria" w:cs="Cambria"/>
          <w:b/>
          <w:bCs/>
          <w:i w:val="false"/>
          <w:iCs w:val="false"/>
          <w:sz w:val="22"/>
          <w:szCs w:val="22"/>
        </w:rPr>
        <w:t>Zwei Sponsoren.</w:t>
      </w:r>
      <w:r>
        <w:rPr>
          <w:rFonts w:eastAsia="Cambria" w:cs="Cambria"/>
          <w:b w:val="false"/>
          <w:bCs w:val="false"/>
          <w:i w:val="false"/>
          <w:iCs w:val="false"/>
          <w:sz w:val="22"/>
          <w:szCs w:val="22"/>
        </w:rPr>
        <w:t xml:space="preserve"> Beide bewerben sich bei Arbeitgebern, die Visa sponsern. Beim H-1B heißt das zwei Registrierungen im März und zwei unabhängige Lose. Gewinnt nur eine Person, reist die andere als H-4 mit und versucht es im Folgejahr erneut. Ein Statuswechsel vom H-4 zum H-1B im Inland fällt nach der USCIS-Leitlinie vom 20. Oktober 2025 nicht unter die 100.000-$-Zahlung; der Entwurf über 103.265 $ würde ihn nach Kanzleiangaben erfassen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Cap-exempt.</w:t>
      </w:r>
      <w:r>
        <w:rPr>
          <w:rFonts w:eastAsia="Cambria" w:cs="Cambria"/>
          <w:b w:val="false"/>
          <w:bCs w:val="false"/>
          <w:i w:val="false"/>
          <w:iCs w:val="false"/>
          <w:sz w:val="22"/>
          <w:szCs w:val="22"/>
        </w:rPr>
        <w:t xml:space="preserve"> Eine Person arbeitet an einer Hochschule oder Forschungseinrichtung, ohne Lotterie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Hochschulen bieten für Partner häufig Unterstützung an (</w:t>
      </w:r>
      <w:r>
        <w:rPr>
          <w:rFonts w:eastAsia="Cambria" w:cs="Cambria"/>
          <w:b w:val="false"/>
          <w:bCs w:val="false"/>
          <w:i/>
          <w:iCs/>
          <w:sz w:val="22"/>
          <w:szCs w:val="22"/>
        </w:rPr>
        <w:t>Dual Career</w:t>
      </w:r>
      <w:r>
        <w:rPr>
          <w:rFonts w:eastAsia="Cambria" w:cs="Cambria"/>
          <w:b w:val="false"/>
          <w:bCs w:val="false"/>
          <w:i w:val="false"/>
          <w:iCs w:val="false"/>
          <w:sz w:val="22"/>
          <w:szCs w:val="22"/>
        </w:rPr>
        <w:t>), fragen lohnt sich.</w:t>
      </w:r>
    </w:p>
    <w:p>
      <w:pPr>
        <w:pStyle w:val="ListParagraph"/>
        <w:numPr>
          <w:ilvl w:val="0"/>
          <w:numId w:val="1"/>
        </w:numPr>
        <w:spacing w:lineRule="exact" w:line="288" w:before="0" w:after="60"/>
        <w:rPr/>
      </w:pPr>
      <w:r>
        <w:rPr>
          <w:rFonts w:eastAsia="Cambria" w:cs="Cambria"/>
          <w:b/>
          <w:bCs/>
          <w:i w:val="false"/>
          <w:iCs w:val="false"/>
          <w:sz w:val="22"/>
          <w:szCs w:val="22"/>
        </w:rPr>
        <w:t>Gemischte Status.</w:t>
      </w:r>
      <w:r>
        <w:rPr>
          <w:rFonts w:eastAsia="Cambria" w:cs="Cambria"/>
          <w:b w:val="false"/>
          <w:bCs w:val="false"/>
          <w:i w:val="false"/>
          <w:iCs w:val="false"/>
          <w:sz w:val="22"/>
          <w:szCs w:val="22"/>
        </w:rPr>
        <w:t xml:space="preserve"> Ein Partner mit L-1 oder E-2, der andere mit H-1B: möglich, aber jede Person hat eigene Fristen, eigene Bindung an den Arbeitgeber und einen eigenen Arbeitsort.</w:t>
      </w:r>
    </w:p>
    <w:p>
      <w:pPr>
        <w:pStyle w:val="ListParagraph"/>
        <w:numPr>
          <w:ilvl w:val="0"/>
          <w:numId w:val="1"/>
        </w:numPr>
        <w:spacing w:lineRule="exact" w:line="288" w:before="0" w:after="60"/>
        <w:rPr/>
      </w:pPr>
      <w:r>
        <w:rPr>
          <w:rFonts w:eastAsia="Cambria" w:cs="Cambria"/>
          <w:b/>
          <w:bCs/>
          <w:i w:val="false"/>
          <w:iCs w:val="false"/>
          <w:sz w:val="22"/>
          <w:szCs w:val="22"/>
        </w:rPr>
        <w:t>Rückfallposition.</w:t>
      </w:r>
      <w:r>
        <w:rPr>
          <w:rFonts w:eastAsia="Cambria" w:cs="Cambria"/>
          <w:b w:val="false"/>
          <w:bCs w:val="false"/>
          <w:i w:val="false"/>
          <w:iCs w:val="false"/>
          <w:sz w:val="22"/>
          <w:szCs w:val="22"/>
        </w:rPr>
        <w:t xml:space="preserve"> Verliert eine Person den Job, kommt ein Wechsel in den H-4 unter dem anderen Partner in Betracht; den Antrag stellst du rechtzeitig innerhalb der Frist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Preis zweier Karrieren ist die Ortsbindung: Ein Umzug in ein anderes Beschäftigungsgebiet verlangt bei jeder Person eine neue Arbeitsbedingungserklärung und eine geänderte Petition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 Für die Green Card können beide getrennt antreten, oder eine Person folgt der anderen als Mitantragstellende – das entscheidet die Kanzlei mit dir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xml:space="preserve"> und </w:t>
      </w:r>
      <w:hyperlink w:anchor="k7">
        <w:r>
          <w:rPr>
            <w:rStyle w:val="ListLabel115"/>
            <w:rFonts w:eastAsia="Cambria" w:cs="Cambria"/>
            <w:b w:val="false"/>
            <w:bCs w:val="false"/>
            <w:i w:val="false"/>
            <w:iCs w:val="false"/>
            <w:sz w:val="22"/>
            <w:szCs w:val="22"/>
          </w:rPr>
          <w:t>7</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Der mitreisende Partner: Isolation und Einkommenslücke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mitreisende Partner ist der wunde Punkt des Systems. Die arbeitende Person hat Kollegen, die Kinder haben die Schule, wer zu Hause bleibt, hat oft nichts von beidem – nur die stille Wohnung am Nachmittag und die Frage, was man dem Nachbarn beim Small Talk auf „And what do you do?“ antwortet. Beim H-4 kommen Einkommenslücke, Karrierebruch und eine fehlende SSN zusammen, und das über Jahre. Sprich vor dem Abflug offen darüber, wer worauf verzichtet und wie lange, und vereinbart, wann ihr Bilanz zieht.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Wartezeit lässt sich nutzen: für Lizenzverfahren, Kurse (H-4 erlaubt Studium), Sprachpraxis, Ehrenamt und Kontakte (Anschluss finden: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 Kulturschock, Krisenpunkte und wann Hilfe sinnvoll ist: Kapitel </w:t>
      </w:r>
      <w:hyperlink w:anchor="k33">
        <w:r>
          <w:rPr>
            <w:rStyle w:val="ListLabel115"/>
            <w:rFonts w:eastAsia="Cambria" w:cs="Cambria"/>
            <w:b w:val="false"/>
            <w:bCs w:val="false"/>
            <w:i w:val="false"/>
            <w:iCs w:val="false"/>
            <w:sz w:val="22"/>
            <w:szCs w:val="22"/>
          </w:rPr>
          <w:t>33</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Ehepartner und Kinder reisen mit, ohne eigene Lotterie oder eigenen Sponsor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H-4-Partner dürfen in den ersten Jahren meist nicht arbeiten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L-2- und E-2-Partner arbeiten sofort und ohne eigenen Antrag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H-4-Arbeitserlaubnis ist Verordnungsrecht; ein Abschaffungsvorhaben steht auf der Agenda</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H-4 erlaubt Studium ohne Statuswechsel</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Als Auswärtige kostet das Studium im Schnitt 31.880 $ statt 11.950 $ pro Jahr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Familie läuft im Green-Card-Verfahren mit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 verlieren den Status mit 21 (Age-out)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 besuchen die öffentliche Schule ihres Distrikts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Unverheiratete Paare erhalten keinen Partnerstatus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Wartezeit lässt sich für Lizenz, Studium und Weiterbildung nutzen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Berufslizenzen sind Sache jedes Bundesstaats und dauern oft Monate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Zwei eigene Status sichern zwei Einkommen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Einkommenslücke, Karrierepause und Isolation belasten die Beziehung</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Kläre vor der Zusage, welcher Status für Partner und Kinder gilt. Heirate, falls nötig, vor dem Konsulatstermin, rechne die Altersgrenzen der Kinder durch, und stoße die Lizenzfrage für den Beruf des Partners an, solange noch keine Arbeitserlaubnis besteht.</w:t>
      </w:r>
    </w:p>
    <w:tbl>
      <w:tblPr>
        <w:tblW w:w="6480" w:type="dxa"/>
        <w:jc w:val="left"/>
        <w:tblInd w:w="0" w:type="dxa"/>
        <w:tblLayout w:type="fixed"/>
        <w:tblCellMar>
          <w:top w:w="110" w:type="dxa"/>
          <w:left w:w="200" w:type="dxa"/>
          <w:bottom w:w="80" w:type="dxa"/>
          <w:right w:w="160" w:type="dxa"/>
        </w:tblCellMar>
      </w:tblPr>
      <w:tblGrid>
        <w:gridCol w:w="6480"/>
      </w:tblGrid>
      <w:tr>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Familienstand klären: Unverheiratete Paare heiraten vor dem Konsulatstermin; Heiratsurkunde, Übersetzung und Apostille mit Kapitel </w:t>
            </w:r>
            <w:hyperlink w:anchor="k19">
              <w:r>
                <w:rPr>
                  <w:rStyle w:val="ListLabel114"/>
                  <w:rFonts w:eastAsia="Cambria" w:cs="Cambria"/>
                  <w:b w:val="false"/>
                  <w:bCs w:val="false"/>
                  <w:i w:val="false"/>
                  <w:iCs w:val="false"/>
                  <w:sz w:val="20"/>
                  <w:szCs w:val="20"/>
                </w:rPr>
                <w:t>19</w:t>
              </w:r>
            </w:hyperlink>
            <w:r>
              <w:rPr>
                <w:rFonts w:eastAsia="Cambria" w:cs="Cambria"/>
                <w:b w:val="false"/>
                <w:bCs w:val="false"/>
                <w:i w:val="false"/>
                <w:iCs w:val="false"/>
                <w:sz w:val="20"/>
                <w:szCs w:val="20"/>
              </w:rPr>
              <w:t xml:space="preserve"> planen.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eingetragener Lebenspartnerschaft: Umwandlung in eine Ehe mit Standesamt und Kanzlei besprechen.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Für jede Person ein eigenes DS-160, einen Termin und die Gebühr einplanen; Social-Media-Profile vor dem Termin öffentlich stellen (Kapitel </w:t>
            </w:r>
            <w:hyperlink w:anchor="k11">
              <w:r>
                <w:rPr>
                  <w:rStyle w:val="ListLabel114"/>
                  <w:rFonts w:eastAsia="Cambria" w:cs="Cambria"/>
                  <w:b w:val="false"/>
                  <w:bCs w:val="false"/>
                  <w:i w:val="false"/>
                  <w:iCs w:val="false"/>
                  <w:sz w:val="20"/>
                  <w:szCs w:val="20"/>
                </w:rPr>
                <w:t>11</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Im Angebotsschreiben festhalten, wer die Kosten für Ehepartner und Kinder trägt (Konsulargebühren, I-539, Arbeitserlaubnis).</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H-4: Haushaltsbudget mit einem Einkommen rechnen und den Start des Green-Card-Verfahrens mit dem Arbeitgeber klären (Kapitel </w:t>
            </w:r>
            <w:hyperlink w:anchor="k7">
              <w:r>
                <w:rPr>
                  <w:rStyle w:val="ListLabel114"/>
                  <w:rFonts w:eastAsia="Cambria" w:cs="Cambria"/>
                  <w:b w:val="false"/>
                  <w:bCs w:val="false"/>
                  <w:i w:val="false"/>
                  <w:iCs w:val="false"/>
                  <w:sz w:val="20"/>
                  <w:szCs w:val="20"/>
                </w:rPr>
                <w:t>7</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L-2 und E-2: nach der Landung den I-94 im Portal prüfen (Kennung L-2S bzw. E-2S).</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Den 21. Geburtstag aller Kinder in den Kalender eintragen; Age-out-Plan mit der Kanzlei besprechen.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Lizenzpflichtigen Beruf des Partners erkennen: Behörde des Zielstaats, Bewertungsdienst, Prüfungen und Kosten erfragen.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Studium mit H-4: bei der Hochschule die Regeln zur In-State Tuition erfragen, bevor du dich bewirbst.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Verlängerung der Arbeitserlaubnis 180 Tage vor Ablauf einplanen; Kopien aller Bescheide sichern.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Plan für die Wartezeit festlegen: Kurse, Ehrenamt, Kontakte, Termine für die gemeinsame Bilanz (Kapitel </w:t>
            </w:r>
            <w:hyperlink w:anchor="k32">
              <w:r>
                <w:rPr>
                  <w:rStyle w:val="ListLabel114"/>
                  <w:rFonts w:eastAsia="Cambria" w:cs="Cambria"/>
                  <w:b w:val="false"/>
                  <w:bCs w:val="false"/>
                  <w:i w:val="false"/>
                  <w:iCs w:val="false"/>
                  <w:sz w:val="20"/>
                  <w:szCs w:val="20"/>
                </w:rPr>
                <w:t>32</w:t>
              </w:r>
            </w:hyperlink>
            <w:r>
              <w:rPr>
                <w:rFonts w:eastAsia="Cambria" w:cs="Cambria"/>
                <w:b w:val="false"/>
                <w:bCs w:val="false"/>
                <w:i w:val="false"/>
                <w:iCs w:val="false"/>
                <w:sz w:val="20"/>
                <w:szCs w:val="20"/>
              </w:rPr>
              <w:t xml:space="preserve"> und </w:t>
            </w:r>
            <w:hyperlink w:anchor="k33">
              <w:r>
                <w:rPr>
                  <w:rStyle w:val="ListLabel114"/>
                  <w:rFonts w:eastAsia="Cambria" w:cs="Cambria"/>
                  <w:b w:val="false"/>
                  <w:bCs w:val="false"/>
                  <w:i w:val="false"/>
                  <w:iCs w:val="false"/>
                  <w:sz w:val="20"/>
                  <w:szCs w:val="20"/>
                </w:rPr>
                <w:t>33</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Arbeitserlaubnis, Form I-765 (</w:t>
      </w:r>
      <w:hyperlink r:id="rId101">
        <w:r>
          <w:rPr>
            <w:rStyle w:val="ListLabel113"/>
            <w:rFonts w:eastAsia="Cambria" w:cs="Cambria"/>
            <w:b w:val="false"/>
            <w:bCs w:val="false"/>
            <w:i w:val="false"/>
            <w:iCs w:val="false"/>
            <w:color w:val="0563C1"/>
            <w:sz w:val="22"/>
            <w:szCs w:val="22"/>
            <w:u w:val="single"/>
          </w:rPr>
          <w:t>uscis.gov/i-765</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Gebührenübersicht G-1055 (</w:t>
      </w:r>
      <w:hyperlink r:id="rId102">
        <w:r>
          <w:rPr>
            <w:rStyle w:val="ListLabel113"/>
            <w:rFonts w:eastAsia="Cambria" w:cs="Cambria"/>
            <w:b w:val="false"/>
            <w:bCs w:val="false"/>
            <w:i w:val="false"/>
            <w:iCs w:val="false"/>
            <w:color w:val="0563C1"/>
            <w:sz w:val="22"/>
            <w:szCs w:val="22"/>
            <w:u w:val="single"/>
          </w:rPr>
          <w:t>uscis.gov/g-1055</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L-1A und Arbeitsberechtigung der L-2-Ehepartner (</w:t>
      </w:r>
      <w:hyperlink r:id="rId103">
        <w:r>
          <w:rPr>
            <w:rStyle w:val="ListLabel113"/>
            <w:rFonts w:eastAsia="Cambria" w:cs="Cambria"/>
            <w:b w:val="false"/>
            <w:bCs w:val="false"/>
            <w:i w:val="false"/>
            <w:iCs w:val="false"/>
            <w:color w:val="0563C1"/>
            <w:sz w:val="22"/>
            <w:szCs w:val="22"/>
            <w:u w:val="single"/>
          </w:rPr>
          <w:t>uscis.gov/working-in-the-united-states/temporary-workers/l-1a-intracompany-transferee-executive-or-manager</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Policy Manual — Ehe und Ehepartner (</w:t>
      </w:r>
      <w:hyperlink r:id="rId104">
        <w:r>
          <w:rPr>
            <w:rStyle w:val="ListLabel113"/>
            <w:rFonts w:eastAsia="Cambria" w:cs="Cambria"/>
            <w:b w:val="false"/>
            <w:bCs w:val="false"/>
            <w:i w:val="false"/>
            <w:iCs w:val="false"/>
            <w:color w:val="0563C1"/>
            <w:sz w:val="22"/>
            <w:szCs w:val="22"/>
            <w:u w:val="single"/>
          </w:rPr>
          <w:t>uscis.gov/policy-manual/volume-6-part-b-chapter-6</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Policy Manual — Child Status Protection Act (</w:t>
      </w:r>
      <w:hyperlink r:id="rId105">
        <w:r>
          <w:rPr>
            <w:rStyle w:val="ListLabel113"/>
            <w:rFonts w:eastAsia="Cambria" w:cs="Cambria"/>
            <w:b w:val="false"/>
            <w:bCs w:val="false"/>
            <w:i w:val="false"/>
            <w:iCs w:val="false"/>
            <w:color w:val="0563C1"/>
            <w:sz w:val="22"/>
            <w:szCs w:val="22"/>
            <w:u w:val="single"/>
          </w:rPr>
          <w:t>uscis.gov/policy-manual/volume-7-part-a-chapter-7</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Grenzschutz CBP — I-94-Portal (</w:t>
      </w:r>
      <w:hyperlink r:id="rId106">
        <w:r>
          <w:rPr>
            <w:rStyle w:val="ListLabel113"/>
            <w:rFonts w:eastAsia="Cambria" w:cs="Cambria"/>
            <w:b w:val="false"/>
            <w:bCs w:val="false"/>
            <w:i w:val="false"/>
            <w:iCs w:val="false"/>
            <w:color w:val="0563C1"/>
            <w:sz w:val="22"/>
            <w:szCs w:val="22"/>
            <w:u w:val="single"/>
          </w:rPr>
          <w:t>i94.cbp.dhs.gov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Regelungsagenda der US-Regierung — Vorhaben RIN 1615-AD14 (</w:t>
      </w:r>
      <w:hyperlink r:id="rId107">
        <w:r>
          <w:rPr>
            <w:rStyle w:val="ListLabel113"/>
            <w:rFonts w:eastAsia="Cambria" w:cs="Cambria"/>
            <w:b w:val="false"/>
            <w:bCs w:val="false"/>
            <w:i w:val="false"/>
            <w:iCs w:val="false"/>
            <w:color w:val="0563C1"/>
            <w:sz w:val="22"/>
            <w:szCs w:val="22"/>
            <w:u w:val="single"/>
          </w:rPr>
          <w:t>reginfo.gov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Michigan Department of Education — Lehrkräfte aus dem Ausland (</w:t>
      </w:r>
      <w:hyperlink r:id="rId108">
        <w:r>
          <w:rPr>
            <w:rStyle w:val="ListLabel113"/>
            <w:rFonts w:eastAsia="Cambria" w:cs="Cambria"/>
            <w:b w:val="false"/>
            <w:bCs w:val="false"/>
            <w:i w:val="false"/>
            <w:iCs w:val="false"/>
            <w:color w:val="0563C1"/>
            <w:sz w:val="22"/>
            <w:szCs w:val="22"/>
            <w:u w:val="single"/>
          </w:rPr>
          <w:t>michigan.gov/mde</w:t>
        </w:r>
      </w:hyperlink>
      <w:r>
        <w:rPr>
          <w:rFonts w:eastAsia="Cambria" w:cs="Cambria"/>
          <w:b w:val="false"/>
          <w:bCs w:val="false"/>
          <w:i w:val="false"/>
          <w:iCs w:val="false"/>
          <w:sz w:val="22"/>
          <w:szCs w:val="22"/>
        </w:rPr>
        <w:t>, Suche: Out-of-Country Applicants)</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ListParagraph"/>
              <w:numPr>
                <w:ilvl w:val="0"/>
                <w:numId w:val="114"/>
              </w:numPr>
              <w:spacing w:lineRule="exact" w:line="264" w:before="0" w:after="50"/>
              <w:rPr/>
            </w:pPr>
            <w:r>
              <w:rPr>
                <w:rFonts w:eastAsia="Cambria" w:cs="Cambria"/>
                <w:b w:val="false"/>
                <w:bCs w:val="false"/>
                <w:i w:val="false"/>
                <w:iCs w:val="false"/>
                <w:sz w:val="20"/>
                <w:szCs w:val="20"/>
              </w:rPr>
              <w:t>September 2026. Diese Angaben ändern sich schnell: das Vorhaben zur Abschaffung der H-4-Arbeitserlaubnis (RIN 1615-AD14, kein Entwurf veröffentlicht), die Gebühren für I-765, I-539 und I-485 (G-1055), die Regeln zur Verlängerung von Arbeitserlaubnissen, die Stichtage im Visa Bulletin und damit der Schutz durch den CSPA, die Entwürfe zu 103.265 $ und zur 60-Tage-Frist (Kapitel </w:t>
            </w:r>
            <w:hyperlink w:anchor="k5">
              <w:r>
                <w:rPr>
                  <w:rStyle w:val="ListLabel114"/>
                  <w:rFonts w:eastAsia="Cambria" w:cs="Cambria"/>
                  <w:b w:val="false"/>
                  <w:bCs w:val="false"/>
                  <w:i w:val="false"/>
                  <w:iCs w:val="false"/>
                  <w:sz w:val="20"/>
                  <w:szCs w:val="20"/>
                </w:rPr>
                <w:t>5</w:t>
              </w:r>
            </w:hyperlink>
            <w:r>
              <w:rPr>
                <w:rFonts w:eastAsia="Cambria" w:cs="Cambria"/>
                <w:b w:val="false"/>
                <w:bCs w:val="false"/>
                <w:i w:val="false"/>
                <w:iCs w:val="false"/>
                <w:sz w:val="20"/>
                <w:szCs w:val="20"/>
              </w:rPr>
              <w:t>) sowie die Regeln der Bundesstaaten und Hochschulen zu Lizenzen und Studiengebühren. Prüfe vor jeder Entscheidung uscis.gov und die Kanzlei deines Arbeitgebers.</w:t>
            </w:r>
          </w:p>
        </w:tc>
      </w:tr>
    </w:tbl>
    <w:p>
      <w:pPr>
        <w:pStyle w:val="Normal"/>
        <w:spacing w:lineRule="exact" w:line="220" w:before="0" w:after="0"/>
        <w:rPr/>
      </w:pPr>
      <w:r>
        <w:rPr/>
      </w:r>
      <w:r>
        <w:br w:type="page"/>
      </w:r>
    </w:p>
    <w:p>
      <w:pPr>
        <w:pStyle w:val="Heading2"/>
        <w:keepNext w:val="true"/>
        <w:spacing w:before="0" w:after="300"/>
        <w:jc w:val="center"/>
        <w:rPr/>
      </w:pPr>
      <w:bookmarkStart w:id="31" w:name="__RefHeading___Toc56451_3769931028"/>
      <w:bookmarkStart w:id="32" w:name="k11"/>
      <w:bookmarkEnd w:id="31"/>
      <w:r>
        <w:rPr>
          <w:rFonts w:eastAsia="Amazon Ember" w:cs="Amazon Ember" w:ascii="Amazon Ember" w:hAnsi="Amazon Ember"/>
          <w:b/>
          <w:bCs/>
          <w:color w:val="0000FF"/>
          <w:sz w:val="36"/>
          <w:szCs w:val="36"/>
        </w:rPr>
        <w:t>Kapitel 11: Antrag, Konsulat, Anwalt, Kosten</w:t>
      </w:r>
      <w:bookmarkEnd w:id="32"/>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Mail der Kanzlei kommt an einem Dienstagabend, Betreff: „Approved“. Im Anhang liegt der Genehmigungsbescheid (</w:t>
      </w:r>
      <w:r>
        <w:rPr>
          <w:rFonts w:eastAsia="Cambria" w:cs="Cambria"/>
          <w:b w:val="false"/>
          <w:bCs w:val="false"/>
          <w:i/>
          <w:iCs/>
          <w:sz w:val="22"/>
          <w:szCs w:val="22"/>
        </w:rPr>
        <w:t>Form I-797</w:t>
      </w:r>
      <w:r>
        <w:rPr>
          <w:rFonts w:eastAsia="Cambria" w:cs="Cambria"/>
          <w:b w:val="false"/>
          <w:bCs w:val="false"/>
          <w:i w:val="false"/>
          <w:iCs w:val="false"/>
          <w:sz w:val="22"/>
          <w:szCs w:val="22"/>
        </w:rPr>
        <w:t>), und du atmest auf – bis du weiterliest: DS-160 ausfüllen, Gebühr zahlen, Termin buchen, Interview. Die Genehmigung der Einwanderungsbehörde ist erst die erste von drei Entscheidungen. Dieses Kapitel führt durch alles, was danach kommt: wer was macht, was es kostet und wo es hakt.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Dein Arbeitgeber ist Antragsteller, zahlt die Petition und beauftragt die Kanzlei; diese vertritt ihn, nicht dich. DS-160, Konsulargebühr und Interview sind deine Sache.</w:t>
            </w:r>
          </w:p>
          <w:p>
            <w:pPr>
              <w:pStyle w:val="ListParagraph"/>
              <w:numPr>
                <w:ilvl w:val="0"/>
                <w:numId w:val="1"/>
              </w:numPr>
              <w:spacing w:lineRule="exact" w:line="264" w:before="0" w:after="50"/>
              <w:rPr/>
            </w:pPr>
            <w:r>
              <w:rPr>
                <w:rFonts w:eastAsia="Cambria" w:cs="Cambria"/>
                <w:b w:val="false"/>
                <w:bCs w:val="false"/>
                <w:i w:val="false"/>
                <w:iCs w:val="false"/>
                <w:sz w:val="20"/>
                <w:szCs w:val="20"/>
              </w:rPr>
              <w:t>In Frankfurt, Berlin oder München erscheinst du persönlich: Ausnahmen vom Interview gibt es für H-1B und H-4 seit dem 2. September 2025 nicht mehr.</w:t>
            </w:r>
          </w:p>
          <w:p>
            <w:pPr>
              <w:pStyle w:val="ListParagraph"/>
              <w:numPr>
                <w:ilvl w:val="0"/>
                <w:numId w:val="1"/>
              </w:numPr>
              <w:spacing w:lineRule="exact" w:line="264" w:before="0" w:after="50"/>
              <w:rPr/>
            </w:pPr>
            <w:r>
              <w:rPr>
                <w:rFonts w:eastAsia="Cambria" w:cs="Cambria"/>
                <w:b w:val="false"/>
                <w:bCs w:val="false"/>
                <w:i w:val="false"/>
                <w:iCs w:val="false"/>
                <w:sz w:val="20"/>
                <w:szCs w:val="20"/>
              </w:rPr>
              <w:t>Neu sind die Prüfung deiner Online-Profile (seit 15. Dezember 2025) und kürzere Fristen bei Nachforderungen (seit 5. August 2026); die 250 $ Visa Integrity Fee werden uneinheitlich erhoben.</w:t>
            </w:r>
          </w:p>
          <w:p>
            <w:pPr>
              <w:pStyle w:val="ListParagraph"/>
              <w:numPr>
                <w:ilvl w:val="0"/>
                <w:numId w:val="1"/>
              </w:numPr>
              <w:spacing w:lineRule="exact" w:line="264" w:before="0" w:after="50"/>
              <w:rPr/>
            </w:pPr>
            <w:r>
              <w:rPr>
                <w:rFonts w:eastAsia="Cambria" w:cs="Cambria"/>
                <w:b w:val="false"/>
                <w:bCs w:val="false"/>
                <w:i w:val="false"/>
                <w:iCs w:val="false"/>
                <w:sz w:val="20"/>
                <w:szCs w:val="20"/>
              </w:rPr>
              <w:t>Deine Kosten: 205 $ je Person, dazu möglicherweise 250 $ je Visum. Der Arbeitgeber investiert grob 5.600–11.600 $ je H-1B-Erstpetition.</w:t>
            </w:r>
          </w:p>
          <w:p>
            <w:pPr>
              <w:pStyle w:val="ListParagraph"/>
              <w:numPr>
                <w:ilvl w:val="0"/>
                <w:numId w:val="1"/>
              </w:numPr>
              <w:spacing w:lineRule="exact" w:line="264" w:before="0" w:after="50"/>
              <w:rPr/>
            </w:pPr>
            <w:r>
              <w:rPr>
                <w:rFonts w:eastAsia="Cambria" w:cs="Cambria"/>
                <w:b w:val="false"/>
                <w:bCs w:val="false"/>
                <w:i w:val="false"/>
                <w:iCs w:val="false"/>
                <w:sz w:val="20"/>
                <w:szCs w:val="20"/>
              </w:rPr>
              <w:t>Ein 221(g)-Vermerk (</w:t>
            </w:r>
            <w:r>
              <w:rPr>
                <w:rFonts w:eastAsia="Cambria" w:cs="Cambria"/>
                <w:b w:val="false"/>
                <w:bCs w:val="false"/>
                <w:i/>
                <w:iCs/>
                <w:sz w:val="20"/>
                <w:szCs w:val="20"/>
              </w:rPr>
              <w:t>Administrative Processing</w:t>
            </w:r>
            <w:r>
              <w:rPr>
                <w:rFonts w:eastAsia="Cambria" w:cs="Cambria"/>
                <w:b w:val="false"/>
                <w:bCs w:val="false"/>
                <w:i w:val="false"/>
                <w:iCs w:val="false"/>
                <w:sz w:val="20"/>
                <w:szCs w:val="20"/>
              </w:rPr>
              <w:t>) kann Wochen bis Monate dauern: Kündige erst, wenn das Visum im Pass steht.</w:t>
            </w:r>
          </w:p>
          <w:p>
            <w:pPr>
              <w:pStyle w:val="ListParagraph"/>
              <w:numPr>
                <w:ilvl w:val="0"/>
                <w:numId w:val="1"/>
              </w:numPr>
              <w:spacing w:lineRule="exact" w:line="264" w:before="0" w:after="50"/>
              <w:rPr/>
            </w:pPr>
            <w:r>
              <w:rPr>
                <w:rFonts w:eastAsia="Cambria" w:cs="Cambria"/>
                <w:b w:val="false"/>
                <w:bCs w:val="false"/>
                <w:i w:val="false"/>
                <w:iCs w:val="false"/>
                <w:sz w:val="20"/>
                <w:szCs w:val="20"/>
              </w:rPr>
              <w:t>Vertreten dürfen dich nur zugelassene Anwälte, „Visa-Berater“ und Notare gehören nicht dazu.</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Wer macht was: Arbeitgeber, Kanzlei und du</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Bei arbeitgebergestützten Visa (H-1B, L-1, O-1) ist dein Arbeitgeber der </w:t>
      </w:r>
      <w:r>
        <w:rPr>
          <w:rFonts w:eastAsia="Cambria" w:cs="Cambria"/>
          <w:b w:val="false"/>
          <w:bCs w:val="false"/>
          <w:i/>
          <w:iCs/>
          <w:sz w:val="22"/>
          <w:szCs w:val="22"/>
        </w:rPr>
        <w:t>Petitioner</w:t>
      </w:r>
      <w:r>
        <w:rPr>
          <w:rFonts w:eastAsia="Cambria" w:cs="Cambria"/>
          <w:b w:val="false"/>
          <w:bCs w:val="false"/>
          <w:i w:val="false"/>
          <w:iCs w:val="false"/>
          <w:sz w:val="22"/>
          <w:szCs w:val="22"/>
        </w:rPr>
        <w:t xml:space="preserve"> (Antragsteller), du der </w:t>
      </w:r>
      <w:r>
        <w:rPr>
          <w:rFonts w:eastAsia="Cambria" w:cs="Cambria"/>
          <w:b w:val="false"/>
          <w:bCs w:val="false"/>
          <w:i/>
          <w:iCs/>
          <w:sz w:val="22"/>
          <w:szCs w:val="22"/>
        </w:rPr>
        <w:t>Beneficiary</w:t>
      </w:r>
      <w:r>
        <w:rPr>
          <w:rFonts w:eastAsia="Cambria" w:cs="Cambria"/>
          <w:b w:val="false"/>
          <w:bCs w:val="false"/>
          <w:i w:val="false"/>
          <w:iCs w:val="false"/>
          <w:sz w:val="22"/>
          <w:szCs w:val="22"/>
        </w:rPr>
        <w:t xml:space="preserve"> (Begünstigter). Er reicht die </w:t>
      </w:r>
      <w:r>
        <w:rPr>
          <w:rFonts w:eastAsia="Cambria" w:cs="Cambria"/>
          <w:b w:val="false"/>
          <w:bCs w:val="false"/>
          <w:i/>
          <w:iCs/>
          <w:sz w:val="22"/>
          <w:szCs w:val="22"/>
        </w:rPr>
        <w:t>Petition</w:t>
      </w:r>
      <w:r>
        <w:rPr>
          <w:rFonts w:eastAsia="Cambria" w:cs="Cambria"/>
          <w:b w:val="false"/>
          <w:bCs w:val="false"/>
          <w:i w:val="false"/>
          <w:iCs w:val="false"/>
          <w:sz w:val="22"/>
          <w:szCs w:val="22"/>
        </w:rPr>
        <w:t xml:space="preserve"> (Form I-129 bei USCIS) und die </w:t>
      </w:r>
      <w:r>
        <w:rPr>
          <w:rFonts w:eastAsia="Cambria" w:cs="Cambria"/>
          <w:b w:val="false"/>
          <w:bCs w:val="false"/>
          <w:i/>
          <w:iCs/>
          <w:sz w:val="22"/>
          <w:szCs w:val="22"/>
        </w:rPr>
        <w:t>Labor Condition Application</w:t>
      </w:r>
      <w:r>
        <w:rPr>
          <w:rFonts w:eastAsia="Cambria" w:cs="Cambria"/>
          <w:b w:val="false"/>
          <w:bCs w:val="false"/>
          <w:i w:val="false"/>
          <w:iCs w:val="false"/>
          <w:sz w:val="22"/>
          <w:szCs w:val="22"/>
        </w:rPr>
        <w:t xml:space="preserve"> (LCA, die Lohn- und Arbeitsbedingungen-Erklärung beim Arbeitsministerium) ein, zahlt die Gebühren und beauftragt eine Kanzlei. Verbreiteter Irrtum: „Meine“ Anwältin kümmert sich um mein Visum, also steht sie auf meiner Seite. Tatsächlich ist sie die Anwältin oder der Anwalt deines Arbeitgebers: Du bekommst Erklärungen und meist gute Betreuung, das Mandat aber gehört der Firma. Bei der Green Card vertritt die Kanzlei oft beide Seiten; dann unterschreibst du eine Einverständniserklärung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1491"/>
        <w:gridCol w:w="1868"/>
        <w:gridCol w:w="2171"/>
        <w:gridCol w:w="949"/>
      </w:tblGrid>
      <w:tr>
        <w:trPr>
          <w:tblHeader w:val="true"/>
          <w:cantSplit w:val="true"/>
        </w:trPr>
        <w:tc>
          <w:tcPr>
            <w:tcW w:w="149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Schritt</w:t>
            </w:r>
          </w:p>
        </w:tc>
        <w:tc>
          <w:tcPr>
            <w:tcW w:w="186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Arbeitgeber und Kanzlei</w:t>
            </w:r>
          </w:p>
        </w:tc>
        <w:tc>
          <w:tcPr>
            <w:tcW w:w="217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Du</w:t>
            </w:r>
          </w:p>
        </w:tc>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Zahlt</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Lohn-Level, Diplombewertung</w:t>
            </w:r>
          </w:p>
        </w:tc>
        <w:tc>
          <w:tcPr>
            <w:tcW w:w="1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prüfen und entscheiden</w:t>
            </w:r>
          </w:p>
        </w:tc>
        <w:tc>
          <w:tcPr>
            <w:tcW w:w="21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Zeugnisse und Lebenslauf liefern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Registrierung (März)</w:t>
            </w:r>
          </w:p>
        </w:tc>
        <w:tc>
          <w:tcPr>
            <w:tcW w:w="1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trägt ein, meldet das Lohn-Level</w:t>
            </w:r>
          </w:p>
        </w:tc>
        <w:tc>
          <w:tcPr>
            <w:tcW w:w="21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Passdaten korrekt melden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LCA und Petition</w:t>
            </w:r>
          </w:p>
        </w:tc>
        <w:tc>
          <w:tcPr>
            <w:tcW w:w="1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erstellen und reichen ein</w:t>
            </w:r>
          </w:p>
        </w:tc>
        <w:tc>
          <w:tcPr>
            <w:tcW w:w="21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Angaben prüfen, Rückfragen zügig beantworten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Nachforderung (RFE)</w:t>
            </w:r>
          </w:p>
        </w:tc>
        <w:tc>
          <w:tcPr>
            <w:tcW w:w="1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antwortet fristgerecht</w:t>
            </w:r>
          </w:p>
        </w:tc>
        <w:tc>
          <w:tcPr>
            <w:tcW w:w="21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Unterlagen binnen Tagen liefern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DS-160, Gebühr, Termin</w:t>
            </w:r>
          </w:p>
        </w:tc>
        <w:tc>
          <w:tcPr>
            <w:tcW w:w="1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erklären den Ablauf</w:t>
            </w:r>
          </w:p>
        </w:tc>
        <w:tc>
          <w:tcPr>
            <w:tcW w:w="21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ausfüllen, zahlen, buchen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 oft erstattet</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Interview</w:t>
            </w:r>
          </w:p>
        </w:tc>
        <w:tc>
          <w:tcPr>
            <w:tcW w:w="1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schicken Bescheid und Briefing</w:t>
            </w:r>
          </w:p>
        </w:tc>
        <w:tc>
          <w:tcPr>
            <w:tcW w:w="21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erscheinst persönlich</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Einreise, I-94</w:t>
            </w:r>
          </w:p>
        </w:tc>
        <w:tc>
          <w:tcPr>
            <w:tcW w:w="1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c>
          <w:tcPr>
            <w:tcW w:w="21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prüfst den Eintrag</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bereits in den USA ist, etwa als Student mit Statuswechsel von F-1 zu H-1B, braucht kein Konsulat (Kapitel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 Für Ehepartner und Kinder (H-4) gilt der Ablauf ab dem DS-160 genauso – jede Person mit eigenem Formular und eigener Gebühr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Drei Stellen, drei Entscheidungen. USCIS genehmigt die Petition, das Konsulat erteilt das </w:t>
            </w:r>
            <w:r>
              <w:rPr>
                <w:rFonts w:eastAsia="Cambria" w:cs="Cambria"/>
                <w:b w:val="false"/>
                <w:bCs w:val="false"/>
                <w:i/>
                <w:iCs/>
                <w:sz w:val="20"/>
                <w:szCs w:val="20"/>
              </w:rPr>
              <w:t>Visum</w:t>
            </w:r>
            <w:r>
              <w:rPr>
                <w:rFonts w:eastAsia="Cambria" w:cs="Cambria"/>
                <w:b w:val="false"/>
                <w:bCs w:val="false"/>
                <w:i w:val="false"/>
                <w:iCs w:val="false"/>
                <w:sz w:val="20"/>
                <w:szCs w:val="20"/>
              </w:rPr>
              <w:t xml:space="preserve"> (das Einreisedokument im Pass), der Grenzschutz CBP gewährt bei der Einreise den </w:t>
            </w:r>
            <w:r>
              <w:rPr>
                <w:rFonts w:eastAsia="Cambria" w:cs="Cambria"/>
                <w:b w:val="false"/>
                <w:bCs w:val="false"/>
                <w:i/>
                <w:iCs/>
                <w:sz w:val="20"/>
                <w:szCs w:val="20"/>
              </w:rPr>
              <w:t>Status</w:t>
            </w:r>
            <w:r>
              <w:rPr>
                <w:rFonts w:eastAsia="Cambria" w:cs="Cambria"/>
                <w:b w:val="false"/>
                <w:bCs w:val="false"/>
                <w:i w:val="false"/>
                <w:iCs w:val="false"/>
                <w:sz w:val="20"/>
                <w:szCs w:val="20"/>
              </w:rPr>
              <w:t xml:space="preserve"> (das Aufenthaltsrecht, dokumentiert im I-94). Eine Genehmigung garantiert kein Visum, und ein Visum garantiert keine Einreise.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Einen eigenen Anwalt finden und bezahlen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eigener Anwalt lohnt sich, wenn dein Fall über den Standard hinausgeht: Du hast eine Vorgeschichte (verweigertes Visum, Aufenthalt über die erlaubte Zeit, Vorstrafe), du gründest selbst (E-2, O-1;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 dein Arbeitgeber hat wenig Visa-Erfahrung, oder du willst eine Zweitmeinung zu Zeitplan, Lohn-Level und Risiken – die Kanzlei deines Arbeitgebers ist an dessen Interessen gebunden.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Einwanderungsrecht ist Bundesrecht, deshalb genügt in der Regel die Zulassung in irgendeinem Bundesstaat; der Zielort spielt keine Rolle, Videotermine sind üblich. Die Anwaltskammer des Bundesstaats (</w:t>
      </w:r>
      <w:r>
        <w:rPr>
          <w:rFonts w:eastAsia="Cambria" w:cs="Cambria"/>
          <w:b w:val="false"/>
          <w:bCs w:val="false"/>
          <w:i/>
          <w:iCs/>
          <w:sz w:val="22"/>
          <w:szCs w:val="22"/>
        </w:rPr>
        <w:t>State Bar</w:t>
      </w:r>
      <w:r>
        <w:rPr>
          <w:rFonts w:eastAsia="Cambria" w:cs="Cambria"/>
          <w:b w:val="false"/>
          <w:bCs w:val="false"/>
          <w:i w:val="false"/>
          <w:iCs w:val="false"/>
          <w:sz w:val="22"/>
          <w:szCs w:val="22"/>
        </w:rPr>
        <w:t>) führt eine öffentliche Suche mit Zulassungsstatus und Disziplinarverfahren, der Berufsverband AILA betreibt unter ailalawyer.com eine Anwaltssuche. Frage im Erstgespräch nach der Zahl vergleichbarer Fälle pro Jahr, wer deinen Fall bearbeitet (Partner oder Mitarbeiter) und ob die Antwort auf eine Nachforderung im Preis enthalten ist. Lass dir alles schriftlich geben (</w:t>
      </w:r>
      <w:r>
        <w:rPr>
          <w:rFonts w:eastAsia="Cambria" w:cs="Cambria"/>
          <w:b w:val="false"/>
          <w:bCs w:val="false"/>
          <w:i/>
          <w:iCs/>
          <w:sz w:val="22"/>
          <w:szCs w:val="22"/>
        </w:rPr>
        <w:t>Retainer Agreement</w:t>
      </w:r>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Honorare (Marktangaben von Kanzleien und Vergleichsportalen 2026, kein amtlicher Tarif):</w:t>
      </w:r>
    </w:p>
    <w:p>
      <w:pPr>
        <w:pStyle w:val="ListParagraph"/>
        <w:numPr>
          <w:ilvl w:val="0"/>
          <w:numId w:val="1"/>
        </w:numPr>
        <w:spacing w:lineRule="exact" w:line="288" w:before="0" w:after="60"/>
        <w:rPr/>
      </w:pPr>
      <w:r>
        <w:rPr>
          <w:rFonts w:eastAsia="Cambria" w:cs="Cambria"/>
          <w:b w:val="false"/>
          <w:bCs w:val="false"/>
          <w:i w:val="false"/>
          <w:iCs w:val="false"/>
          <w:sz w:val="22"/>
          <w:szCs w:val="22"/>
        </w:rPr>
        <w:t>Erstberatung: 100–400 $, manche Kanzleien bieten sie kostenlos an.</w:t>
      </w:r>
    </w:p>
    <w:p>
      <w:pPr>
        <w:pStyle w:val="ListParagraph"/>
        <w:numPr>
          <w:ilvl w:val="0"/>
          <w:numId w:val="1"/>
        </w:numPr>
        <w:spacing w:lineRule="exact" w:line="288" w:before="0" w:after="60"/>
        <w:rPr/>
      </w:pPr>
      <w:r>
        <w:rPr>
          <w:rFonts w:eastAsia="Cambria" w:cs="Cambria"/>
          <w:b w:val="false"/>
          <w:bCs w:val="false"/>
          <w:i w:val="false"/>
          <w:iCs w:val="false"/>
          <w:sz w:val="22"/>
          <w:szCs w:val="22"/>
        </w:rPr>
        <w:t>Stundensatz: meist 250–500 $, Spanne 150–600 $.</w:t>
      </w:r>
    </w:p>
    <w:p>
      <w:pPr>
        <w:pStyle w:val="ListParagraph"/>
        <w:numPr>
          <w:ilvl w:val="0"/>
          <w:numId w:val="1"/>
        </w:numPr>
        <w:spacing w:lineRule="exact" w:line="288" w:before="0" w:after="60"/>
        <w:rPr/>
      </w:pPr>
      <w:r>
        <w:rPr>
          <w:rFonts w:eastAsia="Cambria" w:cs="Cambria"/>
          <w:b w:val="false"/>
          <w:bCs w:val="false"/>
          <w:i w:val="false"/>
          <w:iCs w:val="false"/>
          <w:sz w:val="22"/>
          <w:szCs w:val="22"/>
        </w:rPr>
        <w:t>H-1B-Erstpetition als Pauschale: meist 2.000–5.000 $, bezahlt vom Arbeitgeber.</w:t>
      </w:r>
    </w:p>
    <w:p>
      <w:pPr>
        <w:pStyle w:val="ListParagraph"/>
        <w:numPr>
          <w:ilvl w:val="0"/>
          <w:numId w:val="1"/>
        </w:numPr>
        <w:spacing w:lineRule="exact" w:line="288" w:before="0" w:after="60"/>
        <w:rPr/>
      </w:pPr>
      <w:r>
        <w:rPr>
          <w:rFonts w:eastAsia="Cambria" w:cs="Cambria"/>
          <w:b w:val="false"/>
          <w:bCs w:val="false"/>
          <w:i w:val="false"/>
          <w:iCs w:val="false"/>
          <w:sz w:val="22"/>
          <w:szCs w:val="22"/>
        </w:rPr>
        <w:t>Antwort auf eine Nachforderung: 1.000–3.000 $, teils mehr; manche Pauschalen enthalten sie.</w:t>
      </w:r>
    </w:p>
    <w:p>
      <w:pPr>
        <w:pStyle w:val="ListParagraph"/>
        <w:numPr>
          <w:ilvl w:val="0"/>
          <w:numId w:val="1"/>
        </w:numPr>
        <w:spacing w:lineRule="exact" w:line="288" w:before="0" w:after="60"/>
        <w:rPr/>
      </w:pPr>
      <w:r>
        <w:rPr>
          <w:rFonts w:eastAsia="Cambria" w:cs="Cambria"/>
          <w:b w:val="false"/>
          <w:bCs w:val="false"/>
          <w:i w:val="false"/>
          <w:iCs w:val="false"/>
          <w:sz w:val="22"/>
          <w:szCs w:val="22"/>
        </w:rPr>
        <w:t>Zweitmeinung für dich: ein bis zwei Stunden, also grob 300–1.000 $.</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Eigener Anwalt zusätzlich zur Kanzlei des Arbeitgebers:</w:t>
      </w:r>
    </w:p>
    <w:tbl>
      <w:tblPr>
        <w:tblW w:w="6480" w:type="dxa"/>
        <w:jc w:val="left"/>
        <w:tblInd w:w="0" w:type="dxa"/>
        <w:tblLayout w:type="fixed"/>
        <w:tblCellMar>
          <w:top w:w="50" w:type="dxa"/>
          <w:left w:w="80" w:type="dxa"/>
          <w:bottom w:w="50" w:type="dxa"/>
          <w:right w:w="80" w:type="dxa"/>
        </w:tblCellMar>
      </w:tblPr>
      <w:tblGrid>
        <w:gridCol w:w="3258"/>
        <w:gridCol w:w="3221"/>
      </w:tblGrid>
      <w:tr>
        <w:trPr>
          <w:tblHeader w:val="true"/>
          <w:cantSplit w:val="true"/>
        </w:trPr>
        <w:tc>
          <w:tcPr>
            <w:tcW w:w="325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2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Berät nur dich, nicht deinen Arbeitgeber</w:t>
            </w:r>
          </w:p>
        </w:tc>
        <w:tc>
          <w:tcPr>
            <w:tcW w:w="32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Erstberatung 100–400 $, danach 250–500 $ pro Stunde</w:t>
            </w:r>
          </w:p>
        </w:tc>
      </w:tr>
      <w:tr>
        <w:trPr>
          <w:cantSplit w:val="true"/>
        </w:trPr>
        <w:tc>
          <w:tcPr>
            <w:tcW w:w="32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Zweitmeinung zu Lohn-Level, Zeitplan und Risiken</w:t>
            </w:r>
          </w:p>
        </w:tc>
        <w:tc>
          <w:tcPr>
            <w:tcW w:w="32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Petition reicht weiter die Kanzlei des Arbeitgebers ein</w:t>
            </w:r>
          </w:p>
        </w:tc>
      </w:tr>
      <w:tr>
        <w:trPr>
          <w:cantSplit w:val="true"/>
        </w:trPr>
        <w:tc>
          <w:tcPr>
            <w:tcW w:w="32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Bleibt Ansprechpartner, auch wenn du die Stelle wechselst</w:t>
            </w:r>
          </w:p>
        </w:tc>
        <w:tc>
          <w:tcPr>
            <w:tcW w:w="32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Zwei Anwälte bedeuten mehr Abstimmung</w:t>
            </w:r>
          </w:p>
        </w:tc>
      </w:tr>
      <w:tr>
        <w:trPr>
          <w:cantSplit w:val="true"/>
        </w:trPr>
        <w:tc>
          <w:tcPr>
            <w:tcW w:w="32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Hilft bei Vorgeschichte, Familie und Sonderfällen</w:t>
            </w:r>
          </w:p>
        </w:tc>
        <w:tc>
          <w:tcPr>
            <w:tcW w:w="32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Auch er kann kein Ergebnis garantieren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Betrug erkennen: Notario, Visa-Vermittler, falsche Sponsoren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bekannteste Falle heißt </w:t>
      </w:r>
      <w:r>
        <w:rPr>
          <w:rFonts w:eastAsia="Cambria" w:cs="Cambria"/>
          <w:b w:val="false"/>
          <w:bCs w:val="false"/>
          <w:i/>
          <w:iCs/>
          <w:sz w:val="22"/>
          <w:szCs w:val="22"/>
        </w:rPr>
        <w:t>Notario</w:t>
      </w:r>
      <w:r>
        <w:rPr>
          <w:rFonts w:eastAsia="Cambria" w:cs="Cambria"/>
          <w:b w:val="false"/>
          <w:bCs w:val="false"/>
          <w:i w:val="false"/>
          <w:iCs w:val="false"/>
          <w:sz w:val="22"/>
          <w:szCs w:val="22"/>
        </w:rPr>
        <w:t xml:space="preserve">: In manchen Ländern ist der </w:t>
      </w:r>
      <w:r>
        <w:rPr>
          <w:rFonts w:eastAsia="Cambria" w:cs="Cambria"/>
          <w:b w:val="false"/>
          <w:bCs w:val="false"/>
          <w:i/>
          <w:iCs/>
          <w:sz w:val="22"/>
          <w:szCs w:val="22"/>
        </w:rPr>
        <w:t>notario público</w:t>
      </w:r>
      <w:r>
        <w:rPr>
          <w:rFonts w:eastAsia="Cambria" w:cs="Cambria"/>
          <w:b w:val="false"/>
          <w:bCs w:val="false"/>
          <w:i w:val="false"/>
          <w:iCs w:val="false"/>
          <w:sz w:val="22"/>
          <w:szCs w:val="22"/>
        </w:rPr>
        <w:t xml:space="preserve"> ein Jurist mit weitreichenden Befugnissen. In den USA beglaubigt ein </w:t>
      </w:r>
      <w:r>
        <w:rPr>
          <w:rFonts w:eastAsia="Cambria" w:cs="Cambria"/>
          <w:b w:val="false"/>
          <w:bCs w:val="false"/>
          <w:i/>
          <w:iCs/>
          <w:sz w:val="22"/>
          <w:szCs w:val="22"/>
        </w:rPr>
        <w:t>Notary Public</w:t>
      </w:r>
      <w:r>
        <w:rPr>
          <w:rFonts w:eastAsia="Cambria" w:cs="Cambria"/>
          <w:b w:val="false"/>
          <w:bCs w:val="false"/>
          <w:i w:val="false"/>
          <w:iCs w:val="false"/>
          <w:sz w:val="22"/>
          <w:szCs w:val="22"/>
        </w:rPr>
        <w:t xml:space="preserve"> nur Unterschriften; er ist kein Anwalt und darf keinen Rechtsrat geben. Der einzige Titel, den ein US-</w:t>
      </w:r>
      <w:r>
        <w:rPr>
          <w:rFonts w:eastAsia="Cambria" w:cs="Cambria"/>
          <w:b w:val="false"/>
          <w:bCs w:val="false"/>
          <w:i/>
          <w:iCs/>
          <w:sz w:val="22"/>
          <w:szCs w:val="22"/>
        </w:rPr>
        <w:t>Notary Public</w:t>
      </w:r>
      <w:r>
        <w:rPr>
          <w:rFonts w:eastAsia="Cambria" w:cs="Cambria"/>
          <w:b w:val="false"/>
          <w:bCs w:val="false"/>
          <w:i w:val="false"/>
          <w:iCs w:val="false"/>
          <w:sz w:val="22"/>
          <w:szCs w:val="22"/>
        </w:rPr>
        <w:t xml:space="preserve"> zuverlässig trägt, ist der eines Stempelkissenbesitzers. Auch wer beim Wort „Notar” an den deutschen Volljuristen denkt, liegt falsch. Betrüger nutzen die Verwechslung, kassieren Vorkasse und reichen falsche oder gar keine Formulare ein.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Vor USCIS vertreten dürfen dich nur Anwälte und akkreditierte Vertreter anerkannter Organisationen. Weitere Warnsignale: Erfolgsgarantie, angebliche „Beziehungen zum Konsulat“, Barzahlung oder Überweisung auf ein Privatkonto, Blankoformulare zum Unterschreiben, einbehaltene Originale, kein schriftlicher Vertrag. Verdächtig sind auch Stellenangebote, bei denen du für das „Sponsoring“ zahlen sollst: Ein echter Arbeitgeber trägt Petition und Kanzlei selbst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Termine und Gebühren gibt es nur über das offizielle Portal, das de.usembassy.gov verlinkt, „Express-Termine“ gegen Aufpreis brauchst du nicht. Behörden fordern keine Zahlung per Telefon, Messenger oder Gutscheinkarte. Betrug meldest du bei der Verbraucherschutzbehörde FTC (reportfraud.ftc.gov).</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Kein Anwalt, Vermittler oder „Berater“ kann ein Visum garantieren oder beschleunigen; Entscheidungen fallen nach Aktenlage, nicht nach Bekanntschaft. Prüfe die Zulassung bei der Anwaltskammer, bevor du zahlst, und unterschreibe nie ein leeres Formular.</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beschreibt Verfahren und Praxis. Es ersetzt keine Beratung durch eine zugelassene Einwanderungsanwältin oder einen zugelassenen Einwanderungsanwalt. Regeln und Gebühren ändern sich; im Einzelfall entscheidet dein Sachverhalt.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Konsularverfahren in Deutschland: die Schritte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Mit ESTA reisen Deutsche in die USA, arbeiten dürfen sie damit nicht. Für H-1B, L-1 oder O-1 brauchst du ein Visum vom Konsulat. Der Ablauf, sobald USCIS genehmigt hat:</w:t>
      </w:r>
    </w:p>
    <w:p>
      <w:pPr>
        <w:pStyle w:val="ListParagraph"/>
        <w:numPr>
          <w:ilvl w:val="0"/>
          <w:numId w:val="115"/>
        </w:numPr>
        <w:spacing w:lineRule="exact" w:line="288" w:before="0" w:after="60"/>
        <w:rPr/>
      </w:pPr>
      <w:r>
        <w:rPr>
          <w:rFonts w:eastAsia="Cambria" w:cs="Cambria"/>
          <w:b/>
          <w:bCs/>
          <w:i w:val="false"/>
          <w:iCs w:val="false"/>
          <w:sz w:val="22"/>
          <w:szCs w:val="22"/>
        </w:rPr>
        <w:t>Bescheid und Petitionsnummer.</w:t>
      </w:r>
      <w:r>
        <w:rPr>
          <w:rFonts w:eastAsia="Cambria" w:cs="Cambria"/>
          <w:b w:val="false"/>
          <w:bCs w:val="false"/>
          <w:i w:val="false"/>
          <w:iCs w:val="false"/>
          <w:sz w:val="22"/>
          <w:szCs w:val="22"/>
        </w:rPr>
        <w:t xml:space="preserve"> Die Kanzlei schickt dir den Bescheid (Form I-797) mit der Nummer der Petition (</w:t>
      </w:r>
      <w:r>
        <w:rPr>
          <w:rFonts w:eastAsia="Cambria" w:cs="Cambria"/>
          <w:b w:val="false"/>
          <w:bCs w:val="false"/>
          <w:i/>
          <w:iCs/>
          <w:sz w:val="22"/>
          <w:szCs w:val="22"/>
        </w:rPr>
        <w:t>Receipt Number</w:t>
      </w:r>
      <w:r>
        <w:rPr>
          <w:rFonts w:eastAsia="Cambria" w:cs="Cambria"/>
          <w:b w:val="false"/>
          <w:bCs w:val="false"/>
          <w:i w:val="false"/>
          <w:iCs w:val="false"/>
          <w:sz w:val="22"/>
          <w:szCs w:val="22"/>
        </w:rPr>
        <w:t>), die das DS-160 verlangt. Bitte auch um Kopien von Petition und LCA, damit deine Angaben dazu passen.</w:t>
      </w:r>
    </w:p>
    <w:p>
      <w:pPr>
        <w:pStyle w:val="ListParagraph"/>
        <w:numPr>
          <w:ilvl w:val="0"/>
          <w:numId w:val="116"/>
        </w:numPr>
        <w:spacing w:lineRule="exact" w:line="288" w:before="0" w:after="60"/>
        <w:rPr/>
      </w:pPr>
      <w:r>
        <w:rPr>
          <w:rFonts w:eastAsia="Cambria" w:cs="Cambria"/>
          <w:b/>
          <w:bCs/>
          <w:i w:val="false"/>
          <w:iCs w:val="false"/>
          <w:sz w:val="22"/>
          <w:szCs w:val="22"/>
        </w:rPr>
        <w:t>DS-160 ausfüllen.</w:t>
      </w:r>
      <w:r>
        <w:rPr>
          <w:rFonts w:eastAsia="Cambria" w:cs="Cambria"/>
          <w:b w:val="false"/>
          <w:bCs w:val="false"/>
          <w:i w:val="false"/>
          <w:iCs w:val="false"/>
          <w:sz w:val="22"/>
          <w:szCs w:val="22"/>
        </w:rPr>
        <w:t xml:space="preserve"> Das Online-Formular (ceac.state.gov/genniv) ist kostenlos und auf Englisch. Es fragt nach Person, Reisen, Arbeitgebern, Ausbildung, Familie und Social-Media-Konten der letzten fünf Jahre. Drucke die Bestätigungsseite mit Barcode aus.</w:t>
      </w:r>
    </w:p>
    <w:p>
      <w:pPr>
        <w:pStyle w:val="ListParagraph"/>
        <w:numPr>
          <w:ilvl w:val="0"/>
          <w:numId w:val="117"/>
        </w:numPr>
        <w:spacing w:lineRule="exact" w:line="288" w:before="0" w:after="60"/>
        <w:rPr/>
      </w:pPr>
      <w:r>
        <w:rPr>
          <w:rFonts w:eastAsia="Cambria" w:cs="Cambria"/>
          <w:b/>
          <w:bCs/>
          <w:i w:val="false"/>
          <w:iCs w:val="false"/>
          <w:sz w:val="22"/>
          <w:szCs w:val="22"/>
        </w:rPr>
        <w:t>Gebühr zahlen.</w:t>
      </w:r>
      <w:r>
        <w:rPr>
          <w:rFonts w:eastAsia="Cambria" w:cs="Cambria"/>
          <w:b w:val="false"/>
          <w:bCs w:val="false"/>
          <w:i w:val="false"/>
          <w:iCs w:val="false"/>
          <w:sz w:val="22"/>
          <w:szCs w:val="22"/>
        </w:rPr>
        <w:t xml:space="preserve"> Die Konsulargebühr (</w:t>
      </w:r>
      <w:r>
        <w:rPr>
          <w:rFonts w:eastAsia="Cambria" w:cs="Cambria"/>
          <w:b w:val="false"/>
          <w:bCs w:val="false"/>
          <w:i/>
          <w:iCs/>
          <w:sz w:val="22"/>
          <w:szCs w:val="22"/>
        </w:rPr>
        <w:t>MRV fee</w:t>
      </w:r>
      <w:r>
        <w:rPr>
          <w:rFonts w:eastAsia="Cambria" w:cs="Cambria"/>
          <w:b w:val="false"/>
          <w:bCs w:val="false"/>
          <w:i w:val="false"/>
          <w:iCs w:val="false"/>
          <w:sz w:val="22"/>
          <w:szCs w:val="22"/>
        </w:rPr>
        <w:t>) beträgt 205 $ je Person, auch für H-4. Der Beleg gilt 365 Tage, ohne Zahlung gibt es keinen Termin. Ob für deine Staatsangehörigkeit zusätzlich eine Reziprozitätsgebühr anfällt, zeigt die Länderseite Deutschland auf travel.state.gov.</w:t>
      </w:r>
    </w:p>
    <w:p>
      <w:pPr>
        <w:pStyle w:val="ListParagraph"/>
        <w:numPr>
          <w:ilvl w:val="0"/>
          <w:numId w:val="118"/>
        </w:numPr>
        <w:spacing w:lineRule="exact" w:line="288" w:before="0" w:after="60"/>
        <w:rPr/>
      </w:pPr>
      <w:r>
        <w:rPr>
          <w:rFonts w:eastAsia="Cambria" w:cs="Cambria"/>
          <w:b/>
          <w:bCs/>
          <w:i w:val="false"/>
          <w:iCs w:val="false"/>
          <w:sz w:val="22"/>
          <w:szCs w:val="22"/>
        </w:rPr>
        <w:t>Termin buchen.</w:t>
      </w:r>
      <w:r>
        <w:rPr>
          <w:rFonts w:eastAsia="Cambria" w:cs="Cambria"/>
          <w:b w:val="false"/>
          <w:bCs w:val="false"/>
          <w:i w:val="false"/>
          <w:iCs w:val="false"/>
          <w:sz w:val="22"/>
          <w:szCs w:val="22"/>
        </w:rPr>
        <w:t xml:space="preserve"> Nichteinwanderervisa vergeben Frankfurt, Berlin und München. Der nächste freie Termin für H/L/O/P/Q lag am 20. September 2026 laut Aggregatoren (Daten des State Department) in Frankfurt bei ca. zwei Monaten, in Berlin bei ca. einem Monat, in München unter zwei Wochen. Familien buchen gemeinsam.</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Wartezeiten schwanken wöchentlich; aktuelle Werte zeigt das </w:t>
      </w:r>
      <w:r>
        <w:rPr>
          <w:rFonts w:eastAsia="Cambria" w:cs="Cambria"/>
          <w:b w:val="false"/>
          <w:bCs w:val="false"/>
          <w:i/>
          <w:iCs/>
          <w:sz w:val="22"/>
          <w:szCs w:val="22"/>
        </w:rPr>
        <w:t>Global Visa Wait Times</w:t>
      </w:r>
      <w:r>
        <w:rPr>
          <w:rFonts w:eastAsia="Cambria" w:cs="Cambria"/>
          <w:b w:val="false"/>
          <w:bCs w:val="false"/>
          <w:i w:val="false"/>
          <w:iCs w:val="false"/>
          <w:sz w:val="22"/>
          <w:szCs w:val="22"/>
        </w:rPr>
        <w:t>-Tool auf travel.state.gov. Ein Standort mit kürzerer Wartezeit lohnt oft die Bahnfahrt, soweit das Portal ihn anbietet.</w:t>
      </w:r>
    </w:p>
    <w:tbl>
      <w:tblPr>
        <w:tblW w:w="6480" w:type="dxa"/>
        <w:jc w:val="left"/>
        <w:tblInd w:w="0" w:type="dxa"/>
        <w:tblLayout w:type="fixed"/>
        <w:tblCellMar>
          <w:top w:w="50" w:type="dxa"/>
          <w:left w:w="80" w:type="dxa"/>
          <w:bottom w:w="50" w:type="dxa"/>
          <w:right w:w="80" w:type="dxa"/>
        </w:tblCellMar>
      </w:tblPr>
      <w:tblGrid>
        <w:gridCol w:w="1566"/>
        <w:gridCol w:w="2327"/>
        <w:gridCol w:w="2587"/>
      </w:tblGrid>
      <w:tr>
        <w:trPr>
          <w:tblHeader w:val="true"/>
          <w:cantSplit w:val="true"/>
        </w:trPr>
        <w:tc>
          <w:tcPr>
            <w:tcW w:w="156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Standort</w:t>
            </w:r>
          </w:p>
        </w:tc>
        <w:tc>
          <w:tcPr>
            <w:tcW w:w="232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 und Telefon</w:t>
            </w:r>
          </w:p>
        </w:tc>
        <w:tc>
          <w:tcPr>
            <w:tcW w:w="258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Zuständig für</w:t>
            </w:r>
          </w:p>
        </w:tc>
      </w:tr>
      <w:tr>
        <w:trPr>
          <w:cantSplit w:val="true"/>
        </w:trPr>
        <w:tc>
          <w:tcPr>
            <w:tcW w:w="15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Generalkonsulat Frankfurt</w:t>
            </w:r>
          </w:p>
        </w:tc>
        <w:tc>
          <w:tcPr>
            <w:tcW w:w="23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Gießener Str. 30, 60435 Frankfurt · (069) 7535-0</w:t>
            </w:r>
          </w:p>
        </w:tc>
        <w:tc>
          <w:tcPr>
            <w:tcW w:w="25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Nichteinwanderervisa für Baden-Württemberg, Hessen, Nordrhein-Westfalen, Rheinland-Pfalz und das Saarland; außerdem alle Einwanderungsvisa für ganz Deutschland (Green Card, Verlobten- und Ehepartnervisum)</w:t>
            </w:r>
          </w:p>
        </w:tc>
      </w:tr>
      <w:tr>
        <w:trPr>
          <w:cantSplit w:val="true"/>
        </w:trPr>
        <w:tc>
          <w:tcPr>
            <w:tcW w:w="15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US-Botschaft Berlin, Konsularabteilung</w:t>
            </w:r>
          </w:p>
        </w:tc>
        <w:tc>
          <w:tcPr>
            <w:tcW w:w="23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Clayallee 170, 14195 Berlin · (030) 8305-0</w:t>
            </w:r>
          </w:p>
        </w:tc>
        <w:tc>
          <w:tcPr>
            <w:tcW w:w="25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Nichteinwanderervisa für Berlin und die nordöstlichen Bundesländer</w:t>
            </w:r>
          </w:p>
        </w:tc>
      </w:tr>
      <w:tr>
        <w:trPr>
          <w:cantSplit w:val="true"/>
        </w:trPr>
        <w:tc>
          <w:tcPr>
            <w:tcW w:w="15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Generalkonsulat München</w:t>
            </w:r>
          </w:p>
        </w:tc>
        <w:tc>
          <w:tcPr>
            <w:tcW w:w="23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Königinstraße 5, 80539 München · (089) 2888-0</w:t>
            </w:r>
          </w:p>
        </w:tc>
        <w:tc>
          <w:tcPr>
            <w:tcW w:w="25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Nichteinwanderervisa für Bayern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Welche Vertretung zuständig ist, richtet sich nach deinem deutschen Wohnsitz, nicht nach freier Wahl; das DS-160-System schlägt sie automatisch vor. Beim Green-Card-Verfahren über das Konsulat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sowie bei Verlobten- und Ehepartnervisa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 landest du unabhängig vom Wohnort in Frankfurt.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Unvollständige oder falsche Angaben im DS-160 können zu einer dauerhaften Einreisesperre führen (</w:t>
            </w:r>
            <w:r>
              <w:rPr>
                <w:rFonts w:eastAsia="Cambria" w:cs="Cambria"/>
                <w:b w:val="false"/>
                <w:bCs w:val="false"/>
                <w:i/>
                <w:iCs/>
                <w:sz w:val="20"/>
                <w:szCs w:val="20"/>
              </w:rPr>
              <w:t>Misrepresentation</w:t>
            </w:r>
            <w:r>
              <w:rPr>
                <w:rFonts w:eastAsia="Cambria" w:cs="Cambria"/>
                <w:b w:val="false"/>
                <w:bCs w:val="false"/>
                <w:i w:val="false"/>
                <w:iCs w:val="false"/>
                <w:sz w:val="20"/>
                <w:szCs w:val="20"/>
              </w:rPr>
              <w:t>), das gilt auch für vergessene Konten: Wer „None“ angibt, obwohl Profile existieren, macht eine Falschangabe. Gleiche Jobtitel, Daten und Arbeitgeber mit Petition und Lebenslauf ab, bevor du auf „Absenden“ klickst.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Interview: Regeln, Unterlagen, Fragen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Interview ist Pflicht und findet persönlich statt, mit Fingerabdrücken vor Ort. Seit dem 2. September 2025 ist der Verzicht (</w:t>
      </w:r>
      <w:r>
        <w:rPr>
          <w:rFonts w:eastAsia="Cambria" w:cs="Cambria"/>
          <w:b w:val="false"/>
          <w:bCs w:val="false"/>
          <w:i/>
          <w:iCs/>
          <w:sz w:val="22"/>
          <w:szCs w:val="22"/>
        </w:rPr>
        <w:t>Interview Waiver</w:t>
      </w:r>
      <w:r>
        <w:rPr>
          <w:rFonts w:eastAsia="Cambria" w:cs="Cambria"/>
          <w:b w:val="false"/>
          <w:bCs w:val="false"/>
          <w:i w:val="false"/>
          <w:iCs w:val="false"/>
          <w:sz w:val="22"/>
          <w:szCs w:val="22"/>
        </w:rPr>
        <w:t>, im Alltag „Dropbox“) fast abgeschafft: Er gilt nur noch für Verlängerungen von B-Visa binnen zwölf Monaten nach Ablauf und für diplomatische Visa. Für H-1B und H-4 gibt es keine Ausnahme, auch Kinder unter 14 und Personen über 79 müssen erscheinen – dasselbe gilt später für jede Visumerneuerung. Anträge stellst du im Land deiner Staatsangehörigkeit oder deines Wohnsitzes (seit 6. September 2025); das Ausweichen in ein Drittland ist nicht mehr vorgesehen.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Mitbringen solltest du, in einer Mappe:</w:t>
      </w:r>
    </w:p>
    <w:p>
      <w:pPr>
        <w:pStyle w:val="ListParagraph"/>
        <w:numPr>
          <w:ilvl w:val="0"/>
          <w:numId w:val="1"/>
        </w:numPr>
        <w:spacing w:lineRule="exact" w:line="288" w:before="0" w:after="60"/>
        <w:rPr/>
      </w:pPr>
      <w:r>
        <w:rPr>
          <w:rFonts w:eastAsia="Cambria" w:cs="Cambria"/>
          <w:b w:val="false"/>
          <w:bCs w:val="false"/>
          <w:i w:val="false"/>
          <w:iCs w:val="false"/>
          <w:sz w:val="22"/>
          <w:szCs w:val="22"/>
        </w:rPr>
        <w:t>Reisepass (samt früherer Pässe mit US-Visa)</w:t>
      </w:r>
    </w:p>
    <w:p>
      <w:pPr>
        <w:pStyle w:val="ListParagraph"/>
        <w:numPr>
          <w:ilvl w:val="0"/>
          <w:numId w:val="1"/>
        </w:numPr>
        <w:spacing w:lineRule="exact" w:line="288" w:before="0" w:after="60"/>
        <w:rPr/>
      </w:pPr>
      <w:r>
        <w:rPr>
          <w:rFonts w:eastAsia="Cambria" w:cs="Cambria"/>
          <w:b w:val="false"/>
          <w:bCs w:val="false"/>
          <w:i w:val="false"/>
          <w:iCs w:val="false"/>
          <w:sz w:val="22"/>
          <w:szCs w:val="22"/>
        </w:rPr>
        <w:t>Bestätigungsseite des DS-160, Terminbestätigung, Gebührenbeleg</w:t>
      </w:r>
    </w:p>
    <w:p>
      <w:pPr>
        <w:pStyle w:val="ListParagraph"/>
        <w:numPr>
          <w:ilvl w:val="0"/>
          <w:numId w:val="1"/>
        </w:numPr>
        <w:spacing w:lineRule="exact" w:line="288" w:before="0" w:after="60"/>
        <w:rPr/>
      </w:pPr>
      <w:r>
        <w:rPr>
          <w:rFonts w:eastAsia="Cambria" w:cs="Cambria"/>
          <w:b w:val="false"/>
          <w:bCs w:val="false"/>
          <w:i w:val="false"/>
          <w:iCs w:val="false"/>
          <w:sz w:val="22"/>
          <w:szCs w:val="22"/>
        </w:rPr>
        <w:t>Genehmigungsbescheid I-797 (Original) und Kopie der Petition samt Arbeitgeberbrief und LCA</w:t>
      </w:r>
    </w:p>
    <w:p>
      <w:pPr>
        <w:pStyle w:val="ListParagraph"/>
        <w:numPr>
          <w:ilvl w:val="0"/>
          <w:numId w:val="1"/>
        </w:numPr>
        <w:spacing w:lineRule="exact" w:line="288" w:before="0" w:after="60"/>
        <w:rPr/>
      </w:pPr>
      <w:r>
        <w:rPr>
          <w:rFonts w:eastAsia="Cambria" w:cs="Cambria"/>
          <w:b w:val="false"/>
          <w:bCs w:val="false"/>
          <w:i w:val="false"/>
          <w:iCs w:val="false"/>
          <w:sz w:val="22"/>
          <w:szCs w:val="22"/>
        </w:rPr>
        <w:t>Diplome und Zeugnisse (Übersetzungen: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 Lebenslauf, Arbeitszeugnisse</w:t>
      </w:r>
    </w:p>
    <w:p>
      <w:pPr>
        <w:pStyle w:val="ListParagraph"/>
        <w:numPr>
          <w:ilvl w:val="0"/>
          <w:numId w:val="1"/>
        </w:numPr>
        <w:spacing w:lineRule="exact" w:line="288" w:before="0" w:after="60"/>
        <w:rPr/>
      </w:pPr>
      <w:r>
        <w:rPr>
          <w:rFonts w:eastAsia="Cambria" w:cs="Cambria"/>
          <w:b w:val="false"/>
          <w:bCs w:val="false"/>
          <w:i w:val="false"/>
          <w:iCs w:val="false"/>
          <w:sz w:val="22"/>
          <w:szCs w:val="22"/>
        </w:rPr>
        <w:t>bei H-4: Heirats- und Geburtsurkunden</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Elektronische Geräte sind oft nur eingeschränkt erlaubt (Hinweise in der Terminbestätigung).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Fragen folgen der Petition. Einen offiziellen Katalog gibt es nicht; erfahrungsgemäß geht es um deinen Arbeitgeber und dessen Geschäft, deine künftigen Aufgaben, dein Gehalt, deinen Abschluss und darum, wie du die Stelle gefunden hast. H-4-Antragsteller werden nach Beruf und Arbeitgeber des Partners gefragt. Antworte knapp, wahrheitsgemäß und im Einklang mit den Unterlagen; übe, deine Stelle in zwei englischen Sätzen zu erklären. Anders als bei Studien- oder Besuchervisa musst du nicht beweisen, dass du zurückkehrst (</w:t>
      </w:r>
      <w:r>
        <w:rPr>
          <w:rFonts w:eastAsia="Cambria" w:cs="Cambria"/>
          <w:b w:val="false"/>
          <w:bCs w:val="false"/>
          <w:i/>
          <w:iCs/>
          <w:sz w:val="22"/>
          <w:szCs w:val="22"/>
        </w:rPr>
        <w:t>Dual Intent</w:t>
      </w:r>
      <w:r>
        <w:rPr>
          <w:rFonts w:eastAsia="Cambria" w:cs="Cambria"/>
          <w:b w:val="false"/>
          <w:bCs w:val="false"/>
          <w:i w:val="false"/>
          <w:iCs w:val="false"/>
          <w:sz w:val="22"/>
          <w:szCs w:val="22"/>
        </w:rPr>
        <w:t>), der H-1B verträgt spätere Green-Card-Pläne. Das Gespräch dauert oft nur wenige Minuten.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Sabine Keller (33, München) bucht nach der Genehmigung ihres H-1B-Antrags den Termin im Konsulat München, wo der nächste Slot in zwei Wochen frei ist. Vorher gleicht sie DS-160 und Lebenslauf ab und stellt ihre Konten auf „öffentlich“. Am Schalter fragt die Beamtin nach Arbeitgeber, Aufgaben und Abschluss und behält nach vier Minuten den Pass. Kosten für Sabine: 205 $ Konsulargebühr, dazu 250 $ Visa Integrity Fee, falls erhoben. Sabine kündigt ihren Job erst, als der Pass mit dem Visum zurück ist. (Fiktives Beispiel.)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Nach dem Interview: Visum, Prüfung, Ablehnung</w:t>
      </w:r>
    </w:p>
    <w:p>
      <w:pPr>
        <w:pStyle w:val="Normal"/>
        <w:keepNext w:val="false"/>
        <w:keepLines w:val="false"/>
        <w:spacing w:lineRule="exact" w:line="288" w:before="0" w:after="140"/>
        <w:jc w:val="left"/>
        <w:rPr/>
      </w:pPr>
      <w:r>
        <w:rPr>
          <w:rFonts w:eastAsia="Cambria" w:cs="Cambria"/>
          <w:b/>
          <w:bCs/>
          <w:i w:val="false"/>
          <w:iCs w:val="false"/>
          <w:sz w:val="22"/>
          <w:szCs w:val="22"/>
        </w:rPr>
        <w:t>Genehmigung.</w:t>
      </w:r>
      <w:r>
        <w:rPr>
          <w:rFonts w:eastAsia="Cambria" w:cs="Cambria"/>
          <w:b w:val="false"/>
          <w:bCs w:val="false"/>
          <w:i w:val="false"/>
          <w:iCs w:val="false"/>
          <w:sz w:val="22"/>
          <w:szCs w:val="22"/>
        </w:rPr>
        <w:t xml:space="preserve"> Das Konsulat behält den Pass, klebt das Visum ein und schickt ihn zurück (Kurier oder Abholung, je nach Vertretung); bis dahin sind Reisen mit diesem Pass nicht möglich. Prüfe Name, Geburtsdatum, Kategorie und Ablaufdatum, Fehler meldest du sofort. Das Visum gilt höchstens für die Laufzeit der Petition. Wie lange du bleiben darfst, sagt der I-94-Eintrag bei der Einreise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 Einreisen darfst du frühestens zehn Tage vor Beginn der Petition, arbeiten ab dem Startdatum.</w:t>
      </w:r>
    </w:p>
    <w:p>
      <w:pPr>
        <w:pStyle w:val="Normal"/>
        <w:keepNext w:val="false"/>
        <w:keepLines w:val="false"/>
        <w:spacing w:lineRule="exact" w:line="288" w:before="0" w:after="140"/>
        <w:jc w:val="left"/>
        <w:rPr/>
      </w:pPr>
      <w:r>
        <w:rPr>
          <w:rFonts w:eastAsia="Cambria" w:cs="Cambria"/>
          <w:b/>
          <w:bCs/>
          <w:i w:val="false"/>
          <w:iCs w:val="false"/>
          <w:sz w:val="22"/>
          <w:szCs w:val="22"/>
        </w:rPr>
        <w:t>Administrative Processing (221(g)).</w:t>
      </w:r>
      <w:r>
        <w:rPr>
          <w:rFonts w:eastAsia="Cambria" w:cs="Cambria"/>
          <w:b w:val="false"/>
          <w:bCs w:val="false"/>
          <w:i w:val="false"/>
          <w:iCs w:val="false"/>
          <w:sz w:val="22"/>
          <w:szCs w:val="22"/>
        </w:rPr>
        <w:t xml:space="preserve"> Manchmal entscheidet das Konsulat nicht sofort. Nach § 221(g) des </w:t>
      </w:r>
      <w:r>
        <w:rPr>
          <w:rFonts w:eastAsia="Cambria" w:cs="Cambria"/>
          <w:b w:val="false"/>
          <w:bCs w:val="false"/>
          <w:i/>
          <w:iCs/>
          <w:sz w:val="22"/>
          <w:szCs w:val="22"/>
        </w:rPr>
        <w:t>Immigration and Nationality Act</w:t>
      </w:r>
      <w:r>
        <w:rPr>
          <w:rFonts w:eastAsia="Cambria" w:cs="Cambria"/>
          <w:b w:val="false"/>
          <w:bCs w:val="false"/>
          <w:i w:val="false"/>
          <w:iCs w:val="false"/>
          <w:sz w:val="22"/>
          <w:szCs w:val="22"/>
        </w:rPr>
        <w:t xml:space="preserve"> (INA, dem Einwanderungsgesetz) kann es den Antrag vorläufig zurückstellen (</w:t>
      </w:r>
      <w:r>
        <w:rPr>
          <w:rFonts w:eastAsia="Cambria" w:cs="Cambria"/>
          <w:b w:val="false"/>
          <w:bCs w:val="false"/>
          <w:i/>
          <w:iCs/>
          <w:sz w:val="22"/>
          <w:szCs w:val="22"/>
        </w:rPr>
        <w:t>temporary refusal</w:t>
      </w:r>
      <w:r>
        <w:rPr>
          <w:rFonts w:eastAsia="Cambria" w:cs="Cambria"/>
          <w:b w:val="false"/>
          <w:bCs w:val="false"/>
          <w:i w:val="false"/>
          <w:iCs w:val="false"/>
          <w:sz w:val="22"/>
          <w:szCs w:val="22"/>
        </w:rPr>
        <w:t xml:space="preserve">): weil Unterlagen fehlen oder Prüfungen zu Hintergrund, Arbeitgeber oder Stelle laufen. Du erhältst ein Schreiben mit den Anforderungen. Laut State Department sind die meisten Fälle binnen 60 Tagen erledigt, eine Obergrenze gibt es nicht; Nachfragen sind erst nach 180 Tagen vorgesehen. Den Stand siehst du auf ceac.state.gov – wer die Seite in dieser Zeit täglich neu lädt, handelt nur menschlich. Buche keinen neuen Termin und stelle keinen neuen Antrag: Das beschleunigt nichts und kostet eine weitere Gebühr, lass die Kanzlei nachhaken. Kanzleien warnen zudem, dass ein </w:t>
      </w:r>
      <w:r>
        <w:rPr>
          <w:rFonts w:eastAsia="Cambria" w:cs="Cambria"/>
          <w:b w:val="false"/>
          <w:bCs w:val="false"/>
          <w:i/>
          <w:iCs/>
          <w:sz w:val="22"/>
          <w:szCs w:val="22"/>
        </w:rPr>
        <w:t>temporary refusal</w:t>
      </w:r>
      <w:r>
        <w:rPr>
          <w:rFonts w:eastAsia="Cambria" w:cs="Cambria"/>
          <w:b w:val="false"/>
          <w:bCs w:val="false"/>
          <w:i w:val="false"/>
          <w:iCs w:val="false"/>
          <w:sz w:val="22"/>
          <w:szCs w:val="22"/>
        </w:rPr>
        <w:t xml:space="preserve"> später die Nutzung von ESTA für Privatreisen erschweren kann; kläre das vor der nächsten Urlaubsreise.</w:t>
      </w:r>
    </w:p>
    <w:p>
      <w:pPr>
        <w:pStyle w:val="Normal"/>
        <w:keepNext w:val="false"/>
        <w:keepLines w:val="false"/>
        <w:spacing w:lineRule="exact" w:line="288" w:before="0" w:after="140"/>
        <w:jc w:val="left"/>
        <w:rPr/>
      </w:pPr>
      <w:r>
        <w:rPr>
          <w:rFonts w:eastAsia="Cambria" w:cs="Cambria"/>
          <w:b/>
          <w:bCs/>
          <w:i w:val="false"/>
          <w:iCs w:val="false"/>
          <w:sz w:val="22"/>
          <w:szCs w:val="22"/>
        </w:rPr>
        <w:t>Ablehnung.</w:t>
      </w:r>
      <w:r>
        <w:rPr>
          <w:rFonts w:eastAsia="Cambria" w:cs="Cambria"/>
          <w:b w:val="false"/>
          <w:bCs w:val="false"/>
          <w:i w:val="false"/>
          <w:iCs w:val="false"/>
          <w:sz w:val="22"/>
          <w:szCs w:val="22"/>
        </w:rPr>
        <w:t xml:space="preserve"> Eine endgültige Ablehnung kommt mit einem Schreiben, das die Rechtsgrundlage nennt: Zweifel an Stelle oder Qualifikation, widersprüchliche Angaben oder Falschangaben. Gegen Konsularentscheidungen gibt es in der Regel kein förmliches Rechtsmittel. Üblich ist ein neuer Antrag (neues DS-160, neue Gebühr) mit ausgeräumten Zweifeln und neuen Belegen; liegt das Problem in der Petition, klärt die Kanzlei es mit USCIS. Ehepartner und Kinder (H-4) hängen am Verfahren der Hauptperson.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Kündige deinen Job erst, wenn das Visum im Pass steht, und buche Flüge und Container erst dann fest. Bei der Wohnung (in Deutschland meist drei Monate Kündigungsfrist) wägst du Kosten und Risiko ab und planst mit Puffer (Kapitel </w:t>
            </w:r>
            <w:hyperlink w:anchor="k15">
              <w:r>
                <w:rPr>
                  <w:rStyle w:val="ListLabel114"/>
                  <w:rFonts w:eastAsia="Cambria" w:cs="Cambria"/>
                  <w:b w:val="false"/>
                  <w:bCs w:val="false"/>
                  <w:i w:val="false"/>
                  <w:iCs w:val="false"/>
                  <w:sz w:val="20"/>
                  <w:szCs w:val="20"/>
                </w:rPr>
                <w:t>15</w:t>
              </w:r>
            </w:hyperlink>
            <w:r>
              <w:rPr>
                <w:rFonts w:eastAsia="Cambria" w:cs="Cambria"/>
                <w:b w:val="false"/>
                <w:bCs w:val="false"/>
                <w:i w:val="false"/>
                <w:iCs w:val="false"/>
                <w:sz w:val="20"/>
                <w:szCs w:val="20"/>
              </w:rPr>
              <w:t xml:space="preserve">, </w:t>
            </w:r>
            <w:hyperlink w:anchor="k16">
              <w:r>
                <w:rPr>
                  <w:rStyle w:val="ListLabel114"/>
                  <w:rFonts w:eastAsia="Cambria" w:cs="Cambria"/>
                  <w:b w:val="false"/>
                  <w:bCs w:val="false"/>
                  <w:i w:val="false"/>
                  <w:iCs w:val="false"/>
                  <w:sz w:val="20"/>
                  <w:szCs w:val="20"/>
                </w:rPr>
                <w:t>16</w:t>
              </w:r>
            </w:hyperlink>
            <w:r>
              <w:rPr>
                <w:rFonts w:eastAsia="Cambria" w:cs="Cambria"/>
                <w:b w:val="false"/>
                <w:bCs w:val="false"/>
                <w:i w:val="false"/>
                <w:iCs w:val="false"/>
                <w:sz w:val="20"/>
                <w:szCs w:val="20"/>
              </w:rPr>
              <w:t xml:space="preserve">, </w:t>
            </w:r>
            <w:hyperlink w:anchor="k20">
              <w:r>
                <w:rPr>
                  <w:rStyle w:val="ListLabel114"/>
                  <w:rFonts w:eastAsia="Cambria" w:cs="Cambria"/>
                  <w:b w:val="false"/>
                  <w:bCs w:val="false"/>
                  <w:i w:val="false"/>
                  <w:iCs w:val="false"/>
                  <w:sz w:val="20"/>
                  <w:szCs w:val="20"/>
                </w:rPr>
                <w:t>20</w:t>
              </w:r>
            </w:hyperlink>
            <w:r>
              <w:rPr>
                <w:rFonts w:eastAsia="Cambria" w:cs="Cambria"/>
                <w:b w:val="false"/>
                <w:bCs w:val="false"/>
                <w:i w:val="false"/>
                <w:iCs w:val="false"/>
                <w:sz w:val="20"/>
                <w:szCs w:val="20"/>
              </w:rPr>
              <w:t>). Ein 221(g)-Vermerk kann das Startdatum um Wochen verschieben.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Aktuelle Verfahrensänderungen (Stand 20. September 2026)</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Verfahren ist seit 2025 strenger und teurer geworden. Wichtig ist die Trennung zwischen geltenden Regeln und bloßen Vorschlägen.</w:t>
      </w:r>
    </w:p>
    <w:p>
      <w:pPr>
        <w:pStyle w:val="Normal"/>
        <w:keepNext w:val="false"/>
        <w:keepLines w:val="false"/>
        <w:spacing w:lineRule="exact" w:line="288" w:before="0" w:after="140"/>
        <w:jc w:val="left"/>
        <w:rPr/>
      </w:pPr>
      <w:r>
        <w:rPr>
          <w:rFonts w:eastAsia="Cambria" w:cs="Cambria"/>
          <w:b/>
          <w:bCs/>
          <w:i w:val="false"/>
          <w:iCs w:val="false"/>
          <w:sz w:val="22"/>
          <w:szCs w:val="22"/>
        </w:rPr>
        <w:t>Gilt heute:</w:t>
      </w:r>
    </w:p>
    <w:p>
      <w:pPr>
        <w:pStyle w:val="ListParagraph"/>
        <w:numPr>
          <w:ilvl w:val="0"/>
          <w:numId w:val="1"/>
        </w:numPr>
        <w:spacing w:lineRule="exact" w:line="288" w:before="0" w:after="60"/>
        <w:rPr/>
      </w:pPr>
      <w:r>
        <w:rPr>
          <w:rFonts w:eastAsia="Cambria" w:cs="Cambria"/>
          <w:b/>
          <w:bCs/>
          <w:i w:val="false"/>
          <w:iCs w:val="false"/>
          <w:sz w:val="22"/>
          <w:szCs w:val="22"/>
        </w:rPr>
        <w:t>Interview für fast alle</w:t>
      </w:r>
      <w:r>
        <w:rPr>
          <w:rFonts w:eastAsia="Cambria" w:cs="Cambria"/>
          <w:b w:val="false"/>
          <w:bCs w:val="false"/>
          <w:i w:val="false"/>
          <w:iCs w:val="false"/>
          <w:sz w:val="22"/>
          <w:szCs w:val="22"/>
        </w:rPr>
        <w:t xml:space="preserve"> und Antrag im Land der Staatsangehörigkeit oder des Wohnsitzes (siehe oben).</w:t>
      </w:r>
    </w:p>
    <w:p>
      <w:pPr>
        <w:pStyle w:val="ListParagraph"/>
        <w:numPr>
          <w:ilvl w:val="0"/>
          <w:numId w:val="1"/>
        </w:numPr>
        <w:spacing w:lineRule="exact" w:line="288" w:before="0" w:after="60"/>
        <w:rPr/>
      </w:pPr>
      <w:r>
        <w:rPr>
          <w:rFonts w:eastAsia="Cambria" w:cs="Cambria"/>
          <w:b/>
          <w:bCs/>
          <w:i w:val="false"/>
          <w:iCs w:val="false"/>
          <w:sz w:val="22"/>
          <w:szCs w:val="22"/>
        </w:rPr>
        <w:t>Online-Präsenz-Prüfung</w:t>
      </w:r>
      <w:r>
        <w:rPr>
          <w:rFonts w:eastAsia="Cambria" w:cs="Cambria"/>
          <w:b w:val="false"/>
          <w:bCs w:val="false"/>
          <w:i w:val="false"/>
          <w:iCs w:val="false"/>
          <w:sz w:val="22"/>
          <w:szCs w:val="22"/>
        </w:rPr>
        <w:t xml:space="preserve"> seit 15. Dezember 2025: H-1B- und H-4-Antragsteller sollen ihre Profile in sozialen Netzwerken öffentlich stellen. Laut Kanzleien achten Konsulate auf Widersprüche zu DS-160 und Petition, auf Feindseligkeit gegenüber den USA und bei H-1B auf die Beteiligung an „Zensur“ amerikanischer Bürger; berichtet wird eine interne Weisung, die Tätigkeiten in Content-Moderation, Faktenprüfung oder Online-Sicherheit erfasst. Private Profile können negative Schlüsse zulassen, Verzögerungen sind wahrscheinlicher – lösche nichts hektisch, kläre Zweifel vorher mit der Kanzlei.</w:t>
      </w:r>
    </w:p>
    <w:p>
      <w:pPr>
        <w:pStyle w:val="ListParagraph"/>
        <w:numPr>
          <w:ilvl w:val="0"/>
          <w:numId w:val="1"/>
        </w:numPr>
        <w:spacing w:lineRule="exact" w:line="288" w:before="0" w:after="60"/>
        <w:rPr/>
      </w:pPr>
      <w:r>
        <w:rPr>
          <w:rFonts w:eastAsia="Cambria" w:cs="Cambria"/>
          <w:b/>
          <w:bCs/>
          <w:i w:val="false"/>
          <w:iCs w:val="false"/>
          <w:sz w:val="22"/>
          <w:szCs w:val="22"/>
        </w:rPr>
        <w:t>Visa Integrity Fee:</w:t>
      </w:r>
      <w:r>
        <w:rPr>
          <w:rFonts w:eastAsia="Cambria" w:cs="Cambria"/>
          <w:b w:val="false"/>
          <w:bCs w:val="false"/>
          <w:i w:val="false"/>
          <w:iCs w:val="false"/>
          <w:sz w:val="22"/>
          <w:szCs w:val="22"/>
        </w:rPr>
        <w:t xml:space="preserve"> gesetzlich 250 $ je Visum, fällig bei Ausstellung, nicht für ESTA-Reisende. Die Erhebung ist uneinheitlich, ein Rückerstattungsverfahren nicht etabliert. Ob Frankfurt, Berlin und München sie aktuell verlangen, war nicht bestätigt – plane sie ein und frage bei der Buchung nach.</w:t>
      </w:r>
    </w:p>
    <w:p>
      <w:pPr>
        <w:pStyle w:val="ListParagraph"/>
        <w:numPr>
          <w:ilvl w:val="0"/>
          <w:numId w:val="1"/>
        </w:numPr>
        <w:spacing w:lineRule="exact" w:line="288" w:before="0" w:after="60"/>
        <w:rPr/>
      </w:pPr>
      <w:r>
        <w:rPr>
          <w:rFonts w:eastAsia="Cambria" w:cs="Cambria"/>
          <w:b/>
          <w:bCs/>
          <w:i w:val="false"/>
          <w:iCs w:val="false"/>
          <w:sz w:val="22"/>
          <w:szCs w:val="22"/>
        </w:rPr>
        <w:t>100.000-$-Zahlung</w:t>
      </w:r>
      <w:r>
        <w:rPr>
          <w:rFonts w:eastAsia="Cambria" w:cs="Cambria"/>
          <w:b w:val="false"/>
          <w:bCs w:val="false"/>
          <w:i w:val="false"/>
          <w:iCs w:val="false"/>
          <w:sz w:val="22"/>
          <w:szCs w:val="22"/>
        </w:rPr>
        <w:t xml:space="preserve"> (Proklamation 10973, am 18. September 2026 bis 21. September 2027 verlängert): Die Zahlung trifft neue Petitionen für Personen im Ausland, also grundsätzlich Deutsche im Konsularverfahren. Ein Gericht in Massachusetts hob die Umsetzung am 8. Juni 2026 auf, der First Circuit lehnte am 24. Juli 2026 die Aussetzung ab; derzeit wird die Zahlung nicht erhoben, die Berufung läuft, die Lage ist volatil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Kürzere RFE-Fristen</w:t>
      </w:r>
      <w:r>
        <w:rPr>
          <w:rFonts w:eastAsia="Cambria" w:cs="Cambria"/>
          <w:b w:val="false"/>
          <w:bCs w:val="false"/>
          <w:i w:val="false"/>
          <w:iCs w:val="false"/>
          <w:sz w:val="22"/>
          <w:szCs w:val="22"/>
        </w:rPr>
        <w:t xml:space="preserve"> seit 5. August 2026 (siehe unten).</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Nur Vorschläge oder offen:</w:t>
      </w:r>
    </w:p>
    <w:p>
      <w:pPr>
        <w:pStyle w:val="ListParagraph"/>
        <w:numPr>
          <w:ilvl w:val="0"/>
          <w:numId w:val="1"/>
        </w:numPr>
        <w:spacing w:lineRule="exact" w:line="288" w:before="0" w:after="60"/>
        <w:rPr/>
      </w:pPr>
      <w:r>
        <w:rPr>
          <w:rFonts w:eastAsia="Cambria" w:cs="Cambria"/>
          <w:b/>
          <w:bCs/>
          <w:i w:val="false"/>
          <w:iCs w:val="false"/>
          <w:sz w:val="22"/>
          <w:szCs w:val="22"/>
        </w:rPr>
        <w:t>103.265 $ je Cap-Petition</w:t>
      </w:r>
      <w:r>
        <w:rPr>
          <w:rFonts w:eastAsia="Cambria" w:cs="Cambria"/>
          <w:b w:val="false"/>
          <w:bCs w:val="false"/>
          <w:i w:val="false"/>
          <w:iCs w:val="false"/>
          <w:sz w:val="22"/>
          <w:szCs w:val="22"/>
        </w:rPr>
        <w:t xml:space="preserve"> (Entwurf vom 25. August 2026, Kommentare bis 24. September 2026): soll laut Kanzleien auch für Statuswechsel im Inland und das Master-Kontingent gelten; frühester Start: die Saison ab April 2027.</w:t>
      </w:r>
    </w:p>
    <w:p>
      <w:pPr>
        <w:pStyle w:val="ListParagraph"/>
        <w:numPr>
          <w:ilvl w:val="0"/>
          <w:numId w:val="1"/>
        </w:numPr>
        <w:spacing w:lineRule="exact" w:line="288" w:before="0" w:after="60"/>
        <w:rPr/>
      </w:pPr>
      <w:r>
        <w:rPr>
          <w:rFonts w:eastAsia="Cambria" w:cs="Cambria"/>
          <w:b/>
          <w:bCs/>
          <w:i w:val="false"/>
          <w:iCs w:val="false"/>
          <w:sz w:val="22"/>
          <w:szCs w:val="22"/>
        </w:rPr>
        <w:t>Wegfall der 60-Tage-Frist</w:t>
      </w:r>
      <w:r>
        <w:rPr>
          <w:rFonts w:eastAsia="Cambria" w:cs="Cambria"/>
          <w:b w:val="false"/>
          <w:bCs w:val="false"/>
          <w:i w:val="false"/>
          <w:iCs w:val="false"/>
          <w:sz w:val="22"/>
          <w:szCs w:val="22"/>
        </w:rPr>
        <w:t xml:space="preserve"> nach Jobverlust (Entwurf vom 11. September 2026, Kommentare bis 10. November 2026): Bis zu einer Endfassung gilt die Frist weiter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Höhere Pflichtlöhne</w:t>
      </w:r>
      <w:r>
        <w:rPr>
          <w:rFonts w:eastAsia="Cambria" w:cs="Cambria"/>
          <w:b w:val="false"/>
          <w:bCs w:val="false"/>
          <w:i w:val="false"/>
          <w:iCs w:val="false"/>
          <w:sz w:val="22"/>
          <w:szCs w:val="22"/>
        </w:rPr>
        <w:t xml:space="preserve"> (</w:t>
      </w:r>
      <w:r>
        <w:rPr>
          <w:rFonts w:eastAsia="Cambria" w:cs="Cambria"/>
          <w:b w:val="false"/>
          <w:bCs w:val="false"/>
          <w:i/>
          <w:iCs/>
          <w:sz w:val="22"/>
          <w:szCs w:val="22"/>
        </w:rPr>
        <w:t>Prevailing Wage</w:t>
      </w:r>
      <w:r>
        <w:rPr>
          <w:rFonts w:eastAsia="Cambria" w:cs="Cambria"/>
          <w:b w:val="false"/>
          <w:bCs w:val="false"/>
          <w:i w:val="false"/>
          <w:iCs w:val="false"/>
          <w:sz w:val="22"/>
          <w:szCs w:val="22"/>
        </w:rPr>
        <w:t>, Entwurf des Arbeitsministeriums vom 27. März 2026): bis zum 20. September 2026 keine Endfassung.</w:t>
      </w:r>
    </w:p>
    <w:p>
      <w:pPr>
        <w:pStyle w:val="ListParagraph"/>
        <w:numPr>
          <w:ilvl w:val="0"/>
          <w:numId w:val="1"/>
        </w:numPr>
        <w:spacing w:lineRule="exact" w:line="288" w:before="0" w:after="60"/>
        <w:rPr/>
      </w:pPr>
      <w:r>
        <w:rPr>
          <w:rFonts w:eastAsia="Cambria" w:cs="Cambria"/>
          <w:b/>
          <w:bCs/>
          <w:i w:val="false"/>
          <w:iCs w:val="false"/>
          <w:sz w:val="22"/>
          <w:szCs w:val="22"/>
        </w:rPr>
        <w:t>Executive Order vom 18. September 2026:</w:t>
      </w:r>
      <w:r>
        <w:rPr>
          <w:rFonts w:eastAsia="Cambria" w:cs="Cambria"/>
          <w:b w:val="false"/>
          <w:bCs w:val="false"/>
          <w:i w:val="false"/>
          <w:iCs w:val="false"/>
          <w:sz w:val="22"/>
          <w:szCs w:val="22"/>
        </w:rPr>
        <w:t xml:space="preserve"> Entlassungen ähnlich qualifizierter US-Beschäftigter beim Arbeitgeber sollen bei LCA, Petition und Visum berücksichtigt werden; die Umsetzung ist offen. Frage vor dem Angebot nach Stellenabbau der letzten zwölf Monate.</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Kosten im Überblick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Petition zahlt der Arbeitgeber, alles, was an dir als Person hängt, zahlst du oder verhandelst es. Zahlen Stand September 2026 (USCIS-Gebührenblatt G-1055, 22 CFR 22.1):</w:t>
      </w:r>
    </w:p>
    <w:tbl>
      <w:tblPr>
        <w:tblW w:w="6480" w:type="dxa"/>
        <w:jc w:val="left"/>
        <w:tblInd w:w="0" w:type="dxa"/>
        <w:tblLayout w:type="fixed"/>
        <w:tblCellMar>
          <w:top w:w="50" w:type="dxa"/>
          <w:left w:w="80" w:type="dxa"/>
          <w:bottom w:w="50" w:type="dxa"/>
          <w:right w:w="80" w:type="dxa"/>
        </w:tblCellMar>
      </w:tblPr>
      <w:tblGrid>
        <w:gridCol w:w="949"/>
        <w:gridCol w:w="950"/>
        <w:gridCol w:w="3297"/>
        <w:gridCol w:w="1283"/>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Visum</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Konsulat je Person</w:t>
            </w:r>
          </w:p>
        </w:tc>
        <w:tc>
          <w:tcPr>
            <w:tcW w:w="329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Petition oder Verfahren</w:t>
            </w:r>
          </w:p>
        </w:tc>
        <w:tc>
          <w:tcPr>
            <w:tcW w:w="128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Zahlt die Petition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H-1B</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205 $</w:t>
            </w:r>
          </w:p>
        </w:tc>
        <w:tc>
          <w:tcPr>
            <w:tcW w:w="32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3.380 $ (ab 26 Beschäftigte, Papier) bzw. 2.010 $ (Kleinbetrieb), plus 215 $ Registrierung</w:t>
            </w:r>
          </w:p>
        </w:tc>
        <w:tc>
          <w:tcPr>
            <w:tcW w:w="12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L-1</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205 $</w:t>
            </w:r>
          </w:p>
        </w:tc>
        <w:tc>
          <w:tcPr>
            <w:tcW w:w="32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2.485 $ (Kleinbetrieb 1.495 $)</w:t>
            </w:r>
          </w:p>
        </w:tc>
        <w:tc>
          <w:tcPr>
            <w:tcW w:w="12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O-1</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205 $</w:t>
            </w:r>
          </w:p>
        </w:tc>
        <w:tc>
          <w:tcPr>
            <w:tcW w:w="32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1.655 $</w:t>
            </w:r>
          </w:p>
        </w:tc>
        <w:tc>
          <w:tcPr>
            <w:tcW w:w="12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 oder Agent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E-2</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315 $</w:t>
            </w:r>
          </w:p>
        </w:tc>
        <w:tc>
          <w:tcPr>
            <w:tcW w:w="32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 Konsulat keine Petition; I-129 (1.015 $) nur bei Statuswechsel im Inland</w:t>
            </w:r>
          </w:p>
        </w:tc>
        <w:tc>
          <w:tcPr>
            <w:tcW w:w="12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 selbst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F-1</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185 $</w:t>
            </w:r>
          </w:p>
        </w:tc>
        <w:tc>
          <w:tcPr>
            <w:tcW w:w="32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SEVIS-Gebühr 350 $</w:t>
            </w:r>
          </w:p>
        </w:tc>
        <w:tc>
          <w:tcPr>
            <w:tcW w:w="12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 selbst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J-1</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185 $</w:t>
            </w:r>
          </w:p>
        </w:tc>
        <w:tc>
          <w:tcPr>
            <w:tcW w:w="32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SEVIS-Gebühr 220 $ (Au-pair 35 $)</w:t>
            </w:r>
          </w:p>
        </w:tc>
        <w:tc>
          <w:tcPr>
            <w:tcW w:w="12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 oder Sponsor</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Hinzu kommen beim H-1B auf Wunsch </w:t>
      </w:r>
      <w:r>
        <w:rPr>
          <w:rFonts w:eastAsia="Cambria" w:cs="Cambria"/>
          <w:b w:val="false"/>
          <w:bCs w:val="false"/>
          <w:i/>
          <w:iCs/>
          <w:sz w:val="22"/>
          <w:szCs w:val="22"/>
        </w:rPr>
        <w:t>Premium Processing</w:t>
      </w:r>
      <w:r>
        <w:rPr>
          <w:rFonts w:eastAsia="Cambria" w:cs="Cambria"/>
          <w:b w:val="false"/>
          <w:bCs w:val="false"/>
          <w:i w:val="false"/>
          <w:iCs w:val="false"/>
          <w:sz w:val="22"/>
          <w:szCs w:val="22"/>
        </w:rPr>
        <w:t xml:space="preserve"> (beschleunigte Bearbeitung, Entscheidung binnen 15 Werktagen) für 2.965 $ und eine Zusatzgebühr von 4.000 $ (L-1: 4.500 $) für Firmen mit mindestens 50 Beschäftigten, von denen über die Hälfte im H-1B- oder L-1-Status arbeitet – sie trifft vor allem Outsourcing-Firmen. Rechnet man Registrierung (215 $), Behördengebühren (3.380 $) und Kanzlei (2.000–5.000 $) zusammen, kostet eine H-1B-Erstpetition den Arbeitgeber rund 5.600–8.600 $, mit Premium Processing rund 8.500–11.600 $ (eigene Rechnung, ohne 100.000-$-Zahlung).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Was dich betrifft: Die ACWIA-Gebühr sowie Anwalts- und Petitionskosten darf der Arbeitgeber nicht vom Lohn zurückholen. Konsulargebühren, Visa Integrity Fee, H-4-Anträge und Umzug zahlst du, sofern nichts anderes vereinbart ist – eine feste Regel gibt es nicht, es zählt, was im Angebotsschreiben steht.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(Markus, Anna, Lena, Jonas) bucht vier Termine in München statt Frankfurt: Dort ist der nächste frei in zwei Wochen, in Frankfurt erst in acht. Die Rechnung: 4 × 205 $ = 820 $ Konsulargebühr, dazu möglicherweise 4 × 250 $ = 1.000 $ Visa Integrity Fee, zusammen bis zu 1.820 $. Im Angebot stand die Erstattung. Markus’ Interview endet mit einem 221(g)-Vermerk: Die Beamtin verlangt eine Arbeitgeberbestätigung und die Diplome. Nach fünf Wochen liegen alle vier Visa vor; das ist kein Richtwert. Als der Kurierumschlag mit den Pässen ankommt, breitet Anna alle vier aufgeschlagenen Visumseiten auf dem Küchentisch aus und fotografiert sie – der erste Beweis, dass der Umzug wirklich passiert. (Fiktives Beispiel.)</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Lass dir im Angebotsschreiben ausdrücklich zusichern, dass der Arbeitgeber Konsulargebühren, Visa Integrity Fee und H-4-Kosten für die ganze Familie erstattet. Bei vier Personen sind das bis zu rund 1.800 $. Die Umzugskosten gehören in dieselbe Verhandlung (Kapitel </w:t>
            </w:r>
            <w:hyperlink w:anchor="k20">
              <w:r>
                <w:rPr>
                  <w:rStyle w:val="ListLabel114"/>
                  <w:rFonts w:eastAsia="Cambria" w:cs="Cambria"/>
                  <w:b w:val="false"/>
                  <w:bCs w:val="false"/>
                  <w:i w:val="false"/>
                  <w:iCs w:val="false"/>
                  <w:sz w:val="20"/>
                  <w:szCs w:val="20"/>
                </w:rPr>
                <w:t>20</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Request for Evidence: wenn USCIS nachfragt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Eine </w:t>
      </w:r>
      <w:r>
        <w:rPr>
          <w:rFonts w:eastAsia="Cambria" w:cs="Cambria"/>
          <w:b w:val="false"/>
          <w:bCs w:val="false"/>
          <w:i/>
          <w:iCs/>
          <w:sz w:val="22"/>
          <w:szCs w:val="22"/>
        </w:rPr>
        <w:t>Request for Evidence</w:t>
      </w:r>
      <w:r>
        <w:rPr>
          <w:rFonts w:eastAsia="Cambria" w:cs="Cambria"/>
          <w:b w:val="false"/>
          <w:bCs w:val="false"/>
          <w:i w:val="false"/>
          <w:iCs w:val="false"/>
          <w:sz w:val="22"/>
          <w:szCs w:val="22"/>
        </w:rPr>
        <w:t xml:space="preserve"> (RFE, Nachforderung) heißt: USCIS hält die Belege für unzureichend und will mehr sehen, bevor die Behörde entscheidet – keine Ablehnung, aber ernst. Typische Themen: ob die Stelle eine </w:t>
      </w:r>
      <w:r>
        <w:rPr>
          <w:rFonts w:eastAsia="Cambria" w:cs="Cambria"/>
          <w:b w:val="false"/>
          <w:bCs w:val="false"/>
          <w:i/>
          <w:iCs/>
          <w:sz w:val="22"/>
          <w:szCs w:val="22"/>
        </w:rPr>
        <w:t>Specialty Occupation</w:t>
      </w:r>
      <w:r>
        <w:rPr>
          <w:rFonts w:eastAsia="Cambria" w:cs="Cambria"/>
          <w:b w:val="false"/>
          <w:bCs w:val="false"/>
          <w:i w:val="false"/>
          <w:iCs w:val="false"/>
          <w:sz w:val="22"/>
          <w:szCs w:val="22"/>
        </w:rPr>
        <w:t xml:space="preserve"> ist, ob dein Abschluss zur Stelle passt (für deutsche Abschlüsse ist ein Äquivalenzgutachten üblich,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 Arbeitsort und Kunde bei Einsätzen bei Dritten sowie die Lohnhöhe.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Frist für die Antwort beträgt nach der Regel bis zu 84 Tage. Seit einer USCIS-Richtlinie vom 5. August 2026 dürfen Sachbearbeiter kürzere, fallbezogene Fristen setzen; Kanzleien berichten von RFE mit nur 30 Tagen. Die Antwort muss bei USCIS eingehen, nicht nur abgeschickt sein, und USCIS lehnt Anträge mit fehlenden Pflichtbelegen laut Kanzleien jetzt öfter ohne vorherige Nachforderung ab. Beim Premium Processing steht die 15-Werktage-Uhr während der RFE still. Die Antwort kostet 1.000–3.000 $ und geht zulasten des Arbeitgebers.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Bei 30 Tagen zählt jede Woche. Halte Diplome, Zeugnisse, Arbeitszeugnisse und Stellenbeschreibung griffbereit, bleibe auch im Urlaub erreichbar und liefere angeforderte Unterlagen der Kanzlei binnen zwei Tagen.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Zeitplan: vom Jobangebot bis zum Umzug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Beim H-1B mit Lotterie bestimmt der Kalender alles. Die Tabelle zeigt die Saison FY2027 (Fiskaljahr 1. Oktober 2026 bis 30. September 2027); Zeiten ab der Entscheidung sind Praxis- und Aggregatorwerte:</w:t>
      </w:r>
    </w:p>
    <w:tbl>
      <w:tblPr>
        <w:tblW w:w="6480" w:type="dxa"/>
        <w:jc w:val="left"/>
        <w:tblInd w:w="0" w:type="dxa"/>
        <w:tblLayout w:type="fixed"/>
        <w:tblCellMar>
          <w:top w:w="50" w:type="dxa"/>
          <w:left w:w="80" w:type="dxa"/>
          <w:bottom w:w="50" w:type="dxa"/>
          <w:right w:w="80" w:type="dxa"/>
        </w:tblCellMar>
      </w:tblPr>
      <w:tblGrid>
        <w:gridCol w:w="957"/>
        <w:gridCol w:w="2290"/>
        <w:gridCol w:w="950"/>
        <w:gridCol w:w="2282"/>
      </w:tblGrid>
      <w:tr>
        <w:trPr>
          <w:tblHeader w:val="true"/>
          <w:cantSplit w:val="true"/>
        </w:trPr>
        <w:tc>
          <w:tcPr>
            <w:tcW w:w="95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Zeitpunkt</w:t>
            </w:r>
          </w:p>
        </w:tc>
        <w:tc>
          <w:tcPr>
            <w:tcW w:w="229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Schritt</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Wer</w:t>
            </w:r>
          </w:p>
        </w:tc>
        <w:tc>
          <w:tcPr>
            <w:tcW w:w="228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Dauer und Hinweis</w:t>
            </w:r>
          </w:p>
        </w:tc>
      </w:tr>
      <w:tr>
        <w:trPr>
          <w:cantSplit w:val="true"/>
        </w:trPr>
        <w:tc>
          <w:tcPr>
            <w:tcW w:w="9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 März</w:t>
            </w:r>
          </w:p>
        </w:tc>
        <w:tc>
          <w:tcPr>
            <w:tcW w:w="22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Angebot, schriftliche Sponsoring-Zusage, Lohn-Level, Diplombewertung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 Arbeitgeber</w:t>
            </w:r>
          </w:p>
        </w:tc>
        <w:tc>
          <w:tcPr>
            <w:tcW w:w="22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muss vor der Registrierung stehen (Kapitel </w:t>
            </w:r>
            <w:hyperlink w:anchor="k5">
              <w:r>
                <w:rPr>
                  <w:rStyle w:val="ListLabel112"/>
                  <w:rFonts w:eastAsia="Cambria" w:cs="Cambria"/>
                  <w:b w:val="false"/>
                  <w:bCs w:val="false"/>
                  <w:i w:val="false"/>
                  <w:iCs w:val="false"/>
                  <w:sz w:val="18"/>
                  <w:szCs w:val="18"/>
                </w:rPr>
                <w:t>5</w:t>
              </w:r>
            </w:hyperlink>
            <w:r>
              <w:rPr>
                <w:rFonts w:eastAsia="Cambria" w:cs="Cambria"/>
                <w:b w:val="false"/>
                <w:bCs w:val="false"/>
                <w:i w:val="false"/>
                <w:iCs w:val="false"/>
                <w:sz w:val="18"/>
                <w:szCs w:val="18"/>
              </w:rPr>
              <w:t>)</w:t>
            </w:r>
          </w:p>
        </w:tc>
      </w:tr>
      <w:tr>
        <w:trPr>
          <w:cantSplit w:val="true"/>
        </w:trPr>
        <w:tc>
          <w:tcPr>
            <w:tcW w:w="9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März</w:t>
            </w:r>
          </w:p>
        </w:tc>
        <w:tc>
          <w:tcPr>
            <w:tcW w:w="22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Registrierung (215 $)</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w:t>
            </w:r>
          </w:p>
        </w:tc>
        <w:tc>
          <w:tcPr>
            <w:tcW w:w="22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FY2027: 4.–19. März 2026; Ergebnis bis 31. März</w:t>
            </w:r>
          </w:p>
        </w:tc>
      </w:tr>
      <w:tr>
        <w:trPr>
          <w:cantSplit w:val="true"/>
        </w:trPr>
        <w:tc>
          <w:tcPr>
            <w:tcW w:w="9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April bis Juni</w:t>
            </w:r>
          </w:p>
        </w:tc>
        <w:tc>
          <w:tcPr>
            <w:tcW w:w="22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LCA, dann Petition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Kanzlei</w:t>
            </w:r>
          </w:p>
        </w:tc>
        <w:tc>
          <w:tcPr>
            <w:tcW w:w="22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LCA-Prüfung sieben Werktage; Filing-Fenster mindestens 90 Tage</w:t>
            </w:r>
          </w:p>
        </w:tc>
      </w:tr>
      <w:tr>
        <w:trPr>
          <w:cantSplit w:val="true"/>
        </w:trPr>
        <w:tc>
          <w:tcPr>
            <w:tcW w:w="9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 Einreichung</w:t>
            </w:r>
          </w:p>
        </w:tc>
        <w:tc>
          <w:tcPr>
            <w:tcW w:w="22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Entscheidung, ggf. RFE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22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Premium 15 Werktage; regulär mehrere Monate (uscis.gov/processing-times)</w:t>
            </w:r>
          </w:p>
        </w:tc>
      </w:tr>
      <w:tr>
        <w:trPr>
          <w:cantSplit w:val="true"/>
        </w:trPr>
        <w:tc>
          <w:tcPr>
            <w:tcW w:w="9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 Genehmigung</w:t>
            </w:r>
          </w:p>
        </w:tc>
        <w:tc>
          <w:tcPr>
            <w:tcW w:w="22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DS-160, Gebühr, Termin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w:t>
            </w:r>
          </w:p>
        </w:tc>
        <w:tc>
          <w:tcPr>
            <w:tcW w:w="22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Frankfurt ca. zwei Monate, Berlin ca. ein Monat, München unter zwei Wochen</w:t>
            </w:r>
          </w:p>
        </w:tc>
      </w:tr>
      <w:tr>
        <w:trPr>
          <w:cantSplit w:val="true"/>
        </w:trPr>
        <w:tc>
          <w:tcPr>
            <w:tcW w:w="9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Interviewtag</w:t>
            </w:r>
          </w:p>
        </w:tc>
        <w:tc>
          <w:tcPr>
            <w:tcW w:w="22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Interview, ggf. 221(g)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w:t>
            </w:r>
          </w:p>
        </w:tc>
        <w:tc>
          <w:tcPr>
            <w:tcW w:w="22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Wochen bis Monate bei 221(g)</w:t>
            </w:r>
          </w:p>
        </w:tc>
      </w:tr>
      <w:tr>
        <w:trPr>
          <w:cantSplit w:val="true"/>
        </w:trPr>
        <w:tc>
          <w:tcPr>
            <w:tcW w:w="9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 dem Visum</w:t>
            </w:r>
          </w:p>
        </w:tc>
        <w:tc>
          <w:tcPr>
            <w:tcW w:w="22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Kündigung, Flug, Umzug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w:t>
            </w:r>
          </w:p>
        </w:tc>
        <w:tc>
          <w:tcPr>
            <w:tcW w:w="22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Kündigungsfrist im Job einplanen; Kapitel </w:t>
            </w:r>
            <w:hyperlink w:anchor="k15">
              <w:r>
                <w:rPr>
                  <w:rStyle w:val="ListLabel112"/>
                  <w:rFonts w:eastAsia="Cambria" w:cs="Cambria"/>
                  <w:b w:val="false"/>
                  <w:bCs w:val="false"/>
                  <w:i w:val="false"/>
                  <w:iCs w:val="false"/>
                  <w:sz w:val="18"/>
                  <w:szCs w:val="18"/>
                </w:rPr>
                <w:t>15</w:t>
              </w:r>
            </w:hyperlink>
            <w:r>
              <w:rPr>
                <w:rFonts w:eastAsia="Cambria" w:cs="Cambria"/>
                <w:b w:val="false"/>
                <w:bCs w:val="false"/>
                <w:i w:val="false"/>
                <w:iCs w:val="false"/>
                <w:sz w:val="18"/>
                <w:szCs w:val="18"/>
              </w:rPr>
              <w:t xml:space="preserve"> und </w:t>
            </w:r>
            <w:hyperlink w:anchor="k20">
              <w:r>
                <w:rPr>
                  <w:rStyle w:val="ListLabel112"/>
                  <w:rFonts w:eastAsia="Cambria" w:cs="Cambria"/>
                  <w:b w:val="false"/>
                  <w:bCs w:val="false"/>
                  <w:i w:val="false"/>
                  <w:iCs w:val="false"/>
                  <w:sz w:val="18"/>
                  <w:szCs w:val="18"/>
                </w:rPr>
                <w:t>20</w:t>
              </w:r>
            </w:hyperlink>
          </w:p>
        </w:tc>
      </w:tr>
      <w:tr>
        <w:trPr>
          <w:cantSplit w:val="true"/>
        </w:trPr>
        <w:tc>
          <w:tcPr>
            <w:tcW w:w="9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frühestens 21. September</w:t>
            </w:r>
          </w:p>
        </w:tc>
        <w:tc>
          <w:tcPr>
            <w:tcW w:w="22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Einreise, zehn Tage vor Petitionsbeginn 1. Oktober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w:t>
            </w:r>
          </w:p>
        </w:tc>
        <w:tc>
          <w:tcPr>
            <w:tcW w:w="22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3">
              <w:r>
                <w:rPr>
                  <w:rStyle w:val="ListLabel112"/>
                  <w:rFonts w:eastAsia="Cambria" w:cs="Cambria"/>
                  <w:b w:val="false"/>
                  <w:bCs w:val="false"/>
                  <w:i w:val="false"/>
                  <w:iCs w:val="false"/>
                  <w:sz w:val="18"/>
                  <w:szCs w:val="18"/>
                </w:rPr>
                <w:t>23</w:t>
              </w:r>
            </w:hyperlink>
          </w:p>
        </w:tc>
      </w:tr>
      <w:tr>
        <w:trPr>
          <w:cantSplit w:val="true"/>
        </w:trPr>
        <w:tc>
          <w:tcPr>
            <w:tcW w:w="9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1. Oktober</w:t>
            </w:r>
          </w:p>
        </w:tc>
        <w:tc>
          <w:tcPr>
            <w:tcW w:w="22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Arbeitsbeginn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w:t>
            </w:r>
          </w:p>
        </w:tc>
        <w:tc>
          <w:tcPr>
            <w:tcW w:w="22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vor dem Startdatum der Petition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Vom Angebot bis zum Start sind es beim Lotterieweg je nach Zeitpunkt zwischen acht und 18 Monaten, und nur, wenn die Auswahl klappt. Beispiel: Wer im September 2026 ein Angebot annimmt, wird im März 2027 registriert (Saison FY2028, Termine noch nicht offiziell) und startet frühestens am 1. Oktober 2027. Ohne Lotterie geht es schneller: Bei L-1, O-1 und Cap-exempt-H-1B (Hochschulen, Forschung;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xml:space="preserve"> und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 dauert die Strecke von der Einreichung bis zum Visum mit Premium Processing oft nur wenige Monate (abgeleitet aus Premium-Frist und Terminwartezeiten, ohne Garantie).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Angebot im April bedeutet: Die März-Registrierung ist verpasst, der Start frühestens im Oktober des Folgejahres. Frage bei jedem Angebot, wann und wie der Arbeitgeber registriert, und plane ein Ausweichmodell (Kapitel </w:t>
            </w:r>
            <w:hyperlink w:anchor="k4">
              <w:r>
                <w:rPr>
                  <w:rStyle w:val="ListLabel114"/>
                  <w:rFonts w:eastAsia="Cambria" w:cs="Cambria"/>
                  <w:b w:val="false"/>
                  <w:bCs w:val="false"/>
                  <w:i w:val="false"/>
                  <w:iCs w:val="false"/>
                  <w:sz w:val="20"/>
                  <w:szCs w:val="20"/>
                </w:rPr>
                <w:t>4</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Bitte deinen Arbeitgeber um Kanzlei, Ansprechpartner und eine schriftliche Kostenübernahme. Stelle Unterlagen und eine Liste deiner Social-Media-Konten zusammen, prüfe die Terminlage schon vor der Genehmigung, und plane vom Startdatum aus rückwärts, mit mehreren Wochen Puffer.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Angebotsschreiben: Sponsoring, Startdatum und Kostenübernahme (Konsulargebühren, Visa Integrity Fee, H-4, Umzug) schriftlich</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Kanzlei, Ansprechperson und Kopien von Petition und LCA erfragt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Entschieden, ob du zusätzlich einen eigenen Anwalt brauchst; Zulassung bei der Anwaltskammer geprüft, Honorarvereinbarung schriftlich</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Diplome, Zeugnisse, Arbeitszeugnisse und Lebenslauf bereit (Kapitel </w:t>
            </w:r>
            <w:hyperlink w:anchor="k19">
              <w:r>
                <w:rPr>
                  <w:rStyle w:val="ListLabel114"/>
                  <w:rFonts w:eastAsia="Cambria" w:cs="Cambria"/>
                  <w:b w:val="false"/>
                  <w:bCs w:val="false"/>
                  <w:i w:val="false"/>
                  <w:iCs w:val="false"/>
                  <w:sz w:val="20"/>
                  <w:szCs w:val="20"/>
                </w:rPr>
                <w:t>19</w:t>
              </w:r>
            </w:hyperlink>
            <w:r>
              <w:rPr>
                <w:rFonts w:eastAsia="Cambria" w:cs="Cambria"/>
                <w:b w:val="false"/>
                <w:bCs w:val="false"/>
                <w:i w:val="false"/>
                <w:iCs w:val="false"/>
                <w:sz w:val="20"/>
                <w:szCs w:val="20"/>
              </w:rPr>
              <w:t>); bei Familie Heirats- und Geburtsurkunden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DS-160 für jede Person ausgefüllt (Petitionsnummer aus dem Bescheid I-797), mit Petition und Lebenslauf abgeglichen, alle Social-Media-Konten angegeben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Konsulargebühr (205 $ je Person) gezahlt, Termin für die Familie gemeinsam gebucht, Standorte verglichen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Profile in sozialen Netzwerken vor dem Termin auf „öffentlich“ gestellt, nichts hektisch gelöscht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Interview-Mappe gepackt: Pass, DS-160-Bestätigung, Terminbestätigung, Gebührenbeleg, I-797, Kopien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Visum geprüft (Name, Kategorie, Datum); erst danach gekündigt, Flüge gebucht, Umzug beauftragt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US-Außenministerium — Visa, Gebühren, Wartezeiten: </w:t>
      </w:r>
      <w:hyperlink r:id="rId109">
        <w:r>
          <w:rPr>
            <w:rStyle w:val="ListLabel113"/>
            <w:rFonts w:eastAsia="Cambria" w:cs="Cambria"/>
            <w:b w:val="false"/>
            <w:bCs w:val="false"/>
            <w:i w:val="false"/>
            <w:iCs w:val="false"/>
            <w:color w:val="0563C1"/>
            <w:sz w:val="22"/>
            <w:szCs w:val="22"/>
            <w:u w:val="single"/>
          </w:rPr>
          <w:t>travel.state.gov/visas</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US-Botschaft und Konsulate in Deutschland — Visaverfahren und Terminportal: </w:t>
      </w:r>
      <w:hyperlink r:id="rId110">
        <w:r>
          <w:rPr>
            <w:rStyle w:val="ListLabel113"/>
            <w:rFonts w:eastAsia="Cambria" w:cs="Cambria"/>
            <w:b w:val="false"/>
            <w:bCs w:val="false"/>
            <w:i w:val="false"/>
            <w:iCs w:val="false"/>
            <w:color w:val="0563C1"/>
            <w:sz w:val="22"/>
            <w:szCs w:val="22"/>
            <w:u w:val="single"/>
          </w:rPr>
          <w:t>de.usembassy.gov/visas</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DS-160 und Statusabfrage: </w:t>
      </w:r>
      <w:hyperlink r:id="rId111">
        <w:r>
          <w:rPr>
            <w:rStyle w:val="ListLabel113"/>
            <w:rFonts w:eastAsia="Cambria" w:cs="Cambria"/>
            <w:b w:val="false"/>
            <w:bCs w:val="false"/>
            <w:i w:val="false"/>
            <w:iCs w:val="false"/>
            <w:color w:val="0563C1"/>
            <w:sz w:val="22"/>
            <w:szCs w:val="22"/>
            <w:u w:val="single"/>
          </w:rPr>
          <w:t>ceac.state.gov/genniv</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USCIS — Gebührenübersicht (G-1055): </w:t>
      </w:r>
      <w:hyperlink r:id="rId112">
        <w:r>
          <w:rPr>
            <w:rStyle w:val="ListLabel113"/>
            <w:rFonts w:eastAsia="Cambria" w:cs="Cambria"/>
            <w:b w:val="false"/>
            <w:bCs w:val="false"/>
            <w:i w:val="false"/>
            <w:iCs w:val="false"/>
            <w:color w:val="0563C1"/>
            <w:sz w:val="22"/>
            <w:szCs w:val="22"/>
            <w:u w:val="single"/>
          </w:rPr>
          <w:t>uscis.gov/g-1055</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USCIS — H-1B: </w:t>
      </w:r>
      <w:hyperlink r:id="rId113">
        <w:r>
          <w:rPr>
            <w:rStyle w:val="ListLabel113"/>
            <w:rFonts w:eastAsia="Cambria" w:cs="Cambria"/>
            <w:b w:val="false"/>
            <w:bCs w:val="false"/>
            <w:i w:val="false"/>
            <w:iCs w:val="false"/>
            <w:color w:val="0563C1"/>
            <w:sz w:val="22"/>
            <w:szCs w:val="22"/>
            <w:u w:val="single"/>
          </w:rPr>
          <w:t>uscis.gov/working-in-the-united-states/h-1b-specialty-occupations</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USCIS — Bearbeitungszeiten: </w:t>
      </w:r>
      <w:hyperlink r:id="rId114">
        <w:r>
          <w:rPr>
            <w:rStyle w:val="ListLabel113"/>
            <w:rFonts w:eastAsia="Cambria" w:cs="Cambria"/>
            <w:b w:val="false"/>
            <w:bCs w:val="false"/>
            <w:i w:val="false"/>
            <w:iCs w:val="false"/>
            <w:color w:val="0563C1"/>
            <w:sz w:val="22"/>
            <w:szCs w:val="22"/>
            <w:u w:val="single"/>
          </w:rPr>
          <w:t>uscis.gov/processing-times</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USCIS — Betrug vermeiden: </w:t>
      </w:r>
      <w:hyperlink r:id="rId115">
        <w:r>
          <w:rPr>
            <w:rStyle w:val="ListLabel113"/>
            <w:rFonts w:eastAsia="Cambria" w:cs="Cambria"/>
            <w:b w:val="false"/>
            <w:bCs w:val="false"/>
            <w:i w:val="false"/>
            <w:iCs w:val="false"/>
            <w:color w:val="0563C1"/>
            <w:sz w:val="22"/>
            <w:szCs w:val="22"/>
            <w:u w:val="single"/>
          </w:rPr>
          <w:t>uscis.gov/avoid-scams</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Verbraucherschutzbehörde FTC — Betrug melden: </w:t>
      </w:r>
      <w:hyperlink r:id="rId116">
        <w:r>
          <w:rPr>
            <w:rStyle w:val="ListLabel113"/>
            <w:rFonts w:eastAsia="Cambria" w:cs="Cambria"/>
            <w:b w:val="false"/>
            <w:bCs w:val="false"/>
            <w:i w:val="false"/>
            <w:iCs w:val="false"/>
            <w:color w:val="0563C1"/>
            <w:sz w:val="22"/>
            <w:szCs w:val="22"/>
            <w:u w:val="single"/>
          </w:rPr>
          <w:t>reportfraud.ftc.gov</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ListParagraph"/>
              <w:numPr>
                <w:ilvl w:val="0"/>
                <w:numId w:val="119"/>
              </w:numPr>
              <w:spacing w:lineRule="exact" w:line="264" w:before="0" w:after="50"/>
              <w:rPr/>
            </w:pPr>
            <w:r>
              <w:rPr>
                <w:rFonts w:eastAsia="Cambria" w:cs="Cambria"/>
                <w:b w:val="false"/>
                <w:bCs w:val="false"/>
                <w:i w:val="false"/>
                <w:iCs w:val="false"/>
                <w:sz w:val="20"/>
                <w:szCs w:val="20"/>
              </w:rPr>
              <w:t>September 2026. Diese Angaben ändern sich schnell: Konsulargebühren, Visa Integrity Fee und Premium-Gebühr, die Terminwartezeiten (wöchentlich, hier Aggregatordaten), die Erhebung der 100.000-$-Zahlung (laufende Gerichtsverfahren), die Entwürfe zu 103.265 $ und zum Wegfall der 60-Tage-Frist, die Interview- und Online-Prüfung sowie die RFE-Fristen. Prüfe vor jeder Entscheidung die offiziellen Seiten und frage deine Kanzlei.</w:t>
            </w:r>
          </w:p>
        </w:tc>
      </w:tr>
    </w:tbl>
    <w:p>
      <w:pPr>
        <w:sectPr>
          <w:footerReference w:type="even" r:id="rId117"/>
          <w:footerReference w:type="default" r:id="rId118"/>
          <w:footerReference w:type="first" r:id="rId119"/>
          <w:type w:val="nextPage"/>
          <w:pgSz w:w="8640" w:h="12983"/>
          <w:pgMar w:left="1080" w:right="1080" w:gutter="0" w:header="0" w:top="1080" w:footer="708" w:bottom="1100"/>
          <w:pgNumType w:fmt="decimal"/>
          <w:formProt w:val="false"/>
          <w:textDirection w:val="lrTb"/>
          <w:docGrid w:type="default" w:linePitch="360" w:charSpace="4096"/>
        </w:sectPr>
        <w:pStyle w:val="Normal"/>
        <w:spacing w:lineRule="exact" w:line="220" w:before="0" w:after="0"/>
        <w:rPr/>
      </w:pPr>
      <w:r>
        <w:rPr/>
      </w:r>
    </w:p>
    <w:p>
      <w:pPr>
        <w:pStyle w:val="Heading1"/>
        <w:spacing w:before="0" w:after="360"/>
        <w:jc w:val="center"/>
        <w:rPr/>
      </w:pPr>
      <w:bookmarkStart w:id="33" w:name="__RefHeading___Toc56453_3769931028"/>
      <w:bookmarkEnd w:id="33"/>
      <w:r>
        <w:rPr>
          <w:rFonts w:eastAsia="Amazon Ember" w:cs="Amazon Ember" w:ascii="Amazon Ember" w:hAnsi="Amazon Ember"/>
          <w:b/>
          <w:bCs/>
          <w:color w:val="0000FF"/>
        </w:rPr>
        <w:t>TEIL III — Wohnort und Wohnen</w:t>
      </w:r>
    </w:p>
    <w:p>
      <w:pPr>
        <w:sectPr>
          <w:footerReference w:type="even" r:id="rId120"/>
          <w:footerReference w:type="default" r:id="rId121"/>
          <w:footerReference w:type="first" r:id="rId122"/>
          <w:type w:val="nextPage"/>
          <w:pgSz w:w="8640" w:h="12983"/>
          <w:pgMar w:left="1080" w:right="1080" w:gutter="0" w:header="0" w:top="1080" w:footer="708" w:bottom="1100"/>
          <w:pgNumType w:fmt="decimal"/>
          <w:formProt w:val="false"/>
          <w:vAlign w:val="center"/>
          <w:textDirection w:val="lrTb"/>
          <w:docGrid w:type="default" w:linePitch="360" w:charSpace="4096"/>
        </w:sectPr>
        <w:pStyle w:val="Normal"/>
        <w:spacing w:lineRule="exact" w:line="300" w:before="0" w:after="160"/>
        <w:ind w:left="400" w:right="400"/>
        <w:jc w:val="center"/>
        <w:rPr/>
      </w:pPr>
      <w:r>
        <w:rPr>
          <w:rFonts w:eastAsia="Cambria" w:cs="Cambria"/>
          <w:b w:val="false"/>
          <w:bCs w:val="false"/>
          <w:i/>
          <w:iCs/>
          <w:sz w:val="24"/>
          <w:szCs w:val="24"/>
        </w:rPr>
        <w:t>Wo du lebst, entscheidet über Gehalt, Schule, Steuern und Freundeskreis. Und ob du mietest oder kaufst, über einen großen Teil deines Vermögens.</w:t>
      </w:r>
      <w:r>
        <w:br w:type="page"/>
      </w:r>
    </w:p>
    <w:p>
      <w:pPr>
        <w:pStyle w:val="Heading2"/>
        <w:keepNext w:val="true"/>
        <w:spacing w:before="0" w:after="300"/>
        <w:jc w:val="center"/>
        <w:rPr/>
      </w:pPr>
      <w:bookmarkStart w:id="34" w:name="__RefHeading___Toc56455_3769931028"/>
      <w:bookmarkStart w:id="35" w:name="k12"/>
      <w:bookmarkEnd w:id="34"/>
      <w:r>
        <w:rPr>
          <w:rFonts w:eastAsia="Amazon Ember" w:cs="Amazon Ember" w:ascii="Amazon Ember" w:hAnsi="Amazon Ember"/>
          <w:b/>
          <w:bCs/>
          <w:color w:val="0000FF"/>
          <w:sz w:val="36"/>
          <w:szCs w:val="36"/>
        </w:rPr>
        <w:t>Kapitel 12: Wo leben? Die besten Orte nach Berufsfeld</w:t>
      </w:r>
      <w:bookmarkEnd w:id="35"/>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Zusage kommt mit einer Adresse: Auburn Hills, Michigan. Nicht München, nicht Berlin – ein Vorort von Detroit, von dem die meisten Bewerber vorher nie gehört haben. Für die meisten Fachkräfte, die über ein Arbeitsvisum in die USA kommen, entscheidet nicht der Wunschzettel über den ersten Wohnort, sondern der Arbeitgeber. Die gute Nachricht: Das ist kein Urteil auf Lebenszeit. Amerikaner wechseln Job und Ort weit häufiger als Deutsche, und du wirst es wahrscheinlich auch tun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Beim ersten Job bestimmt fast immer der Arbeitgeber den Ort; freie Wahl kommt meist erst beim zweiten oder dritten Job (Kapitel </w:t>
            </w:r>
            <w:hyperlink w:anchor="k30">
              <w:r>
                <w:rPr>
                  <w:rStyle w:val="ListLabel114"/>
                  <w:rFonts w:eastAsia="Cambria" w:cs="Cambria"/>
                  <w:b w:val="false"/>
                  <w:bCs w:val="false"/>
                  <w:i w:val="false"/>
                  <w:iCs w:val="false"/>
                  <w:sz w:val="20"/>
                  <w:szCs w:val="20"/>
                </w:rPr>
                <w:t>30</w:t>
              </w:r>
            </w:hyperlink>
            <w:r>
              <w:rPr>
                <w:rFonts w:eastAsia="Cambria" w:cs="Cambria"/>
                <w:b w:val="false"/>
                <w:bCs w:val="false"/>
                <w:i w:val="false"/>
                <w:iCs w:val="false"/>
                <w:sz w:val="20"/>
                <w:szCs w:val="20"/>
              </w:rPr>
              <w:t>).</w:t>
            </w:r>
          </w:p>
          <w:p>
            <w:pPr>
              <w:pStyle w:val="ListParagraph"/>
              <w:numPr>
                <w:ilvl w:val="0"/>
                <w:numId w:val="1"/>
              </w:numPr>
              <w:spacing w:lineRule="exact" w:line="264" w:before="0" w:after="50"/>
              <w:rPr/>
            </w:pPr>
            <w:r>
              <w:rPr>
                <w:rFonts w:eastAsia="Cambria" w:cs="Cambria"/>
                <w:b w:val="false"/>
                <w:bCs w:val="false"/>
                <w:i w:val="false"/>
                <w:iCs w:val="false"/>
                <w:sz w:val="20"/>
                <w:szCs w:val="20"/>
              </w:rPr>
              <w:t>Rechne Gehalt, Wohnkosten und Steuern immer zusammen: 130.000 $ bedeuten in Columbus etwas anderes als in San Francisco.</w:t>
            </w:r>
          </w:p>
          <w:p>
            <w:pPr>
              <w:pStyle w:val="ListParagraph"/>
              <w:numPr>
                <w:ilvl w:val="0"/>
                <w:numId w:val="1"/>
              </w:numPr>
              <w:spacing w:lineRule="exact" w:line="264" w:before="0" w:after="50"/>
              <w:rPr/>
            </w:pPr>
            <w:r>
              <w:rPr>
                <w:rFonts w:eastAsia="Cambria" w:cs="Cambria"/>
                <w:b w:val="false"/>
                <w:bCs w:val="false"/>
                <w:i w:val="false"/>
                <w:iCs w:val="false"/>
                <w:sz w:val="20"/>
                <w:szCs w:val="20"/>
              </w:rPr>
              <w:t>Tech zahlt am besten, aber 2026 mit Entlassungswelle und schwachem Einstiegsmarkt; Halbleiter-Jobs entstehen schon in Arizona, Idaho und Texas, in Ohio erst ab 2030.</w:t>
            </w:r>
          </w:p>
          <w:p>
            <w:pPr>
              <w:pStyle w:val="ListParagraph"/>
              <w:numPr>
                <w:ilvl w:val="0"/>
                <w:numId w:val="1"/>
              </w:numPr>
              <w:spacing w:lineRule="exact" w:line="264" w:before="0" w:after="50"/>
              <w:rPr/>
            </w:pPr>
            <w:r>
              <w:rPr>
                <w:rFonts w:eastAsia="Cambria" w:cs="Cambria"/>
                <w:b w:val="false"/>
                <w:bCs w:val="false"/>
                <w:i w:val="false"/>
                <w:iCs w:val="false"/>
                <w:sz w:val="20"/>
                <w:szCs w:val="20"/>
              </w:rPr>
              <w:t>Acht Bundesstaaten erheben keine Einkommensteuer – das ersetzt aber keine Rechnung mit Grundsteuer und Versicherung.</w:t>
            </w:r>
          </w:p>
          <w:p>
            <w:pPr>
              <w:pStyle w:val="ListParagraph"/>
              <w:numPr>
                <w:ilvl w:val="0"/>
                <w:numId w:val="1"/>
              </w:numPr>
              <w:spacing w:lineRule="exact" w:line="264" w:before="0" w:after="50"/>
              <w:rPr/>
            </w:pPr>
            <w:r>
              <w:rPr>
                <w:rFonts w:eastAsia="Cambria" w:cs="Cambria"/>
                <w:b w:val="false"/>
                <w:bCs w:val="false"/>
                <w:i w:val="false"/>
                <w:iCs w:val="false"/>
                <w:sz w:val="20"/>
                <w:szCs w:val="20"/>
              </w:rPr>
              <w:t>Miete das erste Jahr, auch wenn du dich schon entschieden hast; das spart teure Fehlentscheidungen (Kapitel </w:t>
            </w:r>
            <w:hyperlink w:anchor="k13">
              <w:r>
                <w:rPr>
                  <w:rStyle w:val="ListLabel114"/>
                  <w:rFonts w:eastAsia="Cambria" w:cs="Cambria"/>
                  <w:b w:val="false"/>
                  <w:bCs w:val="false"/>
                  <w:i w:val="false"/>
                  <w:iCs w:val="false"/>
                  <w:sz w:val="20"/>
                  <w:szCs w:val="20"/>
                </w:rPr>
                <w:t>13</w:t>
              </w:r>
            </w:hyperlink>
            <w:r>
              <w:rPr>
                <w:rFonts w:eastAsia="Cambria" w:cs="Cambria"/>
                <w:b w:val="false"/>
                <w:bCs w:val="false"/>
                <w:i w:val="false"/>
                <w:iCs w:val="false"/>
                <w:sz w:val="20"/>
                <w:szCs w:val="20"/>
              </w:rPr>
              <w:t>, Kapitel </w:t>
            </w:r>
            <w:hyperlink w:anchor="k14">
              <w:r>
                <w:rPr>
                  <w:rStyle w:val="ListLabel114"/>
                  <w:rFonts w:eastAsia="Cambria" w:cs="Cambria"/>
                  <w:b w:val="false"/>
                  <w:bCs w:val="false"/>
                  <w:i w:val="false"/>
                  <w:iCs w:val="false"/>
                  <w:sz w:val="20"/>
                  <w:szCs w:val="20"/>
                </w:rPr>
                <w:t>14</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Wenn der Job den Ort bestimmt – und warum sich das später ändert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Wer ein Jobangebot in der Tasche hat, sucht sich aus, in welcher Stadt er lebt. Tatsächlich entscheidest du beim ersten Job in den USA selten selbst, wo du wohnst. Kommst du über ein Arbeitgeber-Visum wie H-1B oder L-1, nennt die Petition deines Arbeitgebers einen festen Arbeitsort, meist eine Metropolregion (englisch </w:t>
      </w:r>
      <w:r>
        <w:rPr>
          <w:rFonts w:eastAsia="Cambria" w:cs="Cambria"/>
          <w:b w:val="false"/>
          <w:bCs w:val="false"/>
          <w:i/>
          <w:iCs/>
          <w:sz w:val="22"/>
          <w:szCs w:val="22"/>
        </w:rPr>
        <w:t>Metro Area</w:t>
      </w:r>
      <w:r>
        <w:rPr>
          <w:rFonts w:eastAsia="Cambria" w:cs="Cambria"/>
          <w:b w:val="false"/>
          <w:bCs w:val="false"/>
          <w:i w:val="false"/>
          <w:iCs w:val="false"/>
          <w:sz w:val="22"/>
          <w:szCs w:val="22"/>
        </w:rPr>
        <w:t xml:space="preserve">, eine zusammenhängende Wirtschafts- und Pendlerregion um eine Kernstadt). Die </w:t>
      </w:r>
      <w:r>
        <w:rPr>
          <w:rFonts w:eastAsia="Cambria" w:cs="Cambria"/>
          <w:b w:val="false"/>
          <w:bCs w:val="false"/>
          <w:i/>
          <w:iCs/>
          <w:sz w:val="22"/>
          <w:szCs w:val="22"/>
        </w:rPr>
        <w:t>Labor Condition Application</w:t>
      </w:r>
      <w:r>
        <w:rPr>
          <w:rFonts w:eastAsia="Cambria" w:cs="Cambria"/>
          <w:b w:val="false"/>
          <w:bCs w:val="false"/>
          <w:i w:val="false"/>
          <w:iCs w:val="false"/>
          <w:sz w:val="22"/>
          <w:szCs w:val="22"/>
        </w:rPr>
        <w:t>, die dein Arbeitgeber beim Arbeitsministerium einreicht, bindet dich an dieses Gebiet; ein Umzug in eine andere Region braucht in der Regel eine neue Petition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 Wer über ein Studium kommt (F-1, OPT, Kapitel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 hat beim ersten Arbeitgeber ebenfalls wenig Spielraum, weil schon das Jobangebot selbst rar ist. Nur wer über E-2, L-1A oder O-1 selbständig oder als Führungskraft kommt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 oder bereits eine Green Card besitzt, wählt den Ort wirklich frei.</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klingt einschränkender, als es ist. Amerikaner bleiben im Median nur 3,9 Jahre bei einem Arbeitgeber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 und ein Wechsel zieht oft einen Umzug nach sich – vom Autozulieferer in Michigan zum Halbleiterwerk in Arizona, vom Start-up in Austin zum Konzern in Seattle. Die erste Platzierung ist ein Anfang, kein Urteil auf Lebenszeit. Wer beim ersten Angebot noch keine Wahl hat, kann trotzdem prüfen, was der zugewiesene Ort für Gehalt, Kosten und Alltag bedeutet – und beim nächsten Wechsel gezielter suchen.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erste Wohnort folgt fast immer dem ersten Job, nicht umgekehrt. Wer die Wahl hat, sollte die Kriterien dieses Kapitels schon beim Jobangebot prüfen, nicht erst nach der Zusage.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bei der Wahl zählt: Gehalt, Kosten und Steuern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Sobald du wählen kannst oder das zugewiesene Angebot bewerten willst, zählt zuerst das Verhältnis von Gehalt zu Lebenshaltungskosten, nicht das Gehalt allein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 xml:space="preserve"> zeigt das Rechenmodell). Ein Softwareentwickler verdient im Median 213.110 $ in San José, aber ein Einfamilienhaus kostet dort 2.050.000 $; in Columbus, Ohio, sind es 122.340 $ Gehalt bei 363.100 $ Kaufpreis – ein deutlich günstigeres Verhältnis, auch wenn die absolute Zahl kleiner wirkt. Ein hohes Nominalgehalt in San Francisco oder Boston lässt nach Steuern und Wohnkosten oft weniger übrig als ein niedrigeres Gehalt in Columbus oder Raleigh – wer nur auf die Zahl im Angebotsschreiben schaut, wundert sich am Monatsende, wohin das Geld verschwunden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Einkommensteuer schwankt zwischen 0 % (Texas, Florida, Tennessee und fünf weitere Staaten, siehe unten) und einem Spitzensatz von 13,3 % in Kalifornien. Dazu kommen oft Kommunalsteuern: Ohio-Städte, Detroit und New York City erheben eigene Lohnsteuern; Bundes- und Landessteuer erklärt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Die Grundsteuer (</w:t>
      </w:r>
      <w:r>
        <w:rPr>
          <w:rFonts w:eastAsia="Cambria" w:cs="Cambria"/>
          <w:b w:val="false"/>
          <w:bCs w:val="false"/>
          <w:i/>
          <w:iCs/>
          <w:sz w:val="22"/>
          <w:szCs w:val="22"/>
        </w:rPr>
        <w:t>Property Tax</w:t>
      </w:r>
      <w:r>
        <w:rPr>
          <w:rFonts w:eastAsia="Cambria" w:cs="Cambria"/>
          <w:b w:val="false"/>
          <w:bCs w:val="false"/>
          <w:i w:val="false"/>
          <w:iCs w:val="false"/>
          <w:sz w:val="22"/>
          <w:szCs w:val="22"/>
        </w:rPr>
        <w:t>) variiert ebenfalls stark, von rund 0,3 % des Hauswerts in Hawaii bis 1,9 % in New Jersey und Illinois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Familien ist Schulqualität oft das gewichtigste Kriterium: Die öffentliche Schule richtet sich nach dem Schulbezirk (</w:t>
      </w:r>
      <w:r>
        <w:rPr>
          <w:rFonts w:eastAsia="Cambria" w:cs="Cambria"/>
          <w:b w:val="false"/>
          <w:bCs w:val="false"/>
          <w:i/>
          <w:iCs/>
          <w:sz w:val="22"/>
          <w:szCs w:val="22"/>
        </w:rPr>
        <w:t>School District</w:t>
      </w:r>
      <w:r>
        <w:rPr>
          <w:rFonts w:eastAsia="Cambria" w:cs="Cambria"/>
          <w:b w:val="false"/>
          <w:bCs w:val="false"/>
          <w:i w:val="false"/>
          <w:iCs w:val="false"/>
          <w:sz w:val="22"/>
          <w:szCs w:val="22"/>
        </w:rPr>
        <w:t>) des Wohnorts, nicht nach der Stadt insgesamt, und gefragte Bezirke kosten beim Kauf oder Mieten einen spürbaren Aufschlag. Wie du Schulbezirke bewertest, erklärt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 die Steckbriefe weiter unten nennen je Region Beispiele gefragter Bezirke.</w:t>
      </w:r>
    </w:p>
    <w:p>
      <w:pPr>
        <w:pStyle w:val="Heading3"/>
        <w:keepNext w:val="true"/>
        <w:spacing w:before="280" w:after="100"/>
        <w:jc w:val="center"/>
        <w:rPr/>
      </w:pPr>
      <w:r>
        <w:rPr>
          <w:rFonts w:eastAsia="Amazon Ember" w:cs="Amazon Ember" w:ascii="Amazon Ember" w:hAnsi="Amazon Ember"/>
          <w:b/>
          <w:bCs/>
          <w:color w:val="0000FF"/>
          <w:sz w:val="36"/>
          <w:szCs w:val="36"/>
        </w:rPr>
        <w:t>Klima, Naturgefahren und der Alltag vor Ort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USA sind klimatisch und geologisch vielfältiger als jedes Land Europas – was in Deutschland vier Jahreszeiten sind, verteilen die USA großzügig auf 50 Bundesstaaten, gerne auch gleichzeitig: Hitzewelle in Phoenix, Schneesturm in Minneapolis, derselbe Kalendertag. Jede Metropolregion trägt ein eigenes Risikoprofil. Manche Gefahr betrifft vor allem den Immobilienkauf (Versicherbarkeit,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andere den Alltag – Hitzeperioden, Winterstürme, Rauch von Waldbränden.</w:t>
      </w:r>
    </w:p>
    <w:tbl>
      <w:tblPr>
        <w:tblW w:w="6480" w:type="dxa"/>
        <w:jc w:val="left"/>
        <w:tblInd w:w="0" w:type="dxa"/>
        <w:tblLayout w:type="fixed"/>
        <w:tblCellMar>
          <w:top w:w="50" w:type="dxa"/>
          <w:left w:w="80" w:type="dxa"/>
          <w:bottom w:w="50" w:type="dxa"/>
          <w:right w:w="80" w:type="dxa"/>
        </w:tblCellMar>
      </w:tblPr>
      <w:tblGrid>
        <w:gridCol w:w="949"/>
        <w:gridCol w:w="2653"/>
        <w:gridCol w:w="2878"/>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Naturgefahr</w:t>
            </w:r>
          </w:p>
        </w:tc>
        <w:tc>
          <w:tcPr>
            <w:tcW w:w="265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Betroffene Regionen (Beispiele)</w:t>
            </w:r>
          </w:p>
        </w:tc>
        <w:tc>
          <w:tcPr>
            <w:tcW w:w="287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Worauf du achtest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Hurrikan</w:t>
            </w:r>
          </w:p>
        </w:tc>
        <w:tc>
          <w:tcPr>
            <w:tcW w:w="26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Golfküste, Florida, Houston, Carolinas, teils Washington DC</w:t>
            </w:r>
          </w:p>
        </w:tc>
        <w:tc>
          <w:tcPr>
            <w:tcW w:w="28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Sturmsaison Juni bis November, Evakuierungszonen, Selbstbehalt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Waldbrand</w:t>
            </w:r>
          </w:p>
        </w:tc>
        <w:tc>
          <w:tcPr>
            <w:tcW w:w="26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Kalifornien, Colorado, Pacific-Northwest-Rauch</w:t>
            </w:r>
          </w:p>
        </w:tc>
        <w:tc>
          <w:tcPr>
            <w:tcW w:w="28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FEMA-Gefahrenkarten, Versicherbarkeit vor dem Kauf prüfen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Erdbeben</w:t>
            </w:r>
          </w:p>
        </w:tc>
        <w:tc>
          <w:tcPr>
            <w:tcW w:w="26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San Francisco/Los Angeles, Seattle/Portland, Salt Lake City</w:t>
            </w:r>
          </w:p>
        </w:tc>
        <w:tc>
          <w:tcPr>
            <w:tcW w:w="28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Standardpolice deckt Erdbeben meist nicht; Zusatzpolice nötig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Tornado</w:t>
            </w:r>
          </w:p>
        </w:tc>
        <w:tc>
          <w:tcPr>
            <w:tcW w:w="26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Dallas, Houston, Nashville, Huntsville, Atlanta, Minneapolis</w:t>
            </w:r>
          </w:p>
        </w:tc>
        <w:tc>
          <w:tcPr>
            <w:tcW w:w="28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Sturmkeller oder sicherer Innenraum, Warn-Apps</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Extreme Hitze</w:t>
            </w:r>
          </w:p>
        </w:tc>
        <w:tc>
          <w:tcPr>
            <w:tcW w:w="26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Phoenix, Austin, Houston, Dallas</w:t>
            </w:r>
          </w:p>
        </w:tc>
        <w:tc>
          <w:tcPr>
            <w:tcW w:w="28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Klimaanlage ist Pflichtausgabe, hohe Stromrechnung im Sommer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Strenger Winter</w:t>
            </w:r>
          </w:p>
        </w:tc>
        <w:tc>
          <w:tcPr>
            <w:tcW w:w="26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Minneapolis, Chicago, Denver, Upstate New York</w:t>
            </w:r>
          </w:p>
        </w:tc>
        <w:tc>
          <w:tcPr>
            <w:tcW w:w="28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Heizkosten, Winterreifen, Schneeräumpflicht am eigenen Grundstück</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Als Faustregel gilt: Wer eine Immobilie in einer Hochrisikozone kauft, holt vor der Kaufentscheidung ein Versicherungsangebot ein, nicht danach.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In Florida kostet eine Hausversicherung mit 300.000 $ Deckung im Schnitt 6.432 $ im Jahr, in Louisiana 5.004 $, in Texas 4.644 $ – mehr als das Dreifache des kalifornischen Werts von 2.040 $. In einigen Regionen ziehen sich private Versicherer zurück; Kalifornien fängt das über den staatlichen Notversicherer </w:t>
            </w:r>
            <w:r>
              <w:rPr>
                <w:rFonts w:eastAsia="Cambria" w:cs="Cambria"/>
                <w:b w:val="false"/>
                <w:bCs w:val="false"/>
                <w:i/>
                <w:iCs/>
                <w:sz w:val="20"/>
                <w:szCs w:val="20"/>
              </w:rPr>
              <w:t>FAIR Plan</w:t>
            </w:r>
            <w:r>
              <w:rPr>
                <w:rFonts w:eastAsia="Cambria" w:cs="Cambria"/>
                <w:b w:val="false"/>
                <w:bCs w:val="false"/>
                <w:i w:val="false"/>
                <w:iCs w:val="false"/>
                <w:sz w:val="20"/>
                <w:szCs w:val="20"/>
              </w:rPr>
              <w:t xml:space="preserve"> auf (663.000 Policen, Stand März 2026). Prüfe die Versicherbarkeit, bevor du kaufst (Kapitel </w:t>
            </w:r>
            <w:hyperlink w:anchor="k14">
              <w:r>
                <w:rPr>
                  <w:rStyle w:val="ListLabel114"/>
                  <w:rFonts w:eastAsia="Cambria" w:cs="Cambria"/>
                  <w:b w:val="false"/>
                  <w:bCs w:val="false"/>
                  <w:i w:val="false"/>
                  <w:iCs w:val="false"/>
                  <w:sz w:val="20"/>
                  <w:szCs w:val="20"/>
                </w:rPr>
                <w:t>14</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Direktflüge, deutsche Community und ÖPNV</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regelmäßig nach Deutschland reist, spart mit einem Nonstop-Flug Zeit und Umsteigestress. Lufthansa, United, Delta und saisonal Condor fliegen unter anderem Atlanta, Austin, Boston, Charlotte, Chicago, Dallas–Fort Worth, Denver, Detroit, Houston, Los Angeles, New York, Raleigh–Durham, San Diego, San Francisco, Seattle und Washington nonstop an (Stand September 2026; Streckenpläne ändern sich saisonal). Ohne Nonstop-Verbindung reist du unter anderem ab Phoenix, Salt Lake City, Boise, Columbus, Nashville, Greenville–Spartanburg und Huntsville – meist mit Umstieg über eines der genannten Drehkreuze.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Familien mit Kindern kann eine Deutsche Auslandsschule mit Deutschem Internationalen Abitur (</w:t>
      </w:r>
      <w:r>
        <w:rPr>
          <w:rFonts w:eastAsia="Cambria" w:cs="Cambria"/>
          <w:b w:val="false"/>
          <w:bCs w:val="false"/>
          <w:i/>
          <w:iCs/>
          <w:sz w:val="22"/>
          <w:szCs w:val="22"/>
        </w:rPr>
        <w:t>DIA</w:t>
      </w:r>
      <w:r>
        <w:rPr>
          <w:rFonts w:eastAsia="Cambria" w:cs="Cambria"/>
          <w:b w:val="false"/>
          <w:bCs w:val="false"/>
          <w:i w:val="false"/>
          <w:iCs w:val="false"/>
          <w:sz w:val="22"/>
          <w:szCs w:val="22"/>
        </w:rPr>
        <w:t>) den Ausschlag geben: Es gibt sie unter anderem in Boston, New York (White Plains), Washington (Potomac, Maryland) und im Silicon Valley; das Schulgeld liegt 2026/27 bei rund 27.700 bis 35.750 $ im Jahr. Generalkonsulate findest du in Atlanta, Boston, Chicago, Houston, Los Angeles, New York und San Francisco, dazu die Botschaft in Washington; Goethe-Institute ergänzen das Netz in denselben Städten.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Außerhalb der dichten Kernlagen von New York, Boston, Chicago, Washington und San Francisco brauchst du praktisch überall ein Auto; öffentlicher Nahverkehr existiert vielerorts, deckt aber selten den ganzen Alltag ab. Wer aus einer deutschen Stadt mit Straßenbahn kommt, gewöhnt sich um: Hier bringt dich nicht die nächste Bahn in zehn Minuten irgendwohin, sondern nur der eigene Zündschlüssel. Führerschein und Auto beschreibt Kapitel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Tech, Software und Halbleiter: hohe Löhne, unsichere Zeiten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Softwareentwickler verdienen bundesweit im Median 135.980 $ im Jahr (Mai 2025) – in den teuersten Metros deutlich mehr: San José 213.110 $, San Francisco/Oakland 186.640 $, New York 166.830 $, Boston 166.090 $, Boulder 164.560 $, Los Angeles 160.920 $. Das beste Verhältnis von Gehalt zu Lebenshaltungskosten findest du eher in Raleigh–Durham (132.770–135.620 $), Atlanta (132.960 $), Dallas–Fort Worth (133.290 $), Charlotte (135.920 $) oder Phoenix (131.750 $) – Regionen mit spürbar niedrigeren Kauf- und Mietpreisen. Seattle und der Großraum Washington sind ebenfalls wichtige Tech-Standorte (Amazon, Microsoft, Cloud-Rechenzentren); für sie liegen derzeit keine belastbaren Gehaltszahlen nach Metro vor. Sabine Keller (fiktiv) etwa zieht als Softwareentwicklerin mit H-1B-Visum nach Seattle, wo Amazon, Microsoft und ein dichtes Cloud- und KI-Ökosystem hohe Gehälter zahlen – aber auch die Entlassungswelle der Branche zuerst zuschlägt; was ein Stellenabbau (</w:t>
      </w:r>
      <w:r>
        <w:rPr>
          <w:rFonts w:eastAsia="Cambria" w:cs="Cambria"/>
          <w:b w:val="false"/>
          <w:bCs w:val="false"/>
          <w:i/>
          <w:iCs/>
          <w:sz w:val="22"/>
          <w:szCs w:val="22"/>
        </w:rPr>
        <w:t>Layoff</w:t>
      </w:r>
      <w:r>
        <w:rPr>
          <w:rFonts w:eastAsia="Cambria" w:cs="Cambria"/>
          <w:b w:val="false"/>
          <w:bCs w:val="false"/>
          <w:i w:val="false"/>
          <w:iCs w:val="false"/>
          <w:sz w:val="22"/>
          <w:szCs w:val="22"/>
        </w:rPr>
        <w:t>) für deinen Status bedeutet, erklärt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Tech-Arbeitsmarkt ist 2026 merklich härter als noch vor zwei Jahren. Von Januar bis August 2026 kündigten US-Unternehmen laut einer Beratung 155.126 Tech-Stellen, 52 % mehr als im Vorjahreszeitraum; in rund einem Viertel der Ankündigungen nannten Unternehmen ausdrücklich Künstliche Intelligenz als Grund. Stellenanzeigen für Softwareentwickler lagen Mitte 2026 rund 27,5 % unter Vor-Pandemie-Niveau, und Einstiegsstellen für Berufsanfänger sanken zusätzlich um 7,5 % gegenüber dem Vorjahr. Ein Jobangebot in der Tech-Branche ist 2026 kein Selbstläufer mehr, besonders nicht für den ersten Job.</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Halbleiter-Standorte sind stark ortsgebunden, mit sehr unterschiedlichen Zeitplänen. In Arizona fertigt Intels Fab 52 in Chandler seit Oktober 2025 in Serie, und TSMC baut seine zweite Fabrik seit dem dritten Quartal 2026 aus (Serienproduktion ab 2027); dort entstehen schon jetzt Stellen. In Idaho startet Micron die Serienproduktion in Boise 2027, im texanischen Sherman fertigt Texas Instruments bereits seit Dezember 2025, und Samsung will in Taylor, Texas, 2027 in Serie gehen. Ganz anders in Ohio: Intels Werk bei Columbus soll frühestens 2030/31 den Betrieb aufnehmen. Ähnlich verhält es sich mit Micron im Bundesstaat New York (Baubeginn 2026, Produktion um 2030).</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Jan Hoffmann (fiktiv) wechselt als Prozessingenieur in der Halbleiterfertigung von Dresden mit einem L-1-Visum in den Großraum Phoenix, Arizona. Sein Arbeitgeber verlegt ihn an ein Werk, das seit Herbst 2025 in Serie fertigt – anders als das Intel-Werk in Ohio, das laut Zeitplan erst 2030/31 anläuft. Katrin, seine Frau, arbeitet als Physiotherapeutin und braucht in Arizona eine eigene Zulassung; Sohn Paul, 15, wechselt mitten im Schuljahr die Schule. Die Familie kalkuliert mit 477.700 $ Median-Kaufpreis für ein Einfamilienhaus und mietet im ersten Jahr für rund 1.480 $ eine Zweizimmerwohnung – auch, weil sie die Sommerhitze erst erleben will, bevor sie kauft: Schon der erste Weg zum Auto im August fühlt sich an, als hielte jemand einen Fön ins Gesicht, ein Wetter, das sich von Fotos allein nicht vorstellen lässt.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Verlass dich bei der Ortswahl nicht auf Ankündigungen, sondern auf den tatsächlichen Baufortschritt. Intel Ohio wurde mehrfach verschoben; wer wegen eines Halbleiterwerks umzieht, fragt den aktuellen Stand direkt beim Arbeitgeber ab, nicht bei einer zwei Jahre alten Pressemitteilung.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Automobil und Maschinenbau: Zulieferer unter Zolldruck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Deutsche Automobilhersteller und -zulieferer sind in den USA breit vertreten: BMW in Spartanburg/Greer, South Carolina (rund 43.000 gesicherte Arbeitsplätze laut einer Studie), Mercedes-Benz in Tuscaloosa/Vance, Alabama (seit 1997, rund 4 Millionen gefertigte Fahrzeuge), Volkswagen in Chattanooga, Tennessee. Zulieferer konzentrieren sich auf wenige Cluster: Michigan (Bosch, ZF, Continental, Mahle und Brose rund um Detroit und Ann Arbor), die Carolinas (Schaeffler und Continental Tire in Fort Mill, BMW-Zulieferer rund um Greenville–Spartanburg) sowie Alabama und Tennessee. Maschinenbauingenieure verdienen bundesweit im Median 104.110 $; in den Autoclustern selbst zahlt die Branche kaum einen Aufschlag (Detroit 109.470 $, Charlotte 101.950 $, Greenville 101.570 $) – die höchsten Gehälter gibt es eher außerhalb, in Denver (128.180 $), Ann Arbor (127.310 $) oder Houston (125.350 $).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Branche steht 2025/26 unter spürbarem Zolldruck: Seit April 2025 gilt ein Einfuhrzoll von 25 % auf Personenwagen, seit Mai 2025 auch auf Teile (Section 232). Für die EU wurde er im August 2025 auf 15 % gesenkt; am 1. Mai 2026 kündigte die US-Regierung an, EU-Fahrzeuge wieder mit 25 % zu belegen – ob und wie das umgesetzt wird, war im September 2026 nicht abschließend geklärt. Deutsche Zulieferer bauen als Reaktion in Deutschland Stellen ab (Bosch, ZF, Schaeffler); welche Folgen das für die US-Werke selbst hat, ist nicht sicher beziffert.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 zieht mit H-1B-Visum in den Großraum Detroit, Michigan; Markus arbeitet dort als Maschinenbauingenieur bei einem Automobilzulieferer. Der Median-Kaufpreis für ein Einfamilienhaus liegt bei 311.800 $, deutlich unter dem US-Durchschnitt von 434.900 $, die Zweizimmermiete bei rund 1.100 $. Dass Michigan 4,25 % Einkommensteuer erhebt und die Stadt Detroit selbst zusätzlich eine Lohnsteuer verlangt, gleicht die niedrigen Wohnkosten teilweise aus. Weil die Zollpolitik die Zulieferbranche unter Druck setzt, fragt Markus im Vorstellungsgespräch offen nach der Auftragslage des Werks. Die Antwort des Personalchefs – ein vorsichtiges „Wir planen langfristig“ – klingt beruhigender, als sie gemeint ist, doch Markus nimmt den Job trotzdem an. Anna informiert sich parallel über die Schuldistrikte in Auburn Hills und Novi (Kapitel </w:t>
            </w:r>
            <w:hyperlink w:anchor="k36">
              <w:r>
                <w:rPr>
                  <w:rStyle w:val="ListLabel114"/>
                  <w:rFonts w:eastAsia="Cambria" w:cs="Cambria"/>
                  <w:b w:val="false"/>
                  <w:bCs w:val="false"/>
                  <w:i w:val="false"/>
                  <w:iCs w:val="false"/>
                  <w:sz w:val="20"/>
                  <w:szCs w:val="20"/>
                </w:rPr>
                <w:t>36</w:t>
              </w:r>
            </w:hyperlink>
            <w:r>
              <w:rPr>
                <w:rFonts w:eastAsia="Cambria" w:cs="Cambria"/>
                <w:b w:val="false"/>
                <w:bCs w:val="false"/>
                <w:i w:val="false"/>
                <w:iCs w:val="false"/>
                <w:sz w:val="20"/>
                <w:szCs w:val="20"/>
              </w:rPr>
              <w:t>); im ersten Jahr mietet die Familie, bevor sie über einen Kauf entscheidet.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für einen Job bei einem deutschen Automobilzulieferer in die USA zieht, erfragt die Auftragslage und Zollrisiken des konkreten Werks, nicht nur die Konzernzahlen. Stellenabbau in Deutschland ist keine verlässliche Prognose für den US-Standort, aber ein Warnsignal.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Pharma, Biotech, Medtech und Gesundheitsberufe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Pharma- und Biotech-Unternehmen bündeln sich in wenigen Regionen: Boston/Cambridge und die San Francisco Bay Area für Forschung und Start-ups, San Diego für Biotech, der „Pharma-Gürtel“ zwischen New Jersey, New York und Philadelphia für Großkonzerne, Raleigh–Durham (Research Triangle Park) und der Großraum Washington/Maryland (Rockville, Gaithersburg) für Behörden- und Förder-Nähe. Deutsche Konzerne sind breit vertreten: Bayer (New Jersey, Kalifornien, North Carolina), Boehringer Ingelheim (Connecticut), Merck KGaA/EMD Serono und Fresenius (Massachusetts), Siemens Healthineers (Pennsylvania), BioNTech (Massachusetts), B. Braun (Pennsylvania). Seit Herbst 2025 gilt für Marken-Arzneimittel ein Einfuhrzoll von 100 %, gedeckelt auf 15 % für Länder mit Handelsabkommen wie die EU; welche Folgen das für Produktionsentscheidungen in den USA hat, ist noch offen.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Pflegefachkräfte (</w:t>
      </w:r>
      <w:r>
        <w:rPr>
          <w:rFonts w:eastAsia="Cambria" w:cs="Cambria"/>
          <w:b w:val="false"/>
          <w:bCs w:val="false"/>
          <w:i/>
          <w:iCs/>
          <w:sz w:val="22"/>
          <w:szCs w:val="22"/>
        </w:rPr>
        <w:t>Registered Nurses</w:t>
      </w:r>
      <w:r>
        <w:rPr>
          <w:rFonts w:eastAsia="Cambria" w:cs="Cambria"/>
          <w:b w:val="false"/>
          <w:bCs w:val="false"/>
          <w:i w:val="false"/>
          <w:iCs w:val="false"/>
          <w:sz w:val="22"/>
          <w:szCs w:val="22"/>
        </w:rPr>
        <w:t>, RN) verdienen bundesweit im Median 97.550 $, mit einem erwarteten Stellenwachstum von 6 % bis 2035. Die Spanne ist groß: Los Angeles zahlt 135.560 $, Portland 130.310 $, New York 119.720 $, Boston 106.180 $ – Huntsville dagegen nur 77.090 $ und Greenville 81.400 $. Der Weg in den Beruf führt über die Zulassung im jeweiligen Bundesstaat (</w:t>
      </w:r>
      <w:r>
        <w:rPr>
          <w:rFonts w:eastAsia="Cambria" w:cs="Cambria"/>
          <w:b w:val="false"/>
          <w:bCs w:val="false"/>
          <w:i/>
          <w:iCs/>
          <w:sz w:val="22"/>
          <w:szCs w:val="22"/>
        </w:rPr>
        <w:t>State Board of Nursing</w:t>
      </w:r>
      <w:r>
        <w:rPr>
          <w:rFonts w:eastAsia="Cambria" w:cs="Cambria"/>
          <w:b w:val="false"/>
          <w:bCs w:val="false"/>
          <w:i w:val="false"/>
          <w:iCs w:val="false"/>
          <w:sz w:val="22"/>
          <w:szCs w:val="22"/>
        </w:rPr>
        <w:t xml:space="preserve">), die Prüfung </w:t>
      </w:r>
      <w:r>
        <w:rPr>
          <w:rFonts w:eastAsia="Cambria" w:cs="Cambria"/>
          <w:b w:val="false"/>
          <w:bCs w:val="false"/>
          <w:i/>
          <w:iCs/>
          <w:sz w:val="22"/>
          <w:szCs w:val="22"/>
        </w:rPr>
        <w:t>NCLEX-RN</w:t>
      </w:r>
      <w:r>
        <w:rPr>
          <w:rFonts w:eastAsia="Cambria" w:cs="Cambria"/>
          <w:b w:val="false"/>
          <w:bCs w:val="false"/>
          <w:i w:val="false"/>
          <w:iCs w:val="false"/>
          <w:sz w:val="22"/>
          <w:szCs w:val="22"/>
        </w:rPr>
        <w:t xml:space="preserve"> und meist über ein Green-Card-Verfahren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xml:space="preserve">); Ärzte durchlaufen zusätzlich die Anerkennung durch ECFMG und das Auswahlverfahren </w:t>
      </w:r>
      <w:r>
        <w:rPr>
          <w:rFonts w:eastAsia="Cambria" w:cs="Cambria"/>
          <w:b w:val="false"/>
          <w:bCs w:val="false"/>
          <w:i/>
          <w:iCs/>
          <w:sz w:val="22"/>
          <w:szCs w:val="22"/>
        </w:rPr>
        <w:t>Match</w:t>
      </w:r>
      <w:r>
        <w:rPr>
          <w:rFonts w:eastAsia="Cambria" w:cs="Cambria"/>
          <w:b w:val="false"/>
          <w:bCs w:val="false"/>
          <w:i w:val="false"/>
          <w:iCs w:val="false"/>
          <w:sz w:val="22"/>
          <w:szCs w:val="22"/>
        </w:rPr>
        <w:t>. Große Versorgungszentren wie das Texas Medical Center in Houston, die Cleveland Clinic, Duke in Durham oder HCA in Nashville stellen regelmäßig internationales Personal ein.</w:t>
      </w:r>
    </w:p>
    <w:p>
      <w:pPr>
        <w:pStyle w:val="Heading3"/>
        <w:keepNext w:val="true"/>
        <w:spacing w:before="280" w:after="100"/>
        <w:jc w:val="center"/>
        <w:rPr/>
      </w:pPr>
      <w:r>
        <w:rPr>
          <w:rFonts w:eastAsia="Amazon Ember" w:cs="Amazon Ember" w:ascii="Amazon Ember" w:hAnsi="Amazon Ember"/>
          <w:b/>
          <w:bCs/>
          <w:color w:val="0000FF"/>
          <w:sz w:val="36"/>
          <w:szCs w:val="36"/>
        </w:rPr>
        <w:t>Finanzen, Energie und Luft-/Raumfahrt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Finanzberufe konzentrieren sich auf New York und Jersey City (Wall Street), Charlotte (Bank of America, Truist, Wells Fargo), Chicago (Handel und Derivate), San Francisco (Fintech und Wagniskapital), Boston (Fondsgesellschaften) und Dallas–Fort Worth. Deutsche Häuser wie die Deutsche Bank, Allianz, Munich Re und Commerzbank haben dort eigene US-Standorte. Belastbare Gehaltsdaten für Finanzberufe nach Metro liegen nicht vor.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Energie bündelt sich in Houston (Öl, Gas, Flüssigerdgas, Chemie, mit einem großen Siemens-Energy-Standort), im Großraum Dallas/Midland (Permian-Becken), in Denver (erneuerbare Energien, Netzausbau) und in Charlotte/Raleigh (Netzausbau, Kernenergie-Ingenieurwesen, ebenfalls Siemens Energy). Der Strombedarf steigt durch neue Rechenzentren spürbar; Elektroingenieure verdienen dort oft über 130.000 $ im Median (Houston 131.070 $).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Luft- und Raumfahrt ist zu Hause in Seattle (Boeing), Huntsville (NASA Marshall Space Flight Center, Redstone Arsenal und das künftige Hauptquartier des U.S. Space Command, Umzug bis 2032), Houston (NASA Johnson Space Center), Los Angeles (SpaceX, Northrop Grumman), Denver/Colorado Springs (ULA, Lockheed Martin) und Dallas–Fort Worth (Lockheed Martin, Bell).</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Viele Stellen in der Rüstungs- und Raumfahrtindustrie verlangen eine </w:t>
            </w:r>
            <w:r>
              <w:rPr>
                <w:rFonts w:eastAsia="Cambria" w:cs="Cambria"/>
                <w:b w:val="false"/>
                <w:bCs w:val="false"/>
                <w:i/>
                <w:iCs/>
                <w:sz w:val="20"/>
                <w:szCs w:val="20"/>
              </w:rPr>
              <w:t>Security Clearance</w:t>
            </w:r>
            <w:r>
              <w:rPr>
                <w:rFonts w:eastAsia="Cambria" w:cs="Cambria"/>
                <w:b w:val="false"/>
                <w:bCs w:val="false"/>
                <w:i w:val="false"/>
                <w:iCs w:val="false"/>
                <w:sz w:val="20"/>
                <w:szCs w:val="20"/>
              </w:rPr>
              <w:t xml:space="preserve"> (Sicherheitsüberprüfung) und oft die US-Staatsbürgerschaft, weil sie der Exportkontrolle (ITAR/EAR) unterliegen. Für Inhaber eines Arbeitsvisums sind solche Stellen häufig von vornherein nicht zugänglich – frage vor der Bewerbung gezielt nach, ob die Position für Ausländer offen ist.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Forschung, Handwerk und Selbständigkeit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Universitäten und nationale Forschungslabore ziehen sich durchs ganze Land: Boston/Cambridge (Harvard, MIT), die Bay Area (Stanford, Berkeley), Pittsburgh (Carnegie Mellon), Raleigh–Durham (Duke, UNC, NC State), Ann Arbor, Madison, Seattle, San Diego und Baltimore (Johns Hopkins), dazu nationale Labore wie Oak Ridge, Los Alamos, Argonne und Brookhaven. Hochschulen und viele gemeinnützige Forschungseinrichtungen sind beim H-1B-Visum von der jährlichen Quote befreit (</w:t>
      </w:r>
      <w:r>
        <w:rPr>
          <w:rFonts w:eastAsia="Cambria" w:cs="Cambria"/>
          <w:b w:val="false"/>
          <w:bCs w:val="false"/>
          <w:i/>
          <w:iCs/>
          <w:sz w:val="22"/>
          <w:szCs w:val="22"/>
        </w:rPr>
        <w:t>cap-exempt</w:t>
      </w:r>
      <w:r>
        <w:rPr>
          <w:rFonts w:eastAsia="Cambria" w:cs="Cambria"/>
          <w:b w:val="false"/>
          <w:bCs w:val="false"/>
          <w:i w:val="false"/>
          <w:iCs w:val="false"/>
          <w:sz w:val="22"/>
          <w:szCs w:val="22"/>
        </w:rPr>
        <w:t>,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 ein Vorteil für den Einstieg.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Handwerksberufe hängen stärker an Bundesstaat und Kommune als an der Metropolregion: Elektriker verdienen bundesweit im Median 63.190 $, mit den höchsten Werten in Portland (105.090 $), Chicago (102.350 $) und Detroit (81.990 $); am unteren Ende liegt Raleigh mit 56.800 $. Eine deutsche Gesellen- oder Meisterprüfung wird in der Regel nicht automatisch anerkannt; du brauchst die Lizenz des jeweiligen Bundesstaats oder der Kommune, meist nach Prüfung. Ein Arbeitsvisum ist im Handwerk selten, weil H-1B einen Hochschulabschluss voraussetzt; realistischer sind Arbeitgeber-Sponsoring über die Green-Card-Kategorie EB-3 oder Selbständigkeit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 Nachfrage entsteht vor allem durch Rechenzentren, neue Fabriken und den Netzausbau, unter anderem in Virginia, Texas, Georgia, Ohio und Arizona.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Selbständigkeit allein verschafft kein Aufenthaltsrecht; die Wege führen über E-2 (für Deutsche offen), L-1A oder O-1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 Bei der Standortwahl zählt zusätzlich das Unternehmensrecht: Viele Gründer errichten ihre Gesellschaft (</w:t>
      </w:r>
      <w:r>
        <w:rPr>
          <w:rFonts w:eastAsia="Cambria" w:cs="Cambria"/>
          <w:b w:val="false"/>
          <w:bCs w:val="false"/>
          <w:i/>
          <w:iCs/>
          <w:sz w:val="22"/>
          <w:szCs w:val="22"/>
        </w:rPr>
        <w:t>LLC</w:t>
      </w:r>
      <w:r>
        <w:rPr>
          <w:rFonts w:eastAsia="Cambria" w:cs="Cambria"/>
          <w:b w:val="false"/>
          <w:bCs w:val="false"/>
          <w:i w:val="false"/>
          <w:iCs w:val="false"/>
          <w:sz w:val="22"/>
          <w:szCs w:val="22"/>
        </w:rPr>
        <w:t>) in Delaware oder Wyoming und registrieren sie ergänzend am tatsächlichen Geschäftsort (</w:t>
      </w:r>
      <w:r>
        <w:rPr>
          <w:rFonts w:eastAsia="Cambria" w:cs="Cambria"/>
          <w:b w:val="false"/>
          <w:bCs w:val="false"/>
          <w:i/>
          <w:iCs/>
          <w:sz w:val="22"/>
          <w:szCs w:val="22"/>
        </w:rPr>
        <w:t>Foreign Qualification</w:t>
      </w:r>
      <w:r>
        <w:rPr>
          <w:rFonts w:eastAsia="Cambria" w:cs="Cambria"/>
          <w:b w:val="false"/>
          <w:bCs w:val="false"/>
          <w:i w:val="false"/>
          <w:iCs w:val="false"/>
          <w:sz w:val="22"/>
          <w:szCs w:val="22"/>
        </w:rPr>
        <w:t>). Kalifornien erhebt unabhängig vom Gewinn eine Mindeststeuer von 800 $ im Jahr für Kapitalgesellschaften (</w:t>
      </w:r>
      <w:r>
        <w:rPr>
          <w:rFonts w:eastAsia="Cambria" w:cs="Cambria"/>
          <w:b w:val="false"/>
          <w:bCs w:val="false"/>
          <w:i/>
          <w:iCs/>
          <w:sz w:val="22"/>
          <w:szCs w:val="22"/>
        </w:rPr>
        <w:t>Franchise Tax</w:t>
      </w:r>
      <w:r>
        <w:rPr>
          <w:rFonts w:eastAsia="Cambria" w:cs="Cambria"/>
          <w:b w:val="false"/>
          <w:bCs w:val="false"/>
          <w:i w:val="false"/>
          <w:iCs w:val="false"/>
          <w:sz w:val="22"/>
          <w:szCs w:val="22"/>
        </w:rPr>
        <w:t>); andere Staaten staffeln sie nach Umsatz. Wer keinen festen Bürostandort braucht, wägt oft zwischen einem Staat ohne Einkommensteuer und einem starken Branchen-Ökosystem wie San Francisco, Austin oder Boston.</w:t>
      </w:r>
    </w:p>
    <w:p>
      <w:pPr>
        <w:pStyle w:val="Heading3"/>
        <w:keepNext w:val="true"/>
        <w:spacing w:before="280" w:after="100"/>
        <w:jc w:val="center"/>
        <w:rPr/>
      </w:pPr>
      <w:r>
        <w:rPr>
          <w:rFonts w:eastAsia="Amazon Ember" w:cs="Amazon Ember" w:ascii="Amazon Ember" w:hAnsi="Amazon Ember"/>
          <w:b/>
          <w:bCs/>
          <w:color w:val="0000FF"/>
          <w:sz w:val="36"/>
          <w:szCs w:val="36"/>
        </w:rPr>
        <w:t>Steckbriefe: 26 Metropolregionen im Überblick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folgenden Steckbriefe fassen Kaufpreis, Miete und Standortmerkmale von 26 Metropolregionen in drei geografischen Gruppen zusammen. Kaufpreise sind Mediane für bestehende Einfamilienhäuser (NAR, zweites Quartal 2026), Mieten die Stadt-Mediane für eine und zwei Zimmer (Zumper, August 2026, in Dollar pro Monat) – beide Werte schwanken je nach Quelle und ändern sich laufend, sieh sie als Orientierung. Wo keine Miete steht, lag zum Redaktionsschluss keine belastbare Stadt-Miete vor („nicht ermittelt“); nutze Immobilienportale für aktuelle Werte.</w:t>
      </w:r>
    </w:p>
    <w:p>
      <w:pPr>
        <w:pStyle w:val="Normal"/>
        <w:keepNext w:val="false"/>
        <w:keepLines w:val="false"/>
        <w:spacing w:lineRule="exact" w:line="288" w:before="0" w:after="140"/>
        <w:jc w:val="left"/>
        <w:rPr/>
      </w:pPr>
      <w:r>
        <w:rPr>
          <w:rFonts w:eastAsia="Cambria" w:cs="Cambria"/>
          <w:b/>
          <w:bCs/>
          <w:i w:val="false"/>
          <w:iCs w:val="false"/>
          <w:sz w:val="22"/>
          <w:szCs w:val="22"/>
        </w:rPr>
        <w:t>Westküste und Bergstaaten: hohe bis sehr hohe Kosten, Tech- und Halbleiternähe</w:t>
      </w:r>
    </w:p>
    <w:tbl>
      <w:tblPr>
        <w:tblW w:w="6480" w:type="dxa"/>
        <w:jc w:val="left"/>
        <w:tblInd w:w="0" w:type="dxa"/>
        <w:tblLayout w:type="fixed"/>
        <w:tblCellMar>
          <w:top w:w="50" w:type="dxa"/>
          <w:left w:w="80" w:type="dxa"/>
          <w:bottom w:w="50" w:type="dxa"/>
          <w:right w:w="80" w:type="dxa"/>
        </w:tblCellMar>
      </w:tblPr>
      <w:tblGrid>
        <w:gridCol w:w="949"/>
        <w:gridCol w:w="1698"/>
        <w:gridCol w:w="1866"/>
        <w:gridCol w:w="1966"/>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Region</w:t>
            </w:r>
          </w:p>
        </w:tc>
        <w:tc>
          <w:tcPr>
            <w:tcW w:w="169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Stärken/Branchen</w:t>
            </w:r>
          </w:p>
        </w:tc>
        <w:tc>
          <w:tcPr>
            <w:tcW w:w="186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Kosten (Kauf / Miete 1-Zi–2-Zi)</w:t>
            </w:r>
          </w:p>
        </w:tc>
        <w:tc>
          <w:tcPr>
            <w:tcW w:w="196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Hinweise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San Francisco Bay/Silicon Valley</w:t>
            </w:r>
          </w:p>
        </w:tc>
        <w:tc>
          <w:tcPr>
            <w:tcW w:w="16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Big Tech, KI, Halbleiter-Design, Biotech</w:t>
            </w:r>
          </w:p>
        </w:tc>
        <w:tc>
          <w:tcPr>
            <w:tcW w:w="18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SF 1.500.000 $ / 4.300–6.120 $; San José 2.050.000 $ / 2.880–3.660 $</w:t>
            </w:r>
          </w:p>
        </w:tc>
        <w:tc>
          <w:tcPr>
            <w:tcW w:w="19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bis 13,3 %; Erdbeben, Waldbrandrauch; Nonstop</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Seattle</w:t>
            </w:r>
          </w:p>
        </w:tc>
        <w:tc>
          <w:tcPr>
            <w:tcW w:w="16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Amazon, Microsoft, Boeing, Cloud/KI</w:t>
            </w:r>
          </w:p>
        </w:tc>
        <w:tc>
          <w:tcPr>
            <w:tcW w:w="18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815.000 $ / 1.930–2.720 $</w:t>
            </w:r>
          </w:p>
        </w:tc>
        <w:tc>
          <w:tcPr>
            <w:tcW w:w="19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 keine Lohnsteuer; Erdbebenrisiko; Nonstop</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Portland/Hillsboro</w:t>
            </w:r>
          </w:p>
        </w:tc>
        <w:tc>
          <w:tcPr>
            <w:tcW w:w="16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Intel-Forschung, Halbleiterausrüstung, adidas NA</w:t>
            </w:r>
          </w:p>
        </w:tc>
        <w:tc>
          <w:tcPr>
            <w:tcW w:w="18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611.100 $ / 1.400–1.710 $</w:t>
            </w:r>
          </w:p>
        </w:tc>
        <w:tc>
          <w:tcPr>
            <w:tcW w:w="19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OR bis 9,9 %; Waldbrandrauch; kein Nonstop ganzjährig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Los Angeles/Orange County</w:t>
            </w:r>
          </w:p>
        </w:tc>
        <w:tc>
          <w:tcPr>
            <w:tcW w:w="16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Medien, Luft-/Raumfahrt, Medtech</w:t>
            </w:r>
          </w:p>
        </w:tc>
        <w:tc>
          <w:tcPr>
            <w:tcW w:w="18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 879.900 $ / 2.170–2.960 $; OC 1.485.000 $</w:t>
            </w:r>
          </w:p>
        </w:tc>
        <w:tc>
          <w:tcPr>
            <w:tcW w:w="19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CA-Steuer; Waldbrand, Erdbeben, Hitze; Nonstop</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San Diego</w:t>
            </w:r>
          </w:p>
        </w:tc>
        <w:tc>
          <w:tcPr>
            <w:tcW w:w="16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Biotech, Verteidigung, Telekom/Chips</w:t>
            </w:r>
          </w:p>
        </w:tc>
        <w:tc>
          <w:tcPr>
            <w:tcW w:w="18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1.075.000 $ / 2.200–3.010 $</w:t>
            </w:r>
          </w:p>
        </w:tc>
        <w:tc>
          <w:tcPr>
            <w:tcW w:w="19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CA-Steuer; Waldbrand; Nonstop</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Phoenix</w:t>
            </w:r>
          </w:p>
        </w:tc>
        <w:tc>
          <w:tcPr>
            <w:tcW w:w="16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Intel, TSMC, Amkor, Rechenzentren</w:t>
            </w:r>
          </w:p>
        </w:tc>
        <w:tc>
          <w:tcPr>
            <w:tcW w:w="18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477.700 $ / 1.190–1.480 $</w:t>
            </w:r>
          </w:p>
        </w:tc>
        <w:tc>
          <w:tcPr>
            <w:tcW w:w="19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AZ 2,5 %; extreme Hitze, Wasserknappheit; kein Nonstop</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Salt Lake City</w:t>
            </w:r>
          </w:p>
        </w:tc>
        <w:tc>
          <w:tcPr>
            <w:tcW w:w="16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Fintech/Software, Luftfahrt, Halbleiter</w:t>
            </w:r>
          </w:p>
        </w:tc>
        <w:tc>
          <w:tcPr>
            <w:tcW w:w="18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601.200 $ / 1.200–1.630 $</w:t>
            </w:r>
          </w:p>
        </w:tc>
        <w:tc>
          <w:tcPr>
            <w:tcW w:w="19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UT 4,5 %; Erdbebenrisiko; kein Nonstop</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Boise</w:t>
            </w:r>
          </w:p>
        </w:tc>
        <w:tc>
          <w:tcPr>
            <w:tcW w:w="16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Micron, HP, Software</w:t>
            </w:r>
          </w:p>
        </w:tc>
        <w:tc>
          <w:tcPr>
            <w:tcW w:w="18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521.600 $ / 1.450–1.640 $</w:t>
            </w:r>
          </w:p>
        </w:tc>
        <w:tc>
          <w:tcPr>
            <w:tcW w:w="19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ID 5,3 %; Waldbrand; kein Nonstop, Mieten steigend</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Denver/Boulder</w:t>
            </w:r>
          </w:p>
        </w:tc>
        <w:tc>
          <w:tcPr>
            <w:tcW w:w="16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Luft-/Raumfahrt, Energie, Forschung, Software</w:t>
            </w:r>
          </w:p>
        </w:tc>
        <w:tc>
          <w:tcPr>
            <w:tcW w:w="18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Denver 668.300 $ / 1.540–2.150 $; Boulder 841.500 $</w:t>
            </w:r>
          </w:p>
        </w:tc>
        <w:tc>
          <w:tcPr>
            <w:tcW w:w="19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 4,4 %; Hagel, Höhenlage; Nonstop</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Süden, Texas und Südosten: Wachstumsregion, niedrige bis mittlere Kosten</w:t>
      </w:r>
    </w:p>
    <w:tbl>
      <w:tblPr>
        <w:tblW w:w="6480" w:type="dxa"/>
        <w:jc w:val="left"/>
        <w:tblInd w:w="0" w:type="dxa"/>
        <w:tblLayout w:type="fixed"/>
        <w:tblCellMar>
          <w:top w:w="50" w:type="dxa"/>
          <w:left w:w="80" w:type="dxa"/>
          <w:bottom w:w="50" w:type="dxa"/>
          <w:right w:w="80" w:type="dxa"/>
        </w:tblCellMar>
      </w:tblPr>
      <w:tblGrid>
        <w:gridCol w:w="949"/>
        <w:gridCol w:w="1983"/>
        <w:gridCol w:w="1661"/>
        <w:gridCol w:w="1886"/>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Region</w:t>
            </w:r>
          </w:p>
        </w:tc>
        <w:tc>
          <w:tcPr>
            <w:tcW w:w="198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Stärken/Branchen</w:t>
            </w:r>
          </w:p>
        </w:tc>
        <w:tc>
          <w:tcPr>
            <w:tcW w:w="166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Kosten (Kauf / Miete 1-Zi–2-Zi)</w:t>
            </w:r>
          </w:p>
        </w:tc>
        <w:tc>
          <w:tcPr>
            <w:tcW w:w="188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Hinweise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Austin</w:t>
            </w:r>
          </w:p>
        </w:tc>
        <w:tc>
          <w:tcPr>
            <w:tcW w:w="1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Tesla, Oracle, Apple, Samsung, Infineon, SAP</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485.400 $ / 1.260–1.610 $</w:t>
            </w:r>
          </w:p>
        </w:tc>
        <w:tc>
          <w:tcPr>
            <w:tcW w:w="18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TX steuerfrei; Hitze, Sturzfluten; Nonstop, Mieten fallend</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Dallas–Fort Worth</w:t>
            </w:r>
          </w:p>
        </w:tc>
        <w:tc>
          <w:tcPr>
            <w:tcW w:w="1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Finanzen, Telekom, Luftfahrt</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380.100 $ / 1.270–1.810 $</w:t>
            </w:r>
          </w:p>
        </w:tc>
        <w:tc>
          <w:tcPr>
            <w:tcW w:w="18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TX steuerfrei; Tornados, Eisstürme; Nonstop</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Houston</w:t>
            </w:r>
          </w:p>
        </w:tc>
        <w:tc>
          <w:tcPr>
            <w:tcW w:w="1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Öl/Gas, LNG, NASA, Medizin, Siemens Energy</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345.200 $ / 1.050–1.400 $</w:t>
            </w:r>
          </w:p>
        </w:tc>
        <w:tc>
          <w:tcPr>
            <w:tcW w:w="18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TX steuerfrei; Hurrikan, Hitze; Nonstop</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Raleigh–Durham</w:t>
            </w:r>
          </w:p>
        </w:tc>
        <w:tc>
          <w:tcPr>
            <w:tcW w:w="1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Biotech/Pharma (RTP), Software, Universitäten</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Raleigh 466.700 $ / 1.270–1.500 $; Durham 478.900 $</w:t>
            </w:r>
          </w:p>
        </w:tc>
        <w:tc>
          <w:tcPr>
            <w:tcW w:w="18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NC 3,99 %; Hurrikanreste; Nonstop; ≈ 24.000 Jobs bei dt. Firmen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Charlotte</w:t>
            </w:r>
          </w:p>
        </w:tc>
        <w:tc>
          <w:tcPr>
            <w:tcW w:w="1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Banken, Siemens Energy, Autozulieferer (Fort Mill)</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434.000 $ / 1.430–1.700 $</w:t>
            </w:r>
          </w:p>
        </w:tc>
        <w:tc>
          <w:tcPr>
            <w:tcW w:w="18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NC 3,99 %; Hurrikanreste, Hitze; Nonstop</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Atlanta</w:t>
            </w:r>
          </w:p>
        </w:tc>
        <w:tc>
          <w:tcPr>
            <w:tcW w:w="1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Logistik, Fintech, Delta, Mercedes-Benz, Porsche</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387.000 $ / 1.660–2.100 $</w:t>
            </w:r>
          </w:p>
        </w:tc>
        <w:tc>
          <w:tcPr>
            <w:tcW w:w="18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GA 5,19 % (auch: 4,99 %); Unwetter, Hitze; Nonstop</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Nashville</w:t>
            </w:r>
          </w:p>
        </w:tc>
        <w:tc>
          <w:tcPr>
            <w:tcW w:w="1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Gesundheitswirtschaft, Nissan NA, Oracle</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420.900 $ / 1.520–1.780 $</w:t>
            </w:r>
          </w:p>
        </w:tc>
        <w:tc>
          <w:tcPr>
            <w:tcW w:w="18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TN steuerfrei; Tornados; kein Nonstop; VW Chattanooga ≈ 2 Std.</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Greenville–Spartanburg</w:t>
            </w:r>
          </w:p>
        </w:tc>
        <w:tc>
          <w:tcPr>
            <w:tcW w:w="1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BMW, Bosch, ZF, Dräxlmaier</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Greenville 354.400 $; Spartanburg 303.100 $</w:t>
            </w:r>
          </w:p>
        </w:tc>
        <w:tc>
          <w:tcPr>
            <w:tcW w:w="18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 bis 6,0 %; Hurrikanreste; kein Nonstop, Charlotte ≈ 1,5–2 Std.</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Huntsville</w:t>
            </w:r>
          </w:p>
        </w:tc>
        <w:tc>
          <w:tcPr>
            <w:tcW w:w="1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NASA, Redstone Arsenal, Space Command (ab 2032)</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332.400 $</w:t>
            </w:r>
          </w:p>
        </w:tc>
        <w:tc>
          <w:tcPr>
            <w:tcW w:w="18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 2–5 %; Tornados; kein Nonstop, oft Sicherheitsüberprüfung</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Mittlerer Westen und Nordosten: Industrie, Finanzen, Forschung</w:t>
      </w:r>
    </w:p>
    <w:tbl>
      <w:tblPr>
        <w:tblW w:w="6480" w:type="dxa"/>
        <w:jc w:val="left"/>
        <w:tblInd w:w="0" w:type="dxa"/>
        <w:tblLayout w:type="fixed"/>
        <w:tblCellMar>
          <w:top w:w="50" w:type="dxa"/>
          <w:left w:w="80" w:type="dxa"/>
          <w:bottom w:w="50" w:type="dxa"/>
          <w:right w:w="80" w:type="dxa"/>
        </w:tblCellMar>
      </w:tblPr>
      <w:tblGrid>
        <w:gridCol w:w="988"/>
        <w:gridCol w:w="1769"/>
        <w:gridCol w:w="1755"/>
        <w:gridCol w:w="1967"/>
      </w:tblGrid>
      <w:tr>
        <w:trPr>
          <w:tblHeader w:val="true"/>
          <w:cantSplit w:val="true"/>
        </w:trPr>
        <w:tc>
          <w:tcPr>
            <w:tcW w:w="98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Region</w:t>
            </w:r>
          </w:p>
        </w:tc>
        <w:tc>
          <w:tcPr>
            <w:tcW w:w="176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Stärken/Branchen</w:t>
            </w:r>
          </w:p>
        </w:tc>
        <w:tc>
          <w:tcPr>
            <w:tcW w:w="175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Kosten (Kauf / Miete 1-Zi–2-Zi)</w:t>
            </w:r>
          </w:p>
        </w:tc>
        <w:tc>
          <w:tcPr>
            <w:tcW w:w="196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Hinweise</w:t>
            </w:r>
          </w:p>
        </w:tc>
      </w:tr>
      <w:tr>
        <w:trPr>
          <w:cantSplit w:val="true"/>
        </w:trPr>
        <w:tc>
          <w:tcPr>
            <w:tcW w:w="9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Minneapolis–St. Paul</w:t>
            </w:r>
          </w:p>
        </w:tc>
        <w:tc>
          <w:tcPr>
            <w:tcW w:w="17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Medtronic, Target, Finanzen, deutsche Grundschule</w:t>
            </w:r>
          </w:p>
        </w:tc>
        <w:tc>
          <w:tcPr>
            <w:tcW w:w="17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414.300 $ / 1.280–1.750 $</w:t>
            </w:r>
          </w:p>
        </w:tc>
        <w:tc>
          <w:tcPr>
            <w:tcW w:w="19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MN bis 9,85 %; Extremkälte; kein Nonstop ganzjährig</w:t>
            </w:r>
          </w:p>
        </w:tc>
      </w:tr>
      <w:tr>
        <w:trPr>
          <w:cantSplit w:val="true"/>
        </w:trPr>
        <w:tc>
          <w:tcPr>
            <w:tcW w:w="9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Chicago</w:t>
            </w:r>
          </w:p>
        </w:tc>
        <w:tc>
          <w:tcPr>
            <w:tcW w:w="17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Finanzen, Logistik, Pharma, Industrie</w:t>
            </w:r>
          </w:p>
        </w:tc>
        <w:tc>
          <w:tcPr>
            <w:tcW w:w="17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438.600 $ / 2.190–2.500 $</w:t>
            </w:r>
          </w:p>
        </w:tc>
        <w:tc>
          <w:tcPr>
            <w:tcW w:w="19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IL 4,95 %; Kälte, Hochwasser; Nonstop</w:t>
            </w:r>
          </w:p>
        </w:tc>
      </w:tr>
      <w:tr>
        <w:trPr>
          <w:cantSplit w:val="true"/>
        </w:trPr>
        <w:tc>
          <w:tcPr>
            <w:tcW w:w="9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Detroit/Ann Arbor</w:t>
            </w:r>
          </w:p>
        </w:tc>
        <w:tc>
          <w:tcPr>
            <w:tcW w:w="17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Autoindustrie/Zulieferer, Universität Michigan</w:t>
            </w:r>
          </w:p>
        </w:tc>
        <w:tc>
          <w:tcPr>
            <w:tcW w:w="17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Detroit 311.800 $ / 940–1.100 $; Ann Arbor 512.100 $</w:t>
            </w:r>
          </w:p>
        </w:tc>
        <w:tc>
          <w:tcPr>
            <w:tcW w:w="19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 4,25 % + Stadtsteuer; Winter; Nonstop</w:t>
            </w:r>
          </w:p>
        </w:tc>
      </w:tr>
      <w:tr>
        <w:trPr>
          <w:cantSplit w:val="true"/>
        </w:trPr>
        <w:tc>
          <w:tcPr>
            <w:tcW w:w="9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Columbus (Ohio)</w:t>
            </w:r>
          </w:p>
        </w:tc>
        <w:tc>
          <w:tcPr>
            <w:tcW w:w="17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Versicherungen/Banken, künftig Intel (ab 2030)</w:t>
            </w:r>
          </w:p>
        </w:tc>
        <w:tc>
          <w:tcPr>
            <w:tcW w:w="17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363.100 $ / 1.190–1.380 $</w:t>
            </w:r>
          </w:p>
        </w:tc>
        <w:tc>
          <w:tcPr>
            <w:tcW w:w="19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 2,75 % + Kommunalsteuer; kein Nonstop</w:t>
            </w:r>
          </w:p>
        </w:tc>
      </w:tr>
      <w:tr>
        <w:trPr>
          <w:cantSplit w:val="true"/>
        </w:trPr>
        <w:tc>
          <w:tcPr>
            <w:tcW w:w="9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Boston/Cambridge</w:t>
            </w:r>
          </w:p>
        </w:tc>
        <w:tc>
          <w:tcPr>
            <w:tcW w:w="17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Biotech/Pharma, Harvard/MIT, Finanzen</w:t>
            </w:r>
          </w:p>
        </w:tc>
        <w:tc>
          <w:tcPr>
            <w:tcW w:w="17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844.600 $ / 2.960–3.550 $</w:t>
            </w:r>
          </w:p>
        </w:tc>
        <w:tc>
          <w:tcPr>
            <w:tcW w:w="19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 5–9 %; Nor’easter, Winter; Nonstop; DIA-Schule</w:t>
            </w:r>
          </w:p>
        </w:tc>
      </w:tr>
      <w:tr>
        <w:trPr>
          <w:cantSplit w:val="true"/>
        </w:trPr>
        <w:tc>
          <w:tcPr>
            <w:tcW w:w="9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 York/New Jersey</w:t>
            </w:r>
          </w:p>
        </w:tc>
        <w:tc>
          <w:tcPr>
            <w:tcW w:w="17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Finanzen, Medien, Pharma, Tech</w:t>
            </w:r>
          </w:p>
        </w:tc>
        <w:tc>
          <w:tcPr>
            <w:tcW w:w="17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802.400 $; NYC 4.500–5.410 $; Jersey City 2.830–3.100 $</w:t>
            </w:r>
          </w:p>
        </w:tc>
        <w:tc>
          <w:tcPr>
            <w:tcW w:w="19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NY bis 10,9 %; Hurrikan/Küstenflut; Nonstop; DIA-Schule</w:t>
            </w:r>
          </w:p>
        </w:tc>
      </w:tr>
      <w:tr>
        <w:trPr>
          <w:cantSplit w:val="true"/>
        </w:trPr>
        <w:tc>
          <w:tcPr>
            <w:tcW w:w="9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Washington DC/Nord-Virginia</w:t>
            </w:r>
          </w:p>
        </w:tc>
        <w:tc>
          <w:tcPr>
            <w:tcW w:w="17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Bundesbehörden, Rüstung, Rechenzentren</w:t>
            </w:r>
          </w:p>
        </w:tc>
        <w:tc>
          <w:tcPr>
            <w:tcW w:w="17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688.200 $ / 2.220–3.000 $</w:t>
            </w:r>
          </w:p>
        </w:tc>
        <w:tc>
          <w:tcPr>
            <w:tcW w:w="19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DC/VA/MD-Steuer unterschiedlich; Nonstop; DIA-Schule</w:t>
            </w:r>
          </w:p>
        </w:tc>
      </w:tr>
      <w:tr>
        <w:trPr>
          <w:cantSplit w:val="true"/>
        </w:trPr>
        <w:tc>
          <w:tcPr>
            <w:tcW w:w="9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Upstate New York (Syracuse, Albany)</w:t>
            </w:r>
          </w:p>
        </w:tc>
        <w:tc>
          <w:tcPr>
            <w:tcW w:w="17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Halbleiter (GlobalFoundries, Micron im Bau)</w:t>
            </w:r>
          </w:p>
        </w:tc>
        <w:tc>
          <w:tcPr>
            <w:tcW w:w="17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Syracuse 274.100 $ / 1.360–1.550 $; Albany 350.200 $</w:t>
            </w:r>
          </w:p>
        </w:tc>
        <w:tc>
          <w:tcPr>
            <w:tcW w:w="19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NY-Steuer, keine Lokalsteuer außerhalb NYC; kein Nonstop</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Weitere Nonstop-Ziele ohne eigenen Steckbrief: Miami, Orlando, Tampa, Las Vegas, Philadelphia, St. Louis.</w:t>
      </w:r>
    </w:p>
    <w:p>
      <w:pPr>
        <w:pStyle w:val="Heading3"/>
        <w:keepNext w:val="true"/>
        <w:spacing w:before="280" w:after="100"/>
        <w:jc w:val="center"/>
        <w:rPr/>
      </w:pPr>
      <w:r>
        <w:rPr>
          <w:rFonts w:eastAsia="Amazon Ember" w:cs="Amazon Ember" w:ascii="Amazon Ember" w:hAnsi="Amazon Ember"/>
          <w:b/>
          <w:bCs/>
          <w:color w:val="0000FF"/>
          <w:sz w:val="36"/>
          <w:szCs w:val="36"/>
        </w:rPr>
        <w:t>Bundesstaaten ohne Einkommensteuer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Acht Bundesstaaten erheben keine Einkommensteuer auf Löhne: Alaska, Florida, Nevada, South Dakota, Tennessee, Texas, Wyoming und New Hampshire, das 2025 zusätzlich seine Zins- und Dividendensteuer strich. Washington erhebt zwar keine Lohnsteuer, dafür aber eine Kapitalgewinnsteuer auf hohe Gewinne und ab 2028 eine „Millionaires’ Tax“ von 9,9 % auf Einkommen über 1 Million $ (unterzeichnet 30. März 2026, Klage anhängig). Fehlende Einkommensteuer bedeutet nicht automatisch niedrige Gesamtkosten: Texas und Florida gleichen mit höherer Grundsteuer und Versicherung aus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und Kalifornien bleibt mit bis zu 13,3 % Spitzensteuersatz trotzdem der teuerste Softwaremarkt des Landes.</w:t>
      </w:r>
    </w:p>
    <w:p>
      <w:pPr>
        <w:pStyle w:val="Heading3"/>
        <w:keepNext w:val="true"/>
        <w:spacing w:before="280" w:after="100"/>
        <w:jc w:val="center"/>
        <w:rPr/>
      </w:pPr>
      <w:r>
        <w:rPr>
          <w:rFonts w:eastAsia="Amazon Ember" w:cs="Amazon Ember" w:ascii="Amazon Ember" w:hAnsi="Amazon Ember"/>
          <w:b/>
          <w:bCs/>
          <w:color w:val="0000FF"/>
          <w:sz w:val="36"/>
          <w:szCs w:val="36"/>
        </w:rPr>
        <w:t>Politik und Recht als Standortfaktor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Neben Steuern unterscheiden sich Bundesstaaten in Regeln, die deinen Alltag und deine Karriere direkt betreffen – hier rein sachlich, ohne Wertung.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Wettbewerbsverbote sind in Kalifornien, Minnesota, North Dakota und Oklahoma weitgehend unwirksam, in Wyoming seit Juli 2025 nur noch mit engen Ausnahmen. Eine geplante bundesweite Verbotsregel der Handelsaufsicht FTC wurde im Februar 2026 wieder gestrichen; die Behörde prüft seitdem Einzelfälle. In den meisten anderen Staaten bindet dich eine Klausel im Arbeitsvertrag auch nach der Kündigung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Waffenrecht ist Ländersache: 29 Staaten erlauben das Führen einer Waffe ohne gesonderten Schein (</w:t>
      </w:r>
      <w:r>
        <w:rPr>
          <w:rFonts w:eastAsia="Cambria" w:cs="Cambria"/>
          <w:b w:val="false"/>
          <w:bCs w:val="false"/>
          <w:i/>
          <w:iCs/>
          <w:sz w:val="22"/>
          <w:szCs w:val="22"/>
        </w:rPr>
        <w:t>Permitless Carry</w:t>
      </w:r>
      <w:r>
        <w:rPr>
          <w:rFonts w:eastAsia="Cambria" w:cs="Cambria"/>
          <w:b w:val="false"/>
          <w:bCs w:val="false"/>
          <w:i w:val="false"/>
          <w:iCs w:val="false"/>
          <w:sz w:val="22"/>
          <w:szCs w:val="22"/>
        </w:rPr>
        <w:t>, Stand Februar 2025), darunter Texas, Georgia und Arizona; andere wie Kalifornien, New York, New Jersey, Massachusetts und Illinois verlangen eine Genehmigung, kennen Wartefristen oder beschränken Magazine und bestimmte Waffentypen.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Cannabis ist in 24 Bundesstaaten und dem Distrikt Washington für Erwachsene legal (Stand September 2026); bundesrechtlich bleibt der Freizeitkonsum illegal (Schedule I), auch wenn seit dem 22. April 2026 staatlich lizenzierte medizinische Produkte in die mildere Kategorie Schedule III eingestuft sind. Für Inhaber eines Visums ist das mehr als eine Formalie: Konsum oder Handel kann bei Einreise, Statuswechsel oder Einbürgerung als Frage des guten Leumunds gewertet werden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Kapitel </w:t>
      </w:r>
      <w:hyperlink w:anchor="k41">
        <w:r>
          <w:rPr>
            <w:rStyle w:val="ListLabel115"/>
            <w:rFonts w:eastAsia="Cambria" w:cs="Cambria"/>
            <w:b w:val="false"/>
            <w:bCs w:val="false"/>
            <w:i w:val="false"/>
            <w:iCs w:val="false"/>
            <w:sz w:val="22"/>
            <w:szCs w:val="22"/>
          </w:rPr>
          <w:t>41</w:t>
        </w:r>
      </w:hyperlink>
      <w:r>
        <w:rPr>
          <w:rFonts w:eastAsia="Cambria" w:cs="Cambria"/>
          <w:b w:val="false"/>
          <w:bCs w:val="false"/>
          <w:i w:val="false"/>
          <w:iCs w:val="false"/>
          <w:sz w:val="22"/>
          <w:szCs w:val="22"/>
        </w:rPr>
        <w:t>) – unabhängig vom Landesrecht am Wohnort.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Bezahlten Familienurlaub kennen 2026 zwölf Bundesstaaten und der Hauptstadtdistrikt Washington DC, darunter Kalifornien, Colorado, New York und der Bundesstaat Washington; Maryland und Virginia folgen erst 2028. Alle übrigen Staaten kennen nur den unbezahlten, bundesweiten Anspruch nach dem </w:t>
      </w:r>
      <w:r>
        <w:rPr>
          <w:rFonts w:eastAsia="Cambria" w:cs="Cambria"/>
          <w:b w:val="false"/>
          <w:bCs w:val="false"/>
          <w:i/>
          <w:iCs/>
          <w:sz w:val="22"/>
          <w:szCs w:val="22"/>
        </w:rPr>
        <w:t>Family and Medical Leave Act</w:t>
      </w:r>
      <w:r>
        <w:rPr>
          <w:rFonts w:eastAsia="Cambria" w:cs="Cambria"/>
          <w:b w:val="false"/>
          <w:bCs w:val="false"/>
          <w:i w:val="false"/>
          <w:iCs w:val="false"/>
          <w:sz w:val="22"/>
          <w:szCs w:val="22"/>
        </w:rPr>
        <w:t>. Prüfe die Regeln deines Zielstaats bei Familienplanung.</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Acht Bundesstaaten ohne Einkommensteuer senken die Steuerlast spürbar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Niedrige Steuer bedeutet oft höhere Grundsteuer oder Versicherung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Süden und Texas wachsen, mehr Jobs und neue Wohnungen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Wachstumsregionen bauen Infrastruktur oft langsamer nach als Bevölkerung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Halbleiter- und Energieprojekte schaffen neue, gut bezahlte Stellen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Viele Projekte, etwa in Ohio, liegen noch Jahre in der Zukunft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Große Metropolregionen bieten Direktflüge und deutsche Community</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Genau diese Regionen sind meist am teuersten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Kleinere Städte bieten deutlich günstigeren Wohnraum</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Niedrigere Gehälter, seltener Direktflug, kleinere deutsche Community</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 erste Job bringt oft einen konkreten, planbaren Ort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Wenig Mitsprache bei der Wahl, solange das Visum an den Arbeitgeber bindet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erste Schritt: ein Jahr mieten, dann entscheiden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wenn du frei wählen kannst: Kaufe im ersten Jahr nicht. Ein Hauskauf kostet beim Ein- und beim Ausstieg zusammen rund 10 % des Preises an Neben- und Verkaufskosten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 bei einem 500.000-$-Haus etwa 50.000 $, die bei einem Umzug innerhalb weniger Jahre meist verloren sind. Die Kreditprogramme für Käufer ohne US-Kredithistorie verlangen zudem 20 bis 50 % Anzahlung und höhere Zinsen; FHA-Kredite stehen Visuminhabern seit Mai 2025 gar nicht mehr offen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Miete das erste Jahr, auch wenn du überzeugt bist, langfristig zu bleiben. Du lernst Viertel, Schuldistrikt und Pendelzeiten aus eigener Erfahrung kennen, baust nebenbei eine US-Kredithistorie auf (Kapitel </w:t>
            </w:r>
            <w:hyperlink w:anchor="k25">
              <w:r>
                <w:rPr>
                  <w:rStyle w:val="ListLabel114"/>
                  <w:rFonts w:eastAsia="Cambria" w:cs="Cambria"/>
                  <w:b w:val="false"/>
                  <w:bCs w:val="false"/>
                  <w:i w:val="false"/>
                  <w:iCs w:val="false"/>
                  <w:sz w:val="20"/>
                  <w:szCs w:val="20"/>
                </w:rPr>
                <w:t>25</w:t>
              </w:r>
            </w:hyperlink>
            <w:r>
              <w:rPr>
                <w:rFonts w:eastAsia="Cambria" w:cs="Cambria"/>
                <w:b w:val="false"/>
                <w:bCs w:val="false"/>
                <w:i w:val="false"/>
                <w:iCs w:val="false"/>
                <w:sz w:val="20"/>
                <w:szCs w:val="20"/>
              </w:rPr>
              <w:t>) und behältst die Flexibilität, falls Job, Familie oder Aufenthaltsstatus sich ändern (Kapitel </w:t>
            </w:r>
            <w:hyperlink w:anchor="k30">
              <w:r>
                <w:rPr>
                  <w:rStyle w:val="ListLabel114"/>
                  <w:rFonts w:eastAsia="Cambria" w:cs="Cambria"/>
                  <w:b w:val="false"/>
                  <w:bCs w:val="false"/>
                  <w:i w:val="false"/>
                  <w:iCs w:val="false"/>
                  <w:sz w:val="20"/>
                  <w:szCs w:val="20"/>
                </w:rPr>
                <w:t>30</w:t>
              </w:r>
            </w:hyperlink>
            <w:r>
              <w:rPr>
                <w:rFonts w:eastAsia="Cambria" w:cs="Cambria"/>
                <w:b w:val="false"/>
                <w:bCs w:val="false"/>
                <w:i w:val="false"/>
                <w:iCs w:val="false"/>
                <w:sz w:val="20"/>
                <w:szCs w:val="20"/>
              </w:rPr>
              <w:t>). Erst danach lohnt sich der Vergleich von Miete und Kauf (Kapitel </w:t>
            </w:r>
            <w:hyperlink w:anchor="k13">
              <w:r>
                <w:rPr>
                  <w:rStyle w:val="ListLabel114"/>
                  <w:rFonts w:eastAsia="Cambria" w:cs="Cambria"/>
                  <w:b w:val="false"/>
                  <w:bCs w:val="false"/>
                  <w:i w:val="false"/>
                  <w:iCs w:val="false"/>
                  <w:sz w:val="20"/>
                  <w:szCs w:val="20"/>
                </w:rPr>
                <w:t>13</w:t>
              </w:r>
            </w:hyperlink>
            <w:r>
              <w:rPr>
                <w:rFonts w:eastAsia="Cambria" w:cs="Cambria"/>
                <w:b w:val="false"/>
                <w:bCs w:val="false"/>
                <w:i w:val="false"/>
                <w:iCs w:val="false"/>
                <w:sz w:val="20"/>
                <w:szCs w:val="20"/>
              </w:rPr>
              <w:t>, Kapitel </w:t>
            </w:r>
            <w:hyperlink w:anchor="k14">
              <w:r>
                <w:rPr>
                  <w:rStyle w:val="ListLabel114"/>
                  <w:rFonts w:eastAsia="Cambria" w:cs="Cambria"/>
                  <w:b w:val="false"/>
                  <w:bCs w:val="false"/>
                  <w:i w:val="false"/>
                  <w:iCs w:val="false"/>
                  <w:sz w:val="20"/>
                  <w:szCs w:val="20"/>
                </w:rPr>
                <w:t>14</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Sammle die Kriterien aus diesem Kapitel für jedes Jobangebot: Nettogehalt nach Steuern, Kauf- oder Mietpreis am Zielort, Schuldistrikt, Naturgefahren, Flugverbindung und, falls wichtig, deutsche Community. Sprich mit dem Arbeitgeber offen über den genauen Arbeitsort – „Großraum Phoenix“ kann eine Stunde Pendelzeit bedeuten. Wenn du die Wahl hast, vergleiche mindestens zwei bis drei Regionen mit dem Rechenmodell aus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 bevor du unterschreibst. Und plane von Anfang an mit einem Umzug in den ersten Jahren – das ist in den USA normal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Nettogehalt nach Bundes-, Landes- und gegebenenfalls Kommunalsteuer für den Zielort berechnet (Kapitel </w:t>
            </w:r>
            <w:hyperlink w:anchor="k3">
              <w:r>
                <w:rPr>
                  <w:rStyle w:val="ListLabel114"/>
                  <w:rFonts w:eastAsia="Cambria" w:cs="Cambria"/>
                  <w:b w:val="false"/>
                  <w:bCs w:val="false"/>
                  <w:i w:val="false"/>
                  <w:iCs w:val="false"/>
                  <w:sz w:val="20"/>
                  <w:szCs w:val="20"/>
                </w:rPr>
                <w:t>3</w:t>
              </w:r>
            </w:hyperlink>
            <w:r>
              <w:rPr>
                <w:rFonts w:eastAsia="Cambria" w:cs="Cambria"/>
                <w:b w:val="false"/>
                <w:bCs w:val="false"/>
                <w:i w:val="false"/>
                <w:iCs w:val="false"/>
                <w:sz w:val="20"/>
                <w:szCs w:val="20"/>
              </w:rPr>
              <w:t>, Kapitel </w:t>
            </w:r>
            <w:hyperlink w:anchor="k28">
              <w:r>
                <w:rPr>
                  <w:rStyle w:val="ListLabel114"/>
                  <w:rFonts w:eastAsia="Cambria" w:cs="Cambria"/>
                  <w:b w:val="false"/>
                  <w:bCs w:val="false"/>
                  <w:i w:val="false"/>
                  <w:iCs w:val="false"/>
                  <w:sz w:val="20"/>
                  <w:szCs w:val="20"/>
                </w:rPr>
                <w:t>28</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Kauf- und Mietpreise der Zielregion mit dem eigenen Budget verglichen (Kapitel </w:t>
            </w:r>
            <w:hyperlink w:anchor="k13">
              <w:r>
                <w:rPr>
                  <w:rStyle w:val="ListLabel114"/>
                  <w:rFonts w:eastAsia="Cambria" w:cs="Cambria"/>
                  <w:b w:val="false"/>
                  <w:bCs w:val="false"/>
                  <w:i w:val="false"/>
                  <w:iCs w:val="false"/>
                  <w:sz w:val="20"/>
                  <w:szCs w:val="20"/>
                </w:rPr>
                <w:t>13</w:t>
              </w:r>
            </w:hyperlink>
            <w:r>
              <w:rPr>
                <w:rFonts w:eastAsia="Cambria" w:cs="Cambria"/>
                <w:b w:val="false"/>
                <w:bCs w:val="false"/>
                <w:i w:val="false"/>
                <w:iCs w:val="false"/>
                <w:sz w:val="20"/>
                <w:szCs w:val="20"/>
              </w:rPr>
              <w:t>, Kapitel </w:t>
            </w:r>
            <w:hyperlink w:anchor="k14">
              <w:r>
                <w:rPr>
                  <w:rStyle w:val="ListLabel114"/>
                  <w:rFonts w:eastAsia="Cambria" w:cs="Cambria"/>
                  <w:b w:val="false"/>
                  <w:bCs w:val="false"/>
                  <w:i w:val="false"/>
                  <w:iCs w:val="false"/>
                  <w:sz w:val="20"/>
                  <w:szCs w:val="20"/>
                </w:rPr>
                <w:t>14</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Naturgefahren der Region recherchiert und Versicherbarkeit grob eingeschätzt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Schuldistrikt geprüft, falls Kinder mitziehen (Kapitel </w:t>
            </w:r>
            <w:hyperlink w:anchor="k36">
              <w:r>
                <w:rPr>
                  <w:rStyle w:val="ListLabel114"/>
                  <w:rFonts w:eastAsia="Cambria" w:cs="Cambria"/>
                  <w:b w:val="false"/>
                  <w:bCs w:val="false"/>
                  <w:i w:val="false"/>
                  <w:iCs w:val="false"/>
                  <w:sz w:val="20"/>
                  <w:szCs w:val="20"/>
                </w:rPr>
                <w:t>36</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Direktflugverbindung oder realistische Umsteigezeit nach Deutschland ermittelt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Deutsche Community, Konsulat, Goethe-Institut oder deutsche Schule am Zielort recherchiert, falls relevant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Geklärt, ob am Wohnort ein Auto nötig ist, und Budget dafür eingeplant (Kapitel </w:t>
            </w:r>
            <w:hyperlink w:anchor="k27">
              <w:r>
                <w:rPr>
                  <w:rStyle w:val="ListLabel114"/>
                  <w:rFonts w:eastAsia="Cambria" w:cs="Cambria"/>
                  <w:b w:val="false"/>
                  <w:bCs w:val="false"/>
                  <w:i w:val="false"/>
                  <w:iCs w:val="false"/>
                  <w:sz w:val="20"/>
                  <w:szCs w:val="20"/>
                </w:rPr>
                <w:t>27</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Beim Arbeitgeber nachgefragt, wie genau das Beschäftigungsgebiet der Petition definiert ist (Kapitel </w:t>
            </w:r>
            <w:hyperlink w:anchor="k30">
              <w:r>
                <w:rPr>
                  <w:rStyle w:val="ListLabel114"/>
                  <w:rFonts w:eastAsia="Cambria" w:cs="Cambria"/>
                  <w:b w:val="false"/>
                  <w:bCs w:val="false"/>
                  <w:i w:val="false"/>
                  <w:iCs w:val="false"/>
                  <w:sz w:val="20"/>
                  <w:szCs w:val="20"/>
                </w:rPr>
                <w:t>30</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Entschieden, das erste Jahr zu mieten statt zu kaufen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Halbleiter-, Automobil- oder Energie-Jobs den aktuellen Projektstand direkt beim Arbeitgeber erfragt, nicht nur Presseankündigungen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U.S. Bureau of Labor Statistics, Gehälter und Berufsausblick — </w:t>
      </w:r>
      <w:hyperlink r:id="rId123">
        <w:r>
          <w:rPr>
            <w:rStyle w:val="ListLabel113"/>
            <w:rFonts w:eastAsia="Cambria" w:cs="Cambria"/>
            <w:b w:val="false"/>
            <w:bCs w:val="false"/>
            <w:i w:val="false"/>
            <w:iCs w:val="false"/>
            <w:color w:val="0563C1"/>
            <w:sz w:val="22"/>
            <w:szCs w:val="22"/>
            <w:u w:val="single"/>
          </w:rPr>
          <w:t>bls.gov</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National Association of Realtors, Metro-Kaufpreise — </w:t>
      </w:r>
      <w:hyperlink r:id="rId124">
        <w:r>
          <w:rPr>
            <w:rStyle w:val="ListLabel113"/>
            <w:rFonts w:eastAsia="Cambria" w:cs="Cambria"/>
            <w:b w:val="false"/>
            <w:bCs w:val="false"/>
            <w:i w:val="false"/>
            <w:iCs w:val="false"/>
            <w:color w:val="0563C1"/>
            <w:sz w:val="22"/>
            <w:szCs w:val="22"/>
            <w:u w:val="single"/>
          </w:rPr>
          <w:t>nar.realtor</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Zumper National Rent Report — </w:t>
      </w:r>
      <w:hyperlink r:id="rId125">
        <w:r>
          <w:rPr>
            <w:rStyle w:val="ListLabel113"/>
            <w:rFonts w:eastAsia="Cambria" w:cs="Cambria"/>
            <w:b w:val="false"/>
            <w:bCs w:val="false"/>
            <w:i w:val="false"/>
            <w:iCs w:val="false"/>
            <w:color w:val="0563C1"/>
            <w:sz w:val="22"/>
            <w:szCs w:val="22"/>
            <w:u w:val="single"/>
          </w:rPr>
          <w:t>zumper.com/rent-research</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U.S. Census Bureau, Bevölkerungs- und Wanderungsdaten — </w:t>
      </w:r>
      <w:hyperlink r:id="rId126">
        <w:r>
          <w:rPr>
            <w:rStyle w:val="ListLabel113"/>
            <w:rFonts w:eastAsia="Cambria" w:cs="Cambria"/>
            <w:b w:val="false"/>
            <w:bCs w:val="false"/>
            <w:i w:val="false"/>
            <w:iCs w:val="false"/>
            <w:color w:val="0563C1"/>
            <w:sz w:val="22"/>
            <w:szCs w:val="22"/>
            <w:u w:val="single"/>
          </w:rPr>
          <w:t>census.gov</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Tax Foundation, Bundesstaatensteuern — </w:t>
      </w:r>
      <w:hyperlink r:id="rId127">
        <w:r>
          <w:rPr>
            <w:rStyle w:val="ListLabel113"/>
            <w:rFonts w:eastAsia="Cambria" w:cs="Cambria"/>
            <w:b w:val="false"/>
            <w:bCs w:val="false"/>
            <w:i w:val="false"/>
            <w:iCs w:val="false"/>
            <w:color w:val="0563C1"/>
            <w:sz w:val="22"/>
            <w:szCs w:val="22"/>
            <w:u w:val="single"/>
          </w:rPr>
          <w:t>taxfoundation.org</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USCIS, H-1B und Arbeitgeberwechsel — </w:t>
      </w:r>
      <w:hyperlink r:id="rId128">
        <w:r>
          <w:rPr>
            <w:rStyle w:val="ListLabel113"/>
            <w:rFonts w:eastAsia="Cambria" w:cs="Cambria"/>
            <w:b w:val="false"/>
            <w:bCs w:val="false"/>
            <w:i w:val="false"/>
            <w:iCs w:val="false"/>
            <w:color w:val="0563C1"/>
            <w:sz w:val="22"/>
            <w:szCs w:val="22"/>
            <w:u w:val="single"/>
          </w:rPr>
          <w:t>uscis.gov</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Gehälter (BLS, Mai 2025), Kaufpreise (NAR, 2. Quartal 2026) und Mieten (Zumper, August 2026) ändern sich laufend und schwanken je nach Quelle – nutze sie als Orientierung. Besonders unsicher: der Ausgang der EU-Autozölle (Ankündigung von 25 % ab 1. Mai 2026, Stand offen), die Zeitpläne der Halbleiterwerke in Ohio und im Bundesstaat New York sowie die weitere Entwicklung der Tech-Entlassungen. Prüfe Gehalts- und Preisangaben vor einer Entscheidung noch einmal aktuell.</w:t>
            </w:r>
          </w:p>
        </w:tc>
      </w:tr>
    </w:tbl>
    <w:p>
      <w:pPr>
        <w:pStyle w:val="Normal"/>
        <w:spacing w:lineRule="exact" w:line="220" w:before="0" w:after="0"/>
        <w:rPr/>
      </w:pPr>
      <w:r>
        <w:rPr/>
      </w:r>
      <w:r>
        <w:br w:type="page"/>
      </w:r>
    </w:p>
    <w:p>
      <w:pPr>
        <w:pStyle w:val="Heading2"/>
        <w:keepNext w:val="true"/>
        <w:spacing w:before="0" w:after="300"/>
        <w:jc w:val="center"/>
        <w:rPr/>
      </w:pPr>
      <w:bookmarkStart w:id="36" w:name="__RefHeading___Toc56457_3769931028"/>
      <w:bookmarkStart w:id="37" w:name="k13"/>
      <w:bookmarkEnd w:id="36"/>
      <w:r>
        <w:rPr>
          <w:rFonts w:eastAsia="Amazon Ember" w:cs="Amazon Ember" w:ascii="Amazon Ember" w:hAnsi="Amazon Ember"/>
          <w:b/>
          <w:bCs/>
          <w:color w:val="0000FF"/>
          <w:sz w:val="36"/>
          <w:szCs w:val="36"/>
        </w:rPr>
        <w:t>Kapitel 13: Mieten in den USA</w:t>
      </w:r>
      <w:bookmarkEnd w:id="37"/>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Hausverwaltung in Seattle antwortet binnen einer Stunde: Wohnung frei, Einkommen ausreichend, Visum gültig. Nur ein Feld im Antrag bleibt leer, der </w:t>
      </w:r>
      <w:r>
        <w:rPr>
          <w:rFonts w:eastAsia="Cambria" w:cs="Cambria"/>
          <w:b w:val="false"/>
          <w:bCs w:val="false"/>
          <w:i/>
          <w:iCs/>
          <w:sz w:val="22"/>
          <w:szCs w:val="22"/>
        </w:rPr>
        <w:t>Credit Score</w:t>
      </w:r>
      <w:r>
        <w:rPr>
          <w:rFonts w:eastAsia="Cambria" w:cs="Cambria"/>
          <w:b w:val="false"/>
          <w:bCs w:val="false"/>
          <w:i w:val="false"/>
          <w:iCs w:val="false"/>
          <w:sz w:val="22"/>
          <w:szCs w:val="22"/>
        </w:rPr>
        <w:t>, die Kreditwürdigkeit nach US-Art. Du hast keinen schlechten, du hast gar keinen. An dieser Stelle scheitern viele Neuankömmlinge, und deshalb lohnt sich Vorbereitung, bevor du das erste Inserat öffnest.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Standard ist ein Mietvertrag über zwölf Monate; verlangt wird meist ein Bruttoeinkommen vom Dreifachen der Monatsmiete (Faustregel, kein Gesetz).</w:t>
            </w:r>
          </w:p>
          <w:p>
            <w:pPr>
              <w:pStyle w:val="ListParagraph"/>
              <w:numPr>
                <w:ilvl w:val="0"/>
                <w:numId w:val="1"/>
              </w:numPr>
              <w:spacing w:lineRule="exact" w:line="264" w:before="0" w:after="50"/>
              <w:rPr/>
            </w:pPr>
            <w:r>
              <w:rPr>
                <w:rFonts w:eastAsia="Cambria" w:cs="Cambria"/>
                <w:b w:val="false"/>
                <w:bCs w:val="false"/>
                <w:i w:val="false"/>
                <w:iCs w:val="false"/>
                <w:sz w:val="20"/>
                <w:szCs w:val="20"/>
              </w:rPr>
              <w:t>Ohne US-Kredithistorie helfen Arbeitgeberbrief, Bürgschaftsdienst, Vorauszahlung oder ein Übergang über möbliertes Wohnen auf Zeit (</w:t>
            </w:r>
            <w:r>
              <w:rPr>
                <w:rFonts w:eastAsia="Cambria" w:cs="Cambria"/>
                <w:b w:val="false"/>
                <w:bCs w:val="false"/>
                <w:i/>
                <w:iCs/>
                <w:sz w:val="20"/>
                <w:szCs w:val="20"/>
              </w:rPr>
              <w:t>Corporate Housing</w:t>
            </w:r>
            <w:r>
              <w:rPr>
                <w:rFonts w:eastAsia="Cambria" w:cs="Cambria"/>
                <w:b w:val="false"/>
                <w:bCs w:val="false"/>
                <w:i w:val="false"/>
                <w:iCs w:val="false"/>
                <w:sz w:val="20"/>
                <w:szCs w:val="20"/>
              </w:rPr>
              <w:t>).</w:t>
            </w:r>
          </w:p>
          <w:p>
            <w:pPr>
              <w:pStyle w:val="ListParagraph"/>
              <w:numPr>
                <w:ilvl w:val="0"/>
                <w:numId w:val="1"/>
              </w:numPr>
              <w:spacing w:lineRule="exact" w:line="264" w:before="0" w:after="50"/>
              <w:rPr/>
            </w:pPr>
            <w:r>
              <w:rPr>
                <w:rFonts w:eastAsia="Cambria" w:cs="Cambria"/>
                <w:b w:val="false"/>
                <w:bCs w:val="false"/>
                <w:i w:val="false"/>
                <w:iCs w:val="false"/>
                <w:sz w:val="20"/>
                <w:szCs w:val="20"/>
              </w:rPr>
              <w:t>Mietrecht ist Ländersache: Kaution, Gebühren, Fristen und Mieterhöhungen unterscheiden sich je Bundesstaat und Stadt.</w:t>
            </w:r>
          </w:p>
          <w:p>
            <w:pPr>
              <w:pStyle w:val="ListParagraph"/>
              <w:numPr>
                <w:ilvl w:val="0"/>
                <w:numId w:val="1"/>
              </w:numPr>
              <w:spacing w:lineRule="exact" w:line="264" w:before="0" w:after="50"/>
              <w:rPr/>
            </w:pPr>
            <w:r>
              <w:rPr>
                <w:rFonts w:eastAsia="Cambria" w:cs="Cambria"/>
                <w:b w:val="false"/>
                <w:bCs w:val="false"/>
                <w:i w:val="false"/>
                <w:iCs w:val="false"/>
                <w:sz w:val="20"/>
                <w:szCs w:val="20"/>
              </w:rPr>
              <w:t>Beim Einzug fallen erste Miete, Kaution und Gebühren an, je nach Stadt grob 3.000–15.000 $; Nebenkosten und Versicherung kommen hinzu.</w:t>
            </w:r>
          </w:p>
          <w:p>
            <w:pPr>
              <w:pStyle w:val="ListParagraph"/>
              <w:numPr>
                <w:ilvl w:val="0"/>
                <w:numId w:val="1"/>
              </w:numPr>
              <w:spacing w:lineRule="exact" w:line="264" w:before="0" w:after="50"/>
              <w:rPr/>
            </w:pPr>
            <w:r>
              <w:rPr>
                <w:rFonts w:eastAsia="Cambria" w:cs="Cambria"/>
                <w:b w:val="false"/>
                <w:bCs w:val="false"/>
                <w:i w:val="false"/>
                <w:iCs w:val="false"/>
                <w:sz w:val="20"/>
                <w:szCs w:val="20"/>
              </w:rPr>
              <w:t>Die häufigsten Fallen: Fake-Inserate mit Vorauszahlung, versteckte Zusatzgebühren und in New York die Maklergebühr (seit Juni 2025 neu geregelt).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Wohnungssuche: Portale, Größen, Zeitplan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Suche läuft fast ausschließlich online: Portale wie Zillow, Apartments.com, Apartment List, Zumper und Realtor.com bündeln Inserate von Hausverwaltungen und Privatvermietern, mit Filtern für Preis, Zimmerzahl, Haustiere und Einzugsdatum. Große Wohnanlagen (</w:t>
      </w:r>
      <w:r>
        <w:rPr>
          <w:rFonts w:eastAsia="Cambria" w:cs="Cambria"/>
          <w:b w:val="false"/>
          <w:bCs w:val="false"/>
          <w:i/>
          <w:iCs/>
          <w:sz w:val="22"/>
          <w:szCs w:val="22"/>
        </w:rPr>
        <w:t>Apartment Communities</w:t>
      </w:r>
      <w:r>
        <w:rPr>
          <w:rFonts w:eastAsia="Cambria" w:cs="Cambria"/>
          <w:b w:val="false"/>
          <w:bCs w:val="false"/>
          <w:i w:val="false"/>
          <w:iCs w:val="false"/>
          <w:sz w:val="22"/>
          <w:szCs w:val="22"/>
        </w:rPr>
        <w:t>) führen freie Einheiten oft zusätzlich auf der eigenen Website. Auf Craigslist und Facebook Marketplace ist das Betrugsrisiko am höchsten (siehe unten).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Eine „2BR“-Wohnung hat zwei Zimmer, wie die Zahl suggeriert. Tatsächlich zählt die US-Zimmerzählung nur Schlafzimmer, Wohnzimmer und Küche bleiben außen vor – und weicht damit von Deutschland ab: Ein </w:t>
      </w:r>
      <w:r>
        <w:rPr>
          <w:rFonts w:eastAsia="Cambria" w:cs="Cambria"/>
          <w:b w:val="false"/>
          <w:bCs w:val="false"/>
          <w:i/>
          <w:iCs/>
          <w:sz w:val="22"/>
          <w:szCs w:val="22"/>
        </w:rPr>
        <w:t>Studio</w:t>
      </w:r>
      <w:r>
        <w:rPr>
          <w:rFonts w:eastAsia="Cambria" w:cs="Cambria"/>
          <w:b w:val="false"/>
          <w:bCs w:val="false"/>
          <w:i w:val="false"/>
          <w:iCs w:val="false"/>
          <w:sz w:val="22"/>
          <w:szCs w:val="22"/>
        </w:rPr>
        <w:t xml:space="preserve"> ist ein Einraumapartment, eine </w:t>
      </w:r>
      <w:r>
        <w:rPr>
          <w:rFonts w:eastAsia="Cambria" w:cs="Cambria"/>
          <w:b w:val="false"/>
          <w:bCs w:val="false"/>
          <w:i/>
          <w:iCs/>
          <w:sz w:val="22"/>
          <w:szCs w:val="22"/>
        </w:rPr>
        <w:t>1BR</w:t>
      </w:r>
      <w:r>
        <w:rPr>
          <w:rFonts w:eastAsia="Cambria" w:cs="Cambria"/>
          <w:b w:val="false"/>
          <w:bCs w:val="false"/>
          <w:i w:val="false"/>
          <w:iCs w:val="false"/>
          <w:sz w:val="22"/>
          <w:szCs w:val="22"/>
        </w:rPr>
        <w:t xml:space="preserve"> (One Bedroom, mit abgetrenntem Schlafzimmer) entspricht einer deutschen Zweizimmerwohnung, eine 2BR einer Dreizimmerwohnung. In größeren Anlagen lag die Durchschnittsfläche zuletzt bei 460 sq ft (43 m²) fürs Studio, 735 sq ft (68 m²) für 1BR, 1.095 sq ft (102 m²) für 2BR und 1.355 sq ft (126 m²) für 3BR (RentCafe/Yardi, Daten 2025). Außerhalb der Zentren gibt es neben Wohnungen auch Reihen- und Einfamilienhäuser zur Miete.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Beginne etwa 45 bis 60 Tage vor dem Einzug zu suchen, in New York rund 90 Tage (Anbieterangabe); im Schnitt dauert es etwa 32 Tage, bis ein Inserat vermietet ist (Apartment List). Eine Wohnung nur nach Fotos zu mieten, ist riskant: Du kannst den Zustand nicht prüfen, Betrüger setzen genau hier an. Die meisten Neuankömmlinge überbrücken die ersten Wochen deshalb möbliert und unterschreiben vor Ort (siehe Übergangswohnen).</w:t>
      </w:r>
    </w:p>
    <w:p>
      <w:pPr>
        <w:pStyle w:val="Heading3"/>
        <w:keepNext w:val="true"/>
        <w:spacing w:before="280" w:after="100"/>
        <w:jc w:val="center"/>
        <w:rPr/>
      </w:pPr>
      <w:r>
        <w:rPr>
          <w:rFonts w:eastAsia="Amazon Ember" w:cs="Amazon Ember" w:ascii="Amazon Ember" w:hAnsi="Amazon Ember"/>
          <w:b/>
          <w:bCs/>
          <w:color w:val="0000FF"/>
          <w:sz w:val="36"/>
          <w:szCs w:val="36"/>
        </w:rPr>
        <w:t>Typische Mieten: Spannen nach Stadt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Landesweit liegt die Angebotsmiete je nach Quelle bei rund 1.400 bis 1.960 $ im Monat (Apartment List: 1.390 $ im August 2026; Zillow: 1.962 $ im Juli 2026). Die Quellen messen unterschiedlich, vergleiche also nur Werte derselben Quelle. Die Tabelle zeigt Durchschnitte größerer Anlagen (ab 50 Einheiten) in Dollar pro Monat, Stand 31. August 2026 (RentCafe/Yardi Matrix).</w:t>
      </w:r>
    </w:p>
    <w:tbl>
      <w:tblPr>
        <w:tblW w:w="6480" w:type="dxa"/>
        <w:jc w:val="left"/>
        <w:tblInd w:w="0" w:type="dxa"/>
        <w:tblLayout w:type="fixed"/>
        <w:tblCellMar>
          <w:top w:w="50" w:type="dxa"/>
          <w:left w:w="80" w:type="dxa"/>
          <w:bottom w:w="50" w:type="dxa"/>
          <w:right w:w="80" w:type="dxa"/>
        </w:tblCellMar>
      </w:tblPr>
      <w:tblGrid>
        <w:gridCol w:w="1653"/>
        <w:gridCol w:w="1609"/>
        <w:gridCol w:w="1609"/>
        <w:gridCol w:w="1608"/>
      </w:tblGrid>
      <w:tr>
        <w:trPr>
          <w:tblHeader w:val="true"/>
          <w:cantSplit w:val="true"/>
        </w:trPr>
        <w:tc>
          <w:tcPr>
            <w:tcW w:w="165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Stadt</w:t>
            </w:r>
          </w:p>
        </w:tc>
        <w:tc>
          <w:tcPr>
            <w:tcW w:w="160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Alle Größen</w:t>
            </w:r>
          </w:p>
        </w:tc>
        <w:tc>
          <w:tcPr>
            <w:tcW w:w="160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1BR</w:t>
            </w:r>
          </w:p>
        </w:tc>
        <w:tc>
          <w:tcPr>
            <w:tcW w:w="160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2BR</w:t>
            </w:r>
          </w:p>
        </w:tc>
      </w:tr>
      <w:tr>
        <w:trPr>
          <w:cantSplit w:val="true"/>
        </w:trPr>
        <w:tc>
          <w:tcPr>
            <w:tcW w:w="16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 York City</w:t>
            </w:r>
          </w:p>
        </w:tc>
        <w:tc>
          <w:tcPr>
            <w:tcW w:w="16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5.204</w:t>
            </w:r>
          </w:p>
        </w:tc>
        <w:tc>
          <w:tcPr>
            <w:tcW w:w="16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5.227</w:t>
            </w:r>
          </w:p>
        </w:tc>
        <w:tc>
          <w:tcPr>
            <w:tcW w:w="16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5.698</w:t>
            </w:r>
          </w:p>
        </w:tc>
      </w:tr>
      <w:tr>
        <w:trPr>
          <w:cantSplit w:val="true"/>
        </w:trPr>
        <w:tc>
          <w:tcPr>
            <w:tcW w:w="16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San Francisco</w:t>
            </w:r>
          </w:p>
        </w:tc>
        <w:tc>
          <w:tcPr>
            <w:tcW w:w="16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3.964</w:t>
            </w:r>
          </w:p>
        </w:tc>
        <w:tc>
          <w:tcPr>
            <w:tcW w:w="16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3.859</w:t>
            </w:r>
          </w:p>
        </w:tc>
        <w:tc>
          <w:tcPr>
            <w:tcW w:w="16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4.998</w:t>
            </w:r>
          </w:p>
        </w:tc>
      </w:tr>
      <w:tr>
        <w:trPr>
          <w:cantSplit w:val="true"/>
        </w:trPr>
        <w:tc>
          <w:tcPr>
            <w:tcW w:w="16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Boston</w:t>
            </w:r>
          </w:p>
        </w:tc>
        <w:tc>
          <w:tcPr>
            <w:tcW w:w="16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3.710</w:t>
            </w:r>
          </w:p>
        </w:tc>
        <w:tc>
          <w:tcPr>
            <w:tcW w:w="16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3.414</w:t>
            </w:r>
          </w:p>
        </w:tc>
        <w:tc>
          <w:tcPr>
            <w:tcW w:w="16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4.320</w:t>
            </w:r>
          </w:p>
        </w:tc>
      </w:tr>
      <w:tr>
        <w:trPr>
          <w:cantSplit w:val="true"/>
        </w:trPr>
        <w:tc>
          <w:tcPr>
            <w:tcW w:w="16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Chicago</w:t>
            </w:r>
          </w:p>
        </w:tc>
        <w:tc>
          <w:tcPr>
            <w:tcW w:w="16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2.529</w:t>
            </w:r>
          </w:p>
        </w:tc>
        <w:tc>
          <w:tcPr>
            <w:tcW w:w="16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2.461</w:t>
            </w:r>
          </w:p>
        </w:tc>
        <w:tc>
          <w:tcPr>
            <w:tcW w:w="16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3.321</w:t>
            </w:r>
          </w:p>
        </w:tc>
      </w:tr>
      <w:tr>
        <w:trPr>
          <w:cantSplit w:val="true"/>
        </w:trPr>
        <w:tc>
          <w:tcPr>
            <w:tcW w:w="16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Seattle</w:t>
            </w:r>
          </w:p>
        </w:tc>
        <w:tc>
          <w:tcPr>
            <w:tcW w:w="16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2.253</w:t>
            </w:r>
          </w:p>
        </w:tc>
        <w:tc>
          <w:tcPr>
            <w:tcW w:w="16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2.217</w:t>
            </w:r>
          </w:p>
        </w:tc>
        <w:tc>
          <w:tcPr>
            <w:tcW w:w="16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2.878</w:t>
            </w:r>
          </w:p>
        </w:tc>
      </w:tr>
      <w:tr>
        <w:trPr>
          <w:cantSplit w:val="true"/>
        </w:trPr>
        <w:tc>
          <w:tcPr>
            <w:tcW w:w="16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Denver</w:t>
            </w:r>
          </w:p>
        </w:tc>
        <w:tc>
          <w:tcPr>
            <w:tcW w:w="16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1.914</w:t>
            </w:r>
          </w:p>
        </w:tc>
        <w:tc>
          <w:tcPr>
            <w:tcW w:w="16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1.716</w:t>
            </w:r>
          </w:p>
        </w:tc>
        <w:tc>
          <w:tcPr>
            <w:tcW w:w="16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2.230</w:t>
            </w:r>
          </w:p>
        </w:tc>
      </w:tr>
      <w:tr>
        <w:trPr>
          <w:cantSplit w:val="true"/>
        </w:trPr>
        <w:tc>
          <w:tcPr>
            <w:tcW w:w="16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Atlanta</w:t>
            </w:r>
          </w:p>
        </w:tc>
        <w:tc>
          <w:tcPr>
            <w:tcW w:w="16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1.804</w:t>
            </w:r>
          </w:p>
        </w:tc>
        <w:tc>
          <w:tcPr>
            <w:tcW w:w="16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1.627</w:t>
            </w:r>
          </w:p>
        </w:tc>
        <w:tc>
          <w:tcPr>
            <w:tcW w:w="16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1.901</w:t>
            </w:r>
          </w:p>
        </w:tc>
      </w:tr>
      <w:tr>
        <w:trPr>
          <w:cantSplit w:val="true"/>
        </w:trPr>
        <w:tc>
          <w:tcPr>
            <w:tcW w:w="16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Austin</w:t>
            </w:r>
          </w:p>
        </w:tc>
        <w:tc>
          <w:tcPr>
            <w:tcW w:w="16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1.641</w:t>
            </w:r>
          </w:p>
        </w:tc>
        <w:tc>
          <w:tcPr>
            <w:tcW w:w="16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1.421</w:t>
            </w:r>
          </w:p>
        </w:tc>
        <w:tc>
          <w:tcPr>
            <w:tcW w:w="16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1.812</w:t>
            </w:r>
          </w:p>
        </w:tc>
      </w:tr>
      <w:tr>
        <w:trPr>
          <w:cantSplit w:val="true"/>
        </w:trPr>
        <w:tc>
          <w:tcPr>
            <w:tcW w:w="16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Raleigh</w:t>
            </w:r>
          </w:p>
        </w:tc>
        <w:tc>
          <w:tcPr>
            <w:tcW w:w="16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1.588</w:t>
            </w:r>
          </w:p>
        </w:tc>
        <w:tc>
          <w:tcPr>
            <w:tcW w:w="16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1.409</w:t>
            </w:r>
          </w:p>
        </w:tc>
        <w:tc>
          <w:tcPr>
            <w:tcW w:w="16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1.655</w:t>
            </w:r>
          </w:p>
        </w:tc>
      </w:tr>
      <w:tr>
        <w:trPr>
          <w:cantSplit w:val="true"/>
        </w:trPr>
        <w:tc>
          <w:tcPr>
            <w:tcW w:w="16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Houston</w:t>
            </w:r>
          </w:p>
        </w:tc>
        <w:tc>
          <w:tcPr>
            <w:tcW w:w="16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1.344</w:t>
            </w:r>
          </w:p>
        </w:tc>
        <w:tc>
          <w:tcPr>
            <w:tcW w:w="16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1.191</w:t>
            </w:r>
          </w:p>
        </w:tc>
        <w:tc>
          <w:tcPr>
            <w:tcW w:w="16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1.506</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Trend ist gespalten: Bundesweit stagnieren oder sinken die Mieten (Realtor.com, Top-50-Metros: minus 0,9 % zum Vorjahr im August 2026), in der Bay Area steigen sie. In 43,5 % der Inserate standen Rabatte, und Apartment List nennt 7,1 % Leerstand. Für Städte ohne Tabelleneintrag, etwa Detroit oder Phoenix, zeigen Portale aktuelle Spannen nach Zimmerzahl (Ortswahl: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Frage nach Sonderangeboten (</w:t>
            </w:r>
            <w:r>
              <w:rPr>
                <w:rFonts w:eastAsia="Cambria" w:cs="Cambria"/>
                <w:b w:val="false"/>
                <w:bCs w:val="false"/>
                <w:i/>
                <w:iCs/>
                <w:sz w:val="20"/>
                <w:szCs w:val="20"/>
              </w:rPr>
              <w:t>Specials</w:t>
            </w:r>
            <w:r>
              <w:rPr>
                <w:rFonts w:eastAsia="Cambria" w:cs="Cambria"/>
                <w:b w:val="false"/>
                <w:bCs w:val="false"/>
                <w:i w:val="false"/>
                <w:iCs w:val="false"/>
                <w:sz w:val="20"/>
                <w:szCs w:val="20"/>
              </w:rPr>
              <w:t>), etwa einem Gratismonat bei zwölf Monaten Laufzeit, und vergleiche mehrere Anlagen im selben Viertel. In Märkten mit hohem Leerstand lässt sich verhandeln.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Bewerbung, Einkommen und Gebühren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aus Deutschland eine kurze Schufa-Auskunft und ein, zwei Gehaltsnachweise gewohnt ist, wird hier gründlicher durchleuchtet, als es die eigene Hausbank je tun würde. Der Ablauf: Besichtigung, Antrag (</w:t>
      </w:r>
      <w:r>
        <w:rPr>
          <w:rFonts w:eastAsia="Cambria" w:cs="Cambria"/>
          <w:b w:val="false"/>
          <w:bCs w:val="false"/>
          <w:i/>
          <w:iCs/>
          <w:sz w:val="22"/>
          <w:szCs w:val="22"/>
        </w:rPr>
        <w:t>Application</w:t>
      </w:r>
      <w:r>
        <w:rPr>
          <w:rFonts w:eastAsia="Cambria" w:cs="Cambria"/>
          <w:b w:val="false"/>
          <w:bCs w:val="false"/>
          <w:i w:val="false"/>
          <w:iCs w:val="false"/>
          <w:sz w:val="22"/>
          <w:szCs w:val="22"/>
        </w:rPr>
        <w:t>, mit Gebühr für jede erwachsene Person), Prüfung (</w:t>
      </w:r>
      <w:r>
        <w:rPr>
          <w:rFonts w:eastAsia="Cambria" w:cs="Cambria"/>
          <w:b w:val="false"/>
          <w:bCs w:val="false"/>
          <w:i/>
          <w:iCs/>
          <w:sz w:val="22"/>
          <w:szCs w:val="22"/>
        </w:rPr>
        <w:t>Screening</w:t>
      </w:r>
      <w:r>
        <w:rPr>
          <w:rFonts w:eastAsia="Cambria" w:cs="Cambria"/>
          <w:b w:val="false"/>
          <w:bCs w:val="false"/>
          <w:i w:val="false"/>
          <w:iCs w:val="false"/>
          <w:sz w:val="22"/>
          <w:szCs w:val="22"/>
        </w:rPr>
        <w:t>) von Kreditbericht, Einkommen und Vorvermietern, dann der Mietvertrag (</w:t>
      </w:r>
      <w:r>
        <w:rPr>
          <w:rFonts w:eastAsia="Cambria" w:cs="Cambria"/>
          <w:b w:val="false"/>
          <w:bCs w:val="false"/>
          <w:i/>
          <w:iCs/>
          <w:sz w:val="22"/>
          <w:szCs w:val="22"/>
        </w:rPr>
        <w:t>Lease</w:t>
      </w:r>
      <w:r>
        <w:rPr>
          <w:rFonts w:eastAsia="Cambria" w:cs="Cambria"/>
          <w:b w:val="false"/>
          <w:bCs w:val="false"/>
          <w:i w:val="false"/>
          <w:iCs w:val="false"/>
          <w:sz w:val="22"/>
          <w:szCs w:val="22"/>
        </w:rPr>
        <w:t>). Die Prüfung dauert meist 24 bis 72 Stunden, bei internationalen Fällen bis zu einer Woche. Bei der Unterschrift werden Kaution und erste Monatsmiete fällig, regional auch die letzte.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Du brauchst Reisepass, Visum und I-94, den Arbeitsvertrag oder die Zusage (</w:t>
      </w:r>
      <w:r>
        <w:rPr>
          <w:rFonts w:eastAsia="Cambria" w:cs="Cambria"/>
          <w:b w:val="false"/>
          <w:bCs w:val="false"/>
          <w:i/>
          <w:iCs/>
          <w:sz w:val="22"/>
          <w:szCs w:val="22"/>
        </w:rPr>
        <w:t>Offer Letter</w:t>
      </w:r>
      <w:r>
        <w:rPr>
          <w:rFonts w:eastAsia="Cambria" w:cs="Cambria"/>
          <w:b w:val="false"/>
          <w:bCs w:val="false"/>
          <w:i w:val="false"/>
          <w:iCs w:val="false"/>
          <w:sz w:val="22"/>
          <w:szCs w:val="22"/>
        </w:rPr>
        <w:t>) mit Gehalt und Startdatum, Gehaltsabrechnungen, sofern vorhanden, und drei Monate Kontoauszüge. Übersetzungen kosten laut einem Anbieter 20–40 $ je Seite.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Beim Einkommen gilt als Faustregel: Dein Bruttoeinkommen pro Monat soll das Dreifache der Monatsmiete betragen. Bei 2.200 $ Miete sind das 6.600 $ im Monat oder 79.200 $ im Jahr. Das ist Branchenübung, kein Gesetz; jede Verwaltung legt ihre Schwelle selbst fest. Hat nur eine Person Einkommen, zählt nur dieses. In New York gelten härtere Maßstäbe: Anbieter nennen das Vierzigfache der Monatsmiete als Jahreseinkommen, für einen persönlichen Bürgen das Achtzigfache.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Bewerbungsgebühr ist in einigen Staaten gedeckelt: New York 20 $, New Jersey 50 $ (seit 1. Mai 2026), Virginia 50 $ plus Fremdkosten, Kalifornien rund 66–69 $ (2026, an die Inflation gekoppelt; die Quellen weichen ab). Texas, Florida, Georgia und Illinois kennen keinen Deckel; Vermont und Massachusetts untersagen die Gebühr den Vermietern. Anbieter nennen 50–200 $ als üblich.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Gebühr fällt pro erwachsener Person und pro Bewerbung an und wird bei Ablehnung meist nicht erstattet. Wer sich auf drei Wohnungen bewirbt, zahlt dreimal, ein Paar doppelt. In Kalifornien und New Jersey darf die Verwaltung sie nur für eine tatsächlich verfügbare Wohnung verlangen.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Mieten ohne Kredithistorie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Deine Schufa spielt in den USA keine Rolle: Die Kreditwürdigkeit entsteht erst vor Ort im Credit Score (meist FICO-Score), durch Kredite, Kreditkarten und pünktliche Zahlungen. Die Sozialversicherungsnummer (SSN) bekommst du erst nach der Ankunft (Kapitel </w:t>
      </w:r>
      <w:hyperlink w:anchor="k24">
        <w:r>
          <w:rPr>
            <w:rStyle w:val="ListLabel115"/>
            <w:rFonts w:eastAsia="Cambria" w:cs="Cambria"/>
            <w:b w:val="false"/>
            <w:bCs w:val="false"/>
            <w:i w:val="false"/>
            <w:iCs w:val="false"/>
            <w:sz w:val="22"/>
            <w:szCs w:val="22"/>
          </w:rPr>
          <w:t>24</w:t>
        </w:r>
      </w:hyperlink>
      <w:r>
        <w:rPr>
          <w:rFonts w:eastAsia="Cambria" w:cs="Cambria"/>
          <w:b w:val="false"/>
          <w:bCs w:val="false"/>
          <w:i w:val="false"/>
          <w:iCs w:val="false"/>
          <w:sz w:val="22"/>
          <w:szCs w:val="22"/>
        </w:rPr>
        <w:t>); die Steuernummer ITIN über das Formular W-7 dauert laut einem Anbieter sechs bis zehn Wochen. Wie du danach Kredit aufbaust, steht in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 xml:space="preserve"> – bis dahin brauchst du Wege, die dem Vermieter das Risiko abnehmen:</w:t>
      </w:r>
    </w:p>
    <w:tbl>
      <w:tblPr>
        <w:tblW w:w="6480" w:type="dxa"/>
        <w:jc w:val="left"/>
        <w:tblInd w:w="0" w:type="dxa"/>
        <w:tblLayout w:type="fixed"/>
        <w:tblCellMar>
          <w:top w:w="50" w:type="dxa"/>
          <w:left w:w="80" w:type="dxa"/>
          <w:bottom w:w="50" w:type="dxa"/>
          <w:right w:w="80" w:type="dxa"/>
        </w:tblCellMar>
      </w:tblPr>
      <w:tblGrid>
        <w:gridCol w:w="1255"/>
        <w:gridCol w:w="2215"/>
        <w:gridCol w:w="3010"/>
      </w:tblGrid>
      <w:tr>
        <w:trPr>
          <w:tblHeader w:val="true"/>
          <w:cantSplit w:val="true"/>
        </w:trPr>
        <w:tc>
          <w:tcPr>
            <w:tcW w:w="125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Weg</w:t>
            </w:r>
          </w:p>
        </w:tc>
        <w:tc>
          <w:tcPr>
            <w:tcW w:w="221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Kosten</w:t>
            </w:r>
          </w:p>
        </w:tc>
        <w:tc>
          <w:tcPr>
            <w:tcW w:w="301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Hinweis</w:t>
            </w:r>
          </w:p>
        </w:tc>
      </w:tr>
      <w:tr>
        <w:trPr>
          <w:cantSplit w:val="true"/>
        </w:trPr>
        <w:tc>
          <w:tcPr>
            <w:tcW w:w="12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Arbeitgeberbrief</w:t>
            </w:r>
          </w:p>
        </w:tc>
        <w:tc>
          <w:tcPr>
            <w:tcW w:w="22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w:t>
            </w:r>
          </w:p>
        </w:tc>
        <w:tc>
          <w:tcPr>
            <w:tcW w:w="30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Offer Letter mit Gehalt und Startdatum ersetzt Gehaltsabrechnungen; Grundlage für alle anderen Wege</w:t>
            </w:r>
          </w:p>
        </w:tc>
      </w:tr>
      <w:tr>
        <w:trPr>
          <w:cantSplit w:val="true"/>
        </w:trPr>
        <w:tc>
          <w:tcPr>
            <w:tcW w:w="12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Höhere Kaution</w:t>
            </w:r>
          </w:p>
        </w:tc>
        <w:tc>
          <w:tcPr>
            <w:tcW w:w="22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Zusatzbetrag, rückzahlbar</w:t>
            </w:r>
          </w:p>
        </w:tc>
        <w:tc>
          <w:tcPr>
            <w:tcW w:w="30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wo kein Deckel gilt</w:t>
            </w:r>
          </w:p>
        </w:tc>
      </w:tr>
      <w:tr>
        <w:trPr>
          <w:cantSplit w:val="true"/>
        </w:trPr>
        <w:tc>
          <w:tcPr>
            <w:tcW w:w="12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Bürgschaftsdienst</w:t>
            </w:r>
          </w:p>
        </w:tc>
        <w:tc>
          <w:tcPr>
            <w:tcW w:w="22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40–130 % einer Monatsmiete, einmalig für zwölf Monate</w:t>
            </w:r>
          </w:p>
        </w:tc>
        <w:tc>
          <w:tcPr>
            <w:tcW w:w="30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Insurent (nur NY, NJ, CT), TheGuarantors (u. a. NYC, LA, Chicago, Boston, Miami), Leap (bundesweit); Prüfung 24–48 Stunden</w:t>
            </w:r>
          </w:p>
        </w:tc>
      </w:tr>
      <w:tr>
        <w:trPr>
          <w:cantSplit w:val="true"/>
        </w:trPr>
        <w:tc>
          <w:tcPr>
            <w:tcW w:w="12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Persönlicher Bürge</w:t>
            </w:r>
          </w:p>
        </w:tc>
        <w:tc>
          <w:tcPr>
            <w:tcW w:w="22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w:t>
            </w:r>
          </w:p>
        </w:tc>
        <w:tc>
          <w:tcPr>
            <w:tcW w:w="30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Braucht US-Konto und Jahreseinkommen von 80–100× der Monatsmiete; für Neuankömmlinge selten</w:t>
            </w:r>
          </w:p>
        </w:tc>
      </w:tr>
      <w:tr>
        <w:trPr>
          <w:cantSplit w:val="true"/>
        </w:trPr>
        <w:tc>
          <w:tcPr>
            <w:tcW w:w="12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Vorauszahlung oder Guthaben</w:t>
            </w:r>
          </w:p>
        </w:tc>
        <w:tc>
          <w:tcPr>
            <w:tcW w:w="22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2–12 Monatsmieten im Voraus; Guthaben 6–12 Monatsmieten</w:t>
            </w:r>
          </w:p>
        </w:tc>
        <w:tc>
          <w:tcPr>
            <w:tcW w:w="30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Verhandlungssache; ein Guthaben kann den Einkommensnachweis ersetzen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Rechenbeispiel: Bei 2.500 $ Monatsmiete kostet ein Bürgschaftsdienst zwischen 1.000 und 3.250 $. Anders als eine Kaution siehst du dieses Geld nicht wieder; erstattet wird die Prämie oft nur, wenn kein Mietvertrag zustande kommt.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Hole bei mindestens zwei Bürgschaftsdiensten ein Angebot ein und frage, ob die Prämie bei Ablehnung erstattet wird. Ein US-Konto mit zwei bis drei Monaten Kontoauszügen stärkt jeden Antrag (Kapitel </w:t>
            </w:r>
            <w:hyperlink w:anchor="k25">
              <w:r>
                <w:rPr>
                  <w:rStyle w:val="ListLabel114"/>
                  <w:rFonts w:eastAsia="Cambria" w:cs="Cambria"/>
                  <w:b w:val="false"/>
                  <w:bCs w:val="false"/>
                  <w:i w:val="false"/>
                  <w:iCs w:val="false"/>
                  <w:sz w:val="20"/>
                  <w:szCs w:val="20"/>
                </w:rPr>
                <w:t>25</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Dienst </w:t>
      </w:r>
      <w:r>
        <w:rPr>
          <w:rFonts w:eastAsia="Cambria" w:cs="Cambria"/>
          <w:b w:val="false"/>
          <w:bCs w:val="false"/>
          <w:i/>
          <w:iCs/>
          <w:sz w:val="22"/>
          <w:szCs w:val="22"/>
        </w:rPr>
        <w:t>Nova Credit</w:t>
      </w:r>
      <w:r>
        <w:rPr>
          <w:rFonts w:eastAsia="Cambria" w:cs="Cambria"/>
          <w:b w:val="false"/>
          <w:bCs w:val="false"/>
          <w:i w:val="false"/>
          <w:iCs w:val="false"/>
          <w:sz w:val="22"/>
          <w:szCs w:val="22"/>
        </w:rPr>
        <w:t xml:space="preserve"> übersetzt ausländische Kreditberichte ins US-Format; laut Anbieterangaben gehört Deutschland zu den angebundenen Ländern. Ob eine Verwaltung solche Berichte annimmt, klärst du vor der Bewerbung. Manche lassen sich zusätzlich von einer englischen Referenz deines bisherigen Vermieters und einer Schufa-Datenkopie überzeugen; das ist Kulanz, kein Standard.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Lass dir schriftlich bestätigen, wofür ein Betrag gedacht ist (Kaution, Miete im Voraus oder Gebühr) und ob er zurückgezahlt wird. Wo ein Kautionsdeckel gilt, müssen darüber hinausgehende Beträge als vorausbezahlte Miete deklariert sein.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Kaution und Kosten beim Einzug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Kaution (</w:t>
      </w:r>
      <w:r>
        <w:rPr>
          <w:rFonts w:eastAsia="Cambria" w:cs="Cambria"/>
          <w:b w:val="false"/>
          <w:bCs w:val="false"/>
          <w:i/>
          <w:iCs/>
          <w:sz w:val="22"/>
          <w:szCs w:val="22"/>
        </w:rPr>
        <w:t>Security Deposit</w:t>
      </w:r>
      <w:r>
        <w:rPr>
          <w:rFonts w:eastAsia="Cambria" w:cs="Cambria"/>
          <w:b w:val="false"/>
          <w:bCs w:val="false"/>
          <w:i w:val="false"/>
          <w:iCs w:val="false"/>
          <w:sz w:val="22"/>
          <w:szCs w:val="22"/>
        </w:rPr>
        <w:t>) sichert Schäden und Rückstände ab; ihre Höhe regelt der Bundesstaat: Kalifornien und New York deckeln sie bei einer Monatsmiete, Michigan bei 1,5 Monatsmieten, rund 20 Staaten – darunter Texas, Florida und Illinois – haben keinen Deckel. Die Rückgabefristen liegen bei 14 bis 60 Tagen; Sammelangaben schwanken, prüfe den Stand deines Staates bei der Landesbehörde.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Zum Einzug kommen erste Monatsmiete, Kaution, Bewerbungsgebühr und gegebenenfalls eine Haustierkaution (Kapitel </w:t>
      </w:r>
      <w:hyperlink w:anchor="k22">
        <w:r>
          <w:rPr>
            <w:rStyle w:val="ListLabel115"/>
            <w:rFonts w:eastAsia="Cambria" w:cs="Cambria"/>
            <w:b w:val="false"/>
            <w:bCs w:val="false"/>
            <w:i w:val="false"/>
            <w:iCs w:val="false"/>
            <w:sz w:val="22"/>
            <w:szCs w:val="22"/>
          </w:rPr>
          <w:t>22</w:t>
        </w:r>
      </w:hyperlink>
      <w:r>
        <w:rPr>
          <w:rFonts w:eastAsia="Cambria" w:cs="Cambria"/>
          <w:b w:val="false"/>
          <w:bCs w:val="false"/>
          <w:i w:val="false"/>
          <w:iCs w:val="false"/>
          <w:sz w:val="22"/>
          <w:szCs w:val="22"/>
        </w:rPr>
        <w:t>) zusammen. Ein Anbieter beziffert die Einzugskosten inklusive Vermittlung für New York mit 6.000–15.000 $, Boston 4.500–10.000 $, Washington D. C. 3.800–7.200 $ und Chicago 2.900–5.750 $.</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 sucht im Großraum Detroit ein Reihenhaus mit drei Schlafzimmern für 2.400 $ im Monat. Die Verwaltung verlangt das Dreifache als Einkommen, also 7.200 $ brutto im Monat. Markus verdient 9.500 $ brutto; Anna hat H-4-Status und darf zunächst nicht arbeiten. Weil ein Credit Score fehlt, reichen die Brandts den Offer Letter und drei Monate Kontoauszüge ein; die Sachbearbeiterin blättert kurz irritiert durch das leere Feld, akzeptiert die Unterlagen dann aber anstandslos. Michigan begrenzt die Kaution auf 1,5 Monatsmieten, also 3.600 $. Am Einzugstag zahlen sie 2.400 $ erste Miete, 3.600 $ Kaution und zwei Bewerbungsgebühren zu je 40 $, zusammen 6.080 $. Das Geld muss auf dem US-Konto liegen, bevor der Container eintrifft (Kapitel </w:t>
            </w:r>
            <w:hyperlink w:anchor="k20">
              <w:r>
                <w:rPr>
                  <w:rStyle w:val="ListLabel114"/>
                  <w:rFonts w:eastAsia="Cambria" w:cs="Cambria"/>
                  <w:b w:val="false"/>
                  <w:bCs w:val="false"/>
                  <w:i w:val="false"/>
                  <w:iCs w:val="false"/>
                  <w:sz w:val="20"/>
                  <w:szCs w:val="20"/>
                </w:rPr>
                <w:t>20</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Mietvertrag: Laufzeit, Ausstieg, Untervermietung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Standard ist ein befristeter Vertrag über zwölf Monate; kürzere Laufzeiten oder Monatsverträge kosten meist Aufschlag. Einen stillschweigend unbefristeten Vertrag wie in Deutschland gibt es selten: Am Ende verlängert sich der Vertrag je nach Klausel automatisch, wird zum Monatsvertrag oder läuft aus. Lies Verlängerung und Kündigungsfrist genau – die Frist beträgt oft mehrere Wochen bis Monate vor Vertragsende, und bei einer Verlängerung darf der Vermieter den Preis meist neu setzen; Grenzen gibt es nur in wenigen Staaten.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vorzeitig auszieht (</w:t>
      </w:r>
      <w:r>
        <w:rPr>
          <w:rFonts w:eastAsia="Cambria" w:cs="Cambria"/>
          <w:b w:val="false"/>
          <w:bCs w:val="false"/>
          <w:i/>
          <w:iCs/>
          <w:sz w:val="22"/>
          <w:szCs w:val="22"/>
        </w:rPr>
        <w:t>Break Lease</w:t>
      </w:r>
      <w:r>
        <w:rPr>
          <w:rFonts w:eastAsia="Cambria" w:cs="Cambria"/>
          <w:b w:val="false"/>
          <w:bCs w:val="false"/>
          <w:i w:val="false"/>
          <w:iCs w:val="false"/>
          <w:sz w:val="22"/>
          <w:szCs w:val="22"/>
        </w:rPr>
        <w:t>), kommt nicht so leicht davon, wie er vielleicht hofft: Er schuldet grundsätzlich weiter Miete. Typisch sind ein bis zwei Monatsmieten plus Verlust der Kaution (Anbieterangabe); manche Verträge nennen eine feste Ausstiegsgebühr. In den meisten Staaten muss sich der Vermieter zudem redlich um einen Nachmieter bemühen; du zahlst dann nur bis zur Neuvermietung.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Zwölf-Monats-Vertrag ist ein Risiko, wenn dein Arbeitgeber ohne Angabe von Gründen kündigen darf (</w:t>
            </w:r>
            <w:r>
              <w:rPr>
                <w:rFonts w:eastAsia="Cambria" w:cs="Cambria"/>
                <w:b w:val="false"/>
                <w:bCs w:val="false"/>
                <w:i/>
                <w:iCs/>
                <w:sz w:val="20"/>
                <w:szCs w:val="20"/>
              </w:rPr>
              <w:t>At-will Employment</w:t>
            </w:r>
            <w:r>
              <w:rPr>
                <w:rFonts w:eastAsia="Cambria" w:cs="Cambria"/>
                <w:b w:val="false"/>
                <w:bCs w:val="false"/>
                <w:i w:val="false"/>
                <w:iCs w:val="false"/>
                <w:sz w:val="20"/>
                <w:szCs w:val="20"/>
              </w:rPr>
              <w:t>, Kapitel </w:t>
            </w:r>
            <w:hyperlink w:anchor="k29">
              <w:r>
                <w:rPr>
                  <w:rStyle w:val="ListLabel114"/>
                  <w:rFonts w:eastAsia="Cambria" w:cs="Cambria"/>
                  <w:b w:val="false"/>
                  <w:bCs w:val="false"/>
                  <w:i w:val="false"/>
                  <w:iCs w:val="false"/>
                  <w:sz w:val="20"/>
                  <w:szCs w:val="20"/>
                </w:rPr>
                <w:t>29</w:t>
              </w:r>
            </w:hyperlink>
            <w:r>
              <w:rPr>
                <w:rFonts w:eastAsia="Cambria" w:cs="Cambria"/>
                <w:b w:val="false"/>
                <w:bCs w:val="false"/>
                <w:i w:val="false"/>
                <w:iCs w:val="false"/>
                <w:sz w:val="20"/>
                <w:szCs w:val="20"/>
              </w:rPr>
              <w:t>) und dein Aufenthaltsstatus am Job hängt (Kapitel </w:t>
            </w:r>
            <w:hyperlink w:anchor="k30">
              <w:r>
                <w:rPr>
                  <w:rStyle w:val="ListLabel114"/>
                  <w:rFonts w:eastAsia="Cambria" w:cs="Cambria"/>
                  <w:b w:val="false"/>
                  <w:bCs w:val="false"/>
                  <w:i w:val="false"/>
                  <w:iCs w:val="false"/>
                  <w:sz w:val="20"/>
                  <w:szCs w:val="20"/>
                </w:rPr>
                <w:t>30</w:t>
              </w:r>
            </w:hyperlink>
            <w:r>
              <w:rPr>
                <w:rFonts w:eastAsia="Cambria" w:cs="Cambria"/>
                <w:b w:val="false"/>
                <w:bCs w:val="false"/>
                <w:i w:val="false"/>
                <w:iCs w:val="false"/>
                <w:sz w:val="20"/>
                <w:szCs w:val="20"/>
              </w:rPr>
              <w:t>). Frage vor der Unterschrift nach der Break-Lease-Klausel, einer Ausstiegsgebühr oder einer kürzeren Laufzeit.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Untervermietung (</w:t>
      </w:r>
      <w:r>
        <w:rPr>
          <w:rFonts w:eastAsia="Cambria" w:cs="Cambria"/>
          <w:b w:val="false"/>
          <w:bCs w:val="false"/>
          <w:i/>
          <w:iCs/>
          <w:sz w:val="22"/>
          <w:szCs w:val="22"/>
        </w:rPr>
        <w:t>Sublease</w:t>
      </w:r>
      <w:r>
        <w:rPr>
          <w:rFonts w:eastAsia="Cambria" w:cs="Cambria"/>
          <w:b w:val="false"/>
          <w:bCs w:val="false"/>
          <w:i w:val="false"/>
          <w:iCs w:val="false"/>
          <w:sz w:val="22"/>
          <w:szCs w:val="22"/>
        </w:rPr>
        <w:t>) oder Vertragsübernahme brauchst du in der Regel die schriftliche Zustimmung des Vermieters, je nach Vertrag und Landesrecht. Auch heimliche Untervermietung über Ferienportale kann die Kündigung nach sich ziehen. Beim Einzug fotografierst du jeden Raum und jeden Schaden und füllst die Übergabeliste (</w:t>
      </w:r>
      <w:r>
        <w:rPr>
          <w:rFonts w:eastAsia="Cambria" w:cs="Cambria"/>
          <w:b w:val="false"/>
          <w:bCs w:val="false"/>
          <w:i/>
          <w:iCs/>
          <w:sz w:val="22"/>
          <w:szCs w:val="22"/>
        </w:rPr>
        <w:t>Move-in Checklist</w:t>
      </w:r>
      <w:r>
        <w:rPr>
          <w:rFonts w:eastAsia="Cambria" w:cs="Cambria"/>
          <w:b w:val="false"/>
          <w:bCs w:val="false"/>
          <w:i w:val="false"/>
          <w:iCs w:val="false"/>
          <w:sz w:val="22"/>
          <w:szCs w:val="22"/>
        </w:rPr>
        <w:t>) aus; in Michigan ist eine Inventarliste gesetzlich vorgesehen, die du binnen sieben Tagen zurückgibst.</w:t>
      </w:r>
    </w:p>
    <w:p>
      <w:pPr>
        <w:pStyle w:val="Heading3"/>
        <w:keepNext w:val="true"/>
        <w:spacing w:before="280" w:after="100"/>
        <w:jc w:val="center"/>
        <w:rPr/>
      </w:pPr>
      <w:r>
        <w:rPr>
          <w:rFonts w:eastAsia="Amazon Ember" w:cs="Amazon Ember" w:ascii="Amazon Ember" w:hAnsi="Amazon Ember"/>
          <w:b/>
          <w:bCs/>
          <w:color w:val="0000FF"/>
          <w:sz w:val="36"/>
          <w:szCs w:val="36"/>
        </w:rPr>
        <w:t>Nebenkosten und Ausstattung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Eine Warmmiete kennst du in den USA kaum: Die Miete (</w:t>
      </w:r>
      <w:r>
        <w:rPr>
          <w:rFonts w:eastAsia="Cambria" w:cs="Cambria"/>
          <w:b w:val="false"/>
          <w:bCs w:val="false"/>
          <w:i/>
          <w:iCs/>
          <w:sz w:val="22"/>
          <w:szCs w:val="22"/>
        </w:rPr>
        <w:t>Rent</w:t>
      </w:r>
      <w:r>
        <w:rPr>
          <w:rFonts w:eastAsia="Cambria" w:cs="Cambria"/>
          <w:b w:val="false"/>
          <w:bCs w:val="false"/>
          <w:i w:val="false"/>
          <w:iCs w:val="false"/>
          <w:sz w:val="22"/>
          <w:szCs w:val="22"/>
        </w:rPr>
        <w:t>) ist der Grundpreis, Strom, Gas, Wasser, Müll und Internet kommen oft hinzu. Richtwerte pro Monat: Strom 75–120 $, Gas 40–100 $ (ohne Gasgeräte 0–50 $), Wasser und Abwasser 30–60 $, Internet 40–75 $ (Glasfaser 70–110 $). Ohne Internet ergibt das für ein Studio 100–160 $, für 1BR 150–250 $ und für 2BR 200–350 $.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Strompreis lag im Juni 2026 im Schnitt bei 18,34 ¢ je kWh (EIA, plus 5 % zum Vorjahr). RentCafe (September 2026) rechnet höher: 335 $ (Wisconsin) bis 675 $ (Hawaii) inklusive Internet. Teuer sind Hawaii, Alaska und Connecticut, günstig Idaho, Washington und Utah. Manche Versorger verlangen ohne Kredithistorie eine Sicherheitsleistung.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In Inseraten meint </w:t>
      </w:r>
      <w:r>
        <w:rPr>
          <w:rFonts w:eastAsia="Cambria" w:cs="Cambria"/>
          <w:b w:val="false"/>
          <w:bCs w:val="false"/>
          <w:i/>
          <w:iCs/>
          <w:sz w:val="22"/>
          <w:szCs w:val="22"/>
        </w:rPr>
        <w:t>Utilities included</w:t>
      </w:r>
      <w:r>
        <w:rPr>
          <w:rFonts w:eastAsia="Cambria" w:cs="Cambria"/>
          <w:b w:val="false"/>
          <w:bCs w:val="false"/>
          <w:i w:val="false"/>
          <w:iCs w:val="false"/>
          <w:sz w:val="22"/>
          <w:szCs w:val="22"/>
        </w:rPr>
        <w:t xml:space="preserve"> meist nur Wasser und Müll; Strom und Internet zahlst du fast immer selbst. Frage, welche Posten pauschal enthalten sind.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Herd und Kühlschrank gehören meist zur Wohnung, eine Spülmaschine häufig, und in Neubauten oft auch eine Waschmaschine; sonst gibt es einen Waschraum im Haus, ältere New Yorker Häuser haben häufig keinen (Erfahrungswerte, regional verschieden). Die leere Küche, die du aus deutschen Mietwohnungen kennst, ist in den USA die Ausnahme. Möbel organisierst du selbst; ob du sie mitbringst oder vor Ort kaufst, klärt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Renters Insurance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w:t>
      </w:r>
      <w:r>
        <w:rPr>
          <w:rFonts w:eastAsia="Cambria" w:cs="Cambria"/>
          <w:b w:val="false"/>
          <w:bCs w:val="false"/>
          <w:i/>
          <w:iCs/>
          <w:sz w:val="22"/>
          <w:szCs w:val="22"/>
        </w:rPr>
        <w:t>Renters Insurance</w:t>
      </w:r>
      <w:r>
        <w:rPr>
          <w:rFonts w:eastAsia="Cambria" w:cs="Cambria"/>
          <w:b w:val="false"/>
          <w:bCs w:val="false"/>
          <w:i w:val="false"/>
          <w:iCs w:val="false"/>
          <w:sz w:val="22"/>
          <w:szCs w:val="22"/>
        </w:rPr>
        <w:t xml:space="preserve"> ist Hausrat- und Haftpflichtversicherung in einer Police. Sie ersetzt Möbel, Kleidung und Elektronik bei Feuer, Einbruch oder Leitungswasser und zahlt, wenn du einen Schaden verursachst, etwa einen Wasserschaden in der Wohnung darunter. Viele Vermieter fordern sie im Vertrag und den Nachweis vor dem Einzug.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Im Schnitt kostet sie 151 $ im Jahr, rund 13 $ im Monat, bei 30.000 $ Hausrat und 100.000 $ Haftpflicht (NerdWallet, Januar 2026); andere Quellen nennen 15–24 $ im Monat. Teuer sind Louisiana (266 $ im Jahr) und Mississippi (223 $), günstig Alaska (101 $) und Vermont (102 $). Hochwasser und Erdbeben sind meist nicht eingeschlossen. Mehr zu Versicherungen steht in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Übergangswohnen: möbliert und Corporate Housing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Corporate Housing sind möblierte Wohnungen auf Zeit, meist ab 30 Tagen Mindestaufenthalt, mit Strom und Internet im Preis. Sie geben dir Zeit für Bankkonto, SSN und Besichtigungen vor Ort.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Anbieterangaben für 2026: 1BR rund 3.300 $ im Monat (etwa 110 $ pro Tag), 2BR rund 5.300 $, 3BR rund 7.400 $. New York und San Francisco liegen bei etwa 4.000 $ für 1BR, Chicago bei 3.500 $, Los Angeles bei 3.000 $, Atlanta bei 2.000 $; in Spitzenlagen sind 5.000–7.500 $ üblich. Zwei Monate in einer 1BR kosten also rund 6.600 $. Längere Laufzeiten senken den Preis.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Alternativen sind Extended-Stay-Hotels und möblierte Monatsmieten über Vermittlungsportale. Manche Arbeitgeber übernehmen die ersten Wochen im Rahmen eines Relocation-Pakets: Frage vor der Vertragsunterschrift danach. Die ersten Tage nach der Landung beschreibt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Mieterrechte: 50 Staaten, 50 Regeln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Mietrecht (</w:t>
      </w:r>
      <w:r>
        <w:rPr>
          <w:rFonts w:eastAsia="Cambria" w:cs="Cambria"/>
          <w:b w:val="false"/>
          <w:bCs w:val="false"/>
          <w:i/>
          <w:iCs/>
          <w:sz w:val="22"/>
          <w:szCs w:val="22"/>
        </w:rPr>
        <w:t>Landlord-Tenant Law</w:t>
      </w:r>
      <w:r>
        <w:rPr>
          <w:rFonts w:eastAsia="Cambria" w:cs="Cambria"/>
          <w:b w:val="false"/>
          <w:bCs w:val="false"/>
          <w:i w:val="false"/>
          <w:iCs w:val="false"/>
          <w:sz w:val="22"/>
          <w:szCs w:val="22"/>
        </w:rPr>
        <w:t xml:space="preserve">) regeln die Bundesstaaten, teils die Städte – es gibt weder eine bundesweite Mietpreisbremse noch ein bundesweites Kündigungsschutzgesetz. Auf Bundesebene verbietet der </w:t>
      </w:r>
      <w:r>
        <w:rPr>
          <w:rFonts w:eastAsia="Cambria" w:cs="Cambria"/>
          <w:b w:val="false"/>
          <w:bCs w:val="false"/>
          <w:i/>
          <w:iCs/>
          <w:sz w:val="22"/>
          <w:szCs w:val="22"/>
        </w:rPr>
        <w:t>Fair Housing Act</w:t>
      </w:r>
      <w:r>
        <w:rPr>
          <w:rFonts w:eastAsia="Cambria" w:cs="Cambria"/>
          <w:b w:val="false"/>
          <w:bCs w:val="false"/>
          <w:i w:val="false"/>
          <w:iCs w:val="false"/>
          <w:sz w:val="22"/>
          <w:szCs w:val="22"/>
        </w:rPr>
        <w:t xml:space="preserve"> Benachteiligung bei der Wohnungsvergabe, unter anderem wegen der nationalen Herkunft; Beschwerden gehen an das Ministerium für Wohnungsbau und Stadtentwicklung (HUD). Die Tabelle zeigt, wie unterschiedlich die Landesregeln sind (Stand September 2026).</w:t>
      </w:r>
    </w:p>
    <w:tbl>
      <w:tblPr>
        <w:tblW w:w="6480" w:type="dxa"/>
        <w:jc w:val="left"/>
        <w:tblInd w:w="0" w:type="dxa"/>
        <w:tblLayout w:type="fixed"/>
        <w:tblCellMar>
          <w:top w:w="50" w:type="dxa"/>
          <w:left w:w="80" w:type="dxa"/>
          <w:bottom w:w="50" w:type="dxa"/>
          <w:right w:w="80" w:type="dxa"/>
        </w:tblCellMar>
      </w:tblPr>
      <w:tblGrid>
        <w:gridCol w:w="949"/>
        <w:gridCol w:w="1974"/>
        <w:gridCol w:w="950"/>
        <w:gridCol w:w="2606"/>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Staat</w:t>
            </w:r>
          </w:p>
        </w:tc>
        <w:tc>
          <w:tcPr>
            <w:tcW w:w="197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Kaution</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Frist bei Mietrückstand</w:t>
            </w:r>
          </w:p>
        </w:tc>
        <w:tc>
          <w:tcPr>
            <w:tcW w:w="260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Besonderheit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Kalifornien</w:t>
            </w:r>
          </w:p>
        </w:tc>
        <w:tc>
          <w:tcPr>
            <w:tcW w:w="19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höchstens 1 Monatsmiete; Rückgabe binnen 21 Tagen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 Tage</w:t>
            </w:r>
          </w:p>
        </w:tc>
        <w:tc>
          <w:tcPr>
            <w:tcW w:w="26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Erhöhungen bei älteren Gebäuden auf 5 % plus Inflation, höchstens 10 % im Jahr begrenzt (bis 2030)</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 York</w:t>
            </w:r>
          </w:p>
        </w:tc>
        <w:tc>
          <w:tcPr>
            <w:tcW w:w="19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höchstens 1 Monatsmiete; Rückgabe binnen 14 Tagen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 Tage</w:t>
            </w:r>
          </w:p>
        </w:tc>
        <w:tc>
          <w:tcPr>
            <w:tcW w:w="26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Mietstabilisierung in New York City; FARE Act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Texas</w:t>
            </w:r>
          </w:p>
        </w:tc>
        <w:tc>
          <w:tcPr>
            <w:tcW w:w="19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Deckel</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 Tage</w:t>
            </w:r>
          </w:p>
        </w:tc>
        <w:tc>
          <w:tcPr>
            <w:tcW w:w="26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Neue Räumungsverfahren seit 1. Januar 2026 (SB 38)</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Michigan</w:t>
            </w:r>
          </w:p>
        </w:tc>
        <w:tc>
          <w:tcPr>
            <w:tcW w:w="19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höchstens 1,5 Monatsmieten; Abrechnung binnen 30 Tagen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 Tage</w:t>
            </w:r>
          </w:p>
        </w:tc>
        <w:tc>
          <w:tcPr>
            <w:tcW w:w="26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Doppelter Schadensersatz bei unrechtmäßigem Einbehalt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Washington</w:t>
            </w:r>
          </w:p>
        </w:tc>
        <w:tc>
          <w:tcPr>
            <w:tcW w:w="19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landesweiter Deckel; Seattle: Kaution plus Gebühren höchstens 1 Monatsmiete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 Tage</w:t>
            </w:r>
          </w:p>
        </w:tc>
        <w:tc>
          <w:tcPr>
            <w:tcW w:w="26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Erhöhung höchstens 7 % plus Inflation, maximal 10 %; 90 Tage Vorlauf</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Fristen bei Mietrückstand zeigen den Kontrast zu Deutschland: Hier greift die fristlose Kündigung erst bei zwei Monatsmieten Rückstand, dort laufen Fristen in Tagen. Kannst du eine Miete nicht zahlen, sprich sofort mit dem Vermieter. Andererseits darf niemand eigenmächtig räumen: Schlösser wechseln oder Strom abstellen ist unzulässig, eine Räumung (</w:t>
      </w:r>
      <w:r>
        <w:rPr>
          <w:rFonts w:eastAsia="Cambria" w:cs="Cambria"/>
          <w:b w:val="false"/>
          <w:bCs w:val="false"/>
          <w:i/>
          <w:iCs/>
          <w:sz w:val="22"/>
          <w:szCs w:val="22"/>
        </w:rPr>
        <w:t>Eviction</w:t>
      </w:r>
      <w:r>
        <w:rPr>
          <w:rFonts w:eastAsia="Cambria" w:cs="Cambria"/>
          <w:b w:val="false"/>
          <w:bCs w:val="false"/>
          <w:i w:val="false"/>
          <w:iCs w:val="false"/>
          <w:sz w:val="22"/>
          <w:szCs w:val="22"/>
        </w:rPr>
        <w:t>) läuft über das Gericht.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Mietrecht ist Landesrecht. Was in Kalifornien gilt, muss in Texas nicht gelten. Lies deshalb die Seiten deiner Landes- oder Stadtbehörde und deinen Vertrag, nicht einen Ratgeber aus einem anderen Staat.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Vergleich mit dem deutschen Mietrecht</w:t>
      </w:r>
    </w:p>
    <w:tbl>
      <w:tblPr>
        <w:tblW w:w="6480" w:type="dxa"/>
        <w:jc w:val="left"/>
        <w:tblInd w:w="0" w:type="dxa"/>
        <w:tblLayout w:type="fixed"/>
        <w:tblCellMar>
          <w:top w:w="50" w:type="dxa"/>
          <w:left w:w="80" w:type="dxa"/>
          <w:bottom w:w="50" w:type="dxa"/>
          <w:right w:w="80" w:type="dxa"/>
        </w:tblCellMar>
      </w:tblPr>
      <w:tblGrid>
        <w:gridCol w:w="949"/>
        <w:gridCol w:w="2675"/>
        <w:gridCol w:w="2856"/>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Thema</w:t>
            </w:r>
          </w:p>
        </w:tc>
        <w:tc>
          <w:tcPr>
            <w:tcW w:w="267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Deutschland</w:t>
            </w:r>
          </w:p>
        </w:tc>
        <w:tc>
          <w:tcPr>
            <w:tcW w:w="285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USA</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Kündigungsschutz</w:t>
            </w:r>
          </w:p>
        </w:tc>
        <w:tc>
          <w:tcPr>
            <w:tcW w:w="26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Unbefristet üblich; Vermieter braucht ein berechtigtes Interesse (z. B. Eigenbedarf), Fristen ab drei Monaten</w:t>
            </w:r>
          </w:p>
        </w:tc>
        <w:tc>
          <w:tcPr>
            <w:tcW w:w="28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Meist zwölf Monate befristet; danach oft Verlängerung nach Ermessen des Vermieters, Kündigungsgründe nur in einzelnen Staaten (z. B. Kalifornien)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Mietpreisbremse</w:t>
            </w:r>
          </w:p>
        </w:tc>
        <w:tc>
          <w:tcPr>
            <w:tcW w:w="26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 angespannten Märkten Neuvertrag höchstens 10 % über der ortsüblichen Vergleichsmiete; verlängert bis 31. Dezember 2029</w:t>
            </w:r>
          </w:p>
        </w:tc>
        <w:tc>
          <w:tcPr>
            <w:tcW w:w="28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Bundesweit keine; Begrenzungen nur in einzelnen Staaten und Städten (z. B. Kalifornien, Washington, New York City)</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Nebenkosten</w:t>
            </w:r>
          </w:p>
        </w:tc>
        <w:tc>
          <w:tcPr>
            <w:tcW w:w="26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Vorauszahlung und jährliche Abrechnung mit Nachzahlung oder Guthaben</w:t>
            </w:r>
          </w:p>
        </w:tc>
        <w:tc>
          <w:tcPr>
            <w:tcW w:w="28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Strom, Gas, Internet direkt beim Versorger; Wasser und Müll pauschal oder monatlich; Jahresabrechnung selten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Kaution</w:t>
            </w:r>
          </w:p>
        </w:tc>
        <w:tc>
          <w:tcPr>
            <w:tcW w:w="26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Höchstens drei Nettokaltmieten (§ 551 BGB)</w:t>
            </w:r>
          </w:p>
        </w:tc>
        <w:tc>
          <w:tcPr>
            <w:tcW w:w="28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Deckel je Staat (eine Monatsmiete bis keiner); Rückgabe in 14–60 Tagen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Fallen: Fake-Anzeigen und Vorauszahlungsbetrug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Nachricht kommt erstaunlich schnell, klingt freundlich und bietet noch vor der ersten Besichtigung einen Link zur Anzahlung an – genau so beginnen die meisten Fälle, die die US-Verbraucherbehörde FTC zählt: Von Januar 2020 bis Juni 2025 knapp 65.000 Meldungen über Mietbetrug mit rund 65 Millionen $ Schaden; der mittlere Verlust lag bei 1.000 $. Rund die Hälfte der Fälle begann auf Facebook, 16 % auf Craigslist. Für Neuankömmlinge ist das Risiko höher, weil sie die Wohnung oft nicht besichtigen können.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Warnsignale sind ein Preis weit unter dem Markt, die Forderung nach Vorauszahlung vor der Besichtigung, ein Objekt, das zugleich zum Verkauf steht, wechselnde Kontaktdaten und Zeitdruck. Weitere Muster: „Bonitätsprüfungen“ auf fremden Websites, die in Abo-Fallen oder Identitätsdiebstahl (SSN, Führerschein) münden, und gefälschte Codes für Schlüsselkästen.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Zahle keine Kaution, Miete oder Gebühr, bevor du die Wohnung gesehen hast, persönlich oder per Live-Videotour, und einen schriftlichen Mietvertrag hast. Zahle nie per Bargeld, Geschenkkarte oder Kryptowährung. Prüfe, ob das Inserat auch auf der Website der Hausverwaltung steht und ob der Eigentümer laut Grundstücksunterlagen des County (meist online einsehbar) stimmt.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Fallen: Junk Fees und Maklergebühr</w:t>
      </w:r>
    </w:p>
    <w:p>
      <w:pPr>
        <w:pStyle w:val="Normal"/>
        <w:keepNext w:val="false"/>
        <w:keepLines w:val="false"/>
        <w:spacing w:lineRule="exact" w:line="288" w:before="0" w:after="140"/>
        <w:jc w:val="left"/>
        <w:rPr/>
      </w:pPr>
      <w:r>
        <w:rPr>
          <w:rFonts w:eastAsia="Cambria" w:cs="Cambria"/>
          <w:b w:val="false"/>
          <w:bCs w:val="false"/>
          <w:i/>
          <w:iCs/>
          <w:sz w:val="22"/>
          <w:szCs w:val="22"/>
        </w:rPr>
        <w:t>Junk Fees</w:t>
      </w:r>
      <w:r>
        <w:rPr>
          <w:rFonts w:eastAsia="Cambria" w:cs="Cambria"/>
          <w:b w:val="false"/>
          <w:bCs w:val="false"/>
          <w:i w:val="false"/>
          <w:iCs w:val="false"/>
          <w:sz w:val="22"/>
          <w:szCs w:val="22"/>
        </w:rPr>
        <w:t xml:space="preserve"> sind Zusatzgebühren, die im Inserat fehlen: Verwaltungsgebühr, Pflichtpakete für Internet oder Müllabholung an der Haustür, Paketannahme, Gebühr für Gemeinschaftsflächen, Tier- und Stellplatzgebühren. Nach Angaben der Stadt Seattle können sie 10–30 % auf die Miete aufschlagen.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13. April 2026 forderten 27 Generalstaatsanwälte von der FTC bundesweite Standards. Seattle hat beschlossen, ab 1. Juli 2027 alle nicht ausdrücklich erlaubten Gebühren zu verbieten und die Offenlegung aller Pflicht- und Zusatzgebühren im Inserat zu verlangen.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Vergleiche Wohnungen nicht nach der Inseratsmiete, sondern nach den Gesamtkosten im Monat: Miete, Pflichtgebühren, Nebenkosten und Versicherung. Lass dir diese Summe vor der Bewerbung schriftlich nennen.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In New York City zahlten Mietende bei einer Vermittlung bisher oft 10–15 % der Jahresmiete an den Makler, bei 3.000 $ Monatsmiete also 3.600–5.400 $. Der </w:t>
      </w:r>
      <w:r>
        <w:rPr>
          <w:rFonts w:eastAsia="Cambria" w:cs="Cambria"/>
          <w:b w:val="false"/>
          <w:bCs w:val="false"/>
          <w:i/>
          <w:iCs/>
          <w:sz w:val="22"/>
          <w:szCs w:val="22"/>
        </w:rPr>
        <w:t>FARE Act</w:t>
      </w:r>
      <w:r>
        <w:rPr>
          <w:rFonts w:eastAsia="Cambria" w:cs="Cambria"/>
          <w:b w:val="false"/>
          <w:bCs w:val="false"/>
          <w:i w:val="false"/>
          <w:iCs w:val="false"/>
          <w:sz w:val="22"/>
          <w:szCs w:val="22"/>
        </w:rPr>
        <w:t xml:space="preserve"> (Fairness in Apartment Rental Expenses Act, seit 11. Juni 2025) kehrt das um: Wer den Makler beauftragt, meist der Vermieter, zahlt ihn.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Du darfst freiwillig einen eigenen Makler beauftragen, doch niemand darf dich dazu zwingen; Prüfgebühren bleiben erlaubt. Bei Verstößen drohen Bußgeld, Rückerstattung und private Klagen. Das Berufungsgericht (2nd Circuit) wies die Klagen der Immobilienbranche am 13. Juli 2026 ab; weitere Rechtsmittel sind möglich.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Verlangt in New York ein Makler des Vermieters Geld von dir, fordere die Zahlung zurück und melde den Fall der städtischen Verbraucherbehörde (DCWP). Außerhalb New Yorks unterscheiden sich Maklergebühren je Markt: Frage vor der Besichtigung, wer den Makler bezahlt.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Auszug und Kaution zurück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Kündige schriftlich und halte die im Vertrag genannte Frist ein, meist ein bis zwei Monate vor Vertragsende. Die Wohnung gibst du im Zustand des Einzugs zurück, abzüglich normaler Abnutzung (</w:t>
      </w:r>
      <w:r>
        <w:rPr>
          <w:rFonts w:eastAsia="Cambria" w:cs="Cambria"/>
          <w:b w:val="false"/>
          <w:bCs w:val="false"/>
          <w:i/>
          <w:iCs/>
          <w:sz w:val="22"/>
          <w:szCs w:val="22"/>
        </w:rPr>
        <w:t>Normal Wear and Tear</w:t>
      </w:r>
      <w:r>
        <w:rPr>
          <w:rFonts w:eastAsia="Cambria" w:cs="Cambria"/>
          <w:b w:val="false"/>
          <w:bCs w:val="false"/>
          <w:i w:val="false"/>
          <w:iCs w:val="false"/>
          <w:sz w:val="22"/>
          <w:szCs w:val="22"/>
        </w:rPr>
        <w:t>): Kleine Gebrauchsspuren gehören dazu, Löcher in der Wand oder Flecken im Teppich nicht.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Fotografiere alles, gib die Schlüssel gegen Quittung ab und hinterlege eine Weiterleitungsadresse; in Michigan solltest du sie binnen vier Tagen nach dem Auszug mitteilen. Der Vermieter muss die Kaution je nach Staat binnen 14 bis 60 Tagen zurückzahlen oder einzeln abrechnen. Bleibt er dir Geld schuldig, hilft das </w:t>
      </w:r>
      <w:r>
        <w:rPr>
          <w:rFonts w:eastAsia="Cambria" w:cs="Cambria"/>
          <w:b w:val="false"/>
          <w:bCs w:val="false"/>
          <w:i/>
          <w:iCs/>
          <w:sz w:val="22"/>
          <w:szCs w:val="22"/>
        </w:rPr>
        <w:t>Small Claims Court</w:t>
      </w:r>
      <w:r>
        <w:rPr>
          <w:rFonts w:eastAsia="Cambria" w:cs="Cambria"/>
          <w:b w:val="false"/>
          <w:bCs w:val="false"/>
          <w:i w:val="false"/>
          <w:iCs w:val="false"/>
          <w:sz w:val="22"/>
          <w:szCs w:val="22"/>
        </w:rPr>
        <w:t>, ein vereinfachtes Gericht für kleinere Streitwerte, meist ohne Anwalt.</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Küchengeräte sind meist inklusive; neue Anlagen bieten Fitnessraum, Pool und Waschküche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Credit Score brauchst du Zusatzsicherheiten (Bürgschaft, Vorauszahlung, höhere Kaution)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Viele Märkte mit stagnierenden Mieten, Rabatten und Verhandlungsspielraum</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Beim Einzug fallen schnell 3.000–15.000 $ an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Reparaturen und Instandhaltung liegen beim Vermieter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Gebühren pro Person, Nebenkosten und Versicherung kommen obendrauf</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 zwölf Monaten kannst du ohne Verkaufsrisiko weiterziehen (Job, Visum)</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Vorzeitiger Auszug kostet meist ein bis zwei Monatsmieten oder mehr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Suche, Antrag und Prüfung laufen digital, meist binnen Tagen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Mieterschutz ist Landesrecht und oft dünner als in Deutschland; Fristen bei Mietrückstand teils nur drei Tage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Miete ist planbar, ohne Grundsteuer und Reparaturrisiko</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Betrug und Junk Fees treffen Neuankömmlinge aus dem Ausland besonders</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Lege vor dem Abflug dein Mietbudget nach der Dreifach-Regel fest, sammle deine Unterlagen und plane die ersten 30 Tage möbliert. Suche die Wohnung nach der Landung vor Ort, möglichst mit SSN und US-Konto (Kapitel </w:t>
      </w:r>
      <w:hyperlink w:anchor="k24">
        <w:r>
          <w:rPr>
            <w:rStyle w:val="ListLabel115"/>
            <w:rFonts w:eastAsia="Cambria" w:cs="Cambria"/>
            <w:b w:val="false"/>
            <w:bCs w:val="false"/>
            <w:i w:val="false"/>
            <w:iCs w:val="false"/>
            <w:sz w:val="22"/>
            <w:szCs w:val="22"/>
          </w:rPr>
          <w:t>24</w:t>
        </w:r>
      </w:hyperlink>
      <w:r>
        <w:rPr>
          <w:rFonts w:eastAsia="Cambria" w:cs="Cambria"/>
          <w:b w:val="false"/>
          <w:bCs w:val="false"/>
          <w:i w:val="false"/>
          <w:iCs w:val="false"/>
          <w:sz w:val="22"/>
          <w:szCs w:val="22"/>
        </w:rPr>
        <w:t xml:space="preserve"> und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 Ob später ein Kauf infrage kommt, klärt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als Faustregel gilt dort eine Haltedauer von mindestens fünf Jahren.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Mietbudget festlegen: Monatsmiete höchstens ein Drittel des Bruttoeinkommens, dazu 150–300 $ Nebenkosten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Offer Letter mit Gehalt und Startdatum als PDF bereithalten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Drei Monate Kontoauszüge und eine englische Referenz des bisherigen Vermieters besorgen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Erste 30 Tage möbliert planen und den Arbeitgeber nach Relocation-Unterstützung fragen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US-Konto so früh wie möglich eröffnen (Kapitel </w:t>
            </w:r>
            <w:hyperlink w:anchor="k25">
              <w:r>
                <w:rPr>
                  <w:rStyle w:val="ListLabel114"/>
                  <w:rFonts w:eastAsia="Cambria" w:cs="Cambria"/>
                  <w:b w:val="false"/>
                  <w:bCs w:val="false"/>
                  <w:i w:val="false"/>
                  <w:iCs w:val="false"/>
                  <w:sz w:val="20"/>
                  <w:szCs w:val="20"/>
                </w:rPr>
                <w:t>25</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jeder Bewerbung die Gesamtkosten im Monat (Miete, Pflichtgebühren, Nebenkosten) schriftlich erfragen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Bewerbungsgebühren pro Person und Wohnung zusammenrechnen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Nie zahlen, bevor du die Wohnung gesehen und einen Vertrag hast; Vermieter und Adresse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Mietvertrag komplett lesen: Laufzeit, Verlängerung, Break-Lease, Untervermietung, Gebühren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Renters Insurance abschließen und den Nachweis an die Verwaltung schicken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Beim Einzug jeden Raum fotografieren und die Übergabeliste ausfüllen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HUD (Ministerium für Wohnungsbau und Stadtentwicklung) — Fair Housing Act und Beschwerden bei Diskriminierung (</w:t>
      </w:r>
      <w:hyperlink r:id="rId129">
        <w:r>
          <w:rPr>
            <w:rStyle w:val="ListLabel113"/>
            <w:rFonts w:eastAsia="Cambria" w:cs="Cambria"/>
            <w:b w:val="false"/>
            <w:bCs w:val="false"/>
            <w:i w:val="false"/>
            <w:iCs w:val="false"/>
            <w:color w:val="0563C1"/>
            <w:sz w:val="22"/>
            <w:szCs w:val="22"/>
            <w:u w:val="single"/>
          </w:rPr>
          <w:t>hud.gov/fairhousing</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FTC — Warnungen zu Mietbetrug (</w:t>
      </w:r>
      <w:hyperlink r:id="rId130">
        <w:r>
          <w:rPr>
            <w:rStyle w:val="ListLabel113"/>
            <w:rFonts w:eastAsia="Cambria" w:cs="Cambria"/>
            <w:b w:val="false"/>
            <w:bCs w:val="false"/>
            <w:i w:val="false"/>
            <w:iCs w:val="false"/>
            <w:color w:val="0563C1"/>
            <w:sz w:val="22"/>
            <w:szCs w:val="22"/>
            <w:u w:val="single"/>
          </w:rPr>
          <w:t>consumer.ftc.gov</w:t>
        </w:r>
      </w:hyperlink>
      <w:r>
        <w:rPr>
          <w:rFonts w:eastAsia="Cambria" w:cs="Cambria"/>
          <w:b w:val="false"/>
          <w:bCs w:val="false"/>
          <w:i w:val="false"/>
          <w:iCs w:val="false"/>
          <w:sz w:val="22"/>
          <w:szCs w:val="22"/>
        </w:rPr>
        <w:t>) und Betrug melden (</w:t>
      </w:r>
      <w:hyperlink r:id="rId131">
        <w:r>
          <w:rPr>
            <w:rStyle w:val="ListLabel113"/>
            <w:rFonts w:eastAsia="Cambria" w:cs="Cambria"/>
            <w:b w:val="false"/>
            <w:bCs w:val="false"/>
            <w:i w:val="false"/>
            <w:iCs w:val="false"/>
            <w:color w:val="0563C1"/>
            <w:sz w:val="22"/>
            <w:szCs w:val="22"/>
            <w:u w:val="single"/>
          </w:rPr>
          <w:t>reportfraud.ftc.gov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NYC Department of Consumer and Worker Protection — FARE Act und Maklergebühren (</w:t>
      </w:r>
      <w:hyperlink r:id="rId132">
        <w:r>
          <w:rPr>
            <w:rStyle w:val="ListLabel113"/>
            <w:rFonts w:eastAsia="Cambria" w:cs="Cambria"/>
            <w:b w:val="false"/>
            <w:bCs w:val="false"/>
            <w:i w:val="false"/>
            <w:iCs w:val="false"/>
            <w:color w:val="0563C1"/>
            <w:sz w:val="22"/>
            <w:szCs w:val="22"/>
            <w:u w:val="single"/>
          </w:rPr>
          <w:t>nyc.gov/site/dca/about/FAQ-Broker-Fees.page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Stadt Seattle — Kaution, Einzugsgebühren und Mieterrechte (</w:t>
      </w:r>
      <w:hyperlink r:id="rId133">
        <w:r>
          <w:rPr>
            <w:rStyle w:val="ListLabel113"/>
            <w:rFonts w:eastAsia="Cambria" w:cs="Cambria"/>
            <w:b w:val="false"/>
            <w:bCs w:val="false"/>
            <w:i w:val="false"/>
            <w:iCs w:val="false"/>
            <w:color w:val="0563C1"/>
            <w:sz w:val="22"/>
            <w:szCs w:val="22"/>
            <w:u w:val="single"/>
          </w:rPr>
          <w:t>seattle.gov/rentinginseattle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Michigan Legal Help — Kaution und Mietrückstand in Michigan (</w:t>
      </w:r>
      <w:hyperlink r:id="rId134">
        <w:r>
          <w:rPr>
            <w:rStyle w:val="ListLabel113"/>
            <w:rFonts w:eastAsia="Cambria" w:cs="Cambria"/>
            <w:b w:val="false"/>
            <w:bCs w:val="false"/>
            <w:i w:val="false"/>
            <w:iCs w:val="false"/>
            <w:color w:val="0563C1"/>
            <w:sz w:val="22"/>
            <w:szCs w:val="22"/>
            <w:u w:val="single"/>
          </w:rPr>
          <w:t>michiganlegalhelp.org</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Washington State Department of Commerce — Mieterhöhungen (</w:t>
      </w:r>
      <w:hyperlink r:id="rId135">
        <w:r>
          <w:rPr>
            <w:rStyle w:val="ListLabel113"/>
            <w:rFonts w:eastAsia="Cambria" w:cs="Cambria"/>
            <w:b w:val="false"/>
            <w:bCs w:val="false"/>
            <w:i w:val="false"/>
            <w:iCs w:val="false"/>
            <w:color w:val="0563C1"/>
            <w:sz w:val="22"/>
            <w:szCs w:val="22"/>
            <w:u w:val="single"/>
          </w:rPr>
          <w:t>commerce.wa.gov/housing-policy/hb1217-landlord-resource-center</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Bundesministerium der Justiz — deutsches Mietrecht, §§ 535 ff. BGB (</w:t>
      </w:r>
      <w:hyperlink r:id="rId136">
        <w:r>
          <w:rPr>
            <w:rStyle w:val="ListLabel113"/>
            <w:rFonts w:eastAsia="Cambria" w:cs="Cambria"/>
            <w:b w:val="false"/>
            <w:bCs w:val="false"/>
            <w:i w:val="false"/>
            <w:iCs w:val="false"/>
            <w:color w:val="0563C1"/>
            <w:sz w:val="22"/>
            <w:szCs w:val="22"/>
            <w:u w:val="single"/>
          </w:rPr>
          <w:t>gesetze-im-internet.de/bgb</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schnell: Mieten (je Markt monatlich), Bewerbungsgebühren und Kautionsregeln (Landesgesetze werden häufig angepasst), Preise für Bürgschaft und Corporate Housing, Strompreise, der FARE Act (weitere Rechtsmittel möglich) und das Gebührenverbot der Stadt Seattle (ab 1. Juli 2027). Prüfe vor jeder Unterschrift Mietvertrag und aktuelle Regeln deines Staates.</w:t>
            </w:r>
          </w:p>
        </w:tc>
      </w:tr>
    </w:tbl>
    <w:p>
      <w:pPr>
        <w:pStyle w:val="Normal"/>
        <w:spacing w:lineRule="exact" w:line="220" w:before="0" w:after="0"/>
        <w:rPr/>
      </w:pPr>
      <w:r>
        <w:rPr/>
      </w:r>
      <w:r>
        <w:br w:type="page"/>
      </w:r>
    </w:p>
    <w:p>
      <w:pPr>
        <w:pStyle w:val="Heading2"/>
        <w:keepNext w:val="true"/>
        <w:spacing w:before="0" w:after="300"/>
        <w:jc w:val="center"/>
        <w:rPr/>
      </w:pPr>
      <w:bookmarkStart w:id="38" w:name="__RefHeading___Toc56459_3769931028"/>
      <w:bookmarkStart w:id="39" w:name="k14"/>
      <w:bookmarkEnd w:id="38"/>
      <w:r>
        <w:rPr>
          <w:rFonts w:eastAsia="Amazon Ember" w:cs="Amazon Ember" w:ascii="Amazon Ember" w:hAnsi="Amazon Ember"/>
          <w:b/>
          <w:bCs/>
          <w:color w:val="0000FF"/>
          <w:sz w:val="36"/>
          <w:szCs w:val="36"/>
        </w:rPr>
        <w:t>Kapitel 14: Kaufen in den USA und Hypotheken-Know-how</w:t>
      </w:r>
      <w:bookmarkEnd w:id="39"/>
    </w:p>
    <w:p>
      <w:pPr>
        <w:pStyle w:val="Normal"/>
        <w:keepNext w:val="false"/>
        <w:keepLines w:val="false"/>
        <w:spacing w:lineRule="exact" w:line="288" w:before="0" w:after="140"/>
        <w:jc w:val="left"/>
        <w:rPr/>
      </w:pPr>
      <w:r>
        <w:rPr>
          <w:rFonts w:eastAsia="Cambria" w:cs="Cambria"/>
          <w:b w:val="false"/>
          <w:bCs w:val="false"/>
          <w:i w:val="false"/>
          <w:iCs w:val="false"/>
          <w:sz w:val="22"/>
          <w:szCs w:val="22"/>
        </w:rPr>
        <w:t>Im Vorgarten steckt ein Schild „For Sale“, drei Tage später hängt darunter „Under Contract“. Im August 2026 dauerte es im Median 31 Tage, bis ein bestehendes Haus vermarktet war, und 27 % der Käufe liefen ganz ohne Kredit. Wer als Visa-Inhaber mitbieten will, muss vorher zwei Fragen klären, die sich deutsche Käufer selten so scharf stellen: Bekomme ich überhaupt eine Finanzierung? Und rechnet sich der Kauf, wenn mein Aufenthalt am Arbeitgeber hängt?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Kaufen lohnt sich rechnerisch meist erst nach fünf bis zehn Jahren am selben Ort: Kauf und Verkauf kosten zusammen rund 10 % des Preises. Das erste Jahr mietest du besser (Kapitel </w:t>
            </w:r>
            <w:hyperlink w:anchor="k13">
              <w:r>
                <w:rPr>
                  <w:rStyle w:val="ListLabel114"/>
                  <w:rFonts w:eastAsia="Cambria" w:cs="Cambria"/>
                  <w:b w:val="false"/>
                  <w:bCs w:val="false"/>
                  <w:i w:val="false"/>
                  <w:iCs w:val="false"/>
                  <w:sz w:val="20"/>
                  <w:szCs w:val="20"/>
                </w:rPr>
                <w:t>13</w:t>
              </w:r>
            </w:hyperlink>
            <w:r>
              <w:rPr>
                <w:rFonts w:eastAsia="Cambria" w:cs="Cambria"/>
                <w:b w:val="false"/>
                <w:bCs w:val="false"/>
                <w:i w:val="false"/>
                <w:iCs w:val="false"/>
                <w:sz w:val="20"/>
                <w:szCs w:val="20"/>
              </w:rPr>
              <w:t>).</w:t>
            </w:r>
          </w:p>
          <w:p>
            <w:pPr>
              <w:pStyle w:val="ListParagraph"/>
              <w:numPr>
                <w:ilvl w:val="0"/>
                <w:numId w:val="1"/>
              </w:numPr>
              <w:spacing w:lineRule="exact" w:line="264" w:before="0" w:after="50"/>
              <w:rPr/>
            </w:pPr>
            <w:r>
              <w:rPr>
                <w:rFonts w:eastAsia="Cambria" w:cs="Cambria"/>
                <w:b w:val="false"/>
                <w:bCs w:val="false"/>
                <w:i w:val="false"/>
                <w:iCs w:val="false"/>
                <w:sz w:val="20"/>
                <w:szCs w:val="20"/>
              </w:rPr>
              <w:t>FHA-Kredite (staatlich abgesicherte Kredite mit kleiner Anzahlung) stehen Visa-Inhabern seit 25. Mai 2025 nicht mehr offen. Bleiben Konformkredite nach den Regeln von Fannie Mae und Freddie Mac (mit SSN, US-Kredithistorie und oft mindestens einem Jahr Visum-Restlaufzeit) und Non-QM-Kredite mit 20–50 % Anzahlung.</w:t>
            </w:r>
          </w:p>
          <w:p>
            <w:pPr>
              <w:pStyle w:val="ListParagraph"/>
              <w:numPr>
                <w:ilvl w:val="0"/>
                <w:numId w:val="1"/>
              </w:numPr>
              <w:spacing w:lineRule="exact" w:line="264" w:before="0" w:after="50"/>
              <w:rPr/>
            </w:pPr>
            <w:r>
              <w:rPr>
                <w:rFonts w:eastAsia="Cambria" w:cs="Cambria"/>
                <w:b w:val="false"/>
                <w:bCs w:val="false"/>
                <w:i w:val="false"/>
                <w:iCs w:val="false"/>
                <w:sz w:val="20"/>
                <w:szCs w:val="20"/>
              </w:rPr>
              <w:t>Der 30-Jahres-Festzins lag am 17. September 2026 bei 6,95 %. Ein Haus für 500.000 $ kostet mit 20 % Anzahlung rund 3.314 $ im Monat, mit 10 % Anzahlung rund 3.833 $, jeweils mit Grundsteuer und Versicherung.</w:t>
            </w:r>
          </w:p>
          <w:p>
            <w:pPr>
              <w:pStyle w:val="ListParagraph"/>
              <w:numPr>
                <w:ilvl w:val="0"/>
                <w:numId w:val="1"/>
              </w:numPr>
              <w:spacing w:lineRule="exact" w:line="264" w:before="0" w:after="50"/>
              <w:rPr/>
            </w:pPr>
            <w:r>
              <w:rPr>
                <w:rFonts w:eastAsia="Cambria" w:cs="Cambria"/>
                <w:b w:val="false"/>
                <w:bCs w:val="false"/>
                <w:i w:val="false"/>
                <w:iCs w:val="false"/>
                <w:sz w:val="20"/>
                <w:szCs w:val="20"/>
              </w:rPr>
              <w:t>Zur Anzahlung kommen 2–5 % Abschlusskosten: Bei 500.000 $ Kaufpreis brauchst du 60.000–125.000 $ Bargeld.</w:t>
            </w:r>
          </w:p>
          <w:p>
            <w:pPr>
              <w:pStyle w:val="ListParagraph"/>
              <w:numPr>
                <w:ilvl w:val="0"/>
                <w:numId w:val="1"/>
              </w:numPr>
              <w:spacing w:lineRule="exact" w:line="264" w:before="0" w:after="50"/>
              <w:rPr/>
            </w:pPr>
            <w:r>
              <w:rPr>
                <w:rFonts w:eastAsia="Cambria" w:cs="Cambria"/>
                <w:b w:val="false"/>
                <w:bCs w:val="false"/>
                <w:i w:val="false"/>
                <w:iCs w:val="false"/>
                <w:sz w:val="20"/>
                <w:szCs w:val="20"/>
              </w:rPr>
              <w:t>Grundsteuer (etwa 0,3–1,9 % des Werts pro Jahr) und Hausversicherung (grob 1.000–7.000 $ pro Jahr) hängen stark vom Bundesstaat ab.</w:t>
            </w:r>
          </w:p>
          <w:p>
            <w:pPr>
              <w:pStyle w:val="ListParagraph"/>
              <w:numPr>
                <w:ilvl w:val="0"/>
                <w:numId w:val="1"/>
              </w:numPr>
              <w:spacing w:lineRule="exact" w:line="264" w:before="0" w:after="50"/>
              <w:rPr/>
            </w:pPr>
            <w:r>
              <w:rPr>
                <w:rFonts w:eastAsia="Cambria" w:cs="Cambria"/>
                <w:b w:val="false"/>
                <w:bCs w:val="false"/>
                <w:i w:val="false"/>
                <w:iCs w:val="false"/>
                <w:sz w:val="20"/>
                <w:szCs w:val="20"/>
              </w:rPr>
              <w:t>Statt Notar und Grundbuch arbeiten eine Titelgesellschaft und ein Treuhänder für dich; eine Titelversicherung deckt das Restrisiko.</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Mieten oder kaufen: die Rechnung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Miete ist verlorenes Geld, ein Kauf dagegen automatisch Vermögensaufbau. Tatsächlich zeigt die Rechnung weiter unten: Ob sich ein Kauf lohnt, hängt von Haltedauer und Wertzuwachs ab – beides Annahmen, keine Garantien. Die Eigentumsquote lag im zweiten Quartal 2026 bei 65,0 % (Census). Das spiegelt Kultur, Steuerrecht und Zinsen, aber keinen Rechenvorteil für jeden Einzelfall. Für dich zählt ein nüchterner Vergleich.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Eine erste Orientierung gibt das </w:t>
      </w:r>
      <w:r>
        <w:rPr>
          <w:rFonts w:eastAsia="Cambria" w:cs="Cambria"/>
          <w:b w:val="false"/>
          <w:bCs w:val="false"/>
          <w:i/>
          <w:iCs/>
          <w:sz w:val="22"/>
          <w:szCs w:val="22"/>
        </w:rPr>
        <w:t>Price-to-Rent-Verhältnis</w:t>
      </w:r>
      <w:r>
        <w:rPr>
          <w:rFonts w:eastAsia="Cambria" w:cs="Cambria"/>
          <w:b w:val="false"/>
          <w:bCs w:val="false"/>
          <w:i w:val="false"/>
          <w:iCs w:val="false"/>
          <w:sz w:val="22"/>
          <w:szCs w:val="22"/>
        </w:rPr>
        <w:t xml:space="preserve">: Kaufpreis geteilt durch die Jahresmiete einer vergleichbaren Wohnung. Der Median für bestehende Häuser lag im August 2026 bei 429.100 $ (NAR, </w:t>
      </w:r>
      <w:r>
        <w:rPr>
          <w:rFonts w:eastAsia="Cambria" w:cs="Cambria"/>
          <w:b w:val="false"/>
          <w:bCs w:val="false"/>
          <w:i/>
          <w:iCs/>
          <w:sz w:val="22"/>
          <w:szCs w:val="22"/>
        </w:rPr>
        <w:t>National Association of Realtors</w:t>
      </w:r>
      <w:r>
        <w:rPr>
          <w:rFonts w:eastAsia="Cambria" w:cs="Cambria"/>
          <w:b w:val="false"/>
          <w:bCs w:val="false"/>
          <w:i w:val="false"/>
          <w:iCs w:val="false"/>
          <w:sz w:val="22"/>
          <w:szCs w:val="22"/>
        </w:rPr>
        <w:t>, der US-Maklerverband). Geteilt durch die Zillow-Angebotsmiete von 1.962 $ pro Monat ergibt das 18,2, geteilt durch die Apartment-List-Medianmiete von 1.390 $ sind es 25,7. Als Faustregel spricht ein Wert über 20 eher fürs Mieten. Die Datenquellen sind nicht vergleichbar, und Median-Haus gegen Median-Wohnung hinkt. Rechne deshalb mit deinem konkreten Objekt und der Miete eines wirklich vergleichbaren Hauses.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Genauer wird eine Modellrechnung: Haus für 500.000 $, 10 % Anzahlung, 6,95 % Zins, Grundsteuer 1 %, Versicherung 3.000 $, PMI 0,5 %, Instandhaltung 1 %. Dazu angenommen: Kaufkosten 3 %, Verkaufskosten 7 %, Kapitalkosten 4 % (was das gebundene Geld anderswo einbrächte) und Mietsteigerung 3 % pro Jahr. Die Tabelle nennt die Anfangsmiete in Dollar pro Monat, ab der Kaufen günstiger ist (eigene Modellrechnung, Stand 09/2026).</w:t>
      </w:r>
    </w:p>
    <w:tbl>
      <w:tblPr>
        <w:tblW w:w="6480" w:type="dxa"/>
        <w:jc w:val="left"/>
        <w:tblInd w:w="0" w:type="dxa"/>
        <w:tblLayout w:type="fixed"/>
        <w:tblCellMar>
          <w:top w:w="50" w:type="dxa"/>
          <w:left w:w="80" w:type="dxa"/>
          <w:bottom w:w="50" w:type="dxa"/>
          <w:right w:w="80" w:type="dxa"/>
        </w:tblCellMar>
      </w:tblPr>
      <w:tblGrid>
        <w:gridCol w:w="1820"/>
        <w:gridCol w:w="1648"/>
        <w:gridCol w:w="1506"/>
        <w:gridCol w:w="1505"/>
      </w:tblGrid>
      <w:tr>
        <w:trPr>
          <w:tblHeader w:val="true"/>
          <w:cantSplit w:val="true"/>
        </w:trPr>
        <w:tc>
          <w:tcPr>
            <w:tcW w:w="182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Haltedauer</w:t>
            </w:r>
          </w:p>
        </w:tc>
        <w:tc>
          <w:tcPr>
            <w:tcW w:w="164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Kein Wertzuwachs</w:t>
            </w:r>
          </w:p>
        </w:tc>
        <w:tc>
          <w:tcPr>
            <w:tcW w:w="150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2 % pro Jahr</w:t>
            </w:r>
          </w:p>
        </w:tc>
        <w:tc>
          <w:tcPr>
            <w:tcW w:w="150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4 % pro Jahr</w:t>
            </w:r>
          </w:p>
        </w:tc>
      </w:tr>
      <w:tr>
        <w:trPr>
          <w:cantSplit w:val="true"/>
        </w:trPr>
        <w:tc>
          <w:tcPr>
            <w:tcW w:w="18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Drei Jahre</w:t>
            </w:r>
          </w:p>
        </w:tc>
        <w:tc>
          <w:tcPr>
            <w:tcW w:w="16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5.296</w:t>
            </w:r>
          </w:p>
        </w:tc>
        <w:tc>
          <w:tcPr>
            <w:tcW w:w="15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4.540</w:t>
            </w:r>
          </w:p>
        </w:tc>
        <w:tc>
          <w:tcPr>
            <w:tcW w:w="15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3.754</w:t>
            </w:r>
          </w:p>
        </w:tc>
      </w:tr>
      <w:tr>
        <w:trPr>
          <w:cantSplit w:val="true"/>
        </w:trPr>
        <w:tc>
          <w:tcPr>
            <w:tcW w:w="18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Fünf Jahre</w:t>
            </w:r>
          </w:p>
        </w:tc>
        <w:tc>
          <w:tcPr>
            <w:tcW w:w="16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4.615</w:t>
            </w:r>
          </w:p>
        </w:tc>
        <w:tc>
          <w:tcPr>
            <w:tcW w:w="15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3.875</w:t>
            </w:r>
          </w:p>
        </w:tc>
        <w:tc>
          <w:tcPr>
            <w:tcW w:w="15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3.074</w:t>
            </w:r>
          </w:p>
        </w:tc>
      </w:tr>
      <w:tr>
        <w:trPr>
          <w:cantSplit w:val="true"/>
        </w:trPr>
        <w:tc>
          <w:tcPr>
            <w:tcW w:w="18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Sieben Jahre</w:t>
            </w:r>
          </w:p>
        </w:tc>
        <w:tc>
          <w:tcPr>
            <w:tcW w:w="16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4.257</w:t>
            </w:r>
          </w:p>
        </w:tc>
        <w:tc>
          <w:tcPr>
            <w:tcW w:w="15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3.532</w:t>
            </w:r>
          </w:p>
        </w:tc>
        <w:tc>
          <w:tcPr>
            <w:tcW w:w="15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2.715</w:t>
            </w:r>
          </w:p>
        </w:tc>
      </w:tr>
      <w:tr>
        <w:trPr>
          <w:cantSplit w:val="true"/>
        </w:trPr>
        <w:tc>
          <w:tcPr>
            <w:tcW w:w="18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Zehn Jahre</w:t>
            </w:r>
          </w:p>
        </w:tc>
        <w:tc>
          <w:tcPr>
            <w:tcW w:w="16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3.875</w:t>
            </w:r>
          </w:p>
        </w:tc>
        <w:tc>
          <w:tcPr>
            <w:tcW w:w="15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3.173</w:t>
            </w:r>
          </w:p>
        </w:tc>
        <w:tc>
          <w:tcPr>
            <w:tcW w:w="15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2.332</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So liest du die Tabelle: Ließe sich ein vergleichbares Haus für 2.600 $ mieten (Price-to-Rent 16), lohnt sich der Kauf in diesem Modell erst bei 4 % Wertzuwachs pro Jahr und rund zehn Jahren Haltedauer. Kostet die Miete in einer teuren Metropole 3.500 $, kippt die Rechnung nach fünf Jahren, sofern der Wert um 4 % jährlich steigt; bei 2 % dauert es zwischen sieben und zehn Jahren. Der NAR-Median stieg zuletzt nur um 1,6 % pro Jahr. Wertzuwachs ist also eine Annahme, keine Zusage. Die Faustregel „mindestens fünf Jahre“ ist die Untergrenze, keine Garantie. Bei 20 % Anzahlung ändert sich das Bild kaum (nach fünf Jahren: 4.343 $, 3.603 $ bzw. 2.802 $).</w:t>
      </w:r>
    </w:p>
    <w:p>
      <w:pPr>
        <w:pStyle w:val="Heading3"/>
        <w:keepNext w:val="true"/>
        <w:spacing w:before="280" w:after="100"/>
        <w:jc w:val="center"/>
        <w:rPr/>
      </w:pPr>
      <w:r>
        <w:rPr>
          <w:rFonts w:eastAsia="Amazon Ember" w:cs="Amazon Ember" w:ascii="Amazon Ember" w:hAnsi="Amazon Ember"/>
          <w:b/>
          <w:bCs/>
          <w:color w:val="0000FF"/>
          <w:sz w:val="36"/>
          <w:szCs w:val="36"/>
        </w:rPr>
        <w:t>Jobrisiko, Liquidität und Verkaufskosten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einem Arbeitsvisum kommt ein Risiko hinzu, das ein Beschäftigter mit unbefristetem deutschem Vertrag nicht kennt: Dein Status hängt am Arbeitgeber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Nach einem Stellenabbau bleibt meist höchstens ein Fenster von 60 Tagen, um einen neuen Sponsor zu finden oder auszureisen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 Wer dann verkaufen muss, zahlt die Rechnung von oben: Kaufkosten von 3 % und Verkaufskosten von 7 % sind bei 500.000 $ zusammen rund 50.000 $. Eine Rückkehr nach weniger als drei bis fünf Jahren endet deshalb meist mit Verlust.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Liquidität ist der zweite Punkt. Anzahlung und Abschlusskosten binden 60.000–125.000 $, die dir im Notfall fehlen. Ein Haus verkaufst du nicht in einer Woche: Bis zum Closing vergehen meist Wochen bis Monate. Hinzu kommen Kosten, die eine Mietwohnung nicht kennt. Als Faustregel gelten 1–2 % des Werts pro Jahr für Instandhaltung (nicht belegt); Dach, Heizung, Klimaanlage und Wasserboiler sind allein deine Sache.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Kaufen ist trotzdem vernünftig, wenn du mindestens fünf bis sieben Jahre am Ort bleiben willst, der Arbeitgeber stabil ist, das Green-Card-Verfahren weit fortgeschritten oder abgeschlossen ist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und nach dem Kauf noch mehrere Monatsraten als Reserve bleiben.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kauft, wettet auf Bleiben. Die Kosten des Rückwegs von rund 10 % trägst du auch dann, wenn der Grund für den Umzug nicht in deiner Hand liegt.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Miete 12 bis 24 Monate, bevor du kaufst. Du lernst Region, Pendelwege und Schuldistrikt kennen (Kapitel </w:t>
            </w:r>
            <w:hyperlink w:anchor="k12">
              <w:r>
                <w:rPr>
                  <w:rStyle w:val="ListLabel114"/>
                  <w:rFonts w:eastAsia="Cambria" w:cs="Cambria"/>
                  <w:b w:val="false"/>
                  <w:bCs w:val="false"/>
                  <w:i w:val="false"/>
                  <w:iCs w:val="false"/>
                  <w:sz w:val="20"/>
                  <w:szCs w:val="20"/>
                </w:rPr>
                <w:t>12</w:t>
              </w:r>
            </w:hyperlink>
            <w:r>
              <w:rPr>
                <w:rFonts w:eastAsia="Cambria" w:cs="Cambria"/>
                <w:b w:val="false"/>
                <w:bCs w:val="false"/>
                <w:i w:val="false"/>
                <w:iCs w:val="false"/>
                <w:sz w:val="20"/>
                <w:szCs w:val="20"/>
              </w:rPr>
              <w:t xml:space="preserve"> und </w:t>
            </w:r>
            <w:hyperlink w:anchor="k36">
              <w:r>
                <w:rPr>
                  <w:rStyle w:val="ListLabel114"/>
                  <w:rFonts w:eastAsia="Cambria" w:cs="Cambria"/>
                  <w:b w:val="false"/>
                  <w:bCs w:val="false"/>
                  <w:i w:val="false"/>
                  <w:iCs w:val="false"/>
                  <w:sz w:val="20"/>
                  <w:szCs w:val="20"/>
                </w:rPr>
                <w:t>36</w:t>
              </w:r>
            </w:hyperlink>
            <w:r>
              <w:rPr>
                <w:rFonts w:eastAsia="Cambria" w:cs="Cambria"/>
                <w:b w:val="false"/>
                <w:bCs w:val="false"/>
                <w:i w:val="false"/>
                <w:iCs w:val="false"/>
                <w:sz w:val="20"/>
                <w:szCs w:val="20"/>
              </w:rPr>
              <w:t>), vermeidest einen teuren Fehlkauf und baust die US-Kredithistorie auf, die Konformkredite ohnehin verlangen (Kapitel </w:t>
            </w:r>
            <w:hyperlink w:anchor="k25">
              <w:r>
                <w:rPr>
                  <w:rStyle w:val="ListLabel114"/>
                  <w:rFonts w:eastAsia="Cambria" w:cs="Cambria"/>
                  <w:b w:val="false"/>
                  <w:bCs w:val="false"/>
                  <w:i w:val="false"/>
                  <w:iCs w:val="false"/>
                  <w:sz w:val="20"/>
                  <w:szCs w:val="20"/>
                </w:rPr>
                <w:t>25</w:t>
              </w:r>
            </w:hyperlink>
            <w:r>
              <w:rPr>
                <w:rFonts w:eastAsia="Cambria" w:cs="Cambria"/>
                <w:b w:val="false"/>
                <w:bCs w:val="false"/>
                <w:i w:val="false"/>
                <w:iCs w:val="false"/>
                <w:sz w:val="20"/>
                <w:szCs w:val="20"/>
              </w:rPr>
              <w: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(fiktives Beispiel) lebt seit vier Monaten im Großraum Detroit; Markus hat den H-1B-Status, das Green-Card-Verfahren steht am Anfang. Mit Lena (9) und Jonas (5) sucht die Familie einen guten Schuldistrikt und findet ein Haus für 400.000 $. Lena fragt bei der Besichtigung nur, ob ihr Bett ins neue Zimmer passt – für die Eltern eine Rechnung mit deutlich mehr Variablen. Bei 10 % Anzahlung (Darlehen 360.000 $, 6,95 %) kostet es 2.383 $ Rate, dazu 333 $ Grundsteuer (Annahme 1 %), 200 $ Versicherung und 150 $ PMI, zusammen rund 3.066 $. Ein vergleichbares Haus zur Miete kostet 2.300 $. Der Kauf verlangt also 766 $ mehr im Monat, dazu etwa 333 $ Instandhaltung und 52.000 $ Bargeld, fast alle Ersparnisse. Ginge die Familie nach drei Jahren zurück, kostete der Verkauf rund 28.000 $ (7 %). Die Familie mietet vorerst und prüft den Kauf erneut, wenn die Green Card näher rückt.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Voraussetzungen als Visa-Inhaber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Ausländer dürfen in den USA grundsätzlich Immobilien erwerben; Ausnahmen betreffen bestimmte Staatsangehörigkeiten (siehe unten). Die Hürde ist die Finanzierung: Die meisten Hypotheken für Selbstnutzer folgen den Regeln von </w:t>
      </w:r>
      <w:r>
        <w:rPr>
          <w:rFonts w:eastAsia="Cambria" w:cs="Cambria"/>
          <w:b w:val="false"/>
          <w:bCs w:val="false"/>
          <w:i/>
          <w:iCs/>
          <w:sz w:val="22"/>
          <w:szCs w:val="22"/>
        </w:rPr>
        <w:t>Fannie Mae</w:t>
      </w:r>
      <w:r>
        <w:rPr>
          <w:rFonts w:eastAsia="Cambria" w:cs="Cambria"/>
          <w:b w:val="false"/>
          <w:bCs w:val="false"/>
          <w:i w:val="false"/>
          <w:iCs w:val="false"/>
          <w:sz w:val="22"/>
          <w:szCs w:val="22"/>
        </w:rPr>
        <w:t xml:space="preserve"> und </w:t>
      </w:r>
      <w:r>
        <w:rPr>
          <w:rFonts w:eastAsia="Cambria" w:cs="Cambria"/>
          <w:b w:val="false"/>
          <w:bCs w:val="false"/>
          <w:i/>
          <w:iCs/>
          <w:sz w:val="22"/>
          <w:szCs w:val="22"/>
        </w:rPr>
        <w:t>Freddie Mac</w:t>
      </w:r>
      <w:r>
        <w:rPr>
          <w:rFonts w:eastAsia="Cambria" w:cs="Cambria"/>
          <w:b w:val="false"/>
          <w:bCs w:val="false"/>
          <w:i w:val="false"/>
          <w:iCs w:val="false"/>
          <w:sz w:val="22"/>
          <w:szCs w:val="22"/>
        </w:rPr>
        <w:t xml:space="preserve">, zwei staatlich beaufsichtigten Unternehmen, die Kredite aufkaufen – solche </w:t>
      </w:r>
      <w:r>
        <w:rPr>
          <w:rFonts w:eastAsia="Cambria" w:cs="Cambria"/>
          <w:b w:val="false"/>
          <w:bCs w:val="false"/>
          <w:i/>
          <w:iCs/>
          <w:sz w:val="22"/>
          <w:szCs w:val="22"/>
        </w:rPr>
        <w:t>Konformkredite</w:t>
      </w:r>
      <w:r>
        <w:rPr>
          <w:rFonts w:eastAsia="Cambria" w:cs="Cambria"/>
          <w:b w:val="false"/>
          <w:bCs w:val="false"/>
          <w:i w:val="false"/>
          <w:iCs w:val="false"/>
          <w:sz w:val="22"/>
          <w:szCs w:val="22"/>
        </w:rPr>
        <w:t xml:space="preserve"> (</w:t>
      </w:r>
      <w:r>
        <w:rPr>
          <w:rFonts w:eastAsia="Cambria" w:cs="Cambria"/>
          <w:b w:val="false"/>
          <w:bCs w:val="false"/>
          <w:i/>
          <w:iCs/>
          <w:sz w:val="22"/>
          <w:szCs w:val="22"/>
        </w:rPr>
        <w:t>Conforming Loans</w:t>
      </w:r>
      <w:r>
        <w:rPr>
          <w:rFonts w:eastAsia="Cambria" w:cs="Cambria"/>
          <w:b w:val="false"/>
          <w:bCs w:val="false"/>
          <w:i w:val="false"/>
          <w:iCs w:val="false"/>
          <w:sz w:val="22"/>
          <w:szCs w:val="22"/>
        </w:rPr>
        <w:t>) sind der Normalfall. Kreditgeber prüfen, ob du verlässlich zurückzahlst und, als Visa-Inhaber, ob dein Aufenthalt lange genug gesichert ist.</w:t>
      </w:r>
    </w:p>
    <w:tbl>
      <w:tblPr>
        <w:tblW w:w="6480" w:type="dxa"/>
        <w:jc w:val="left"/>
        <w:tblInd w:w="0" w:type="dxa"/>
        <w:tblLayout w:type="fixed"/>
        <w:tblCellMar>
          <w:top w:w="50" w:type="dxa"/>
          <w:left w:w="80" w:type="dxa"/>
          <w:bottom w:w="50" w:type="dxa"/>
          <w:right w:w="80" w:type="dxa"/>
        </w:tblCellMar>
      </w:tblPr>
      <w:tblGrid>
        <w:gridCol w:w="1894"/>
        <w:gridCol w:w="4585"/>
      </w:tblGrid>
      <w:tr>
        <w:trPr>
          <w:tblHeader w:val="true"/>
          <w:cantSplit w:val="true"/>
        </w:trPr>
        <w:tc>
          <w:tcPr>
            <w:tcW w:w="189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Voraussetzung</w:t>
            </w:r>
          </w:p>
        </w:tc>
        <w:tc>
          <w:tcPr>
            <w:tcW w:w="458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Typische Anforderung</w:t>
            </w:r>
          </w:p>
        </w:tc>
      </w:tr>
      <w:tr>
        <w:trPr>
          <w:cantSplit w:val="true"/>
        </w:trPr>
        <w:tc>
          <w:tcPr>
            <w:tcW w:w="18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Sozialversicherungsnummer</w:t>
            </w:r>
          </w:p>
        </w:tc>
        <w:tc>
          <w:tcPr>
            <w:tcW w:w="45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SSN in der Praxis nötig (Kapitel </w:t>
            </w:r>
            <w:hyperlink w:anchor="k24">
              <w:r>
                <w:rPr>
                  <w:rStyle w:val="ListLabel112"/>
                  <w:rFonts w:eastAsia="Cambria" w:cs="Cambria"/>
                  <w:b w:val="false"/>
                  <w:bCs w:val="false"/>
                  <w:i w:val="false"/>
                  <w:iCs w:val="false"/>
                  <w:sz w:val="18"/>
                  <w:szCs w:val="18"/>
                </w:rPr>
                <w:t>24</w:t>
              </w:r>
            </w:hyperlink>
            <w:r>
              <w:rPr>
                <w:rFonts w:eastAsia="Cambria" w:cs="Cambria"/>
                <w:b w:val="false"/>
                <w:bCs w:val="false"/>
                <w:i w:val="false"/>
                <w:iCs w:val="false"/>
                <w:sz w:val="18"/>
                <w:szCs w:val="18"/>
              </w:rPr>
              <w:t>); eine ITIN akzeptieren nur einzelne Anbieter</w:t>
            </w:r>
          </w:p>
        </w:tc>
      </w:tr>
      <w:tr>
        <w:trPr>
          <w:cantSplit w:val="true"/>
        </w:trPr>
        <w:tc>
          <w:tcPr>
            <w:tcW w:w="18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Kreditwürdigkeit</w:t>
            </w:r>
          </w:p>
        </w:tc>
        <w:tc>
          <w:tcPr>
            <w:tcW w:w="45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w:t>
            </w:r>
            <w:r>
              <w:rPr>
                <w:rFonts w:eastAsia="Cambria" w:cs="Cambria"/>
                <w:b w:val="false"/>
                <w:bCs w:val="false"/>
                <w:i/>
                <w:iCs/>
                <w:sz w:val="18"/>
                <w:szCs w:val="18"/>
              </w:rPr>
              <w:t>Credit Score</w:t>
            </w:r>
            <w:r>
              <w:rPr>
                <w:rFonts w:eastAsia="Cambria" w:cs="Cambria"/>
                <w:b w:val="false"/>
                <w:bCs w:val="false"/>
                <w:i w:val="false"/>
                <w:iCs w:val="false"/>
                <w:sz w:val="18"/>
                <w:szCs w:val="18"/>
              </w:rPr>
              <w:t xml:space="preserve"> (meist FICO-Score); Fannie Mae verlangt im automatisierten Verfahren seit November 2025 keinen Mindestwert, Kreditgeber meist 620 oder mehr; manuelle Prüfung: 620 (Festzins), 640 (ARM)</w:t>
            </w:r>
          </w:p>
        </w:tc>
      </w:tr>
      <w:tr>
        <w:trPr>
          <w:cantSplit w:val="true"/>
        </w:trPr>
        <w:tc>
          <w:tcPr>
            <w:tcW w:w="18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Beschäftigung</w:t>
            </w:r>
          </w:p>
        </w:tc>
        <w:tc>
          <w:tcPr>
            <w:tcW w:w="45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Meist zwei Jahre US-Arbeitshistorie, bei Konzernversetzung verzichtbar; Arbeitgeberbrief und Gehaltsnachweise</w:t>
            </w:r>
          </w:p>
        </w:tc>
      </w:tr>
      <w:tr>
        <w:trPr>
          <w:cantSplit w:val="true"/>
        </w:trPr>
        <w:tc>
          <w:tcPr>
            <w:tcW w:w="18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Visum</w:t>
            </w:r>
          </w:p>
        </w:tc>
        <w:tc>
          <w:tcPr>
            <w:tcW w:w="45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Gültig beim Closing (Freddie Mac); Kreditgeber verlangen oft mindestens zwölf Monate Restlaufzeit oder Verlängerungsnachweis</w:t>
            </w:r>
          </w:p>
        </w:tc>
      </w:tr>
      <w:tr>
        <w:trPr>
          <w:cantSplit w:val="true"/>
        </w:trPr>
        <w:tc>
          <w:tcPr>
            <w:tcW w:w="18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Anzahlung (</w:t>
            </w:r>
            <w:r>
              <w:rPr>
                <w:rFonts w:eastAsia="Cambria" w:cs="Cambria"/>
                <w:b w:val="false"/>
                <w:bCs w:val="false"/>
                <w:i/>
                <w:iCs/>
                <w:sz w:val="18"/>
                <w:szCs w:val="18"/>
              </w:rPr>
              <w:t>Down Payment</w:t>
            </w:r>
            <w:r>
              <w:rPr>
                <w:rFonts w:eastAsia="Cambria" w:cs="Cambria"/>
                <w:b w:val="false"/>
                <w:bCs w:val="false"/>
                <w:i w:val="false"/>
                <w:iCs w:val="false"/>
                <w:sz w:val="18"/>
                <w:szCs w:val="18"/>
              </w:rPr>
              <w:t>)</w:t>
            </w:r>
          </w:p>
        </w:tc>
        <w:tc>
          <w:tcPr>
            <w:tcW w:w="45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3–20 % je nach Programm, Erstkäufer im Median 10 % (NAR 2025); Herkunft nachweisen, Guthaben mindestens 60 Tage</w:t>
            </w:r>
          </w:p>
        </w:tc>
      </w:tr>
      <w:tr>
        <w:trPr>
          <w:cantSplit w:val="true"/>
        </w:trPr>
        <w:tc>
          <w:tcPr>
            <w:tcW w:w="18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Schuldenquote (</w:t>
            </w:r>
            <w:r>
              <w:rPr>
                <w:rFonts w:eastAsia="Cambria" w:cs="Cambria"/>
                <w:b w:val="false"/>
                <w:bCs w:val="false"/>
                <w:i/>
                <w:iCs/>
                <w:sz w:val="18"/>
                <w:szCs w:val="18"/>
              </w:rPr>
              <w:t>DTI</w:t>
            </w:r>
            <w:r>
              <w:rPr>
                <w:rFonts w:eastAsia="Cambria" w:cs="Cambria"/>
                <w:b w:val="false"/>
                <w:bCs w:val="false"/>
                <w:i w:val="false"/>
                <w:iCs w:val="false"/>
                <w:sz w:val="18"/>
                <w:szCs w:val="18"/>
              </w:rPr>
              <w:t>)</w:t>
            </w:r>
          </w:p>
        </w:tc>
        <w:tc>
          <w:tcPr>
            <w:tcW w:w="45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Alle Monatsschulden im Verhältnis zum Bruttoeinkommen: Fannie Mae bis 50 %, manuell 36 % (bis 45 %)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Dahinter steckt ein wichtiger Unterschied: Fannie Mae behandelt Nicht-Daueraufenthaltsberechtigte unter denselben Bedingungen wie US-Bürger (Selling Guide B2-2-02), und die Agenturregeln nennen keine Mindestlaufzeit des Visums. Viele Kreditgeber setzen sie trotzdem, als </w:t>
      </w:r>
      <w:r>
        <w:rPr>
          <w:rFonts w:eastAsia="Cambria" w:cs="Cambria"/>
          <w:b w:val="false"/>
          <w:bCs w:val="false"/>
          <w:i/>
          <w:iCs/>
          <w:sz w:val="22"/>
          <w:szCs w:val="22"/>
        </w:rPr>
        <w:t>Overlay</w:t>
      </w:r>
      <w:r>
        <w:rPr>
          <w:rFonts w:eastAsia="Cambria" w:cs="Cambria"/>
          <w:b w:val="false"/>
          <w:bCs w:val="false"/>
          <w:i w:val="false"/>
          <w:iCs w:val="false"/>
          <w:sz w:val="22"/>
          <w:szCs w:val="22"/>
        </w:rPr>
        <w:t xml:space="preserve"> (Zusatzregel über die Agenturvorgabe hinaus): Je nach Anbieter sind es ein bis drei Jahre. Frage früh nach Restlaufzeit, Mindest-Score und Reserven. Deine deutsche Schufa-Historie zählt praktisch nicht; die Dienste für internationale Kreditberichte decken Deutschland nach den vorliegenden Angaben nicht sicher ab.</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Fehlt eine ausreichende US-Historie, kennt Fannie Mae die </w:t>
      </w:r>
      <w:r>
        <w:rPr>
          <w:rFonts w:eastAsia="Cambria" w:cs="Cambria"/>
          <w:b w:val="false"/>
          <w:bCs w:val="false"/>
          <w:i/>
          <w:iCs/>
          <w:sz w:val="22"/>
          <w:szCs w:val="22"/>
        </w:rPr>
        <w:t>nichttraditionelle Kredithistorie</w:t>
      </w:r>
      <w:r>
        <w:rPr>
          <w:rFonts w:eastAsia="Cambria" w:cs="Cambria"/>
          <w:b w:val="false"/>
          <w:bCs w:val="false"/>
          <w:i w:val="false"/>
          <w:iCs w:val="false"/>
          <w:sz w:val="22"/>
          <w:szCs w:val="22"/>
        </w:rPr>
        <w:t>: Pünktliche Zahlungen für Miete, Strom, Telefon, Internet oder Versicherung dienen als Nachweis. Die Bedingungen sind eng: nur wenn der Kreditgeber keinen Score beschaffen kann, nur Hauptwohnsitz mit einer Wohneinheit, nur bis zur Basisgrenze von 832.750 $, Schuldenquote höchstens 36 %. Als Mindestreserve verlangt Fannie Mae null Monate, wenn du die Mietzahlung dokumentierst, sonst zwölf Monate (Selling Guide B3-5.4-01). Zu ausländischer Kredithistorie schweigt der Leitfaden. Eine dünne US-Historie ist also kein Ausschluss, aber ein Gespräch mit dem Kreditgeber wert.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 den Einschränkungen beim Landerwerb: Texas (SB 17, seit 1. September 2025) und Florida (SB 264) beschränken den Erwerb durch Staatsangehörige oder Ansässige bestimmter Länder, darunter China, Russland, Iran und Nordkorea (Florida zusätzlich Kuba, Venezuela u. a.). Deutschland steht auf keiner dieser Listen. Prüfe die Rechtslage nur, wenn Mitkäufer einen anderen Pass haben.</w:t>
      </w:r>
    </w:p>
    <w:p>
      <w:pPr>
        <w:pStyle w:val="Heading3"/>
        <w:keepNext w:val="true"/>
        <w:spacing w:before="280" w:after="100"/>
        <w:jc w:val="center"/>
        <w:rPr/>
      </w:pPr>
      <w:r>
        <w:rPr>
          <w:rFonts w:eastAsia="Amazon Ember" w:cs="Amazon Ember" w:ascii="Amazon Ember" w:hAnsi="Amazon Ember"/>
          <w:b/>
          <w:bCs/>
          <w:color w:val="0000FF"/>
          <w:sz w:val="36"/>
          <w:szCs w:val="36"/>
        </w:rPr>
        <w:t>Welche Hypothek passt?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Eine Hypothek (</w:t>
      </w:r>
      <w:r>
        <w:rPr>
          <w:rFonts w:eastAsia="Cambria" w:cs="Cambria"/>
          <w:b w:val="false"/>
          <w:bCs w:val="false"/>
          <w:i/>
          <w:iCs/>
          <w:sz w:val="22"/>
          <w:szCs w:val="22"/>
        </w:rPr>
        <w:t>Mortgage</w:t>
      </w:r>
      <w:r>
        <w:rPr>
          <w:rFonts w:eastAsia="Cambria" w:cs="Cambria"/>
          <w:b w:val="false"/>
          <w:bCs w:val="false"/>
          <w:i w:val="false"/>
          <w:iCs w:val="false"/>
          <w:sz w:val="22"/>
          <w:szCs w:val="22"/>
        </w:rPr>
        <w:t>) ist in den USA ein Ratenkredit über meist 15 oder 30 Jahre, gesichert durch das Haus. Beim 30-Jahres-Kredit bleibt der Zins üblicherweise die gesamte Laufzeit fest – in Deutschland ist eine Zinsbindung von 10 bis 15 Jahren üblich.</w:t>
      </w:r>
    </w:p>
    <w:tbl>
      <w:tblPr>
        <w:tblW w:w="6480" w:type="dxa"/>
        <w:jc w:val="left"/>
        <w:tblInd w:w="0" w:type="dxa"/>
        <w:tblLayout w:type="fixed"/>
        <w:tblCellMar>
          <w:top w:w="50" w:type="dxa"/>
          <w:left w:w="80" w:type="dxa"/>
          <w:bottom w:w="50" w:type="dxa"/>
          <w:right w:w="80" w:type="dxa"/>
        </w:tblCellMar>
      </w:tblPr>
      <w:tblGrid>
        <w:gridCol w:w="1211"/>
        <w:gridCol w:w="1185"/>
        <w:gridCol w:w="950"/>
        <w:gridCol w:w="3133"/>
      </w:tblGrid>
      <w:tr>
        <w:trPr>
          <w:tblHeader w:val="true"/>
          <w:cantSplit w:val="true"/>
        </w:trPr>
        <w:tc>
          <w:tcPr>
            <w:tcW w:w="121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Kreditart</w:t>
            </w:r>
          </w:p>
        </w:tc>
        <w:tc>
          <w:tcPr>
            <w:tcW w:w="118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Für Visa-Inhaber?</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Anzahlung</w:t>
            </w:r>
          </w:p>
        </w:tc>
        <w:tc>
          <w:tcPr>
            <w:tcW w:w="313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Kern</w:t>
            </w:r>
          </w:p>
        </w:tc>
      </w:tr>
      <w:tr>
        <w:trPr>
          <w:cantSplit w:val="true"/>
        </w:trPr>
        <w:tc>
          <w:tcPr>
            <w:tcW w:w="12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Konventionell (Fannie/Freddie)</w:t>
            </w:r>
          </w:p>
        </w:tc>
        <w:tc>
          <w:tcPr>
            <w:tcW w:w="11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3–20 %</w:t>
            </w:r>
          </w:p>
        </w:tc>
        <w:tc>
          <w:tcPr>
            <w:tcW w:w="31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SSN, US-Kredit, meist Score ab 620; PMI unter 20 %</w:t>
            </w:r>
          </w:p>
        </w:tc>
      </w:tr>
      <w:tr>
        <w:trPr>
          <w:cantSplit w:val="true"/>
        </w:trPr>
        <w:tc>
          <w:tcPr>
            <w:tcW w:w="12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FHA</w:t>
            </w:r>
          </w:p>
        </w:tc>
        <w:tc>
          <w:tcPr>
            <w:tcW w:w="11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 seit 25.05.2025</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c>
          <w:tcPr>
            <w:tcW w:w="31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Bürger, Green-Card-Inhaber, Bürger von Mikronesien, Marshallinseln, Palau</w:t>
            </w:r>
          </w:p>
        </w:tc>
      </w:tr>
      <w:tr>
        <w:trPr>
          <w:cantSplit w:val="true"/>
        </w:trPr>
        <w:tc>
          <w:tcPr>
            <w:tcW w:w="12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Jumbo</w:t>
            </w:r>
          </w:p>
        </w:tc>
        <w:tc>
          <w:tcPr>
            <w:tcW w:w="11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Regeln je Kreditgeber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 Kreditgeber</w:t>
            </w:r>
          </w:p>
        </w:tc>
        <w:tc>
          <w:tcPr>
            <w:tcW w:w="31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 der Kreditgrenze: 832.750 $ (2026), in Hochkostenregionen bis 1.249.125 $</w:t>
            </w:r>
          </w:p>
        </w:tc>
      </w:tr>
      <w:tr>
        <w:trPr>
          <w:cantSplit w:val="true"/>
        </w:trPr>
        <w:tc>
          <w:tcPr>
            <w:tcW w:w="12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Non-QM</w:t>
            </w:r>
            <w:r>
              <w:rPr>
                <w:rFonts w:eastAsia="Cambria" w:cs="Cambria"/>
                <w:b w:val="false"/>
                <w:bCs w:val="false"/>
                <w:i w:val="false"/>
                <w:iCs w:val="false"/>
                <w:sz w:val="18"/>
                <w:szCs w:val="18"/>
              </w:rPr>
              <w:t xml:space="preserve"> / </w:t>
            </w:r>
            <w:r>
              <w:rPr>
                <w:rFonts w:eastAsia="Cambria" w:cs="Cambria"/>
                <w:b w:val="false"/>
                <w:bCs w:val="false"/>
                <w:i/>
                <w:iCs/>
                <w:sz w:val="18"/>
                <w:szCs w:val="18"/>
              </w:rPr>
              <w:t>Foreign National</w:t>
            </w:r>
          </w:p>
        </w:tc>
        <w:tc>
          <w:tcPr>
            <w:tcW w:w="11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20–50 %</w:t>
            </w:r>
          </w:p>
        </w:tc>
        <w:tc>
          <w:tcPr>
            <w:tcW w:w="31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US-Kredit nötig; Zinsaufschlag 0,5–2 Prozentpunkte; 6–12 Monate Reserven</w:t>
            </w:r>
          </w:p>
        </w:tc>
      </w:tr>
      <w:tr>
        <w:trPr>
          <w:cantSplit w:val="true"/>
        </w:trPr>
        <w:tc>
          <w:tcPr>
            <w:tcW w:w="12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DSCR</w:t>
            </w:r>
          </w:p>
        </w:tc>
        <w:tc>
          <w:tcPr>
            <w:tcW w:w="11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Vermietobjekte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20–25 %</w:t>
            </w:r>
          </w:p>
        </w:tc>
        <w:tc>
          <w:tcPr>
            <w:tcW w:w="31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für Eigennutzung</w:t>
            </w:r>
          </w:p>
        </w:tc>
      </w:tr>
      <w:tr>
        <w:trPr>
          <w:cantSplit w:val="true"/>
        </w:trPr>
        <w:tc>
          <w:tcPr>
            <w:tcW w:w="12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ITIN-Kredit</w:t>
            </w:r>
          </w:p>
        </w:tc>
        <w:tc>
          <w:tcPr>
            <w:tcW w:w="11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Non-QM-Nische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Anbieter nennen 10–30 %</w:t>
            </w:r>
          </w:p>
        </w:tc>
        <w:tc>
          <w:tcPr>
            <w:tcW w:w="31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Aufschlag laut Anbietern 1–3 Prozentpunkte; Konditionen schwanken stark</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iCs/>
          <w:sz w:val="22"/>
          <w:szCs w:val="22"/>
        </w:rPr>
        <w:t>Non-QM</w:t>
      </w:r>
      <w:r>
        <w:rPr>
          <w:rFonts w:eastAsia="Cambria" w:cs="Cambria"/>
          <w:b w:val="false"/>
          <w:bCs w:val="false"/>
          <w:i w:val="false"/>
          <w:iCs w:val="false"/>
          <w:sz w:val="22"/>
          <w:szCs w:val="22"/>
        </w:rPr>
        <w:t xml:space="preserve"> steht für „Non-Qualified Mortgage“: Kredite außerhalb der Fannie-und-Freddie-Standards, bei denen der Kreditgeber das Risiko selbst trägt. </w:t>
      </w:r>
      <w:r>
        <w:rPr>
          <w:rFonts w:eastAsia="Cambria" w:cs="Cambria"/>
          <w:b w:val="false"/>
          <w:bCs w:val="false"/>
          <w:i/>
          <w:iCs/>
          <w:sz w:val="22"/>
          <w:szCs w:val="22"/>
        </w:rPr>
        <w:t>Foreign-National-Kredite</w:t>
      </w:r>
      <w:r>
        <w:rPr>
          <w:rFonts w:eastAsia="Cambria" w:cs="Cambria"/>
          <w:b w:val="false"/>
          <w:bCs w:val="false"/>
          <w:i w:val="false"/>
          <w:iCs w:val="false"/>
          <w:sz w:val="22"/>
          <w:szCs w:val="22"/>
        </w:rPr>
        <w:t xml:space="preserve"> richten sich an Ausländer ohne US-Kredithistorie; die Spannen stammen von Anbietern und ändern sich. Ein </w:t>
      </w:r>
      <w:r>
        <w:rPr>
          <w:rFonts w:eastAsia="Cambria" w:cs="Cambria"/>
          <w:b w:val="false"/>
          <w:bCs w:val="false"/>
          <w:i/>
          <w:iCs/>
          <w:sz w:val="22"/>
          <w:szCs w:val="22"/>
        </w:rPr>
        <w:t>Jumbo-Kredit</w:t>
      </w:r>
      <w:r>
        <w:rPr>
          <w:rFonts w:eastAsia="Cambria" w:cs="Cambria"/>
          <w:b w:val="false"/>
          <w:bCs w:val="false"/>
          <w:i w:val="false"/>
          <w:iCs w:val="false"/>
          <w:sz w:val="22"/>
          <w:szCs w:val="22"/>
        </w:rPr>
        <w:t xml:space="preserve"> liegt über der </w:t>
      </w:r>
      <w:r>
        <w:rPr>
          <w:rFonts w:eastAsia="Cambria" w:cs="Cambria"/>
          <w:b w:val="false"/>
          <w:bCs w:val="false"/>
          <w:i/>
          <w:iCs/>
          <w:sz w:val="22"/>
          <w:szCs w:val="22"/>
        </w:rPr>
        <w:t>Conforming Loan Limit</w:t>
      </w:r>
      <w:r>
        <w:rPr>
          <w:rFonts w:eastAsia="Cambria" w:cs="Cambria"/>
          <w:b w:val="false"/>
          <w:bCs w:val="false"/>
          <w:i w:val="false"/>
          <w:iCs w:val="false"/>
          <w:sz w:val="22"/>
          <w:szCs w:val="22"/>
        </w:rPr>
        <w:t>, der Obergrenze, bis zu der Fannie und Freddie Kredite kaufen (Festlegung der Bundesbehörde FHFA).</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Blogs, Foren und ältere Ratgeber versprechen Visa-Inhabern FHA-Kredite mit kleiner Anzahlung. Seit dem Mortgagee Letter 2025-09 (wirksam ab 25. Mai 2025) gilt das nicht mehr. Bis September 2026 wurde die Regel nicht zurückgenommen; sie kann sich aber jederzeit ändern. Verlass dich auf das aktuelle Angebot eines Kreditgebers, nicht auf eine Website.</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der Laufzeit rechnest du mit 400.000 $ Darlehen. Der 30-Jahres-Kredit (6,95 %) kostet 2.647,79 $ im Monat und in Summe 553.205 $ Zinsen. Der 15-Jahres-Kredit (6,26 %) kostet 3.431,87 $ im Monat und 217.737 $ Zinsen. Er spart also rund 335.000 $ Zinsen, verlangt aber 784 $ mehr pro Monat. Zusätzliche Tilgungen sind bei den meisten konformen Krediten möglich; prüfe im Vertrag die Klausel zur Vorfälligkeitsentschädigung (</w:t>
      </w:r>
      <w:r>
        <w:rPr>
          <w:rFonts w:eastAsia="Cambria" w:cs="Cambria"/>
          <w:b w:val="false"/>
          <w:bCs w:val="false"/>
          <w:i/>
          <w:iCs/>
          <w:sz w:val="22"/>
          <w:szCs w:val="22"/>
        </w:rPr>
        <w:t>Prepayment Penalty</w:t>
      </w:r>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w:t>
      </w:r>
      <w:r>
        <w:rPr>
          <w:rFonts w:eastAsia="Cambria" w:cs="Cambria"/>
          <w:b w:val="false"/>
          <w:bCs w:val="false"/>
          <w:i/>
          <w:iCs/>
          <w:sz w:val="22"/>
          <w:szCs w:val="22"/>
        </w:rPr>
        <w:t>ARM</w:t>
      </w:r>
      <w:r>
        <w:rPr>
          <w:rFonts w:eastAsia="Cambria" w:cs="Cambria"/>
          <w:b w:val="false"/>
          <w:bCs w:val="false"/>
          <w:i w:val="false"/>
          <w:iCs w:val="false"/>
          <w:sz w:val="22"/>
          <w:szCs w:val="22"/>
        </w:rPr>
        <w:t xml:space="preserve"> (</w:t>
      </w:r>
      <w:r>
        <w:rPr>
          <w:rFonts w:eastAsia="Cambria" w:cs="Cambria"/>
          <w:b w:val="false"/>
          <w:bCs w:val="false"/>
          <w:i/>
          <w:iCs/>
          <w:sz w:val="22"/>
          <w:szCs w:val="22"/>
        </w:rPr>
        <w:t>Adjustable-Rate Mortgage</w:t>
      </w:r>
      <w:r>
        <w:rPr>
          <w:rFonts w:eastAsia="Cambria" w:cs="Cambria"/>
          <w:b w:val="false"/>
          <w:bCs w:val="false"/>
          <w:i w:val="false"/>
          <w:iCs w:val="false"/>
          <w:sz w:val="22"/>
          <w:szCs w:val="22"/>
        </w:rPr>
        <w:t>, Kredit mit anpassbarem Zins) startet mit einem festen Zins und richtet ihn danach regelmäßig an einem Marktindex plus Aufschlag aus. Bei einem 5/6-ARM ist der Zins fünf Jahre fest, dann alle sechs Monate variabel. Übliche Grenzen (</w:t>
      </w:r>
      <w:r>
        <w:rPr>
          <w:rFonts w:eastAsia="Cambria" w:cs="Cambria"/>
          <w:b w:val="false"/>
          <w:bCs w:val="false"/>
          <w:i/>
          <w:iCs/>
          <w:sz w:val="22"/>
          <w:szCs w:val="22"/>
        </w:rPr>
        <w:t>Caps</w:t>
      </w:r>
      <w:r>
        <w:rPr>
          <w:rFonts w:eastAsia="Cambria" w:cs="Cambria"/>
          <w:b w:val="false"/>
          <w:bCs w:val="false"/>
          <w:i w:val="false"/>
          <w:iCs w:val="false"/>
          <w:sz w:val="22"/>
          <w:szCs w:val="22"/>
        </w:rPr>
        <w:t>) sind 2/1/5: höchstens 2 Prozentpunkte beim ersten Anpassen, danach höchstens 1 Prozentpunkt je Anpassung, insgesamt höchstens 5 Prozentpunkte über dem Startzins. Fannie Mae verlangt bei manueller Prüfung 640 statt 620. Der Zinsvorteil gegenüber dem Festzins schwankt mit dem Markt und wurde hier nicht ermittelt. Ein ARM passt am ehesten, wenn du sicher weißt, dass du innerhalb der Festphase verkaufst oder umschuldest; bleibst du länger, trägst du das Zinsrisiko. Rechne die Rate deshalb einmal mit dem höchstmöglichen Zins durch (Startzins plus 5 Prozentpunkte). Sinkt der Zins später, kannst du auch einen Festzins-Kredit refinanzieren (neuer Kredit, neue Abschlusskosten).</w:t>
      </w:r>
    </w:p>
    <w:p>
      <w:pPr>
        <w:pStyle w:val="Heading3"/>
        <w:keepNext w:val="true"/>
        <w:spacing w:before="280" w:after="100"/>
        <w:jc w:val="center"/>
        <w:rPr/>
      </w:pPr>
      <w:r>
        <w:rPr>
          <w:rFonts w:eastAsia="Amazon Ember" w:cs="Amazon Ember" w:ascii="Amazon Ember" w:hAnsi="Amazon Ember"/>
          <w:b/>
          <w:bCs/>
          <w:color w:val="0000FF"/>
          <w:sz w:val="36"/>
          <w:szCs w:val="36"/>
        </w:rPr>
        <w:t>Zinsen, Points und Rate Lock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Referenzwert ist die wöchentliche Umfrage von Freddie Mac (PMMS, donnerstags). Die Umfrage gilt für konventionelle, konforme Kaufkredite mit 20 % Anzahlung und ausgezeichneter Bonität. Am 17. September 2026 lag sie bei 6,95 % für 30 Jahre fest (Vorwoche 6,76 %, Vorjahr 6,26 %) und bei 6,26 % für 15 Jahre (Vorjahr 5,41 %): der höchste Stand seit Januar 2025. Dein Zins liegt bei 10 % Anzahlung eher ein Achtel bis ein Viertel Prozentpunkt darüber. Ein halber Prozentpunkt verändert die Rate bei 400.000 $ Darlehen um 130–140 $: 2.515 $ bei 6,45 %, 2.648 $ bei 6,95 %, 2.783 $ bei 7,45 %.</w:t>
      </w:r>
    </w:p>
    <w:p>
      <w:pPr>
        <w:pStyle w:val="Normal"/>
        <w:keepNext w:val="false"/>
        <w:keepLines w:val="false"/>
        <w:spacing w:lineRule="exact" w:line="288" w:before="0" w:after="140"/>
        <w:jc w:val="left"/>
        <w:rPr/>
      </w:pPr>
      <w:r>
        <w:rPr>
          <w:rFonts w:eastAsia="Cambria" w:cs="Cambria"/>
          <w:b w:val="false"/>
          <w:bCs w:val="false"/>
          <w:i/>
          <w:iCs/>
          <w:sz w:val="22"/>
          <w:szCs w:val="22"/>
        </w:rPr>
        <w:t>Points</w:t>
      </w:r>
      <w:r>
        <w:rPr>
          <w:rFonts w:eastAsia="Cambria" w:cs="Cambria"/>
          <w:b w:val="false"/>
          <w:bCs w:val="false"/>
          <w:i w:val="false"/>
          <w:iCs w:val="false"/>
          <w:sz w:val="22"/>
          <w:szCs w:val="22"/>
        </w:rPr>
        <w:t xml:space="preserve"> (Diskontpunkte) sind vorausbezahlte Zinsen. Ein Point kostet 1 % des Darlehens und senkt den Zins um einen Betrag, der je Kreditgeber und Marktlage schwankt (CFPB). Beispielwert: Senkt ein Point den Zins bei 400.000 $ von 6,95 % auf 6,70 %, kostet er 4.000 $ und spart 67 $ im Monat (2.647,79 $ statt 2.581,11 $). Der Break-even liegt nach 60 Monaten. Wer früher verkauft oder umschuldet, verschenkt Geld. Umgekehrt gibt es </w:t>
      </w:r>
      <w:r>
        <w:rPr>
          <w:rFonts w:eastAsia="Cambria" w:cs="Cambria"/>
          <w:b w:val="false"/>
          <w:bCs w:val="false"/>
          <w:i/>
          <w:iCs/>
          <w:sz w:val="22"/>
          <w:szCs w:val="22"/>
        </w:rPr>
        <w:t>Lender Credits</w:t>
      </w:r>
      <w:r>
        <w:rPr>
          <w:rFonts w:eastAsia="Cambria" w:cs="Cambria"/>
          <w:b w:val="false"/>
          <w:bCs w:val="false"/>
          <w:i w:val="false"/>
          <w:iCs w:val="false"/>
          <w:sz w:val="22"/>
          <w:szCs w:val="22"/>
        </w:rPr>
        <w:t>: höherer Zins gegen Übernahme von Abschlusskosten. Die echten Abschläge stehen im Loan Estimate.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Diesen </w:t>
      </w:r>
      <w:r>
        <w:rPr>
          <w:rFonts w:eastAsia="Cambria" w:cs="Cambria"/>
          <w:b w:val="false"/>
          <w:bCs w:val="false"/>
          <w:i/>
          <w:iCs/>
          <w:sz w:val="22"/>
          <w:szCs w:val="22"/>
        </w:rPr>
        <w:t>Loan Estimate</w:t>
      </w:r>
      <w:r>
        <w:rPr>
          <w:rFonts w:eastAsia="Cambria" w:cs="Cambria"/>
          <w:b w:val="false"/>
          <w:bCs w:val="false"/>
          <w:i w:val="false"/>
          <w:iCs w:val="false"/>
          <w:sz w:val="22"/>
          <w:szCs w:val="22"/>
        </w:rPr>
        <w:t xml:space="preserve"> (standardisierte Kostenübersicht im gleichen Format bei allen Kreditgebern) erhältst du binnen drei Werktagen nach dem Antrag. Mit dem </w:t>
      </w:r>
      <w:r>
        <w:rPr>
          <w:rFonts w:eastAsia="Cambria" w:cs="Cambria"/>
          <w:b w:val="false"/>
          <w:bCs w:val="false"/>
          <w:i/>
          <w:iCs/>
          <w:sz w:val="22"/>
          <w:szCs w:val="22"/>
        </w:rPr>
        <w:t>Rate Lock</w:t>
      </w:r>
      <w:r>
        <w:rPr>
          <w:rFonts w:eastAsia="Cambria" w:cs="Cambria"/>
          <w:b w:val="false"/>
          <w:bCs w:val="false"/>
          <w:i w:val="false"/>
          <w:iCs w:val="false"/>
          <w:sz w:val="22"/>
          <w:szCs w:val="22"/>
        </w:rPr>
        <w:t xml:space="preserve"> sicherst du dir den Zins für 30, 45 oder 60 Tage.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Rate Lock läuft ab. Dauern Gutachten, Underwriting oder Titelprüfung länger als die gesicherte Frist, wird die Verlängerung teuer. Fällt der Marktzins danach, profitierst du in der Regel nicht. Ändert sich dein Antrag (Preis, Anzahlung, Bonität), kann sich auch der Zins ändern (CFPB). Wähle die Frist mit Puffer und ändere nach der Sicherung nichts mehr am Antrag.</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Hole mindestens drei Loan Estimates ein und vergleiche Zins, Points, Gebühren und Rate-Lock-Dauer. Das CFPB empfiehlt das, und es kostet meist nichts. Ein Kreditgeber, der Visa-Inhaber regelmäßig finanziert, kennt die Overlays und erspart dir Wochen.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PMI und Escrow: was die Rate enthält</w:t>
      </w:r>
    </w:p>
    <w:p>
      <w:pPr>
        <w:pStyle w:val="Normal"/>
        <w:keepNext w:val="false"/>
        <w:keepLines w:val="false"/>
        <w:spacing w:lineRule="exact" w:line="288" w:before="0" w:after="140"/>
        <w:jc w:val="left"/>
        <w:rPr/>
      </w:pPr>
      <w:r>
        <w:rPr>
          <w:rFonts w:eastAsia="Cambria" w:cs="Cambria"/>
          <w:b w:val="false"/>
          <w:bCs w:val="false"/>
          <w:i/>
          <w:iCs/>
          <w:sz w:val="22"/>
          <w:szCs w:val="22"/>
        </w:rPr>
        <w:t>PMI</w:t>
      </w:r>
      <w:r>
        <w:rPr>
          <w:rFonts w:eastAsia="Cambria" w:cs="Cambria"/>
          <w:b w:val="false"/>
          <w:bCs w:val="false"/>
          <w:i w:val="false"/>
          <w:iCs w:val="false"/>
          <w:sz w:val="22"/>
          <w:szCs w:val="22"/>
        </w:rPr>
        <w:t xml:space="preserve"> (</w:t>
      </w:r>
      <w:r>
        <w:rPr>
          <w:rFonts w:eastAsia="Cambria" w:cs="Cambria"/>
          <w:b w:val="false"/>
          <w:bCs w:val="false"/>
          <w:i/>
          <w:iCs/>
          <w:sz w:val="22"/>
          <w:szCs w:val="22"/>
        </w:rPr>
        <w:t>Private Mortgage Insurance</w:t>
      </w:r>
      <w:r>
        <w:rPr>
          <w:rFonts w:eastAsia="Cambria" w:cs="Cambria"/>
          <w:b w:val="false"/>
          <w:bCs w:val="false"/>
          <w:i w:val="false"/>
          <w:iCs w:val="false"/>
          <w:sz w:val="22"/>
          <w:szCs w:val="22"/>
        </w:rPr>
        <w:t>) ist eine Versicherung, die den Kreditgeber schützt, nicht dich, aber du bezahlst sie. Bei konventionellen Krediten mit weniger als 20 % Anzahlung ist sie Pflicht. Der Satz hängt von Score und Anzahlung ab und liegt grob bei 0,5–1,5 % des Darlehens pro Jahr (Marktangabe; das Rechenbeispiel unten nimmt 0,5 %). Die Zahlung endet auf Antrag, sobald das Darlehen 80 % des ursprünglichen Werts erreicht (schriftlicher Antrag, gute Zahlungshistorie, keine Zweithypothek), automatisch bei 78 %. Im Rechenbeispiel mit 10 % Anzahlung und ohne Wertzuwachs sind das 100 Monate (gut acht Jahre) bis 80 % und 115 Monate bis 78 %; PMI kostet dann insgesamt 18.750–21.563 $. Beantrage die Löschung aktiv; verlass dich nicht darauf, dass jemand dich erinnert.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w:t>
      </w:r>
      <w:r>
        <w:rPr>
          <w:rFonts w:eastAsia="Cambria" w:cs="Cambria"/>
          <w:b w:val="false"/>
          <w:bCs w:val="false"/>
          <w:i/>
          <w:iCs/>
          <w:sz w:val="22"/>
          <w:szCs w:val="22"/>
        </w:rPr>
        <w:t>Escrow-Konto</w:t>
      </w:r>
      <w:r>
        <w:rPr>
          <w:rFonts w:eastAsia="Cambria" w:cs="Cambria"/>
          <w:b w:val="false"/>
          <w:bCs w:val="false"/>
          <w:i w:val="false"/>
          <w:iCs w:val="false"/>
          <w:sz w:val="22"/>
          <w:szCs w:val="22"/>
        </w:rPr>
        <w:t xml:space="preserve"> (hier: Treuhandkonto beim Kreditgeber) sammelt monatlich ein Zwölftel von Grundsteuer und Hausversicherung und zahlt die Rechnungen für dich. Die Gesamtrate heißt PITI (</w:t>
      </w:r>
      <w:r>
        <w:rPr>
          <w:rFonts w:eastAsia="Cambria" w:cs="Cambria"/>
          <w:b w:val="false"/>
          <w:bCs w:val="false"/>
          <w:i/>
          <w:iCs/>
          <w:sz w:val="22"/>
          <w:szCs w:val="22"/>
        </w:rPr>
        <w:t>Principal, Interest, Taxes, Insurance</w:t>
      </w:r>
      <w:r>
        <w:rPr>
          <w:rFonts w:eastAsia="Cambria" w:cs="Cambria"/>
          <w:b w:val="false"/>
          <w:bCs w:val="false"/>
          <w:i w:val="false"/>
          <w:iCs w:val="false"/>
          <w:sz w:val="22"/>
          <w:szCs w:val="22"/>
        </w:rPr>
        <w:t xml:space="preserve">: Tilgung, Zins, Steuer, Versicherung). Steigen Steuer oder Prämie, steigt deine Rate, obwohl der Zins fest ist. Beim Kauf begegnet dir das Wort noch einmal anders: Ein neutraler </w:t>
      </w:r>
      <w:r>
        <w:rPr>
          <w:rFonts w:eastAsia="Cambria" w:cs="Cambria"/>
          <w:b w:val="false"/>
          <w:bCs w:val="false"/>
          <w:i/>
          <w:iCs/>
          <w:sz w:val="22"/>
          <w:szCs w:val="22"/>
        </w:rPr>
        <w:t>Escrow Agent</w:t>
      </w:r>
      <w:r>
        <w:rPr>
          <w:rFonts w:eastAsia="Cambria" w:cs="Cambria"/>
          <w:b w:val="false"/>
          <w:bCs w:val="false"/>
          <w:i w:val="false"/>
          <w:iCs w:val="false"/>
          <w:sz w:val="22"/>
          <w:szCs w:val="22"/>
        </w:rPr>
        <w:t xml:space="preserve"> verwahrt beim Closing Geld und Dokumente, bis alle Bedingungen erfüllt sind.</w:t>
      </w:r>
    </w:p>
    <w:p>
      <w:pPr>
        <w:pStyle w:val="Heading3"/>
        <w:keepNext w:val="true"/>
        <w:spacing w:before="280" w:after="100"/>
        <w:jc w:val="center"/>
        <w:rPr/>
      </w:pPr>
      <w:r>
        <w:rPr>
          <w:rFonts w:eastAsia="Amazon Ember" w:cs="Amazon Ember" w:ascii="Amazon Ember" w:hAnsi="Amazon Ember"/>
          <w:b/>
          <w:bCs/>
          <w:color w:val="0000FF"/>
          <w:sz w:val="36"/>
          <w:szCs w:val="36"/>
        </w:rPr>
        <w:t>Beispiel-Monatsrate mit Rechenweg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Formel für die Rate aus Zins und Tilgung (</w:t>
      </w:r>
      <w:r>
        <w:rPr>
          <w:rFonts w:eastAsia="Cambria" w:cs="Cambria"/>
          <w:b w:val="false"/>
          <w:bCs w:val="false"/>
          <w:i/>
          <w:iCs/>
          <w:sz w:val="22"/>
          <w:szCs w:val="22"/>
        </w:rPr>
        <w:t>Principal &amp; Interest</w:t>
      </w:r>
      <w:r>
        <w:rPr>
          <w:rFonts w:eastAsia="Cambria" w:cs="Cambria"/>
          <w:b w:val="false"/>
          <w:bCs w:val="false"/>
          <w:i w:val="false"/>
          <w:iCs w:val="false"/>
          <w:sz w:val="22"/>
          <w:szCs w:val="22"/>
        </w:rPr>
        <w:t>, P&amp;I) lautet: M = L × i × (1 + i)^n ÷ ((1 + i)^n − 1). Dabei ist L das Darlehen, i der Jahreszins geteilt durch zwölf und n die Zahl der Monate. Für ein Haus zu 500.000 $ mit 20 % Anzahlung ist L = 400.000 $, i = 6,95 % ÷ 12 = 0,5792 %, n = 360 und (1 + i)^n ≈ 8,00. Das ergibt M = 2.647,79 $. Dazu kommen Grundsteuer (1 % des Preises: 5.000 $ pro Jahr), Versicherung (3.000 $ pro Jahr) und bei weniger als 20 % Anzahlung PMI (0,5 % des Darlehens).</w:t>
      </w:r>
    </w:p>
    <w:tbl>
      <w:tblPr>
        <w:tblW w:w="6480" w:type="dxa"/>
        <w:jc w:val="left"/>
        <w:tblInd w:w="0" w:type="dxa"/>
        <w:tblLayout w:type="fixed"/>
        <w:tblCellMar>
          <w:top w:w="50" w:type="dxa"/>
          <w:left w:w="80" w:type="dxa"/>
          <w:bottom w:w="50" w:type="dxa"/>
          <w:right w:w="80" w:type="dxa"/>
        </w:tblCellMar>
      </w:tblPr>
      <w:tblGrid>
        <w:gridCol w:w="2498"/>
        <w:gridCol w:w="1966"/>
        <w:gridCol w:w="2016"/>
      </w:tblGrid>
      <w:tr>
        <w:trPr>
          <w:tblHeader w:val="true"/>
          <w:cantSplit w:val="true"/>
        </w:trPr>
        <w:tc>
          <w:tcPr>
            <w:tcW w:w="249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Posten (Dollar pro Monat)</w:t>
            </w:r>
          </w:p>
        </w:tc>
        <w:tc>
          <w:tcPr>
            <w:tcW w:w="196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20 % Anzahlung (Darlehen 400.000 $)</w:t>
            </w:r>
          </w:p>
        </w:tc>
        <w:tc>
          <w:tcPr>
            <w:tcW w:w="201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10 % Anzahlung (Darlehen 450.000 $)</w:t>
            </w:r>
          </w:p>
        </w:tc>
      </w:tr>
      <w:tr>
        <w:trPr>
          <w:cantSplit w:val="true"/>
        </w:trPr>
        <w:tc>
          <w:tcPr>
            <w:tcW w:w="24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Tilgung und Zins (P&amp;I)</w:t>
            </w:r>
          </w:p>
        </w:tc>
        <w:tc>
          <w:tcPr>
            <w:tcW w:w="19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2.647,79</w:t>
            </w:r>
          </w:p>
        </w:tc>
        <w:tc>
          <w:tcPr>
            <w:tcW w:w="20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2.978,77</w:t>
            </w:r>
          </w:p>
        </w:tc>
      </w:tr>
      <w:tr>
        <w:trPr>
          <w:cantSplit w:val="true"/>
        </w:trPr>
        <w:tc>
          <w:tcPr>
            <w:tcW w:w="24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Grundsteuer</w:t>
            </w:r>
          </w:p>
        </w:tc>
        <w:tc>
          <w:tcPr>
            <w:tcW w:w="19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416,67</w:t>
            </w:r>
          </w:p>
        </w:tc>
        <w:tc>
          <w:tcPr>
            <w:tcW w:w="20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416,67</w:t>
            </w:r>
          </w:p>
        </w:tc>
      </w:tr>
      <w:tr>
        <w:trPr>
          <w:cantSplit w:val="true"/>
        </w:trPr>
        <w:tc>
          <w:tcPr>
            <w:tcW w:w="24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Versicherung</w:t>
            </w:r>
          </w:p>
        </w:tc>
        <w:tc>
          <w:tcPr>
            <w:tcW w:w="19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250,00</w:t>
            </w:r>
          </w:p>
        </w:tc>
        <w:tc>
          <w:tcPr>
            <w:tcW w:w="20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250,00</w:t>
            </w:r>
          </w:p>
        </w:tc>
      </w:tr>
      <w:tr>
        <w:trPr>
          <w:cantSplit w:val="true"/>
        </w:trPr>
        <w:tc>
          <w:tcPr>
            <w:tcW w:w="24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PMI (0,5 %)</w:t>
            </w:r>
          </w:p>
        </w:tc>
        <w:tc>
          <w:tcPr>
            <w:tcW w:w="19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c>
          <w:tcPr>
            <w:tcW w:w="20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187,50</w:t>
            </w:r>
          </w:p>
        </w:tc>
      </w:tr>
      <w:tr>
        <w:trPr>
          <w:cantSplit w:val="true"/>
        </w:trPr>
        <w:tc>
          <w:tcPr>
            <w:tcW w:w="24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Summe</w:t>
            </w:r>
          </w:p>
        </w:tc>
        <w:tc>
          <w:tcPr>
            <w:tcW w:w="19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3.314,46</w:t>
            </w:r>
          </w:p>
        </w:tc>
        <w:tc>
          <w:tcPr>
            <w:tcW w:w="20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3.832,93</w:t>
            </w:r>
          </w:p>
        </w:tc>
      </w:tr>
      <w:tr>
        <w:trPr>
          <w:cantSplit w:val="true"/>
        </w:trPr>
        <w:tc>
          <w:tcPr>
            <w:tcW w:w="24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Summe mit HOA (300 $ pro Monat)</w:t>
            </w:r>
          </w:p>
        </w:tc>
        <w:tc>
          <w:tcPr>
            <w:tcW w:w="19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3.614,46</w:t>
            </w:r>
          </w:p>
        </w:tc>
        <w:tc>
          <w:tcPr>
            <w:tcW w:w="20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4.132,93</w:t>
            </w:r>
          </w:p>
        </w:tc>
      </w:tr>
      <w:tr>
        <w:trPr>
          <w:cantSplit w:val="true"/>
        </w:trPr>
        <w:tc>
          <w:tcPr>
            <w:tcW w:w="24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Summe plus Instandhaltung (1 %)</w:t>
            </w:r>
          </w:p>
        </w:tc>
        <w:tc>
          <w:tcPr>
            <w:tcW w:w="19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3.731,12</w:t>
            </w:r>
          </w:p>
        </w:tc>
        <w:tc>
          <w:tcPr>
            <w:tcW w:w="20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4.249,60</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Bandbreite ist groß: Mit günstigen Annahmen (Grundsteuer 0,7 %, Versicherung 1.800 $, PMI 0,3 %) liegt die Summe bei 10 % Anzahlung bei 3.533 $, mit ungünstigen (1,9 %, 6.000 $, 1,0 %) bei 4.645 $; bei 20 % Anzahlung zwischen 3.089 $ und 3.939 $. Die Zinsen des ersten Jahres betragen 27.671 $ (Darlehen 400.000 $) bzw. 31.130 $ (450.000 $).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Was heißt das für dein Gehalt? Nach der 28-%-Regel (Wohnkosten höchstens 28 % des Bruttoeinkommens) brauchst du für 3.314 $ rund 142.000 $ Jahreseinkommen, für 3.833 $ rund 164.000 $. Kreditgeber rechnen großzügiger: Bei 45 % Schuldenquote und ohne weitere Schulden genügen 88.000 $ bzw. 102.000 $. Was der Kreditgeber genehmigt, ist nicht, was du entspannt zahlst.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Monatsrate ist nicht der Preis. Rechne mit der Gesamtbelastung aus Tilgung, Zins, Grundsteuer, Versicherung, PMI, HOA und Instandhaltung, und teste sie mit ungünstigen Werten.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Kaufprozess in neun Schritten</w:t>
      </w:r>
    </w:p>
    <w:p>
      <w:pPr>
        <w:pStyle w:val="ListParagraph"/>
        <w:numPr>
          <w:ilvl w:val="0"/>
          <w:numId w:val="120"/>
        </w:numPr>
        <w:spacing w:lineRule="exact" w:line="288" w:before="0" w:after="60"/>
        <w:rPr/>
      </w:pPr>
      <w:r>
        <w:rPr>
          <w:rFonts w:eastAsia="Cambria" w:cs="Cambria"/>
          <w:b/>
          <w:bCs/>
          <w:i w:val="false"/>
          <w:iCs w:val="false"/>
          <w:sz w:val="22"/>
          <w:szCs w:val="22"/>
        </w:rPr>
        <w:t>Finanzierung klären (</w:t>
      </w:r>
      <w:r>
        <w:rPr>
          <w:rFonts w:eastAsia="Cambria" w:cs="Cambria"/>
          <w:b/>
          <w:bCs/>
          <w:i/>
          <w:iCs/>
          <w:sz w:val="22"/>
          <w:szCs w:val="22"/>
        </w:rPr>
        <w:t>Pre-Approval</w:t>
      </w:r>
      <w:r>
        <w:rPr>
          <w:rFonts w:eastAsia="Cambria" w:cs="Cambria"/>
          <w:b/>
          <w:bCs/>
          <w:i w:val="false"/>
          <w:iCs w:val="false"/>
          <w:sz w:val="22"/>
          <w:szCs w:val="22"/>
        </w:rPr>
        <w:t>).</w:t>
      </w:r>
      <w:r>
        <w:rPr>
          <w:rFonts w:eastAsia="Cambria" w:cs="Cambria"/>
          <w:b w:val="false"/>
          <w:bCs w:val="false"/>
          <w:i w:val="false"/>
          <w:iCs w:val="false"/>
          <w:sz w:val="22"/>
          <w:szCs w:val="22"/>
        </w:rPr>
        <w:t xml:space="preserve"> Der Kreditgeber prüft Einkommen, Vermögen und Kredit und stellt ein Schreiben aus, das Verkäufer erwarten. Eine </w:t>
      </w:r>
      <w:r>
        <w:rPr>
          <w:rFonts w:eastAsia="Cambria" w:cs="Cambria"/>
          <w:b w:val="false"/>
          <w:bCs w:val="false"/>
          <w:i/>
          <w:iCs/>
          <w:sz w:val="22"/>
          <w:szCs w:val="22"/>
        </w:rPr>
        <w:t>Pre-Qualification</w:t>
      </w:r>
      <w:r>
        <w:rPr>
          <w:rFonts w:eastAsia="Cambria" w:cs="Cambria"/>
          <w:b w:val="false"/>
          <w:bCs w:val="false"/>
          <w:i w:val="false"/>
          <w:iCs w:val="false"/>
          <w:sz w:val="22"/>
          <w:szCs w:val="22"/>
        </w:rPr>
        <w:t xml:space="preserve"> ist dagegen nur eine unverbindliche Schätzung.</w:t>
      </w:r>
    </w:p>
    <w:p>
      <w:pPr>
        <w:pStyle w:val="ListParagraph"/>
        <w:numPr>
          <w:ilvl w:val="0"/>
          <w:numId w:val="121"/>
        </w:numPr>
        <w:spacing w:lineRule="exact" w:line="288" w:before="0" w:after="60"/>
        <w:rPr/>
      </w:pPr>
      <w:r>
        <w:rPr>
          <w:rFonts w:eastAsia="Cambria" w:cs="Cambria"/>
          <w:b/>
          <w:bCs/>
          <w:i w:val="false"/>
          <w:iCs w:val="false"/>
          <w:sz w:val="22"/>
          <w:szCs w:val="22"/>
        </w:rPr>
        <w:t>Makler wählen.</w:t>
      </w:r>
      <w:r>
        <w:rPr>
          <w:rFonts w:eastAsia="Cambria" w:cs="Cambria"/>
          <w:b w:val="false"/>
          <w:bCs w:val="false"/>
          <w:i w:val="false"/>
          <w:iCs w:val="false"/>
          <w:sz w:val="22"/>
          <w:szCs w:val="22"/>
        </w:rPr>
        <w:t xml:space="preserve"> Seit 17. August 2024 gilt: keine Vergütungsangebote mehr in der Objektdatenbank (MLS) und ein schriftlicher Vertrag mit dem Käuferagenten (</w:t>
      </w:r>
      <w:r>
        <w:rPr>
          <w:rFonts w:eastAsia="Cambria" w:cs="Cambria"/>
          <w:b w:val="false"/>
          <w:bCs w:val="false"/>
          <w:i/>
          <w:iCs/>
          <w:sz w:val="22"/>
          <w:szCs w:val="22"/>
        </w:rPr>
        <w:t>Buyer’s Agent</w:t>
      </w:r>
      <w:r>
        <w:rPr>
          <w:rFonts w:eastAsia="Cambria" w:cs="Cambria"/>
          <w:b w:val="false"/>
          <w:bCs w:val="false"/>
          <w:i w:val="false"/>
          <w:iCs w:val="false"/>
          <w:sz w:val="22"/>
          <w:szCs w:val="22"/>
        </w:rPr>
        <w:t>) vor der ersten Besichtigung. Die Provision (Ø 2,42 %, Redfin, Q3 2025) ist verhandelbar; vereinbare sie schriftlich.</w:t>
      </w:r>
    </w:p>
    <w:p>
      <w:pPr>
        <w:pStyle w:val="ListParagraph"/>
        <w:numPr>
          <w:ilvl w:val="0"/>
          <w:numId w:val="122"/>
        </w:numPr>
        <w:spacing w:lineRule="exact" w:line="288" w:before="0" w:after="60"/>
        <w:rPr/>
      </w:pPr>
      <w:r>
        <w:rPr>
          <w:rFonts w:eastAsia="Cambria" w:cs="Cambria"/>
          <w:b/>
          <w:bCs/>
          <w:i w:val="false"/>
          <w:iCs w:val="false"/>
          <w:sz w:val="22"/>
          <w:szCs w:val="22"/>
        </w:rPr>
        <w:t>Suchen, besichtigen, Angebot machen.</w:t>
      </w:r>
      <w:r>
        <w:rPr>
          <w:rFonts w:eastAsia="Cambria" w:cs="Cambria"/>
          <w:b w:val="false"/>
          <w:bCs w:val="false"/>
          <w:i w:val="false"/>
          <w:iCs w:val="false"/>
          <w:sz w:val="22"/>
          <w:szCs w:val="22"/>
        </w:rPr>
        <w:t xml:space="preserve"> Das Angebot nennt Preis, </w:t>
      </w:r>
      <w:r>
        <w:rPr>
          <w:rFonts w:eastAsia="Cambria" w:cs="Cambria"/>
          <w:b w:val="false"/>
          <w:bCs w:val="false"/>
          <w:i/>
          <w:iCs/>
          <w:sz w:val="22"/>
          <w:szCs w:val="22"/>
        </w:rPr>
        <w:t>Earnest Money</w:t>
      </w:r>
      <w:r>
        <w:rPr>
          <w:rFonts w:eastAsia="Cambria" w:cs="Cambria"/>
          <w:b w:val="false"/>
          <w:bCs w:val="false"/>
          <w:i w:val="false"/>
          <w:iCs w:val="false"/>
          <w:sz w:val="22"/>
          <w:szCs w:val="22"/>
        </w:rPr>
        <w:t xml:space="preserve"> (Anzahlung als Ernstzeichen, meist 1–3 % des Preises, im Escrow verwahrt), Closing-Termin und </w:t>
      </w:r>
      <w:r>
        <w:rPr>
          <w:rFonts w:eastAsia="Cambria" w:cs="Cambria"/>
          <w:b w:val="false"/>
          <w:bCs w:val="false"/>
          <w:i/>
          <w:iCs/>
          <w:sz w:val="22"/>
          <w:szCs w:val="22"/>
        </w:rPr>
        <w:t>Contingencies</w:t>
      </w:r>
      <w:r>
        <w:rPr>
          <w:rFonts w:eastAsia="Cambria" w:cs="Cambria"/>
          <w:b w:val="false"/>
          <w:bCs w:val="false"/>
          <w:i w:val="false"/>
          <w:iCs w:val="false"/>
          <w:sz w:val="22"/>
          <w:szCs w:val="22"/>
        </w:rPr>
        <w:t xml:space="preserve"> (Rücktrittsklauseln für Inspektion, Finanzierung, Gutachten). Trittst du aus einem Grund zurück, den keine Contingency abdeckt, kann der Verkäufer das Earnest Money behalten.</w:t>
      </w:r>
    </w:p>
    <w:p>
      <w:pPr>
        <w:pStyle w:val="ListParagraph"/>
        <w:numPr>
          <w:ilvl w:val="0"/>
          <w:numId w:val="123"/>
        </w:numPr>
        <w:spacing w:lineRule="exact" w:line="288" w:before="0" w:after="60"/>
        <w:rPr/>
      </w:pPr>
      <w:r>
        <w:rPr>
          <w:rFonts w:eastAsia="Cambria" w:cs="Cambria"/>
          <w:b/>
          <w:bCs/>
          <w:i w:val="false"/>
          <w:iCs w:val="false"/>
          <w:sz w:val="22"/>
          <w:szCs w:val="22"/>
        </w:rPr>
        <w:t>Kreditantrag.</w:t>
      </w:r>
      <w:r>
        <w:rPr>
          <w:rFonts w:eastAsia="Cambria" w:cs="Cambria"/>
          <w:b w:val="false"/>
          <w:bCs w:val="false"/>
          <w:i w:val="false"/>
          <w:iCs w:val="false"/>
          <w:sz w:val="22"/>
          <w:szCs w:val="22"/>
        </w:rPr>
        <w:t xml:space="preserve"> Loan Estimate innerhalb von drei Werktagen, dann Rate Lock (siehe oben).</w:t>
      </w:r>
    </w:p>
    <w:p>
      <w:pPr>
        <w:pStyle w:val="ListParagraph"/>
        <w:numPr>
          <w:ilvl w:val="0"/>
          <w:numId w:val="124"/>
        </w:numPr>
        <w:spacing w:lineRule="exact" w:line="288" w:before="0" w:after="60"/>
        <w:rPr/>
      </w:pPr>
      <w:r>
        <w:rPr>
          <w:rFonts w:eastAsia="Cambria" w:cs="Cambria"/>
          <w:b/>
          <w:bCs/>
          <w:i w:val="false"/>
          <w:iCs w:val="false"/>
          <w:sz w:val="22"/>
          <w:szCs w:val="22"/>
        </w:rPr>
        <w:t>Inspektion (</w:t>
      </w:r>
      <w:r>
        <w:rPr>
          <w:rFonts w:eastAsia="Cambria" w:cs="Cambria"/>
          <w:b/>
          <w:bCs/>
          <w:i/>
          <w:iCs/>
          <w:sz w:val="22"/>
          <w:szCs w:val="22"/>
        </w:rPr>
        <w:t>Home Inspection</w:t>
      </w:r>
      <w:r>
        <w:rPr>
          <w:rFonts w:eastAsia="Cambria" w:cs="Cambria"/>
          <w:b/>
          <w:bCs/>
          <w:i w:val="false"/>
          <w:iCs w:val="false"/>
          <w:sz w:val="22"/>
          <w:szCs w:val="22"/>
        </w:rPr>
        <w:t>).</w:t>
      </w:r>
      <w:r>
        <w:rPr>
          <w:rFonts w:eastAsia="Cambria" w:cs="Cambria"/>
          <w:b w:val="false"/>
          <w:bCs w:val="false"/>
          <w:i w:val="false"/>
          <w:iCs w:val="false"/>
          <w:sz w:val="22"/>
          <w:szCs w:val="22"/>
        </w:rPr>
        <w:t xml:space="preserve"> Ein Sachverständiger prüft Dach, Elektrik, Heizung, Keller (300–500 $). Bei Mängeln verhandelst du Preis oder Reparatur nach oder trittst zurück.</w:t>
      </w:r>
    </w:p>
    <w:p>
      <w:pPr>
        <w:pStyle w:val="ListParagraph"/>
        <w:numPr>
          <w:ilvl w:val="0"/>
          <w:numId w:val="125"/>
        </w:numPr>
        <w:spacing w:lineRule="exact" w:line="288" w:before="0" w:after="60"/>
        <w:rPr/>
      </w:pPr>
      <w:r>
        <w:rPr>
          <w:rFonts w:eastAsia="Cambria" w:cs="Cambria"/>
          <w:b/>
          <w:bCs/>
          <w:i w:val="false"/>
          <w:iCs w:val="false"/>
          <w:sz w:val="22"/>
          <w:szCs w:val="22"/>
        </w:rPr>
        <w:t>Gutachten (</w:t>
      </w:r>
      <w:r>
        <w:rPr>
          <w:rFonts w:eastAsia="Cambria" w:cs="Cambria"/>
          <w:b/>
          <w:bCs/>
          <w:i/>
          <w:iCs/>
          <w:sz w:val="22"/>
          <w:szCs w:val="22"/>
        </w:rPr>
        <w:t>Appraisal</w:t>
      </w:r>
      <w:r>
        <w:rPr>
          <w:rFonts w:eastAsia="Cambria" w:cs="Cambria"/>
          <w:b/>
          <w:bCs/>
          <w:i w:val="false"/>
          <w:iCs w:val="false"/>
          <w:sz w:val="22"/>
          <w:szCs w:val="22"/>
        </w:rPr>
        <w:t>).</w:t>
      </w:r>
      <w:r>
        <w:rPr>
          <w:rFonts w:eastAsia="Cambria" w:cs="Cambria"/>
          <w:b w:val="false"/>
          <w:bCs w:val="false"/>
          <w:i w:val="false"/>
          <w:iCs w:val="false"/>
          <w:sz w:val="22"/>
          <w:szCs w:val="22"/>
        </w:rPr>
        <w:t xml:space="preserve"> Der Kreditgeber beauftragt einen unabhängigen Gutachter (500–1.000 $ und mehr). Liegt der Wert unter dem Preis, finanziert der Kreditgeber nur bis zum niedrigeren Wert; die Lücke schließt du oder du verhandelst neu.</w:t>
      </w:r>
    </w:p>
    <w:p>
      <w:pPr>
        <w:pStyle w:val="ListParagraph"/>
        <w:numPr>
          <w:ilvl w:val="0"/>
          <w:numId w:val="126"/>
        </w:numPr>
        <w:spacing w:lineRule="exact" w:line="288" w:before="0" w:after="60"/>
        <w:rPr/>
      </w:pPr>
      <w:r>
        <w:rPr>
          <w:rFonts w:eastAsia="Cambria" w:cs="Cambria"/>
          <w:b/>
          <w:bCs/>
          <w:i w:val="false"/>
          <w:iCs w:val="false"/>
          <w:sz w:val="22"/>
          <w:szCs w:val="22"/>
        </w:rPr>
        <w:t>Underwriting und Titelprüfung.</w:t>
      </w:r>
      <w:r>
        <w:rPr>
          <w:rFonts w:eastAsia="Cambria" w:cs="Cambria"/>
          <w:b w:val="false"/>
          <w:bCs w:val="false"/>
          <w:i w:val="false"/>
          <w:iCs w:val="false"/>
          <w:sz w:val="22"/>
          <w:szCs w:val="22"/>
        </w:rPr>
        <w:t xml:space="preserve"> Der Kreditgeber prüft den Antrag abschließend. Die </w:t>
      </w:r>
      <w:r>
        <w:rPr>
          <w:rFonts w:eastAsia="Cambria" w:cs="Cambria"/>
          <w:b w:val="false"/>
          <w:bCs w:val="false"/>
          <w:i/>
          <w:iCs/>
          <w:sz w:val="22"/>
          <w:szCs w:val="22"/>
        </w:rPr>
        <w:t>Title Company</w:t>
      </w:r>
      <w:r>
        <w:rPr>
          <w:rFonts w:eastAsia="Cambria" w:cs="Cambria"/>
          <w:b w:val="false"/>
          <w:bCs w:val="false"/>
          <w:i w:val="false"/>
          <w:iCs w:val="false"/>
          <w:sz w:val="22"/>
          <w:szCs w:val="22"/>
        </w:rPr>
        <w:t xml:space="preserve"> (Titelgesellschaft) recherchiert die Eigentumshistorie: offene Pfandrechte, Steuerschulden, Ansprüche Dritter. Ein Jobwechsel oder neue Kreditlinien in dieser Phase können die Zusage gefährden, denn der Kreditgeber prüft Beschäftigung und Kredit vor dem Closing erneut.</w:t>
      </w:r>
    </w:p>
    <w:p>
      <w:pPr>
        <w:pStyle w:val="ListParagraph"/>
        <w:numPr>
          <w:ilvl w:val="0"/>
          <w:numId w:val="127"/>
        </w:numPr>
        <w:spacing w:lineRule="exact" w:line="288" w:before="0" w:after="60"/>
        <w:rPr/>
      </w:pPr>
      <w:r>
        <w:rPr>
          <w:rFonts w:eastAsia="Cambria" w:cs="Cambria"/>
          <w:b/>
          <w:bCs/>
          <w:i w:val="false"/>
          <w:iCs w:val="false"/>
          <w:sz w:val="22"/>
          <w:szCs w:val="22"/>
        </w:rPr>
        <w:t>Closing Disclosure.</w:t>
      </w:r>
      <w:r>
        <w:rPr>
          <w:rFonts w:eastAsia="Cambria" w:cs="Cambria"/>
          <w:b w:val="false"/>
          <w:bCs w:val="false"/>
          <w:i w:val="false"/>
          <w:iCs w:val="false"/>
          <w:sz w:val="22"/>
          <w:szCs w:val="22"/>
        </w:rPr>
        <w:t xml:space="preserve"> Die endgültige Kostenaufstellung muss mindestens drei Werktage vor dem Closing vorliegen; vergleiche sie mit dem Loan Estimate. Danach folgt der Rundgang durchs Haus (</w:t>
      </w:r>
      <w:r>
        <w:rPr>
          <w:rFonts w:eastAsia="Cambria" w:cs="Cambria"/>
          <w:b w:val="false"/>
          <w:bCs w:val="false"/>
          <w:i/>
          <w:iCs/>
          <w:sz w:val="22"/>
          <w:szCs w:val="22"/>
        </w:rPr>
        <w:t>Final Walk-Through</w:t>
      </w:r>
      <w:r>
        <w:rPr>
          <w:rFonts w:eastAsia="Cambria" w:cs="Cambria"/>
          <w:b w:val="false"/>
          <w:bCs w:val="false"/>
          <w:i w:val="false"/>
          <w:iCs w:val="false"/>
          <w:sz w:val="22"/>
          <w:szCs w:val="22"/>
        </w:rPr>
        <w:t>).</w:t>
      </w:r>
    </w:p>
    <w:p>
      <w:pPr>
        <w:pStyle w:val="ListParagraph"/>
        <w:numPr>
          <w:ilvl w:val="0"/>
          <w:numId w:val="128"/>
        </w:numPr>
        <w:spacing w:lineRule="exact" w:line="288" w:before="0" w:after="60"/>
        <w:rPr/>
      </w:pPr>
      <w:r>
        <w:rPr>
          <w:rFonts w:eastAsia="Cambria" w:cs="Cambria"/>
          <w:b/>
          <w:bCs/>
          <w:i w:val="false"/>
          <w:iCs w:val="false"/>
          <w:sz w:val="22"/>
          <w:szCs w:val="22"/>
        </w:rPr>
        <w:t>Closing.</w:t>
      </w:r>
      <w:r>
        <w:rPr>
          <w:rFonts w:eastAsia="Cambria" w:cs="Cambria"/>
          <w:b w:val="false"/>
          <w:bCs w:val="false"/>
          <w:i w:val="false"/>
          <w:iCs w:val="false"/>
          <w:sz w:val="22"/>
          <w:szCs w:val="22"/>
        </w:rPr>
        <w:t xml:space="preserve"> Unterschrift, Überweisung des Restbetrags (</w:t>
      </w:r>
      <w:r>
        <w:rPr>
          <w:rFonts w:eastAsia="Cambria" w:cs="Cambria"/>
          <w:b w:val="false"/>
          <w:bCs w:val="false"/>
          <w:i/>
          <w:iCs/>
          <w:sz w:val="22"/>
          <w:szCs w:val="22"/>
        </w:rPr>
        <w:t>Cash to Close</w:t>
      </w:r>
      <w:r>
        <w:rPr>
          <w:rFonts w:eastAsia="Cambria" w:cs="Cambria"/>
          <w:b w:val="false"/>
          <w:bCs w:val="false"/>
          <w:i w:val="false"/>
          <w:iCs w:val="false"/>
          <w:sz w:val="22"/>
          <w:szCs w:val="22"/>
        </w:rPr>
        <w:t>), Schlüsselübergabe, Eintragung der Eigentumsübertragung im Register des Landkreises. Vom Angebot bis zum Closing vergehen grob 30–60 Tage (Richtwert, passend zu den üblichen Rate-Lock-Fristen).</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Überweisungsbetrug lauert kurz vor dem Closing: Kriminelle mailen gefälschte neue Kontodaten im Namen der Title Company. Bestätige jede Überweisungsanweisung telefonisch unter einer Nummer, die du selbst herausgesucht hast, nicht unter der aus der E-Mail. Bei Beträgen von mehreren Zehntausend Dollar ist das keine Übervorsicht.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Bieterwettbewerb und </w:t>
            </w:r>
            <w:r>
              <w:rPr>
                <w:rFonts w:eastAsia="Cambria" w:cs="Cambria"/>
                <w:b w:val="false"/>
                <w:bCs w:val="false"/>
                <w:i/>
                <w:iCs/>
                <w:sz w:val="20"/>
                <w:szCs w:val="20"/>
              </w:rPr>
              <w:t>As-Is</w:t>
            </w:r>
            <w:r>
              <w:rPr>
                <w:rFonts w:eastAsia="Cambria" w:cs="Cambria"/>
                <w:b w:val="false"/>
                <w:bCs w:val="false"/>
                <w:i w:val="false"/>
                <w:iCs w:val="false"/>
                <w:sz w:val="20"/>
                <w:szCs w:val="20"/>
              </w:rPr>
              <w:t>-Verkäufe (Verkauf „wie besehen“, ohne Reparaturen) sind die typischen Fallen. In gefragten Märkten konkurrierst du mit Barzahlern (27 % der Käufe im August 2026). Wer Inspektion oder Gutachten-Vorbehalt streicht, um zu gewinnen, trägt die Mängel und eine mögliche Lücke selbst. Offenlegungspflichten des Verkäufers regelt jeder Bundesstaat selbst. Lass ein As-Is-Haus trotzdem inspizieren, und lege vor dem Bieten ein Höchstgebot fest, das deine Monatsrechnung noch trägt.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Abschlusskosten und laufende Kosten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Abschlusskosten (</w:t>
      </w:r>
      <w:r>
        <w:rPr>
          <w:rFonts w:eastAsia="Cambria" w:cs="Cambria"/>
          <w:b w:val="false"/>
          <w:bCs w:val="false"/>
          <w:i/>
          <w:iCs/>
          <w:sz w:val="22"/>
          <w:szCs w:val="22"/>
        </w:rPr>
        <w:t>Closing Costs</w:t>
      </w:r>
      <w:r>
        <w:rPr>
          <w:rFonts w:eastAsia="Cambria" w:cs="Cambria"/>
          <w:b w:val="false"/>
          <w:bCs w:val="false"/>
          <w:i w:val="false"/>
          <w:iCs w:val="false"/>
          <w:sz w:val="22"/>
          <w:szCs w:val="22"/>
        </w:rPr>
        <w:t>) betragen für Käufer 2–5 % des Kaufpreises, bei 500.000 $ also 10.000–25.000 $. Typische Posten:</w:t>
      </w:r>
    </w:p>
    <w:tbl>
      <w:tblPr>
        <w:tblW w:w="6480" w:type="dxa"/>
        <w:jc w:val="left"/>
        <w:tblInd w:w="0" w:type="dxa"/>
        <w:tblLayout w:type="fixed"/>
        <w:tblCellMar>
          <w:top w:w="50" w:type="dxa"/>
          <w:left w:w="80" w:type="dxa"/>
          <w:bottom w:w="50" w:type="dxa"/>
          <w:right w:w="80" w:type="dxa"/>
        </w:tblCellMar>
      </w:tblPr>
      <w:tblGrid>
        <w:gridCol w:w="2356"/>
        <w:gridCol w:w="4123"/>
      </w:tblGrid>
      <w:tr>
        <w:trPr>
          <w:tblHeader w:val="true"/>
          <w:cantSplit w:val="true"/>
        </w:trPr>
        <w:tc>
          <w:tcPr>
            <w:tcW w:w="235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Posten</w:t>
            </w:r>
          </w:p>
        </w:tc>
        <w:tc>
          <w:tcPr>
            <w:tcW w:w="412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Spanne</w:t>
            </w:r>
          </w:p>
        </w:tc>
      </w:tr>
      <w:tr>
        <w:trPr>
          <w:cantSplit w:val="true"/>
        </w:trPr>
        <w:tc>
          <w:tcPr>
            <w:tcW w:w="23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Gutachten (</w:t>
            </w:r>
            <w:r>
              <w:rPr>
                <w:rFonts w:eastAsia="Cambria" w:cs="Cambria"/>
                <w:b w:val="false"/>
                <w:bCs w:val="false"/>
                <w:i/>
                <w:iCs/>
                <w:sz w:val="18"/>
                <w:szCs w:val="18"/>
              </w:rPr>
              <w:t>Appraisal</w:t>
            </w:r>
            <w:r>
              <w:rPr>
                <w:rFonts w:eastAsia="Cambria" w:cs="Cambria"/>
                <w:b w:val="false"/>
                <w:bCs w:val="false"/>
                <w:i w:val="false"/>
                <w:iCs w:val="false"/>
                <w:sz w:val="18"/>
                <w:szCs w:val="18"/>
              </w:rPr>
              <w:t>)</w:t>
            </w:r>
          </w:p>
        </w:tc>
        <w:tc>
          <w:tcPr>
            <w:tcW w:w="41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500–1.000 $ und mehr</w:t>
            </w:r>
          </w:p>
        </w:tc>
      </w:tr>
      <w:tr>
        <w:trPr>
          <w:cantSplit w:val="true"/>
        </w:trPr>
        <w:tc>
          <w:tcPr>
            <w:tcW w:w="23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Titelversicherung des Kreditgebers</w:t>
            </w:r>
          </w:p>
        </w:tc>
        <w:tc>
          <w:tcPr>
            <w:tcW w:w="41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300–1.500 $ und mehr</w:t>
            </w:r>
          </w:p>
        </w:tc>
      </w:tr>
      <w:tr>
        <w:trPr>
          <w:cantSplit w:val="true"/>
        </w:trPr>
        <w:tc>
          <w:tcPr>
            <w:tcW w:w="23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Titelrecherche (</w:t>
            </w:r>
            <w:r>
              <w:rPr>
                <w:rFonts w:eastAsia="Cambria" w:cs="Cambria"/>
                <w:b w:val="false"/>
                <w:bCs w:val="false"/>
                <w:i/>
                <w:iCs/>
                <w:sz w:val="18"/>
                <w:szCs w:val="18"/>
              </w:rPr>
              <w:t>Title Search</w:t>
            </w:r>
            <w:r>
              <w:rPr>
                <w:rFonts w:eastAsia="Cambria" w:cs="Cambria"/>
                <w:b w:val="false"/>
                <w:bCs w:val="false"/>
                <w:i w:val="false"/>
                <w:iCs w:val="false"/>
                <w:sz w:val="18"/>
                <w:szCs w:val="18"/>
              </w:rPr>
              <w:t>)</w:t>
            </w:r>
          </w:p>
        </w:tc>
        <w:tc>
          <w:tcPr>
            <w:tcW w:w="41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300–2.500 $ und mehr</w:t>
            </w:r>
          </w:p>
        </w:tc>
      </w:tr>
      <w:tr>
        <w:trPr>
          <w:cantSplit w:val="true"/>
        </w:trPr>
        <w:tc>
          <w:tcPr>
            <w:tcW w:w="23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Inspektion</w:t>
            </w:r>
          </w:p>
        </w:tc>
        <w:tc>
          <w:tcPr>
            <w:tcW w:w="41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300–500 $</w:t>
            </w:r>
          </w:p>
        </w:tc>
      </w:tr>
      <w:tr>
        <w:trPr>
          <w:cantSplit w:val="true"/>
        </w:trPr>
        <w:tc>
          <w:tcPr>
            <w:tcW w:w="23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Kreditgebühren</w:t>
            </w:r>
          </w:p>
        </w:tc>
        <w:tc>
          <w:tcPr>
            <w:tcW w:w="41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Origination 0–1 % des Darlehens; Bearbeitung 300–900 $; Underwriting 300–750 $</w:t>
            </w:r>
          </w:p>
        </w:tc>
      </w:tr>
      <w:tr>
        <w:trPr>
          <w:cantSplit w:val="true"/>
        </w:trPr>
        <w:tc>
          <w:tcPr>
            <w:tcW w:w="23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Escrow-Gebühr</w:t>
            </w:r>
          </w:p>
        </w:tc>
        <w:tc>
          <w:tcPr>
            <w:tcW w:w="41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350–1.000 $ und mehr</w:t>
            </w:r>
          </w:p>
        </w:tc>
      </w:tr>
      <w:tr>
        <w:trPr>
          <w:cantSplit w:val="true"/>
        </w:trPr>
        <w:tc>
          <w:tcPr>
            <w:tcW w:w="23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Eintragung (</w:t>
            </w:r>
            <w:r>
              <w:rPr>
                <w:rFonts w:eastAsia="Cambria" w:cs="Cambria"/>
                <w:b w:val="false"/>
                <w:bCs w:val="false"/>
                <w:i/>
                <w:iCs/>
                <w:sz w:val="18"/>
                <w:szCs w:val="18"/>
              </w:rPr>
              <w:t>Recording</w:t>
            </w:r>
            <w:r>
              <w:rPr>
                <w:rFonts w:eastAsia="Cambria" w:cs="Cambria"/>
                <w:b w:val="false"/>
                <w:bCs w:val="false"/>
                <w:i w:val="false"/>
                <w:iCs w:val="false"/>
                <w:sz w:val="18"/>
                <w:szCs w:val="18"/>
              </w:rPr>
              <w:t>)</w:t>
            </w:r>
          </w:p>
        </w:tc>
        <w:tc>
          <w:tcPr>
            <w:tcW w:w="41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20–250 $</w:t>
            </w:r>
          </w:p>
        </w:tc>
      </w:tr>
      <w:tr>
        <w:trPr>
          <w:cantSplit w:val="true"/>
        </w:trPr>
        <w:tc>
          <w:tcPr>
            <w:tcW w:w="23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Vorauszahlungen (</w:t>
            </w:r>
            <w:r>
              <w:rPr>
                <w:rFonts w:eastAsia="Cambria" w:cs="Cambria"/>
                <w:b w:val="false"/>
                <w:bCs w:val="false"/>
                <w:i/>
                <w:iCs/>
                <w:sz w:val="18"/>
                <w:szCs w:val="18"/>
              </w:rPr>
              <w:t>Prepaids</w:t>
            </w:r>
            <w:r>
              <w:rPr>
                <w:rFonts w:eastAsia="Cambria" w:cs="Cambria"/>
                <w:b w:val="false"/>
                <w:bCs w:val="false"/>
                <w:i w:val="false"/>
                <w:iCs w:val="false"/>
                <w:sz w:val="18"/>
                <w:szCs w:val="18"/>
              </w:rPr>
              <w:t>)</w:t>
            </w:r>
          </w:p>
        </w:tc>
        <w:tc>
          <w:tcPr>
            <w:tcW w:w="41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1.000–4.500 $ und mehr (Steuern, Versicherung, Zinsen)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Bargeld bei 500.000 $ Kaufpreis: 20 % Anzahlung plus Abschlusskosten sind 110.000–125.000 $, bei 10 % Anzahlung 60.000–75.000 $. Die Eigentümer-Titelversicherung (</w:t>
      </w:r>
      <w:r>
        <w:rPr>
          <w:rFonts w:eastAsia="Cambria" w:cs="Cambria"/>
          <w:b w:val="false"/>
          <w:bCs w:val="false"/>
          <w:i/>
          <w:iCs/>
          <w:sz w:val="22"/>
          <w:szCs w:val="22"/>
        </w:rPr>
        <w:t>Owner’s Title Policy</w:t>
      </w:r>
      <w:r>
        <w:rPr>
          <w:rFonts w:eastAsia="Cambria" w:cs="Cambria"/>
          <w:b w:val="false"/>
          <w:bCs w:val="false"/>
          <w:i w:val="false"/>
          <w:iCs w:val="false"/>
          <w:sz w:val="22"/>
          <w:szCs w:val="22"/>
        </w:rPr>
        <w:t>), die dich gegen verborgene Rechtsmängel schützt, kostet einmalig etwa 0,5–1 % des Preises. Wer sie zahlt, ist je nach Bundesstaat und Region verschieden: In Texas etwa trägt sie meist der Verkäufer.</w:t>
      </w:r>
    </w:p>
    <w:p>
      <w:pPr>
        <w:pStyle w:val="Heading4"/>
        <w:keepNext w:val="true"/>
        <w:spacing w:before="200" w:after="80"/>
        <w:jc w:val="center"/>
        <w:rPr/>
      </w:pPr>
      <w:r>
        <w:rPr>
          <w:rFonts w:eastAsia="Amazon Ember" w:cs="Amazon Ember" w:ascii="Amazon Ember" w:hAnsi="Amazon Ember"/>
          <w:b/>
          <w:bCs/>
          <w:color w:val="0000FF"/>
          <w:sz w:val="36"/>
          <w:szCs w:val="36"/>
        </w:rPr>
        <w:t>Grundsteuer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w:t>
      </w:r>
      <w:r>
        <w:rPr>
          <w:rFonts w:eastAsia="Cambria" w:cs="Cambria"/>
          <w:b w:val="false"/>
          <w:bCs w:val="false"/>
          <w:i/>
          <w:iCs/>
          <w:sz w:val="22"/>
          <w:szCs w:val="22"/>
        </w:rPr>
        <w:t>Property Tax</w:t>
      </w:r>
      <w:r>
        <w:rPr>
          <w:rFonts w:eastAsia="Cambria" w:cs="Cambria"/>
          <w:b w:val="false"/>
          <w:bCs w:val="false"/>
          <w:i w:val="false"/>
          <w:iCs w:val="false"/>
          <w:sz w:val="22"/>
          <w:szCs w:val="22"/>
        </w:rPr>
        <w:t xml:space="preserve"> (Grundsteuer) richtet sich nach dem Wert und dem Satz von Landkreis und Gemeinde. Im Durchschnitt beträgt der effektive Satz rund 0,9 % des Hauswerts pro Jahr (ACS 2024). Die Quellen weichen um bis zu 0,1 Prozentpunkte ab. Die Werte teilen die Median-Steuer durch den Median-Hauswert; Neukäufer zahlen oft mehr, weil neu bewertet wird.</w:t>
      </w:r>
    </w:p>
    <w:tbl>
      <w:tblPr>
        <w:tblW w:w="6480" w:type="dxa"/>
        <w:jc w:val="left"/>
        <w:tblInd w:w="0" w:type="dxa"/>
        <w:tblLayout w:type="fixed"/>
        <w:tblCellMar>
          <w:top w:w="50" w:type="dxa"/>
          <w:left w:w="80" w:type="dxa"/>
          <w:bottom w:w="50" w:type="dxa"/>
          <w:right w:w="80" w:type="dxa"/>
        </w:tblCellMar>
      </w:tblPr>
      <w:tblGrid>
        <w:gridCol w:w="1715"/>
        <w:gridCol w:w="2106"/>
        <w:gridCol w:w="2659"/>
      </w:tblGrid>
      <w:tr>
        <w:trPr>
          <w:tblHeader w:val="true"/>
          <w:cantSplit w:val="true"/>
        </w:trPr>
        <w:tc>
          <w:tcPr>
            <w:tcW w:w="171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Bundesstaat</w:t>
            </w:r>
          </w:p>
        </w:tc>
        <w:tc>
          <w:tcPr>
            <w:tcW w:w="210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Effektiver Satz</w:t>
            </w:r>
          </w:p>
        </w:tc>
        <w:tc>
          <w:tcPr>
            <w:tcW w:w="265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Bei 500.000 $ Wert</w:t>
            </w:r>
          </w:p>
        </w:tc>
      </w:tr>
      <w:tr>
        <w:trPr>
          <w:cantSplit w:val="true"/>
        </w:trPr>
        <w:tc>
          <w:tcPr>
            <w:tcW w:w="17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 Jersey</w:t>
            </w:r>
          </w:p>
        </w:tc>
        <w:tc>
          <w:tcPr>
            <w:tcW w:w="21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1,9 %</w:t>
            </w:r>
          </w:p>
        </w:tc>
        <w:tc>
          <w:tcPr>
            <w:tcW w:w="26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9.500 $</w:t>
            </w:r>
          </w:p>
        </w:tc>
      </w:tr>
      <w:tr>
        <w:trPr>
          <w:cantSplit w:val="true"/>
        </w:trPr>
        <w:tc>
          <w:tcPr>
            <w:tcW w:w="17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Illinois</w:t>
            </w:r>
          </w:p>
        </w:tc>
        <w:tc>
          <w:tcPr>
            <w:tcW w:w="21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1,9 %</w:t>
            </w:r>
          </w:p>
        </w:tc>
        <w:tc>
          <w:tcPr>
            <w:tcW w:w="26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9.500 $</w:t>
            </w:r>
          </w:p>
        </w:tc>
      </w:tr>
      <w:tr>
        <w:trPr>
          <w:cantSplit w:val="true"/>
        </w:trPr>
        <w:tc>
          <w:tcPr>
            <w:tcW w:w="17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Texas</w:t>
            </w:r>
          </w:p>
        </w:tc>
        <w:tc>
          <w:tcPr>
            <w:tcW w:w="21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1,4–1,5 %</w:t>
            </w:r>
          </w:p>
        </w:tc>
        <w:tc>
          <w:tcPr>
            <w:tcW w:w="26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7.000–7.500 $</w:t>
            </w:r>
          </w:p>
        </w:tc>
      </w:tr>
      <w:tr>
        <w:trPr>
          <w:cantSplit w:val="true"/>
        </w:trPr>
        <w:tc>
          <w:tcPr>
            <w:tcW w:w="17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 York</w:t>
            </w:r>
          </w:p>
        </w:tc>
        <w:tc>
          <w:tcPr>
            <w:tcW w:w="21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1,3–1,4 %</w:t>
            </w:r>
          </w:p>
        </w:tc>
        <w:tc>
          <w:tcPr>
            <w:tcW w:w="26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6.500–7.000 $</w:t>
            </w:r>
          </w:p>
        </w:tc>
      </w:tr>
      <w:tr>
        <w:trPr>
          <w:cantSplit w:val="true"/>
        </w:trPr>
        <w:tc>
          <w:tcPr>
            <w:tcW w:w="17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Florida</w:t>
            </w:r>
          </w:p>
        </w:tc>
        <w:tc>
          <w:tcPr>
            <w:tcW w:w="21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0,8 %</w:t>
            </w:r>
          </w:p>
        </w:tc>
        <w:tc>
          <w:tcPr>
            <w:tcW w:w="26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4.000 $</w:t>
            </w:r>
          </w:p>
        </w:tc>
      </w:tr>
      <w:tr>
        <w:trPr>
          <w:cantSplit w:val="true"/>
        </w:trPr>
        <w:tc>
          <w:tcPr>
            <w:tcW w:w="17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Kalifornien</w:t>
            </w:r>
          </w:p>
        </w:tc>
        <w:tc>
          <w:tcPr>
            <w:tcW w:w="21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0,7–0,8 %</w:t>
            </w:r>
          </w:p>
        </w:tc>
        <w:tc>
          <w:tcPr>
            <w:tcW w:w="26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3.500–4.000 $</w:t>
            </w:r>
          </w:p>
        </w:tc>
      </w:tr>
      <w:tr>
        <w:trPr>
          <w:cantSplit w:val="true"/>
        </w:trPr>
        <w:tc>
          <w:tcPr>
            <w:tcW w:w="17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Hawaii</w:t>
            </w:r>
          </w:p>
        </w:tc>
        <w:tc>
          <w:tcPr>
            <w:tcW w:w="21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0,3 %</w:t>
            </w:r>
          </w:p>
        </w:tc>
        <w:tc>
          <w:tcPr>
            <w:tcW w:w="26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 </w:t>
            </w:r>
            <w:r>
              <w:rPr>
                <w:rFonts w:eastAsia="Cambria" w:cs="Cambria"/>
                <w:b w:val="false"/>
                <w:bCs w:val="false"/>
                <w:i w:val="false"/>
                <w:iCs w:val="false"/>
                <w:sz w:val="18"/>
                <w:szCs w:val="18"/>
              </w:rPr>
              <w:t>1.500 $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Texas hat keine Einkommensteuer, dafür eine hohe Grundsteuer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xml:space="preserve"> und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xml:space="preserve">). In Kalifornien gilt </w:t>
      </w:r>
      <w:r>
        <w:rPr>
          <w:rFonts w:eastAsia="Cambria" w:cs="Cambria"/>
          <w:b w:val="false"/>
          <w:bCs w:val="false"/>
          <w:i/>
          <w:iCs/>
          <w:sz w:val="22"/>
          <w:szCs w:val="22"/>
        </w:rPr>
        <w:t>Proposition 13</w:t>
      </w:r>
      <w:r>
        <w:rPr>
          <w:rFonts w:eastAsia="Cambria" w:cs="Cambria"/>
          <w:b w:val="false"/>
          <w:bCs w:val="false"/>
          <w:i w:val="false"/>
          <w:iCs w:val="false"/>
          <w:sz w:val="22"/>
          <w:szCs w:val="22"/>
        </w:rPr>
        <w:t>: Beim Kauf entspricht der Steuerwert dem Kaufpreis, der Basissatz beträgt 1 % (plus örtliche Zuschläge), und der Steuerwert darf danach höchstens um 2 % pro Jahr steigen. Wer neu kauft, wird zum aktuellen Preis bewertet und zahlt deshalb oft mehr als der langjährige Nachbar.</w:t>
      </w:r>
    </w:p>
    <w:p>
      <w:pPr>
        <w:pStyle w:val="Heading4"/>
        <w:keepNext w:val="true"/>
        <w:spacing w:before="200" w:after="80"/>
        <w:jc w:val="center"/>
        <w:rPr/>
      </w:pPr>
      <w:r>
        <w:rPr>
          <w:rFonts w:eastAsia="Amazon Ember" w:cs="Amazon Ember" w:ascii="Amazon Ember" w:hAnsi="Amazon Ember"/>
          <w:b/>
          <w:bCs/>
          <w:color w:val="0000FF"/>
          <w:sz w:val="36"/>
          <w:szCs w:val="36"/>
        </w:rPr>
        <w:t>Hausversicherung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w:t>
      </w:r>
      <w:r>
        <w:rPr>
          <w:rFonts w:eastAsia="Cambria" w:cs="Cambria"/>
          <w:b w:val="false"/>
          <w:bCs w:val="false"/>
          <w:i/>
          <w:iCs/>
          <w:sz w:val="22"/>
          <w:szCs w:val="22"/>
        </w:rPr>
        <w:t>Homeowners Insurance</w:t>
      </w:r>
      <w:r>
        <w:rPr>
          <w:rFonts w:eastAsia="Cambria" w:cs="Cambria"/>
          <w:b w:val="false"/>
          <w:bCs w:val="false"/>
          <w:i w:val="false"/>
          <w:iCs w:val="false"/>
          <w:sz w:val="22"/>
          <w:szCs w:val="22"/>
        </w:rPr>
        <w:t xml:space="preserve"> kostet im Durchschnitt etwa 2.150–2.870 $ pro Jahr, je nach Deckung und Quelle, und stieg zuletzt um 6–7 % jährlich (ValuePenguin, 06/2026). Die Spreizung nach Staaten ist enorm. Bei 300.000 $ Deckung nennt Insurify (08/2026) für Florida 6.432 $, Louisiana 5.004 $, Texas 4.644 $ und Kalifornien 2.040 $. NerdWallet (05/2026, 400.000 $ Deckung) nennt Oklahoma mit 7.255 $ und Hawaii mit 900 $ – rund das Achtfache für dieselbe Deckungssumme, nur an einem anderen Ort. Die Quellen widersprechen einander im Detail (für Florida 3.382–6.432 $), weil Deckung, Selbstbehalt und Methodik verschieden sind. Nimm sie als Größenordnung.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In Kalifornien und Florida zeigt sich die Krise am Versicherungsmarkt. Der staatliche Notversicherer </w:t>
      </w:r>
      <w:r>
        <w:rPr>
          <w:rFonts w:eastAsia="Cambria" w:cs="Cambria"/>
          <w:b w:val="false"/>
          <w:bCs w:val="false"/>
          <w:i/>
          <w:iCs/>
          <w:sz w:val="22"/>
          <w:szCs w:val="22"/>
        </w:rPr>
        <w:t>FAIR Plan</w:t>
      </w:r>
      <w:r>
        <w:rPr>
          <w:rFonts w:eastAsia="Cambria" w:cs="Cambria"/>
          <w:b w:val="false"/>
          <w:bCs w:val="false"/>
          <w:i w:val="false"/>
          <w:iCs w:val="false"/>
          <w:sz w:val="22"/>
          <w:szCs w:val="22"/>
        </w:rPr>
        <w:t xml:space="preserve"> in Kalifornien wuchs von 124.000 Policen (2019) auf 663.000 (03/2026) und erhöhte 2026 die Tarife um 29 %. Floridas staatlicher Versicherer Citizens sank auf unter 800.000 Policen (06/2025), nach einer Spitze von 1,3–1,4 Millionen.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Standardpolice deckt weder Flut noch Erdbeben. Liegt das Haus in einer ausgewiesenen Hochrisiko-Flutzone (</w:t>
            </w:r>
            <w:r>
              <w:rPr>
                <w:rFonts w:eastAsia="Cambria" w:cs="Cambria"/>
                <w:b w:val="false"/>
                <w:bCs w:val="false"/>
                <w:i/>
                <w:iCs/>
                <w:sz w:val="20"/>
                <w:szCs w:val="20"/>
              </w:rPr>
              <w:t>Flood Zone</w:t>
            </w:r>
            <w:r>
              <w:rPr>
                <w:rFonts w:eastAsia="Cambria" w:cs="Cambria"/>
                <w:b w:val="false"/>
                <w:bCs w:val="false"/>
                <w:i w:val="false"/>
                <w:iCs w:val="false"/>
                <w:sz w:val="20"/>
                <w:szCs w:val="20"/>
              </w:rPr>
              <w:t>), verlangt der Kreditgeber in der Regel zusätzlich eine Flutversicherung. Hol vor dem Angebot ein Versicherungsangebot ein und prüfe die Flutkarte der Bundesbehörde FEMA. In Kalifornien und Florida ist manchmal schon der Abschluss einer Police das Problem.</w:t>
            </w:r>
          </w:p>
        </w:tc>
      </w:tr>
    </w:tbl>
    <w:p>
      <w:pPr>
        <w:pStyle w:val="Normal"/>
        <w:spacing w:lineRule="exact" w:line="220" w:before="0" w:after="0"/>
        <w:rPr/>
      </w:pPr>
      <w:r>
        <w:rPr/>
      </w:r>
    </w:p>
    <w:p>
      <w:pPr>
        <w:pStyle w:val="Heading4"/>
        <w:keepNext w:val="true"/>
        <w:spacing w:before="200" w:after="80"/>
        <w:jc w:val="center"/>
        <w:rPr/>
      </w:pPr>
      <w:r>
        <w:rPr>
          <w:rFonts w:eastAsia="Amazon Ember" w:cs="Amazon Ember" w:ascii="Amazon Ember" w:hAnsi="Amazon Ember"/>
          <w:b/>
          <w:bCs/>
          <w:color w:val="0000FF"/>
          <w:sz w:val="36"/>
          <w:szCs w:val="36"/>
        </w:rPr>
        <w:t>HOA und Instandhaltung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Eine </w:t>
      </w:r>
      <w:r>
        <w:rPr>
          <w:rFonts w:eastAsia="Cambria" w:cs="Cambria"/>
          <w:b w:val="false"/>
          <w:bCs w:val="false"/>
          <w:i/>
          <w:iCs/>
          <w:sz w:val="22"/>
          <w:szCs w:val="22"/>
        </w:rPr>
        <w:t>HOA</w:t>
      </w:r>
      <w:r>
        <w:rPr>
          <w:rFonts w:eastAsia="Cambria" w:cs="Cambria"/>
          <w:b w:val="false"/>
          <w:bCs w:val="false"/>
          <w:i w:val="false"/>
          <w:iCs w:val="false"/>
          <w:sz w:val="22"/>
          <w:szCs w:val="22"/>
        </w:rPr>
        <w:t xml:space="preserve"> (</w:t>
      </w:r>
      <w:r>
        <w:rPr>
          <w:rFonts w:eastAsia="Cambria" w:cs="Cambria"/>
          <w:b w:val="false"/>
          <w:bCs w:val="false"/>
          <w:i/>
          <w:iCs/>
          <w:sz w:val="22"/>
          <w:szCs w:val="22"/>
        </w:rPr>
        <w:t>Homeowners Association</w:t>
      </w:r>
      <w:r>
        <w:rPr>
          <w:rFonts w:eastAsia="Cambria" w:cs="Cambria"/>
          <w:b w:val="false"/>
          <w:bCs w:val="false"/>
          <w:i w:val="false"/>
          <w:iCs w:val="false"/>
          <w:sz w:val="22"/>
          <w:szCs w:val="22"/>
        </w:rPr>
        <w:t>, Eigentümergemeinschaft) erhebt Gebühren, die in typischen Siedlungen bei wenigen Hundert bis 2.500 $ pro Jahr liegen (etwa 17–208 $ im Monat, Bankrate). Sonderumlagen sind möglich. Bei Eigentumswohnungen (</w:t>
      </w:r>
      <w:r>
        <w:rPr>
          <w:rFonts w:eastAsia="Cambria" w:cs="Cambria"/>
          <w:b w:val="false"/>
          <w:bCs w:val="false"/>
          <w:i/>
          <w:iCs/>
          <w:sz w:val="22"/>
          <w:szCs w:val="22"/>
        </w:rPr>
        <w:t>Condos</w:t>
      </w:r>
      <w:r>
        <w:rPr>
          <w:rFonts w:eastAsia="Cambria" w:cs="Cambria"/>
          <w:b w:val="false"/>
          <w:bCs w:val="false"/>
          <w:i w:val="false"/>
          <w:iCs w:val="false"/>
          <w:sz w:val="22"/>
          <w:szCs w:val="22"/>
        </w:rPr>
        <w:t>) können die Gebühren darüber liegen; genaue Spannen wurden nicht ermittelt. Lies vor dem Kauf die HOA-Unterlagen: Regeln zu Fassade, Zaun, Vermietung, die Rücklagen und anstehende Sonderumlagen. Die Instandhaltung (Faustregel 1–2 % des Werts pro Jahr) kommt hinzu.</w:t>
      </w:r>
    </w:p>
    <w:p>
      <w:pPr>
        <w:pStyle w:val="Heading3"/>
        <w:keepNext w:val="true"/>
        <w:spacing w:before="280" w:after="100"/>
        <w:jc w:val="center"/>
        <w:rPr/>
      </w:pPr>
      <w:r>
        <w:rPr>
          <w:rFonts w:eastAsia="Amazon Ember" w:cs="Amazon Ember" w:ascii="Amazon Ember" w:hAnsi="Amazon Ember"/>
          <w:b/>
          <w:bCs/>
          <w:color w:val="0000FF"/>
          <w:sz w:val="36"/>
          <w:szCs w:val="36"/>
        </w:rPr>
        <w:t>Steuervorteile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Kaufen bringt in den USA Abzugsmöglichkeiten, die du nur nutzt, wenn du die Einzelposten in der Steuererklärung angibst (</w:t>
      </w:r>
      <w:r>
        <w:rPr>
          <w:rFonts w:eastAsia="Cambria" w:cs="Cambria"/>
          <w:b w:val="false"/>
          <w:bCs w:val="false"/>
          <w:i/>
          <w:iCs/>
          <w:sz w:val="22"/>
          <w:szCs w:val="22"/>
        </w:rPr>
        <w:t>Itemizing</w:t>
      </w:r>
      <w:r>
        <w:rPr>
          <w:rFonts w:eastAsia="Cambria" w:cs="Cambria"/>
          <w:b w:val="false"/>
          <w:bCs w:val="false"/>
          <w:i w:val="false"/>
          <w:iCs w:val="false"/>
          <w:sz w:val="22"/>
          <w:szCs w:val="22"/>
        </w:rPr>
        <w:t>) statt den Standardabzug zu nehmen. Der Standardabzug 2026 beträgt 16.100 $ (Einzelperson) bzw. 32.200 $ (Ehepaar). Was du darüber hinaus abziehen kannst:</w:t>
      </w:r>
    </w:p>
    <w:p>
      <w:pPr>
        <w:pStyle w:val="ListParagraph"/>
        <w:numPr>
          <w:ilvl w:val="0"/>
          <w:numId w:val="1"/>
        </w:numPr>
        <w:spacing w:lineRule="exact" w:line="288" w:before="0" w:after="60"/>
        <w:rPr/>
      </w:pPr>
      <w:r>
        <w:rPr>
          <w:rFonts w:eastAsia="Cambria" w:cs="Cambria"/>
          <w:b/>
          <w:bCs/>
          <w:i w:val="false"/>
          <w:iCs w:val="false"/>
          <w:sz w:val="22"/>
          <w:szCs w:val="22"/>
        </w:rPr>
        <w:t>Hypothekenzinsen</w:t>
      </w:r>
      <w:r>
        <w:rPr>
          <w:rFonts w:eastAsia="Cambria" w:cs="Cambria"/>
          <w:b w:val="false"/>
          <w:bCs w:val="false"/>
          <w:i w:val="false"/>
          <w:iCs w:val="false"/>
          <w:sz w:val="22"/>
          <w:szCs w:val="22"/>
        </w:rPr>
        <w:t xml:space="preserve"> für Schulden nach dem 15. Dezember 2017 bis 750.000 $ (375.000 $ bei getrennter Veranlagung von Ehepaaren); Points sind abziehbar oder abschreibbar.</w:t>
      </w:r>
    </w:p>
    <w:p>
      <w:pPr>
        <w:pStyle w:val="ListParagraph"/>
        <w:numPr>
          <w:ilvl w:val="0"/>
          <w:numId w:val="1"/>
        </w:numPr>
        <w:spacing w:lineRule="exact" w:line="288" w:before="0" w:after="60"/>
        <w:rPr/>
      </w:pPr>
      <w:r>
        <w:rPr>
          <w:rFonts w:eastAsia="Cambria" w:cs="Cambria"/>
          <w:b/>
          <w:bCs/>
          <w:i w:val="false"/>
          <w:iCs w:val="false"/>
          <w:sz w:val="22"/>
          <w:szCs w:val="22"/>
        </w:rPr>
        <w:t>Grundsteuer und Landessteuern (</w:t>
      </w:r>
      <w:r>
        <w:rPr>
          <w:rFonts w:eastAsia="Cambria" w:cs="Cambria"/>
          <w:b/>
          <w:bCs/>
          <w:i/>
          <w:iCs/>
          <w:sz w:val="22"/>
          <w:szCs w:val="22"/>
        </w:rPr>
        <w:t>SALT</w:t>
      </w:r>
      <w:r>
        <w:rPr>
          <w:rFonts w:eastAsia="Cambria" w:cs="Cambria"/>
          <w:b/>
          <w:bCs/>
          <w:i w:val="false"/>
          <w:iCs w:val="false"/>
          <w:sz w:val="22"/>
          <w:szCs w:val="22"/>
        </w:rPr>
        <w:t>, State and Local Taxes):</w:t>
      </w:r>
      <w:r>
        <w:rPr>
          <w:rFonts w:eastAsia="Cambria" w:cs="Cambria"/>
          <w:b w:val="false"/>
          <w:bCs w:val="false"/>
          <w:i w:val="false"/>
          <w:iCs w:val="false"/>
          <w:sz w:val="22"/>
          <w:szCs w:val="22"/>
        </w:rPr>
        <w:t xml:space="preserve"> Der Deckel liegt für 2025 bei 40.000 $ und für 2026 bei 40.400 $. Er schmilzt bei hohem Einkommen ab (2026: ab 505.000 $ MAGI, 2025: ab 500.000 $) und fällt nicht unter 10.000 $. Er gilt bis 2029; ab 2030 sieht das Gesetz wieder 10.000 $ vor.</w:t>
      </w:r>
    </w:p>
    <w:p>
      <w:pPr>
        <w:pStyle w:val="ListParagraph"/>
        <w:numPr>
          <w:ilvl w:val="0"/>
          <w:numId w:val="1"/>
        </w:numPr>
        <w:spacing w:lineRule="exact" w:line="288" w:before="0" w:after="60"/>
        <w:rPr/>
      </w:pPr>
      <w:r>
        <w:rPr>
          <w:rFonts w:eastAsia="Cambria" w:cs="Cambria"/>
          <w:b/>
          <w:bCs/>
          <w:i w:val="false"/>
          <w:iCs w:val="false"/>
          <w:sz w:val="22"/>
          <w:szCs w:val="22"/>
        </w:rPr>
        <w:t>PMI-Beiträge:</w:t>
      </w:r>
      <w:r>
        <w:rPr>
          <w:rFonts w:eastAsia="Cambria" w:cs="Cambria"/>
          <w:b w:val="false"/>
          <w:bCs w:val="false"/>
          <w:i w:val="false"/>
          <w:iCs w:val="false"/>
          <w:sz w:val="22"/>
          <w:szCs w:val="22"/>
        </w:rPr>
        <w:t xml:space="preserve"> Diese Beiträge gelten ab 2026 wieder als abziehbare Hypothekenzinsen (One Big Beautiful Bill Act von 2025). Der Abzug schmilzt bei höherem Einkommen ab; nach den vorliegenden Auswertungen beginnt das bei 100.000 $ (Stand 09/2026, nicht in einer IRS-Publikation für 2026 geprüft).</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In den USA setzt man Hypothekenzinsen einfach von der Steuer ab, das spart im Jahr locker ein paar Tausend Dollar. Tatsächlich zählt steuerlich nur der Betrag über dem Standardabzug. Ein Ehepaar mit 27.700 $ Zinsen (Darlehen 400.000 $, erstes Jahr), 5.000 $ Grundsteuer und 7.000 $ Landeseinkommensteuer kommt auf 39.700 $, das sind 7.500 $ über dem Standardabzug. Bei einem Grenzsteuersatz von 22 % (Beispielannahme) sind das rund 1.650 $ pro Jahr. Zinsen plus Grundsteuer allein liegen mit 32.700 $ kaum über dem Standardabzug – der Steuervorteil ist also häufig kleiner, als die Broschüren suggerieren.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Beim Verkauf eines selbstgenutzten Hauses bleiben 250.000 $ Gewinn steuerfrei (Ehepaar 500.000 $), wenn du es in den vergangenen fünf Jahren mindestens 24 Monate besessen und bewohnt hast (IRS Topic 701). Wer als Nichtansässiger (</w:t>
      </w:r>
      <w:r>
        <w:rPr>
          <w:rFonts w:eastAsia="Cambria" w:cs="Cambria"/>
          <w:b w:val="false"/>
          <w:bCs w:val="false"/>
          <w:i/>
          <w:iCs/>
          <w:sz w:val="22"/>
          <w:szCs w:val="22"/>
        </w:rPr>
        <w:t>Foreign Person</w:t>
      </w:r>
      <w:r>
        <w:rPr>
          <w:rFonts w:eastAsia="Cambria" w:cs="Cambria"/>
          <w:b w:val="false"/>
          <w:bCs w:val="false"/>
          <w:i w:val="false"/>
          <w:iCs w:val="false"/>
          <w:sz w:val="22"/>
          <w:szCs w:val="22"/>
        </w:rPr>
        <w:t xml:space="preserve">) verkauft, etwa nach der Rückkehr nach Deutschland, muss mit einem Einbehalt nach </w:t>
      </w:r>
      <w:r>
        <w:rPr>
          <w:rFonts w:eastAsia="Cambria" w:cs="Cambria"/>
          <w:b w:val="false"/>
          <w:bCs w:val="false"/>
          <w:i/>
          <w:iCs/>
          <w:sz w:val="22"/>
          <w:szCs w:val="22"/>
        </w:rPr>
        <w:t>FIRPTA</w:t>
      </w:r>
      <w:r>
        <w:rPr>
          <w:rFonts w:eastAsia="Cambria" w:cs="Cambria"/>
          <w:b w:val="false"/>
          <w:bCs w:val="false"/>
          <w:i w:val="false"/>
          <w:iCs w:val="false"/>
          <w:sz w:val="22"/>
          <w:szCs w:val="22"/>
        </w:rPr>
        <w:t xml:space="preserve"> rechnen: Der Käufer behält grundsätzlich 15 % des Erlöses für das Finanzamt ein, bei Nutzung durch den Käufer als Wohnsitz gestaffelt weniger. Das ist eine Vorauszahlung, keine Endabrechnung.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Das ist keine Rechts-, Steuer- oder Finanzberatung. Ob du Zinsen und Steuern abziehen kannst, hängt von deiner steuerlichen Ansässigkeit (Kapitel </w:t>
            </w:r>
            <w:hyperlink w:anchor="k28">
              <w:r>
                <w:rPr>
                  <w:rStyle w:val="ListLabel114"/>
                  <w:rFonts w:eastAsia="Cambria" w:cs="Cambria"/>
                  <w:b w:val="false"/>
                  <w:bCs w:val="false"/>
                  <w:i w:val="false"/>
                  <w:iCs w:val="false"/>
                  <w:sz w:val="20"/>
                  <w:szCs w:val="20"/>
                </w:rPr>
                <w:t>28</w:t>
              </w:r>
            </w:hyperlink>
            <w:r>
              <w:rPr>
                <w:rFonts w:eastAsia="Cambria" w:cs="Cambria"/>
                <w:b w:val="false"/>
                <w:bCs w:val="false"/>
                <w:i w:val="false"/>
                <w:iCs w:val="false"/>
                <w:sz w:val="20"/>
                <w:szCs w:val="20"/>
              </w:rPr>
              <w:t xml:space="preserve">) und deiner Gesamtsituation ab. Lass dich vor dem Kauf von einem </w:t>
            </w:r>
            <w:r>
              <w:rPr>
                <w:rFonts w:eastAsia="Cambria" w:cs="Cambria"/>
                <w:b w:val="false"/>
                <w:bCs w:val="false"/>
                <w:i/>
                <w:iCs/>
                <w:sz w:val="20"/>
                <w:szCs w:val="20"/>
              </w:rPr>
              <w:t>CPA</w:t>
            </w:r>
            <w:r>
              <w:rPr>
                <w:rFonts w:eastAsia="Cambria" w:cs="Cambria"/>
                <w:b w:val="false"/>
                <w:bCs w:val="false"/>
                <w:i w:val="false"/>
                <w:iCs w:val="false"/>
                <w:sz w:val="20"/>
                <w:szCs w:val="20"/>
              </w:rPr>
              <w:t xml:space="preserve"> (</w:t>
            </w:r>
            <w:r>
              <w:rPr>
                <w:rFonts w:eastAsia="Cambria" w:cs="Cambria"/>
                <w:b w:val="false"/>
                <w:bCs w:val="false"/>
                <w:i/>
                <w:iCs/>
                <w:sz w:val="20"/>
                <w:szCs w:val="20"/>
              </w:rPr>
              <w:t>Certified Public Accountant</w:t>
            </w:r>
            <w:r>
              <w:rPr>
                <w:rFonts w:eastAsia="Cambria" w:cs="Cambria"/>
                <w:b w:val="false"/>
                <w:bCs w:val="false"/>
                <w:i w:val="false"/>
                <w:iCs w:val="false"/>
                <w:sz w:val="20"/>
                <w:szCs w:val="20"/>
              </w:rPr>
              <w:t>, in den USA zugelassener Steuer- und Finanzexperte) beraten, der auch die deutsche Seite kennt.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Vergleich mit dem deutschen Kauf</w:t>
      </w:r>
    </w:p>
    <w:tbl>
      <w:tblPr>
        <w:tblW w:w="6480" w:type="dxa"/>
        <w:jc w:val="left"/>
        <w:tblInd w:w="0" w:type="dxa"/>
        <w:tblLayout w:type="fixed"/>
        <w:tblCellMar>
          <w:top w:w="50" w:type="dxa"/>
          <w:left w:w="80" w:type="dxa"/>
          <w:bottom w:w="50" w:type="dxa"/>
          <w:right w:w="80" w:type="dxa"/>
        </w:tblCellMar>
      </w:tblPr>
      <w:tblGrid>
        <w:gridCol w:w="949"/>
        <w:gridCol w:w="2677"/>
        <w:gridCol w:w="2854"/>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Thema</w:t>
            </w:r>
          </w:p>
        </w:tc>
        <w:tc>
          <w:tcPr>
            <w:tcW w:w="267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Deutschland</w:t>
            </w:r>
          </w:p>
        </w:tc>
        <w:tc>
          <w:tcPr>
            <w:tcW w:w="285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USA</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Vertrag</w:t>
            </w:r>
          </w:p>
        </w:tc>
        <w:tc>
          <w:tcPr>
            <w:tcW w:w="26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Notar beurkundet den Kaufvertrag; Notar und Grundbuch ca. 1,5–2 %</w:t>
            </w:r>
          </w:p>
        </w:tc>
        <w:tc>
          <w:tcPr>
            <w:tcW w:w="28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Standardvertrag über die Makler; Closing bei Title Company, Escrow oder (z. B. in New York) Anwalt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Eigentum</w:t>
            </w:r>
          </w:p>
        </w:tc>
        <w:tc>
          <w:tcPr>
            <w:tcW w:w="26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Grundbuch mit öffentlichem Glauben</w:t>
            </w:r>
          </w:p>
        </w:tc>
        <w:tc>
          <w:tcPr>
            <w:tcW w:w="28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Register des Landkreises; Title Search und Title Insurance gegen versteckte Ansprüche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 beim Kauf</w:t>
            </w:r>
          </w:p>
        </w:tc>
        <w:tc>
          <w:tcPr>
            <w:tcW w:w="26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Grunderwerbsteuer 3,5 % (Bayern) bis 6,5 % (u. a. NRW, Brandenburg)</w:t>
            </w:r>
          </w:p>
        </w:tc>
        <w:tc>
          <w:tcPr>
            <w:tcW w:w="28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bundesweite; einzelne Staaten und Städte erheben Übertragungssteuern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Makler</w:t>
            </w:r>
          </w:p>
        </w:tc>
        <w:tc>
          <w:tcPr>
            <w:tcW w:w="26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Beim Kauf von Wohnung oder Haus hälftig (§ 656c BGB); Gesamtprovision üblich 5,95–7,14 %</w:t>
            </w:r>
          </w:p>
        </w:tc>
        <w:tc>
          <w:tcPr>
            <w:tcW w:w="28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Käuferagent Ø 2,42 %; Höhe und Zahler verhandelbar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Nebenkosten Käufer</w:t>
            </w:r>
          </w:p>
        </w:tc>
        <w:tc>
          <w:tcPr>
            <w:tcW w:w="26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Grob 5 % (Bayern, ohne Makler) bis etwa 12 % (6,5 %-Länder, mit Makler)</w:t>
            </w:r>
          </w:p>
        </w:tc>
        <w:tc>
          <w:tcPr>
            <w:tcW w:w="28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Closing Costs 2–5 %</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Laufende Kosten</w:t>
            </w:r>
          </w:p>
        </w:tc>
        <w:tc>
          <w:tcPr>
            <w:tcW w:w="26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Grundsteuer, Gebäudeversicherung, Instandhaltung; bei Wohnungen Hausgeld</w:t>
            </w:r>
          </w:p>
        </w:tc>
        <w:tc>
          <w:tcPr>
            <w:tcW w:w="28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Property Tax (Ø 0,9 %), Homeowners Insurance, HOA, Instandhaltung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Kredit</w:t>
            </w:r>
          </w:p>
        </w:tc>
        <w:tc>
          <w:tcPr>
            <w:tcW w:w="26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Zinsbindung meist 10–15 Jahre, dann Anschlussfinanzierung</w:t>
            </w:r>
          </w:p>
        </w:tc>
        <w:tc>
          <w:tcPr>
            <w:tcW w:w="28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 Jahre fest üblich; Umschuldung möglich</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deutschen Summen sind eigene Rechnungen aus Grunderwerbsteuer, Notar und Makleranteil; sie hängen an Bundesland und Objekt. Der größte Unterschied liegt beim Eigentumsnachweis: In Deutschland garantiert das Grundbuch den Eigentumsstand, in den USA prüft ein privates Unternehmen die Historie und versichert das Restrisiko. Beides funktioniert, nur fallen die Kosten anderswo an.</w:t>
      </w:r>
    </w:p>
    <w:p>
      <w:pPr>
        <w:pStyle w:val="Heading3"/>
        <w:keepNext w:val="true"/>
        <w:spacing w:before="280" w:after="100"/>
        <w:jc w:val="center"/>
        <w:rPr/>
      </w:pPr>
      <w:r>
        <w:rPr>
          <w:rFonts w:eastAsia="Amazon Ember" w:cs="Amazon Ember" w:ascii="Amazon Ember" w:hAnsi="Amazon Ember"/>
          <w:b/>
          <w:bCs/>
          <w:color w:val="0000FF"/>
          <w:sz w:val="36"/>
          <w:szCs w:val="36"/>
        </w:rPr>
        <w:t>Immobilie in Deutschland behalten oder verkaufen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eine Wohnung oder ein Haus in Deutschland besitzt, steht vor der Frage, ob er verkauft, vermietet oder leer lässt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 bei Rückkehr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 Drei Punkte gehören in die Rechnung:</w:t>
      </w:r>
    </w:p>
    <w:p>
      <w:pPr>
        <w:pStyle w:val="ListParagraph"/>
        <w:numPr>
          <w:ilvl w:val="0"/>
          <w:numId w:val="1"/>
        </w:numPr>
        <w:spacing w:lineRule="exact" w:line="288" w:before="0" w:after="60"/>
        <w:rPr/>
      </w:pPr>
      <w:r>
        <w:rPr>
          <w:rFonts w:eastAsia="Cambria" w:cs="Cambria"/>
          <w:b/>
          <w:bCs/>
          <w:i w:val="false"/>
          <w:iCs w:val="false"/>
          <w:sz w:val="22"/>
          <w:szCs w:val="22"/>
        </w:rPr>
        <w:t>Steuer beim Verkauf.</w:t>
      </w:r>
      <w:r>
        <w:rPr>
          <w:rFonts w:eastAsia="Cambria" w:cs="Cambria"/>
          <w:b w:val="false"/>
          <w:bCs w:val="false"/>
          <w:i w:val="false"/>
          <w:iCs w:val="false"/>
          <w:sz w:val="22"/>
          <w:szCs w:val="22"/>
        </w:rPr>
        <w:t xml:space="preserve"> Nach § 23 EStG ist ein Gewinn steuerpflichtig, wenn du innerhalb von zehn Jahren nach dem Kauf verkaufst. Steuerfrei bleibt der Verkauf, wenn du die Immobilie zwischen Kauf und Verkauf ausschließlich selbst bewohnt hast oder sie im Verkaufsjahr und in den zwei Jahren davor selbst nutzt; die Freigrenze beträgt 1.000 €. Wer mehr als zwei Jahre vor dem Verkauf ausgezogen ist und die Immobilie vermietet oder leerstehen lässt, verliert diese Ausnahme wohl (Folgerung; kläre das mit deinem Steuerberater vor dem Wegzug).</w:t>
      </w:r>
    </w:p>
    <w:p>
      <w:pPr>
        <w:pStyle w:val="ListParagraph"/>
        <w:numPr>
          <w:ilvl w:val="0"/>
          <w:numId w:val="1"/>
        </w:numPr>
        <w:spacing w:lineRule="exact" w:line="288" w:before="0" w:after="60"/>
        <w:rPr/>
      </w:pPr>
      <w:r>
        <w:rPr>
          <w:rFonts w:eastAsia="Cambria" w:cs="Cambria"/>
          <w:b/>
          <w:bCs/>
          <w:i w:val="false"/>
          <w:iCs w:val="false"/>
          <w:sz w:val="22"/>
          <w:szCs w:val="22"/>
        </w:rPr>
        <w:t>Vermieten.</w:t>
      </w:r>
      <w:r>
        <w:rPr>
          <w:rFonts w:eastAsia="Cambria" w:cs="Cambria"/>
          <w:b w:val="false"/>
          <w:bCs w:val="false"/>
          <w:i w:val="false"/>
          <w:iCs w:val="false"/>
          <w:sz w:val="22"/>
          <w:szCs w:val="22"/>
        </w:rPr>
        <w:t xml:space="preserve"> Die Einkünfte sind in Deutschland steuerpflichtig und als US-Steuerpflichtiger in der Regel auch in den USA zu erklären; Doppelbesteuerung wird über Anrechnung vermieden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 xml:space="preserve"> und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Rechne mit Verwaltung, Mietrecht und Kredit aus der Ferne.</w:t>
      </w:r>
    </w:p>
    <w:p>
      <w:pPr>
        <w:pStyle w:val="ListParagraph"/>
        <w:numPr>
          <w:ilvl w:val="0"/>
          <w:numId w:val="1"/>
        </w:numPr>
        <w:spacing w:lineRule="exact" w:line="288" w:before="0" w:after="60"/>
        <w:rPr/>
      </w:pPr>
      <w:r>
        <w:rPr>
          <w:rFonts w:eastAsia="Cambria" w:cs="Cambria"/>
          <w:b/>
          <w:bCs/>
          <w:i w:val="false"/>
          <w:iCs w:val="false"/>
          <w:sz w:val="22"/>
          <w:szCs w:val="22"/>
        </w:rPr>
        <w:t>Kreditwürdigkeit.</w:t>
      </w:r>
      <w:r>
        <w:rPr>
          <w:rFonts w:eastAsia="Cambria" w:cs="Cambria"/>
          <w:b w:val="false"/>
          <w:bCs w:val="false"/>
          <w:i w:val="false"/>
          <w:iCs w:val="false"/>
          <w:sz w:val="22"/>
          <w:szCs w:val="22"/>
        </w:rPr>
        <w:t xml:space="preserve"> Eine laufende deutsche Kreditrate zählt bei US-Kreditgebern in der Regel zu deinen Schulden und senkt den finanzierbaren Kaufpreis in den USA.</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Dazu kommt das Währungsrisiko: Wer in Dollar verdient, aber eine Euro-Immobilie hält, trägt beide Seiten. Ein Verkauf vor dem Wegzug schafft Klarheit und Eigenkapital, die Immobilie behalten hält die Rückkehr offen. Beide Wege sind vertretbar; entscheide sie mit Zahlen.</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Fester Zins über 30 Jahre, während Mieten steigen können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Kauf- und Verkaufskosten von zusammen rund 10 %</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Tilgung baut Eigenkapital auf, Wertzuwachs möglich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Visum- und Jobrisiko: Verkauf unter Zeitdruck</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Zinsen und Grundsteuer abziehbar (bei </w:t>
            </w:r>
            <w:r>
              <w:rPr>
                <w:rFonts w:eastAsia="Cambria" w:cs="Cambria"/>
                <w:b w:val="false"/>
                <w:bCs w:val="false"/>
                <w:i/>
                <w:iCs/>
                <w:sz w:val="18"/>
                <w:szCs w:val="18"/>
              </w:rPr>
              <w:t>Itemizing</w:t>
            </w:r>
            <w:r>
              <w:rPr>
                <w:rFonts w:eastAsia="Cambria" w:cs="Cambria"/>
                <w:b w:val="false"/>
                <w:bCs w:val="false"/>
                <w:i w:val="false"/>
                <w:iCs w:val="false"/>
                <w:sz w:val="18"/>
                <w:szCs w:val="18"/>
              </w:rPr>
              <w: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Bargeldbedarf 60.000–125.000 $ bei 500.000 $ Preis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250.000 $ (Ehepaar 500.000 $) Gewinn steuerfrei bei Selbstnutzung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Zusatzkosten: Grundsteuer, Versicherung, HOA, Instandhaltung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Freiheit bei Umbau, Haustieren, Gestaltung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Kreditzugang eng: FHA weg, Overlays, Non-QM mit 20–50 % Anzahlung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Stabilität für Kinder: gleiche Schule und Nachbarschaft über Jahre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Zinsniveau hoch (6,95 %, höchster Stand seit Januar 2025)</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Nutze die ersten zwölf Monate für die Vorarbeit: SSN beantragen (Kapitel </w:t>
      </w:r>
      <w:hyperlink w:anchor="k24">
        <w:r>
          <w:rPr>
            <w:rStyle w:val="ListLabel115"/>
            <w:rFonts w:eastAsia="Cambria" w:cs="Cambria"/>
            <w:b w:val="false"/>
            <w:bCs w:val="false"/>
            <w:i w:val="false"/>
            <w:iCs w:val="false"/>
            <w:sz w:val="22"/>
            <w:szCs w:val="22"/>
          </w:rPr>
          <w:t>24</w:t>
        </w:r>
      </w:hyperlink>
      <w:r>
        <w:rPr>
          <w:rFonts w:eastAsia="Cambria" w:cs="Cambria"/>
          <w:b w:val="false"/>
          <w:bCs w:val="false"/>
          <w:i w:val="false"/>
          <w:iCs w:val="false"/>
          <w:sz w:val="22"/>
          <w:szCs w:val="22"/>
        </w:rPr>
        <w:t>), Konto und Kreditkarte für die Kredithistorie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 Anzahlung und Reserve ansparen. Zahle die Miete pünktlich, sie zählt bei einer nichttraditionellen Kredithistorie. Sprich mit zwei bis drei Kreditgebern, bevor du Häuser besichtigst, dann erst mit einem Makler. Der Steuerteil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gehört vor die Unterschrift, nicht danach.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Bleibedauer ehrlich schätzen: mindestens fünf bis sieben Jahre am Ort? Aufenthaltsstatus und Stand des Green-Card-Verfahrens klären.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SSN beantragen und US-Kredithistorie aufbauen (Kapitel </w:t>
            </w:r>
            <w:hyperlink w:anchor="k24">
              <w:r>
                <w:rPr>
                  <w:rStyle w:val="ListLabel114"/>
                  <w:rFonts w:eastAsia="Cambria" w:cs="Cambria"/>
                  <w:b w:val="false"/>
                  <w:bCs w:val="false"/>
                  <w:i w:val="false"/>
                  <w:iCs w:val="false"/>
                  <w:sz w:val="20"/>
                  <w:szCs w:val="20"/>
                </w:rPr>
                <w:t>24</w:t>
              </w:r>
            </w:hyperlink>
            <w:r>
              <w:rPr>
                <w:rFonts w:eastAsia="Cambria" w:cs="Cambria"/>
                <w:b w:val="false"/>
                <w:bCs w:val="false"/>
                <w:i w:val="false"/>
                <w:iCs w:val="false"/>
                <w:sz w:val="20"/>
                <w:szCs w:val="20"/>
              </w:rPr>
              <w:t xml:space="preserve"> und </w:t>
            </w:r>
            <w:hyperlink w:anchor="k25">
              <w:r>
                <w:rPr>
                  <w:rStyle w:val="ListLabel114"/>
                  <w:rFonts w:eastAsia="Cambria" w:cs="Cambria"/>
                  <w:b w:val="false"/>
                  <w:bCs w:val="false"/>
                  <w:i w:val="false"/>
                  <w:iCs w:val="false"/>
                  <w:sz w:val="20"/>
                  <w:szCs w:val="20"/>
                </w:rPr>
                <w:t>25</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Anzahlung, 2–5 % Abschlusskosten und eine Reserve von mehreren Monatsraten ansparen.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Zwei bis drei Kreditgeber nach Overlays fragen: Visum-Restlaufzeit, Mindest-Score, Reserven, Anzahlung.</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Mindestens drei Loan Estimates vergleichen (Zins, Points, Gesamtkosten, Rate-Lock-Dauer).</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Pre-Approval einholen, bevor du besichtigst.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dem Angebot: Versicherungsangebot, Flutzone, Grundsteuer der Gemeinde, HOA-Gebühren und -Regeln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Inspektion und Gutachten einplanen; Contingencies nur mit Bedacht streichen.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dem Closing die Überweisungsdaten telefonisch bei der Title Company bestätigen.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Nach dem Kauf: PMI-Löschung im Kalender notieren, Grundsteuerbescheid prüfen, Abzüge mit einem CPA klären.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Deutsche Immobilie: Verkauf oder Vermietung vor dem Wegzug mit dem Steuerberater durchrechnen.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CFPB — Kaufen, Kredite, Loan Estimate, Rate Lock, PMI (</w:t>
      </w:r>
      <w:hyperlink r:id="rId137">
        <w:r>
          <w:rPr>
            <w:rStyle w:val="ListLabel113"/>
            <w:rFonts w:eastAsia="Cambria" w:cs="Cambria"/>
            <w:b w:val="false"/>
            <w:bCs w:val="false"/>
            <w:i w:val="false"/>
            <w:iCs w:val="false"/>
            <w:color w:val="0563C1"/>
            <w:sz w:val="22"/>
            <w:szCs w:val="22"/>
            <w:u w:val="single"/>
          </w:rPr>
          <w:t>consumerfinance.gov/owning-a-home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Fannie Mae — Selling Guide zu Nicht-US-Bürgern und Kredithistorie (</w:t>
      </w:r>
      <w:hyperlink r:id="rId138">
        <w:r>
          <w:rPr>
            <w:rStyle w:val="ListLabel113"/>
            <w:rFonts w:eastAsia="Cambria" w:cs="Cambria"/>
            <w:b w:val="false"/>
            <w:bCs w:val="false"/>
            <w:i w:val="false"/>
            <w:iCs w:val="false"/>
            <w:color w:val="0563C1"/>
            <w:sz w:val="22"/>
            <w:szCs w:val="22"/>
            <w:u w:val="single"/>
          </w:rPr>
          <w:t>selling-guide.fanniemae.com</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HUD — FHA-Regel für Nicht-Daueraufenthaltsberechtigte, Mortgagee Letter 2025-09 (</w:t>
      </w:r>
      <w:hyperlink r:id="rId139">
        <w:r>
          <w:rPr>
            <w:rStyle w:val="ListLabel113"/>
            <w:rFonts w:eastAsia="Cambria" w:cs="Cambria"/>
            <w:b w:val="false"/>
            <w:bCs w:val="false"/>
            <w:i w:val="false"/>
            <w:iCs w:val="false"/>
            <w:color w:val="0563C1"/>
            <w:sz w:val="22"/>
            <w:szCs w:val="22"/>
            <w:u w:val="single"/>
          </w:rPr>
          <w:t>hud.gov/sites/default/files/OCHCO/documents/2025-09hsgml.pdf</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Freddie Mac — wöchentliche Zinsumfrage (</w:t>
      </w:r>
      <w:hyperlink r:id="rId140">
        <w:r>
          <w:rPr>
            <w:rStyle w:val="ListLabel113"/>
            <w:rFonts w:eastAsia="Cambria" w:cs="Cambria"/>
            <w:b w:val="false"/>
            <w:bCs w:val="false"/>
            <w:i w:val="false"/>
            <w:iCs w:val="false"/>
            <w:color w:val="0563C1"/>
            <w:sz w:val="22"/>
            <w:szCs w:val="22"/>
            <w:u w:val="single"/>
          </w:rPr>
          <w:t>freddiemac.com/pmms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FHFA — Conforming Loan Limits (</w:t>
      </w:r>
      <w:hyperlink r:id="rId141">
        <w:r>
          <w:rPr>
            <w:rStyle w:val="ListLabel113"/>
            <w:rFonts w:eastAsia="Cambria" w:cs="Cambria"/>
            <w:b w:val="false"/>
            <w:bCs w:val="false"/>
            <w:i w:val="false"/>
            <w:iCs w:val="false"/>
            <w:color w:val="0563C1"/>
            <w:sz w:val="22"/>
            <w:szCs w:val="22"/>
            <w:u w:val="single"/>
          </w:rPr>
          <w:t>fhfa.gov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Hypothekenzinsen und Hausverkauf (</w:t>
      </w:r>
      <w:hyperlink r:id="rId142">
        <w:r>
          <w:rPr>
            <w:rStyle w:val="ListLabel113"/>
            <w:rFonts w:eastAsia="Cambria" w:cs="Cambria"/>
            <w:b w:val="false"/>
            <w:bCs w:val="false"/>
            <w:i w:val="false"/>
            <w:iCs w:val="false"/>
            <w:color w:val="0563C1"/>
            <w:sz w:val="22"/>
            <w:szCs w:val="22"/>
            <w:u w:val="single"/>
          </w:rPr>
          <w:t>irs.gov/publications/p936</w:t>
        </w:r>
      </w:hyperlink>
      <w:r>
        <w:rPr>
          <w:rFonts w:eastAsia="Cambria" w:cs="Cambria"/>
          <w:b w:val="false"/>
          <w:bCs w:val="false"/>
          <w:i w:val="false"/>
          <w:iCs w:val="false"/>
          <w:sz w:val="22"/>
          <w:szCs w:val="22"/>
        </w:rPr>
        <w:t xml:space="preserve"> und </w:t>
      </w:r>
      <w:hyperlink r:id="rId143">
        <w:r>
          <w:rPr>
            <w:rStyle w:val="ListLabel113"/>
            <w:rFonts w:eastAsia="Cambria" w:cs="Cambria"/>
            <w:b w:val="false"/>
            <w:bCs w:val="false"/>
            <w:i w:val="false"/>
            <w:iCs w:val="false"/>
            <w:color w:val="0563C1"/>
            <w:sz w:val="22"/>
            <w:szCs w:val="22"/>
            <w:u w:val="single"/>
          </w:rPr>
          <w:t>irs.gov/taxtopics/tc701</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FEMA — Flutkarten (</w:t>
      </w:r>
      <w:hyperlink r:id="rId144">
        <w:r>
          <w:rPr>
            <w:rStyle w:val="ListLabel113"/>
            <w:rFonts w:eastAsia="Cambria" w:cs="Cambria"/>
            <w:b w:val="false"/>
            <w:bCs w:val="false"/>
            <w:i w:val="false"/>
            <w:iCs w:val="false"/>
            <w:color w:val="0563C1"/>
            <w:sz w:val="22"/>
            <w:szCs w:val="22"/>
            <w:u w:val="single"/>
          </w:rPr>
          <w:t>fema.gov/flood-maps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Gesetze im Internet — Spekulationsfrist bei Immobilien, § 23 EStG (</w:t>
      </w:r>
      <w:hyperlink r:id="rId145">
        <w:r>
          <w:rPr>
            <w:rStyle w:val="ListLabel113"/>
            <w:rFonts w:eastAsia="Cambria" w:cs="Cambria"/>
            <w:b w:val="false"/>
            <w:bCs w:val="false"/>
            <w:i w:val="false"/>
            <w:iCs w:val="false"/>
            <w:color w:val="0563C1"/>
            <w:sz w:val="22"/>
            <w:szCs w:val="22"/>
            <w:u w:val="single"/>
          </w:rPr>
          <w:t>gesetze-im-internet.de/estg/__23.html</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(Zinsen: 17. September 2026). Diese Angaben ändern sich schnell: Zinsen wöchentlich, Overlays der Kreditgeber ohne Vorankündigung, die FHA-Regel für Visa-Inhaber durch HUD oder Gerichte, die Conforming Loan Limit jährlich (2026: 832.750 $), Versicherungsprämien und Provisionen laufend, Steuerregeln durch den Gesetzgeber (SALT-Deckel 40.400 $ für 2026, ab 2030 vorgesehen 10.000 $). Hol dir vor jeder Entscheidung aktuelle Loan Estimates und eine steuerliche Beratung ein.</w:t>
            </w:r>
          </w:p>
        </w:tc>
      </w:tr>
    </w:tbl>
    <w:p>
      <w:pPr>
        <w:sectPr>
          <w:footerReference w:type="even" r:id="rId146"/>
          <w:footerReference w:type="default" r:id="rId147"/>
          <w:footerReference w:type="first" r:id="rId148"/>
          <w:type w:val="nextPage"/>
          <w:pgSz w:w="8640" w:h="12983"/>
          <w:pgMar w:left="1080" w:right="1080" w:gutter="0" w:header="0" w:top="1080" w:footer="708" w:bottom="1100"/>
          <w:pgNumType w:fmt="decimal"/>
          <w:formProt w:val="false"/>
          <w:textDirection w:val="lrTb"/>
          <w:docGrid w:type="default" w:linePitch="360" w:charSpace="4096"/>
        </w:sectPr>
        <w:pStyle w:val="Normal"/>
        <w:spacing w:lineRule="exact" w:line="220" w:before="0" w:after="0"/>
        <w:rPr/>
      </w:pPr>
      <w:r>
        <w:rPr/>
      </w:r>
    </w:p>
    <w:p>
      <w:pPr>
        <w:pStyle w:val="Heading1"/>
        <w:spacing w:before="0" w:after="360"/>
        <w:jc w:val="center"/>
        <w:rPr/>
      </w:pPr>
      <w:bookmarkStart w:id="40" w:name="__RefHeading___Toc56461_3769931028"/>
      <w:bookmarkEnd w:id="40"/>
      <w:r>
        <w:rPr>
          <w:rFonts w:eastAsia="Amazon Ember" w:cs="Amazon Ember" w:ascii="Amazon Ember" w:hAnsi="Amazon Ember"/>
          <w:b/>
          <w:bCs/>
          <w:color w:val="0000FF"/>
        </w:rPr>
        <w:t>TEIL IV — Vorbereitung in Deutschland</w:t>
      </w:r>
    </w:p>
    <w:p>
      <w:pPr>
        <w:sectPr>
          <w:footerReference w:type="even" r:id="rId149"/>
          <w:footerReference w:type="default" r:id="rId150"/>
          <w:footerReference w:type="first" r:id="rId151"/>
          <w:type w:val="nextPage"/>
          <w:pgSz w:w="8640" w:h="12983"/>
          <w:pgMar w:left="1080" w:right="1080" w:gutter="0" w:header="0" w:top="1080" w:footer="708" w:bottom="1100"/>
          <w:pgNumType w:fmt="decimal"/>
          <w:formProt w:val="false"/>
          <w:vAlign w:val="center"/>
          <w:textDirection w:val="lrTb"/>
          <w:docGrid w:type="default" w:linePitch="360" w:charSpace="4096"/>
        </w:sectPr>
        <w:pStyle w:val="Normal"/>
        <w:spacing w:lineRule="exact" w:line="300" w:before="0" w:after="160"/>
        <w:ind w:left="400" w:right="400"/>
        <w:jc w:val="center"/>
        <w:rPr/>
      </w:pPr>
      <w:r>
        <w:rPr>
          <w:rFonts w:eastAsia="Cambria" w:cs="Cambria"/>
          <w:b w:val="false"/>
          <w:bCs w:val="false"/>
          <w:i/>
          <w:iCs/>
          <w:sz w:val="24"/>
          <w:szCs w:val="24"/>
        </w:rPr>
        <w:t>Was du erledigst, solange du noch einen deutschen Briefkasten hast: Behörden, Verträge, Steuern, Rente, Krankenversicherung und Dokumente.</w:t>
      </w:r>
      <w:r>
        <w:br w:type="page"/>
      </w:r>
    </w:p>
    <w:p>
      <w:pPr>
        <w:pStyle w:val="Heading2"/>
        <w:keepNext w:val="true"/>
        <w:spacing w:before="0" w:after="300"/>
        <w:jc w:val="center"/>
        <w:rPr/>
      </w:pPr>
      <w:bookmarkStart w:id="41" w:name="__RefHeading___Toc56463_3769931028"/>
      <w:bookmarkStart w:id="42" w:name="k15"/>
      <w:bookmarkEnd w:id="41"/>
      <w:r>
        <w:rPr>
          <w:rFonts w:eastAsia="Amazon Ember" w:cs="Amazon Ember" w:ascii="Amazon Ember" w:hAnsi="Amazon Ember"/>
          <w:b/>
          <w:bCs/>
          <w:color w:val="0000FF"/>
          <w:sz w:val="36"/>
          <w:szCs w:val="36"/>
        </w:rPr>
        <w:t>Kapitel 15: Der Masterplan: Zeitleiste vom Entschluss bis zum Abflug</w:t>
      </w:r>
      <w:bookmarkEnd w:id="42"/>
    </w:p>
    <w:p>
      <w:pPr>
        <w:pStyle w:val="Normal"/>
        <w:keepNext w:val="false"/>
        <w:keepLines w:val="false"/>
        <w:spacing w:lineRule="exact" w:line="288" w:before="0" w:after="140"/>
        <w:jc w:val="left"/>
        <w:rPr/>
      </w:pPr>
      <w:r>
        <w:rPr>
          <w:rFonts w:eastAsia="Cambria" w:cs="Cambria"/>
          <w:b w:val="false"/>
          <w:bCs w:val="false"/>
          <w:i w:val="false"/>
          <w:iCs w:val="false"/>
          <w:sz w:val="22"/>
          <w:szCs w:val="22"/>
        </w:rPr>
        <w:t>Familie Brandt aus Stuttgart (fiktives Beispiel) sitzt im Januar vor drei Kalendern gleichzeitig: dem der H-1B-Lotterie im März, dem der dreimonatigen Kündigungsfrist ihrer Wohnung und dem der Spedition, die am liebsten sechs bis acht Wochen vor der Verladung gebucht werden will. Keiner der drei wartet auf die anderen beiden, und doch hängen sie voneinander ab. Wer die Reihenfolge falsch plant, zahlt am Ende Doppelmiete oder steht am Stichtag ohne Container da. Dieses Kapitel legt die Zeitleiste fest, an der sich der Rest des Buches orientiert.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Rechne rückwärts vom Abflugtermin, nicht vorwärts vom Entschluss: Der Abflugtag ist der Fixpunkt, alle Fristen laufen auf ihn zu.</w:t>
            </w:r>
          </w:p>
          <w:p>
            <w:pPr>
              <w:pStyle w:val="ListParagraph"/>
              <w:numPr>
                <w:ilvl w:val="0"/>
                <w:numId w:val="1"/>
              </w:numPr>
              <w:spacing w:lineRule="exact" w:line="264" w:before="0" w:after="50"/>
              <w:rPr/>
            </w:pPr>
            <w:r>
              <w:rPr>
                <w:rFonts w:eastAsia="Cambria" w:cs="Cambria"/>
                <w:b w:val="false"/>
                <w:bCs w:val="false"/>
                <w:i w:val="false"/>
                <w:iCs w:val="false"/>
                <w:sz w:val="20"/>
                <w:szCs w:val="20"/>
              </w:rPr>
              <w:t>Der kritische Pfad heißt Visum vor Wohnungskündigung vor Verschiffung: Jeder Schritt braucht den vorherigen als sichere Grundlage.</w:t>
            </w:r>
          </w:p>
          <w:p>
            <w:pPr>
              <w:pStyle w:val="ListParagraph"/>
              <w:numPr>
                <w:ilvl w:val="0"/>
                <w:numId w:val="1"/>
              </w:numPr>
              <w:spacing w:lineRule="exact" w:line="264" w:before="0" w:after="50"/>
              <w:rPr/>
            </w:pPr>
            <w:r>
              <w:rPr>
                <w:rFonts w:eastAsia="Cambria" w:cs="Cambria"/>
                <w:b w:val="false"/>
                <w:bCs w:val="false"/>
                <w:i w:val="false"/>
                <w:iCs w:val="false"/>
                <w:sz w:val="20"/>
                <w:szCs w:val="20"/>
              </w:rPr>
              <w:t>Beim H-1B-Lotterieweg vergehen zwischen Jobangebot und Arbeitsbeginn acht bis 18 Monate; dieses Kapitel legt für Familie Brandt (fiktiv) die Beispielzeitleiste Januar bis Ende September fest.</w:t>
            </w:r>
          </w:p>
          <w:p>
            <w:pPr>
              <w:pStyle w:val="ListParagraph"/>
              <w:numPr>
                <w:ilvl w:val="0"/>
                <w:numId w:val="1"/>
              </w:numPr>
              <w:spacing w:lineRule="exact" w:line="264" w:before="0" w:after="50"/>
              <w:rPr/>
            </w:pPr>
            <w:r>
              <w:rPr>
                <w:rFonts w:eastAsia="Cambria" w:cs="Cambria"/>
                <w:b w:val="false"/>
                <w:bCs w:val="false"/>
                <w:i w:val="false"/>
                <w:iCs w:val="false"/>
                <w:sz w:val="20"/>
                <w:szCs w:val="20"/>
              </w:rPr>
              <w:t>Andere Wege wie L-1 oder E-2 sind planbarer und oft kürzer, weil die März-Lotterie entfällt.</w:t>
            </w:r>
          </w:p>
          <w:p>
            <w:pPr>
              <w:pStyle w:val="ListParagraph"/>
              <w:numPr>
                <w:ilvl w:val="0"/>
                <w:numId w:val="1"/>
              </w:numPr>
              <w:spacing w:lineRule="exact" w:line="264" w:before="0" w:after="50"/>
              <w:rPr/>
            </w:pPr>
            <w:r>
              <w:rPr>
                <w:rFonts w:eastAsia="Cambria" w:cs="Cambria"/>
                <w:b w:val="false"/>
                <w:bCs w:val="false"/>
                <w:i w:val="false"/>
                <w:iCs w:val="false"/>
                <w:sz w:val="20"/>
                <w:szCs w:val="20"/>
              </w:rPr>
              <w:t>Ein Schuljahreswechsel mitten im Herbst ist beim Lotterieweg fast unvermeidlich.</w:t>
            </w:r>
          </w:p>
          <w:p>
            <w:pPr>
              <w:pStyle w:val="ListParagraph"/>
              <w:numPr>
                <w:ilvl w:val="0"/>
                <w:numId w:val="1"/>
              </w:numPr>
              <w:spacing w:lineRule="exact" w:line="264" w:before="0" w:after="50"/>
              <w:rPr/>
            </w:pPr>
            <w:r>
              <w:rPr>
                <w:rFonts w:eastAsia="Cambria" w:cs="Cambria"/>
                <w:b w:val="false"/>
                <w:bCs w:val="false"/>
                <w:i w:val="false"/>
                <w:iCs w:val="false"/>
                <w:sz w:val="20"/>
                <w:szCs w:val="20"/>
              </w:rPr>
              <w:t>Nutze die Wartezeit vor der Genehmigung für alles, was keinen Visumsstatus braucht: Dokumente, Finanzen, Bewerbungen.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Zeitleiste: T–18 bis T–0</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T–0 ist der Abflugtag, nicht der heutige Tag: Jede Frist wird von dort aus rückwärts gezählt, wie es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 xml:space="preserve">,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 xml:space="preserve"> und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xml:space="preserve"> auch einzeln empfehlen. Die Zählweise erinnert an einen Countdown, und die letzten Wochen fühlen sich für die meisten Familien auch so an: viel Zählen, wenig Einfluss auf den Start selbst. Die Tabelle zeigt die Beispielzeitleiste von Familie Brandt für den H-1B-Lotterieweg, mit Abflug Ende September und Arbeitsbeginn am 1. Oktober, dem festen Start des Fiskaljahrs für H-1B-Petitionen. Die ersten Monate (T–18 bis T–9) haben kein festes Datum, sondern beginnen, sobald der Entschluss steht, und enden mit dem Jobangebot. Verbreiteter Irrtum: Wer die schriftliche Jobzusage in der Hand hält, hält den Rest oft für Formsache. Tatsächlich vergehen bis zum Arbeitsbeginn acht bis 18 Monate, und keine Etappe dazwischen lässt sich durch Eile abkürzen. Bei anderen Visumswegen verschieben sich die späteren Monate, das Prinzip bleibt gleich.</w:t>
      </w:r>
    </w:p>
    <w:tbl>
      <w:tblPr>
        <w:tblW w:w="6480" w:type="dxa"/>
        <w:jc w:val="left"/>
        <w:tblInd w:w="0" w:type="dxa"/>
        <w:tblLayout w:type="fixed"/>
        <w:tblCellMar>
          <w:top w:w="50" w:type="dxa"/>
          <w:left w:w="80" w:type="dxa"/>
          <w:bottom w:w="50" w:type="dxa"/>
          <w:right w:w="80" w:type="dxa"/>
        </w:tblCellMar>
      </w:tblPr>
      <w:tblGrid>
        <w:gridCol w:w="949"/>
        <w:gridCol w:w="1201"/>
        <w:gridCol w:w="3380"/>
        <w:gridCol w:w="949"/>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w:t>
            </w:r>
          </w:p>
        </w:tc>
        <w:tc>
          <w:tcPr>
            <w:tcW w:w="120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Monat (Beispiel Brandt)</w:t>
            </w:r>
          </w:p>
        </w:tc>
        <w:tc>
          <w:tcPr>
            <w:tcW w:w="338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Meilenstein</w:t>
            </w:r>
          </w:p>
        </w:tc>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T–18 bis T–9</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 Januar</w:t>
            </w:r>
          </w:p>
        </w:tc>
        <w:tc>
          <w:tcPr>
            <w:tcW w:w="3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Entschluss fassen, Weg wählen, Englisch und Finanzen vorbereiten, Bewerbungen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1–9</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T–8</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Januar</w:t>
            </w:r>
          </w:p>
        </w:tc>
        <w:tc>
          <w:tcPr>
            <w:tcW w:w="3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Jobangebot, schriftliche Sponsoring-Zusage, Lohn-Level</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5, 11</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T–8 bis T–6</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Januar–März</w:t>
            </w:r>
          </w:p>
        </w:tc>
        <w:tc>
          <w:tcPr>
            <w:tcW w:w="3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Zeugnisbewertung beauftragen, Pässe prüfen, Übersetzungen anstoßen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19</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T–6</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März</w:t>
            </w:r>
          </w:p>
        </w:tc>
        <w:tc>
          <w:tcPr>
            <w:tcW w:w="3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H-1B-Lotterie-Registrierung</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5, 11</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T–5</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Ende März/April</w:t>
            </w:r>
          </w:p>
        </w:tc>
        <w:tc>
          <w:tcPr>
            <w:tcW w:w="3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Auswahlergebnis</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T–5 bis T–3</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April–Juni</w:t>
            </w:r>
          </w:p>
        </w:tc>
        <w:tc>
          <w:tcPr>
            <w:tcW w:w="3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LCA, Petition, USCIS-Entscheidung, ggf. Nachforderung</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T–4 bis T–3</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Mai–Juni</w:t>
            </w:r>
          </w:p>
        </w:tc>
        <w:tc>
          <w:tcPr>
            <w:tcW w:w="3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Krankenkasse und Anwartschaft, Depot und PFIC, Rentenversicherung klären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17, 18</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T–3</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Ende Juni</w:t>
            </w:r>
          </w:p>
        </w:tc>
        <w:tc>
          <w:tcPr>
            <w:tcW w:w="3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Wohnung kündigen, sobald Genehmigung und Interviewtermin feststehen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T–3 bis T–1</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Juli–August</w:t>
            </w:r>
          </w:p>
        </w:tc>
        <w:tc>
          <w:tcPr>
            <w:tcW w:w="3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DS-160, Konsulargebühr, Interviewtermin, Interview</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T–1</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August</w:t>
            </w:r>
          </w:p>
        </w:tc>
        <w:tc>
          <w:tcPr>
            <w:tcW w:w="3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Visum im Pass, Arbeitsvertrag kündigen, Spedition verbindlich buchen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16, 20</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T–1 bis T–0</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August–September</w:t>
            </w:r>
          </w:p>
        </w:tc>
        <w:tc>
          <w:tcPr>
            <w:tcW w:w="3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Impfungen, Vorsorgevollmacht, Abmeldung, Verladung, Wohnungsübergabe</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16, 18, 19, 20</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T–0</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Ende September</w:t>
            </w:r>
          </w:p>
        </w:tc>
        <w:tc>
          <w:tcPr>
            <w:tcW w:w="3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Abflug und Einreise</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23</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danach</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 Oktober</w:t>
            </w:r>
          </w:p>
        </w:tc>
        <w:tc>
          <w:tcPr>
            <w:tcW w:w="3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Arbeitsbeginn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23–25</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Engpass in diesem Fahrplan ist selten das Visum selbst, sondern die drei Monate Kündigungsfrist deiner Wohnung, die nach deutschem Recht unabhängig vom Stand deines Visumsverfahrens läuft (Kapitel </w:t>
            </w:r>
            <w:hyperlink w:anchor="k16">
              <w:r>
                <w:rPr>
                  <w:rStyle w:val="ListLabel114"/>
                  <w:rFonts w:eastAsia="Cambria" w:cs="Cambria"/>
                  <w:b w:val="false"/>
                  <w:bCs w:val="false"/>
                  <w:i w:val="false"/>
                  <w:iCs w:val="false"/>
                  <w:sz w:val="20"/>
                  <w:szCs w:val="20"/>
                </w:rPr>
                <w:t>16</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Kommt das Jobangebot erst nach der März-Registrierung, verschiebt sich die ganze Kette um ein Jahr: Die Registrierung folgt erst im nächsten März, der Arbeitsbeginn frühestens am 1. Oktober des übernächsten Jahres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 Frage deshalb bei jedem Angebot ausdrücklich, ob und wann der Arbeitgeber registriert, und halte in der Zwischenzeit ein Ausweichmodell offen, etwa eine befristete Tätigkeit in Deutschland oder einen anderen Visumsweg (Kapitel </w:t>
      </w:r>
      <w:hyperlink w:anchor="k4">
        <w:r>
          <w:rPr>
            <w:rStyle w:val="ListLabel115"/>
            <w:rFonts w:eastAsia="Cambria" w:cs="Cambria"/>
            <w:b w:val="false"/>
            <w:bCs w:val="false"/>
            <w:i w:val="false"/>
            <w:iCs w:val="false"/>
            <w:sz w:val="22"/>
            <w:szCs w:val="22"/>
          </w:rPr>
          <w:t>4</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aus Stuttgart (fiktives Beispiel) bekommt im Januar das Jobangebot aus Michigan – der Anruf kommt an einem Dienstagabend mitten beim Abendessen, und Markus schreibt das Datum noch am Küchentisch auf einen Zettel, der bis zum Abflug am Kühlschrank hängen bleibt. Im März registriert der Arbeitgeber sie für die H-1B-Lotterie, Ende März steht die Auswahl fest. Bis Juni laufen LCA und Petition, dann die Genehmigung. Ende Juni kündigt Markus die Wohnung, sobald Interviewtermin und Genehmigung sicher sind; das Mietverhältnis endet am 30. September. Im Juli und August folgen DS-160, Konsulartermin und Interview in München, danach liegt das Visum im Pass. Erst jetzt kündigt Markus seinen Arbeitsvertrag und bucht die Spedition verbindlich. Ende September fliegt die Familie, der Container kommt Wochen später nach. Lena und Jonas verpassen die ersten Schulwochen in Michigan, ein Kompromiss, den der 1. Oktober als Starttermin erzwingt.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kritische Pfad: Visum, Wohnung, Verschiffung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Drei Schritte hängen in fester Reihenfolge zusammen, und jeder frühere sichert den nächsten ab. Erst wenn die Petition genehmigt ist und ein Interviewtermin feststeht, hast du eine belastbare Grundlage, um die Wohnung zu kündigen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 Erst wenn die Wohnung gekündigt und der Übergabetermin bekannt ist, kannst du realistisch planen, wann die Spedition verladen soll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Und erst mit dem Visum im Pass bucht die Spedition verbindlich, kündigst du den Arbeitsvertrag und buchst Flüge. Wer diese Reihenfolge umdreht, etwa weil eine günstige Spedition nur zu einem bestimmten Termin frei ist, riskiert eine Buchung ins Leere, falls sich das Visum verzögert.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Grund für diese Reihenfolge ist finanziell, nicht bürokratisch: Eine Kaution von mehreren Tausend Euro, eine dreimonatige Kündigungsfrist und eine Speditionsrechnung im vierstelligen Bereich lassen sich kaum rückgängig machen, sobald sie einmal laufen. Das Visum ist dagegen der einzige Schritt in der Kette, den weder du noch dein Arbeitgeber beschleunigen kannst; alles andere richtet sich danach, nicht umgekehrt.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Kündige die Wohnung nicht auf bloßen Verdacht (Kapitel </w:t>
            </w:r>
            <w:hyperlink w:anchor="k16">
              <w:r>
                <w:rPr>
                  <w:rStyle w:val="ListLabel114"/>
                  <w:rFonts w:eastAsia="Cambria" w:cs="Cambria"/>
                  <w:b w:val="false"/>
                  <w:bCs w:val="false"/>
                  <w:i w:val="false"/>
                  <w:iCs w:val="false"/>
                  <w:sz w:val="20"/>
                  <w:szCs w:val="20"/>
                </w:rPr>
                <w:t>16</w:t>
              </w:r>
            </w:hyperlink>
            <w:r>
              <w:rPr>
                <w:rFonts w:eastAsia="Cambria" w:cs="Cambria"/>
                <w:b w:val="false"/>
                <w:bCs w:val="false"/>
                <w:i w:val="false"/>
                <w:iCs w:val="false"/>
                <w:sz w:val="20"/>
                <w:szCs w:val="20"/>
              </w:rPr>
              <w:t>). Wer die drei Monate Frist trotzdem knapp ausreizen will, akzeptiert wie Familie Brandt im Beispiel ein kleines Restrisiko: Die Kündigung erfolgt, sobald Genehmigung und Interviewtermin feststehen, nicht erst mit dem Visum im Pass. Wäge dieses Risiko bewusst ab, nicht aus Zeitdruck.</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Spedition empfiehlt eine Buchung sechs bis acht Wochen vor der Verladung (Kapitel </w:t>
            </w:r>
            <w:hyperlink w:anchor="k20">
              <w:r>
                <w:rPr>
                  <w:rStyle w:val="ListLabel114"/>
                  <w:rFonts w:eastAsia="Cambria" w:cs="Cambria"/>
                  <w:b w:val="false"/>
                  <w:bCs w:val="false"/>
                  <w:i w:val="false"/>
                  <w:iCs w:val="false"/>
                  <w:sz w:val="20"/>
                  <w:szCs w:val="20"/>
                </w:rPr>
                <w:t>20</w:t>
              </w:r>
            </w:hyperlink>
            <w:r>
              <w:rPr>
                <w:rFonts w:eastAsia="Cambria" w:cs="Cambria"/>
                <w:b w:val="false"/>
                <w:bCs w:val="false"/>
                <w:i w:val="false"/>
                <w:iCs w:val="false"/>
                <w:sz w:val="20"/>
                <w:szCs w:val="20"/>
              </w:rPr>
              <w:t>). Beim komprimierten Lotterieweg bleiben zwischen Visum im Pass und Abflug oft nur vier bis sechs Wochen. Buche trotzdem sofort verbindlich, sobald das Visum feststeht, und rechne von vornherein damit, dass der Container erst Wochen nach dir ankommt.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Doppelmiete vermeiden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Doppelmiete entsteht auf zwei Arten: Du kündigst zu spät und zahlst nach dem Abflug noch für eine Wohnung, die du nicht mehr nutzt, oder du kündigst zu früh und stehst vor dem Abflug ohne Wohnung da, während das Visum noch nicht sicher ist. Die dreimonatige Kündigungsfrist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 läuft ab dem Zugang beim Vermieter, nicht ab dem Absenden, und endet immer zum Monatsende. Rechne deshalb rückwärts vom gewünschten letzten Miettag, nicht vorwärts vom Kündigungstag, und plane den Zugang so, dass das Mietende möglichst nah am tatsächlichen Abflugtermin liegt, ohne ihn zu unterschreiten. Bei einer Kaltmiete von 1.350 € (Beispiel Brandt,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 kostet ein einziger falsch getroffener Stichtag schnell eine zusätzliche Monatsmiete; ein Nachmieter oder ein Aufhebungsvertrag mit dem Vermieter kann die letzten Wochen zusätzlich abfedern.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Nutze die Wartezeit zwischen Registrierung und Petition-Entscheidung für alles, was keinen Visumsstatus braucht: Zeugnisbewertung, Übersetzungen, Angebote von Speditionen einholen, Kontakt zum künftigen Schuldistrikt aufnehmen. Das verkürzt die eigentliche Endphase spürbar (Kapitel </w:t>
            </w:r>
            <w:hyperlink w:anchor="k19">
              <w:r>
                <w:rPr>
                  <w:rStyle w:val="ListLabel114"/>
                  <w:rFonts w:eastAsia="Cambria" w:cs="Cambria"/>
                  <w:b w:val="false"/>
                  <w:bCs w:val="false"/>
                  <w:i w:val="false"/>
                  <w:iCs w:val="false"/>
                  <w:sz w:val="20"/>
                  <w:szCs w:val="20"/>
                </w:rPr>
                <w:t>19</w:t>
              </w:r>
            </w:hyperlink>
            <w:r>
              <w:rPr>
                <w:rFonts w:eastAsia="Cambria" w:cs="Cambria"/>
                <w:b w:val="false"/>
                <w:bCs w:val="false"/>
                <w:i w:val="false"/>
                <w:iCs w:val="false"/>
                <w:sz w:val="20"/>
                <w:szCs w:val="20"/>
              </w:rPr>
              <w:t xml:space="preserve">, </w:t>
            </w:r>
            <w:hyperlink w:anchor="k20">
              <w:r>
                <w:rPr>
                  <w:rStyle w:val="ListLabel114"/>
                  <w:rFonts w:eastAsia="Cambria" w:cs="Cambria"/>
                  <w:b w:val="false"/>
                  <w:bCs w:val="false"/>
                  <w:i w:val="false"/>
                  <w:iCs w:val="false"/>
                  <w:sz w:val="20"/>
                  <w:szCs w:val="20"/>
                </w:rPr>
                <w:t>20</w:t>
              </w:r>
            </w:hyperlink>
            <w:r>
              <w:rPr>
                <w:rFonts w:eastAsia="Cambria" w:cs="Cambria"/>
                <w:b w:val="false"/>
                <w:bCs w:val="false"/>
                <w:i w:val="false"/>
                <w:iCs w:val="false"/>
                <w:sz w:val="20"/>
                <w:szCs w:val="20"/>
              </w:rPr>
              <w:t xml:space="preserve">, </w:t>
            </w:r>
            <w:hyperlink w:anchor="k36">
              <w:r>
                <w:rPr>
                  <w:rStyle w:val="ListLabel114"/>
                  <w:rFonts w:eastAsia="Cambria" w:cs="Cambria"/>
                  <w:b w:val="false"/>
                  <w:bCs w:val="false"/>
                  <w:i w:val="false"/>
                  <w:iCs w:val="false"/>
                  <w:sz w:val="20"/>
                  <w:szCs w:val="20"/>
                </w:rPr>
                <w:t>36</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Wer macht was: Arbeitgeber, Anwalt, du</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Zuständigkeiten ändern sich über die Zeitleiste hinweg kaum, deshalb lohnt sich hier ein Überblick zum Nachschlagen. Verbreiteter Irrtum: Viele stellen sich die Einwanderungskanzlei als ihren persönlichen Anwalt vor. Tatsächlich arbeitet sie für deinen Arbeitgeber, nicht für dich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 ein eigener Anwalt ist optional und meist nur bei Sonderfällen wie einer Vorgeschichte oder einer Selbständigkeit nötig. Für fast alles, was in Deutschland zu erledigen ist, bist du ohnehin zuständig: Weder Kanzlei noch Arbeitgeber kündigen deine Wohnung, beurkunden deine Vollmacht oder klären deine Rentenversicherung.</w:t>
      </w:r>
    </w:p>
    <w:tbl>
      <w:tblPr>
        <w:tblW w:w="6480" w:type="dxa"/>
        <w:jc w:val="left"/>
        <w:tblInd w:w="0" w:type="dxa"/>
        <w:tblLayout w:type="fixed"/>
        <w:tblCellMar>
          <w:top w:w="50" w:type="dxa"/>
          <w:left w:w="80" w:type="dxa"/>
          <w:bottom w:w="50" w:type="dxa"/>
          <w:right w:w="80" w:type="dxa"/>
        </w:tblCellMar>
      </w:tblPr>
      <w:tblGrid>
        <w:gridCol w:w="1835"/>
        <w:gridCol w:w="1452"/>
        <w:gridCol w:w="1022"/>
        <w:gridCol w:w="2170"/>
      </w:tblGrid>
      <w:tr>
        <w:trPr>
          <w:tblHeader w:val="true"/>
          <w:cantSplit w:val="true"/>
        </w:trPr>
        <w:tc>
          <w:tcPr>
            <w:tcW w:w="183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Aufgabe</w:t>
            </w:r>
          </w:p>
        </w:tc>
        <w:tc>
          <w:tcPr>
            <w:tcW w:w="145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Arbeitgeber/Kanzlei</w:t>
            </w:r>
          </w:p>
        </w:tc>
        <w:tc>
          <w:tcPr>
            <w:tcW w:w="102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Eigener Anwalt</w:t>
            </w:r>
          </w:p>
        </w:tc>
        <w:tc>
          <w:tcPr>
            <w:tcW w:w="217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Du</w:t>
            </w:r>
          </w:p>
        </w:tc>
      </w:tr>
      <w:tr>
        <w:trPr>
          <w:cantSplit w:val="true"/>
        </w:trPr>
        <w:tc>
          <w:tcPr>
            <w:tcW w:w="18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Sponsoring-Zusage, Lohn-Level</w:t>
            </w:r>
          </w:p>
        </w:tc>
        <w:tc>
          <w:tcPr>
            <w:tcW w:w="14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entscheidet, meldet</w:t>
            </w:r>
          </w:p>
        </w:tc>
        <w:tc>
          <w:tcPr>
            <w:tcW w:w="10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prüft auf Wunsch</w:t>
            </w:r>
          </w:p>
        </w:tc>
        <w:tc>
          <w:tcPr>
            <w:tcW w:w="21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Zeugnisse und Lebenslauf liefern</w:t>
            </w:r>
          </w:p>
        </w:tc>
      </w:tr>
      <w:tr>
        <w:trPr>
          <w:cantSplit w:val="true"/>
        </w:trPr>
        <w:tc>
          <w:tcPr>
            <w:tcW w:w="18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Registrierung, LCA, Petition</w:t>
            </w:r>
          </w:p>
        </w:tc>
        <w:tc>
          <w:tcPr>
            <w:tcW w:w="14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reicht ein, zahlt Gebühren</w:t>
            </w:r>
          </w:p>
        </w:tc>
        <w:tc>
          <w:tcPr>
            <w:tcW w:w="10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Zweitmeinung möglich</w:t>
            </w:r>
          </w:p>
        </w:tc>
        <w:tc>
          <w:tcPr>
            <w:tcW w:w="21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Angaben prüfen, zügig antworten</w:t>
            </w:r>
          </w:p>
        </w:tc>
      </w:tr>
      <w:tr>
        <w:trPr>
          <w:cantSplit w:val="true"/>
        </w:trPr>
        <w:tc>
          <w:tcPr>
            <w:tcW w:w="18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Nachforderung (RFE)</w:t>
            </w:r>
          </w:p>
        </w:tc>
        <w:tc>
          <w:tcPr>
            <w:tcW w:w="14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beauftragt Kanzlei, zahlt</w:t>
            </w:r>
          </w:p>
        </w:tc>
        <w:tc>
          <w:tcPr>
            <w:tcW w:w="10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unterstützt, falls beauftragt</w:t>
            </w:r>
          </w:p>
        </w:tc>
        <w:tc>
          <w:tcPr>
            <w:tcW w:w="21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Unterlagen binnen Tagen liefern</w:t>
            </w:r>
          </w:p>
        </w:tc>
      </w:tr>
      <w:tr>
        <w:trPr>
          <w:cantSplit w:val="true"/>
        </w:trPr>
        <w:tc>
          <w:tcPr>
            <w:tcW w:w="18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DS-160, Interviewtermin</w:t>
            </w:r>
          </w:p>
        </w:tc>
        <w:tc>
          <w:tcPr>
            <w:tcW w:w="14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erklärt Ablauf, erstattet oft</w:t>
            </w:r>
          </w:p>
        </w:tc>
        <w:tc>
          <w:tcPr>
            <w:tcW w:w="10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c>
          <w:tcPr>
            <w:tcW w:w="21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ausfüllen, zahlen, erscheinen</w:t>
            </w:r>
          </w:p>
        </w:tc>
      </w:tr>
      <w:tr>
        <w:trPr>
          <w:cantSplit w:val="true"/>
        </w:trPr>
        <w:tc>
          <w:tcPr>
            <w:tcW w:w="18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Wohnung, Arbeitsvertrag kündigen</w:t>
            </w:r>
          </w:p>
        </w:tc>
        <w:tc>
          <w:tcPr>
            <w:tcW w:w="14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verhandelt Aufhebungsvertrag</w:t>
            </w:r>
          </w:p>
        </w:tc>
        <w:tc>
          <w:tcPr>
            <w:tcW w:w="10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c>
          <w:tcPr>
            <w:tcW w:w="21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kündigt schriftlich, sobald sicher</w:t>
            </w:r>
          </w:p>
        </w:tc>
      </w:tr>
      <w:tr>
        <w:trPr>
          <w:cantSplit w:val="true"/>
        </w:trPr>
        <w:tc>
          <w:tcPr>
            <w:tcW w:w="18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Umzug, Spedition</w:t>
            </w:r>
          </w:p>
        </w:tc>
        <w:tc>
          <w:tcPr>
            <w:tcW w:w="14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zahlt oft Pauschale</w:t>
            </w:r>
          </w:p>
        </w:tc>
        <w:tc>
          <w:tcPr>
            <w:tcW w:w="10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c>
          <w:tcPr>
            <w:tcW w:w="21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Angebote einholen, buchen, packen</w:t>
            </w:r>
          </w:p>
        </w:tc>
      </w:tr>
      <w:tr>
        <w:trPr>
          <w:cantSplit w:val="true"/>
        </w:trPr>
        <w:tc>
          <w:tcPr>
            <w:tcW w:w="18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Dokumente, Apostillen, Vollmachten</w:t>
            </w:r>
          </w:p>
        </w:tc>
        <w:tc>
          <w:tcPr>
            <w:tcW w:w="14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c>
          <w:tcPr>
            <w:tcW w:w="10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c>
          <w:tcPr>
            <w:tcW w:w="21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beschafft, lässt beurkunden, übersetzen</w:t>
            </w:r>
          </w:p>
        </w:tc>
      </w:tr>
      <w:tr>
        <w:trPr>
          <w:cantSplit w:val="true"/>
        </w:trPr>
        <w:tc>
          <w:tcPr>
            <w:tcW w:w="18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Krankenversicherung, Rente, Depot</w:t>
            </w:r>
          </w:p>
        </w:tc>
        <w:tc>
          <w:tcPr>
            <w:tcW w:w="14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c>
          <w:tcPr>
            <w:tcW w:w="10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c>
          <w:tcPr>
            <w:tcW w:w="21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klärt mit Kasse, DRV, Steuerberater</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221(g)-Vermerk beim Interview oder eine Nachforderung mit nur 30 Tagen Frist (Kapitel </w:t>
            </w:r>
            <w:hyperlink w:anchor="k11">
              <w:r>
                <w:rPr>
                  <w:rStyle w:val="ListLabel114"/>
                  <w:rFonts w:eastAsia="Cambria" w:cs="Cambria"/>
                  <w:b w:val="false"/>
                  <w:bCs w:val="false"/>
                  <w:i w:val="false"/>
                  <w:iCs w:val="false"/>
                  <w:sz w:val="20"/>
                  <w:szCs w:val="20"/>
                </w:rPr>
                <w:t>11</w:t>
              </w:r>
            </w:hyperlink>
            <w:r>
              <w:rPr>
                <w:rFonts w:eastAsia="Cambria" w:cs="Cambria"/>
                <w:b w:val="false"/>
                <w:bCs w:val="false"/>
                <w:i w:val="false"/>
                <w:iCs w:val="false"/>
                <w:sz w:val="20"/>
                <w:szCs w:val="20"/>
              </w:rPr>
              <w:t>) verschiebt den ganzen Plan um Wochen. Lege deshalb schon bei der Wohnungskündigung und der Buchung der Spedition einen Puffer von zwei bis vier Wochen ein, statt exakt auf den Abflugtermin hin zu planen.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Andere Wege: schneller oder anders getaktet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Beispielzeitleiste von Familie Brandt gilt für den häufigsten, aber auch unberechenbarsten Weg: die H-1B-Lotterie. Andere Wege takten anders, und wer eine Wahl hat, plant damit deutlich entspannter. Eine konzerninterne Versetzung mit L-1 kennt keine Lotterie und kein festes Startfenster; von der Petition bis zum Visum vergehen mit Premium Processing oft nur wenige Monate, und du bestimmst den Starttermin weitgehend selbst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 – ein Luxus, von dem Lotterie-Kandidaten nur träumen können. Wer mit E-2 als Investor geht, braucht keine Petition bei USCIS, dafür eine solide Geschäftsplanung, die selbst Monate dauert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 Der Studienweg über F-1, OPT und den späteren Wechsel zu H-1B erstreckt sich über Jahre und hat seinen eigenen Kalender aus Semestern, OPT-Fristen und einer eigenen Lotterie-Runde (Kapitel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 Bei der Green Card über den Arbeitgeber bestimmen Bearbeitungszeit und Wartelisten nach Herkunftsland den Rhythmus, oft mehrere Jahre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Der kritische Pfad selbst, Visum vor Wohnungskündigung vor Verschiffung, bleibt in jedem Fall gleich; nur die Monate, die du dafür einplanst, verschieben sich, und mit ihnen die Reihenfolge, in der du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 xml:space="preserve"> bis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xml:space="preserve"> abarbeitest.</w:t>
      </w:r>
    </w:p>
    <w:p>
      <w:pPr>
        <w:pStyle w:val="Heading3"/>
        <w:keepNext w:val="true"/>
        <w:spacing w:before="280" w:after="100"/>
        <w:jc w:val="center"/>
        <w:rPr/>
      </w:pPr>
      <w:r>
        <w:rPr>
          <w:rFonts w:eastAsia="Amazon Ember" w:cs="Amazon Ember" w:ascii="Amazon Ember" w:hAnsi="Amazon Ember"/>
          <w:b/>
          <w:bCs/>
          <w:color w:val="0000FF"/>
          <w:sz w:val="36"/>
          <w:szCs w:val="36"/>
        </w:rPr>
        <w:t>Schuljahreswechsel mitdenken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amerikanische Schuljahr beginnt je nach Bundesstaat und Schuldistrikt meist Mitte oder Ende August, selten später als Anfang September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 Der H-1B-Start am 1. Oktober kollidiert damit fast zwangsläufig: Kinder, die erst Ende September einreisen, verpassen die ersten Wochen des neuen Schuljahrs. Sie betreten das Klassenzimmer, wenn die Mitschüler längst wissen, wo ihr Spind ist und wer neben wem sitzt – kein Beinbruch, aber ein Detail, das sich einplanen lässt. Das lässt sich beim Lotterieweg kaum vermeiden, weil das Startdatum feststeht. Melde die Kinder trotzdem so früh wie möglich beim künftigen Schuldistrikt an, frag nach Einstufungstests und Material für die verpassten Wochen, und nutze die letzten Wochen in Deutschland für Sprachvorbereitung statt für Improvisation im letzten Moment. Wer über L-1 oder E-2 zieht und das Startdatum selbst wählen kann, sollte die Einreise bewusst auf den Beginn des Schuljahrs legen.</w:t>
      </w:r>
    </w:p>
    <w:p>
      <w:pPr>
        <w:pStyle w:val="Heading3"/>
        <w:keepNext w:val="true"/>
        <w:spacing w:before="280" w:after="100"/>
        <w:jc w:val="center"/>
        <w:rPr/>
      </w:pPr>
      <w:r>
        <w:rPr>
          <w:rFonts w:eastAsia="Amazon Ember" w:cs="Amazon Ember" w:ascii="Amazon Ember" w:hAnsi="Amazon Ember"/>
          <w:b/>
          <w:bCs/>
          <w:color w:val="0000FF"/>
          <w:sz w:val="36"/>
          <w:szCs w:val="36"/>
        </w:rPr>
        <w:t>Abschied nehmen und lose Enden schließen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Masterplan ist eine Liste von Fristen, aber die letzten Wochen sind auch die letzten Wochen mit Menschen, Wohnung und Stadt, die du lange nicht wiedersiehst. Plane bewusst Zeit für Abschiedsbesuche bei Familie, Freunden und wichtigen Arztterminen ein, statt sie zwischen Kündigungen und Packkartons verschwinden zu lassen; Heimweh und Abschiedsschmerz sind normal und kein Zeichen einer falschen Entscheidung (Kapitel </w:t>
      </w:r>
      <w:hyperlink w:anchor="k33">
        <w:r>
          <w:rPr>
            <w:rStyle w:val="ListLabel115"/>
            <w:rFonts w:eastAsia="Cambria" w:cs="Cambria"/>
            <w:b w:val="false"/>
            <w:bCs w:val="false"/>
            <w:i w:val="false"/>
            <w:iCs w:val="false"/>
            <w:sz w:val="22"/>
            <w:szCs w:val="22"/>
          </w:rPr>
          <w:t>33</w:t>
        </w:r>
      </w:hyperlink>
      <w:r>
        <w:rPr>
          <w:rFonts w:eastAsia="Cambria" w:cs="Cambria"/>
          <w:b w:val="false"/>
          <w:bCs w:val="false"/>
          <w:i w:val="false"/>
          <w:iCs w:val="false"/>
          <w:sz w:val="22"/>
          <w:szCs w:val="22"/>
        </w:rPr>
        <w:t>). Parallel dazu läuft ein praktischer Nachlass in Deutschland: Möbel und Hausrat, die nicht mit dem Container reisen, verkaufst, verschenkst oder spendest du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 Vorsorgevollmacht, Patientenverfügung und Betreuungsverfügung stehen beim Notar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 und wer Immobilien, Unternehmensanteile oder ein Testament zu regeln hat, klärt das mit Steuerberater und Notar, bevor der Wohnsitz wechselt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 xml:space="preserve">, </w:t>
      </w:r>
      <w:hyperlink w:anchor="k39">
        <w:r>
          <w:rPr>
            <w:rStyle w:val="ListLabel115"/>
            <w:rFonts w:eastAsia="Cambria" w:cs="Cambria"/>
            <w:b w:val="false"/>
            <w:bCs w:val="false"/>
            <w:i w:val="false"/>
            <w:iCs w:val="false"/>
            <w:sz w:val="22"/>
            <w:szCs w:val="22"/>
          </w:rPr>
          <w:t>39</w:t>
        </w:r>
      </w:hyperlink>
      <w:r>
        <w:rPr>
          <w:rFonts w:eastAsia="Cambria" w:cs="Cambria"/>
          <w:b w:val="false"/>
          <w:bCs w:val="false"/>
          <w:i w:val="false"/>
          <w:iCs w:val="false"/>
          <w:sz w:val="22"/>
          <w:szCs w:val="22"/>
        </w:rPr>
        <w:t>). Wer die letzten Wochen ausschließlich mit Kartons und Behördengängen füllt, hat am Ende weder Zeit noch Kraft für einen geordneten Abschied; plane deshalb bewusst freie Abende für Familie und Freunde ein. Ein sauberer Abschied ist am Ende auch ein pragmatischer: Was du jetzt klärst, muss dir später nicht aus der Ferne nachlaufen.</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Wer rückwärts vom Abflug plant, erkennt Engpässe Monate im Voraus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 Lotterieweg lässt sich kaum beschleunigen, selbst mit perfektem Plan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Dokumente und Bewertungen lassen sich schon vor der Genehmigung vorbereiten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Wer zu früh kündigt, trägt ein Restrisiko, falls sich das Visum verzögert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fester Fahrplan macht Doppelmiete und Leerstand seltener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221(g)-Vermerk oder eine Nachforderung verschiebt den ganzen Plan um Wochen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Klare Zuständigkeiten zwischen Arbeitgeber, Anwalt und dir vermeiden doppelte Arbeit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 viele Abhängigkeiten in einer Woche erhöhen den Stress spürbar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realistischer Puffer federt Verzögerungen ab</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zu großer Puffer verlängert die Zeit der Unsicherheit unnötig</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einzelnen Fristen stehen ausführlich in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 xml:space="preserve"> und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 xml:space="preserve"> bis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hier geht es nur noch darum, sie in die richtige Reihenfolge zu bringen.</w:t>
      </w:r>
    </w:p>
    <w:p>
      <w:pPr>
        <w:pStyle w:val="ListParagraph"/>
        <w:numPr>
          <w:ilvl w:val="0"/>
          <w:numId w:val="129"/>
        </w:numPr>
        <w:spacing w:lineRule="exact" w:line="288" w:before="0" w:after="60"/>
        <w:rPr/>
      </w:pPr>
      <w:r>
        <w:rPr>
          <w:rFonts w:eastAsia="Cambria" w:cs="Cambria"/>
          <w:b w:val="false"/>
          <w:bCs w:val="false"/>
          <w:i w:val="false"/>
          <w:iCs w:val="false"/>
          <w:sz w:val="22"/>
          <w:szCs w:val="22"/>
        </w:rPr>
        <w:t>Trage den Abflugtermin oder das wahrscheinlichste Zeitfenster als Fixpunkt ein und rechne die Fristen aus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 xml:space="preserve"> bis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xml:space="preserve"> rückwärts.</w:t>
      </w:r>
    </w:p>
    <w:p>
      <w:pPr>
        <w:pStyle w:val="ListParagraph"/>
        <w:numPr>
          <w:ilvl w:val="0"/>
          <w:numId w:val="130"/>
        </w:numPr>
        <w:spacing w:lineRule="exact" w:line="288" w:before="0" w:after="60"/>
        <w:rPr/>
      </w:pPr>
      <w:r>
        <w:rPr>
          <w:rFonts w:eastAsia="Cambria" w:cs="Cambria"/>
          <w:b w:val="false"/>
          <w:bCs w:val="false"/>
          <w:i w:val="false"/>
          <w:iCs w:val="false"/>
          <w:sz w:val="22"/>
          <w:szCs w:val="22"/>
        </w:rPr>
        <w:t>Kläre mit Arbeitgeber und Kanzlei, wann Registrierung, Petition und Interviewtermin realistisch liegen, und plane deinen Puffer entsprechend.</w:t>
      </w:r>
    </w:p>
    <w:p>
      <w:pPr>
        <w:pStyle w:val="ListParagraph"/>
        <w:numPr>
          <w:ilvl w:val="0"/>
          <w:numId w:val="131"/>
        </w:numPr>
        <w:spacing w:lineRule="exact" w:line="288" w:before="0" w:after="60"/>
        <w:rPr/>
      </w:pPr>
      <w:r>
        <w:rPr>
          <w:rFonts w:eastAsia="Cambria" w:cs="Cambria"/>
          <w:b w:val="false"/>
          <w:bCs w:val="false"/>
          <w:i w:val="false"/>
          <w:iCs w:val="false"/>
          <w:sz w:val="22"/>
          <w:szCs w:val="22"/>
        </w:rPr>
        <w:t>Trage die drei kritischen Schritte, Visum, Wohnungskündigung und Verschiffung, als feste Reihenfolge in deinen Kalender ein, nicht als lose Liste.</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Abflugtermin oder realistisches Zeitfenster festgelegt und als Fixpunkt im Kalender markiert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Zeitleiste T–18 bis T–0 mit den Fristen aus Kapitel </w:t>
            </w:r>
            <w:hyperlink w:anchor="k11">
              <w:r>
                <w:rPr>
                  <w:rStyle w:val="ListLabel114"/>
                  <w:rFonts w:eastAsia="Cambria" w:cs="Cambria"/>
                  <w:b w:val="false"/>
                  <w:bCs w:val="false"/>
                  <w:i w:val="false"/>
                  <w:iCs w:val="false"/>
                  <w:sz w:val="20"/>
                  <w:szCs w:val="20"/>
                </w:rPr>
                <w:t>11</w:t>
              </w:r>
            </w:hyperlink>
            <w:r>
              <w:rPr>
                <w:rFonts w:eastAsia="Cambria" w:cs="Cambria"/>
                <w:b w:val="false"/>
                <w:bCs w:val="false"/>
                <w:i w:val="false"/>
                <w:iCs w:val="false"/>
                <w:sz w:val="20"/>
                <w:szCs w:val="20"/>
              </w:rPr>
              <w:t xml:space="preserve">, </w:t>
            </w:r>
            <w:hyperlink w:anchor="k16">
              <w:r>
                <w:rPr>
                  <w:rStyle w:val="ListLabel114"/>
                  <w:rFonts w:eastAsia="Cambria" w:cs="Cambria"/>
                  <w:b w:val="false"/>
                  <w:bCs w:val="false"/>
                  <w:i w:val="false"/>
                  <w:iCs w:val="false"/>
                  <w:sz w:val="20"/>
                  <w:szCs w:val="20"/>
                </w:rPr>
                <w:t>16</w:t>
              </w:r>
            </w:hyperlink>
            <w:r>
              <w:rPr>
                <w:rFonts w:eastAsia="Cambria" w:cs="Cambria"/>
                <w:b w:val="false"/>
                <w:bCs w:val="false"/>
                <w:i w:val="false"/>
                <w:iCs w:val="false"/>
                <w:sz w:val="20"/>
                <w:szCs w:val="20"/>
              </w:rPr>
              <w:t xml:space="preserve">, </w:t>
            </w:r>
            <w:hyperlink w:anchor="k17">
              <w:r>
                <w:rPr>
                  <w:rStyle w:val="ListLabel114"/>
                  <w:rFonts w:eastAsia="Cambria" w:cs="Cambria"/>
                  <w:b w:val="false"/>
                  <w:bCs w:val="false"/>
                  <w:i w:val="false"/>
                  <w:iCs w:val="false"/>
                  <w:sz w:val="20"/>
                  <w:szCs w:val="20"/>
                </w:rPr>
                <w:t>17</w:t>
              </w:r>
            </w:hyperlink>
            <w:r>
              <w:rPr>
                <w:rFonts w:eastAsia="Cambria" w:cs="Cambria"/>
                <w:b w:val="false"/>
                <w:bCs w:val="false"/>
                <w:i w:val="false"/>
                <w:iCs w:val="false"/>
                <w:sz w:val="20"/>
                <w:szCs w:val="20"/>
              </w:rPr>
              <w:t xml:space="preserve">, </w:t>
            </w:r>
            <w:hyperlink w:anchor="k18">
              <w:r>
                <w:rPr>
                  <w:rStyle w:val="ListLabel114"/>
                  <w:rFonts w:eastAsia="Cambria" w:cs="Cambria"/>
                  <w:b w:val="false"/>
                  <w:bCs w:val="false"/>
                  <w:i w:val="false"/>
                  <w:iCs w:val="false"/>
                  <w:sz w:val="20"/>
                  <w:szCs w:val="20"/>
                </w:rPr>
                <w:t>18</w:t>
              </w:r>
            </w:hyperlink>
            <w:r>
              <w:rPr>
                <w:rFonts w:eastAsia="Cambria" w:cs="Cambria"/>
                <w:b w:val="false"/>
                <w:bCs w:val="false"/>
                <w:i w:val="false"/>
                <w:iCs w:val="false"/>
                <w:sz w:val="20"/>
                <w:szCs w:val="20"/>
              </w:rPr>
              <w:t xml:space="preserve">, </w:t>
            </w:r>
            <w:hyperlink w:anchor="k19">
              <w:r>
                <w:rPr>
                  <w:rStyle w:val="ListLabel114"/>
                  <w:rFonts w:eastAsia="Cambria" w:cs="Cambria"/>
                  <w:b w:val="false"/>
                  <w:bCs w:val="false"/>
                  <w:i w:val="false"/>
                  <w:iCs w:val="false"/>
                  <w:sz w:val="20"/>
                  <w:szCs w:val="20"/>
                </w:rPr>
                <w:t>19</w:t>
              </w:r>
            </w:hyperlink>
            <w:r>
              <w:rPr>
                <w:rFonts w:eastAsia="Cambria" w:cs="Cambria"/>
                <w:b w:val="false"/>
                <w:bCs w:val="false"/>
                <w:i w:val="false"/>
                <w:iCs w:val="false"/>
                <w:sz w:val="20"/>
                <w:szCs w:val="20"/>
              </w:rPr>
              <w:t xml:space="preserve"> und </w:t>
            </w:r>
            <w:hyperlink w:anchor="k20">
              <w:r>
                <w:rPr>
                  <w:rStyle w:val="ListLabel114"/>
                  <w:rFonts w:eastAsia="Cambria" w:cs="Cambria"/>
                  <w:b w:val="false"/>
                  <w:bCs w:val="false"/>
                  <w:i w:val="false"/>
                  <w:iCs w:val="false"/>
                  <w:sz w:val="20"/>
                  <w:szCs w:val="20"/>
                </w:rPr>
                <w:t>20</w:t>
              </w:r>
            </w:hyperlink>
            <w:r>
              <w:rPr>
                <w:rFonts w:eastAsia="Cambria" w:cs="Cambria"/>
                <w:b w:val="false"/>
                <w:bCs w:val="false"/>
                <w:i w:val="false"/>
                <w:iCs w:val="false"/>
                <w:sz w:val="20"/>
                <w:szCs w:val="20"/>
              </w:rPr>
              <w:t xml:space="preserve"> abgeglichen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Zeugnisbewertung vor der März-Registrierung beauftragt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Wohnung erst gekündigt, sobald Genehmigung und Interviewtermin feststehen; Kündigungsfrist rückwärts gerechnet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Arbeitsvertrag gekündigt oder Aufhebungsvertrag verhandelt, erst nach gesichertem Visum</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Spedition mit mehreren Festpreisangeboten verglichen und verbindlich gebucht, sobald das Visum im Pass ist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Krankenversicherung, Anwartschaft und Rentenversicherung rechtzeitig vor dem Abflug angestoßen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Schuldistrikt informiert und Schuljahreswechsel eingeplant, falls Kinder mitziehen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Abschiedsbesuche und der Nachlass nicht mitgenommener Gegenstände eingeplant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Puffer für Verzögerungen wie 221(g) oder Nachforderungen im Zeitplan berücksichtigt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USCIS — Bearbeitungszeiten: </w:t>
      </w:r>
      <w:hyperlink r:id="rId152">
        <w:r>
          <w:rPr>
            <w:rStyle w:val="ListLabel113"/>
            <w:rFonts w:eastAsia="Cambria" w:cs="Cambria"/>
            <w:b w:val="false"/>
            <w:bCs w:val="false"/>
            <w:i w:val="false"/>
            <w:iCs w:val="false"/>
            <w:color w:val="0563C1"/>
            <w:sz w:val="22"/>
            <w:szCs w:val="22"/>
            <w:u w:val="single"/>
          </w:rPr>
          <w:t>uscis.gov/processing-times</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USCIS — H-1B-Registrierung und Fristen: </w:t>
      </w:r>
      <w:hyperlink r:id="rId153">
        <w:r>
          <w:rPr>
            <w:rStyle w:val="ListLabel113"/>
            <w:rFonts w:eastAsia="Cambria" w:cs="Cambria"/>
            <w:b w:val="false"/>
            <w:bCs w:val="false"/>
            <w:i w:val="false"/>
            <w:iCs w:val="false"/>
            <w:color w:val="0563C1"/>
            <w:sz w:val="22"/>
            <w:szCs w:val="22"/>
            <w:u w:val="single"/>
          </w:rPr>
          <w:t>uscis.gov/working-in-the-united-states/h-1b-specialty-occupations</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US-Außenministerium — Terminwartezeiten der Konsulate: </w:t>
      </w:r>
      <w:hyperlink r:id="rId154">
        <w:r>
          <w:rPr>
            <w:rStyle w:val="ListLabel113"/>
            <w:rFonts w:eastAsia="Cambria" w:cs="Cambria"/>
            <w:b w:val="false"/>
            <w:bCs w:val="false"/>
            <w:i w:val="false"/>
            <w:iCs w:val="false"/>
            <w:color w:val="0563C1"/>
            <w:sz w:val="22"/>
            <w:szCs w:val="22"/>
            <w:u w:val="single"/>
          </w:rPr>
          <w:t>travel.state.gov</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Gesetze im Internet — BGB § 573c, Kündigungsfrist Wohnraum: </w:t>
      </w:r>
      <w:hyperlink r:id="rId155">
        <w:r>
          <w:rPr>
            <w:rStyle w:val="ListLabel113"/>
            <w:rFonts w:eastAsia="Cambria" w:cs="Cambria"/>
            <w:b w:val="false"/>
            <w:bCs w:val="false"/>
            <w:i w:val="false"/>
            <w:iCs w:val="false"/>
            <w:color w:val="0563C1"/>
            <w:sz w:val="22"/>
            <w:szCs w:val="22"/>
            <w:u w:val="single"/>
          </w:rPr>
          <w:t>gesetze-im-internet.de</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Deutsche Rentenversicherung — Beratung vor dem Umzug: </w:t>
      </w:r>
      <w:hyperlink r:id="rId156">
        <w:r>
          <w:rPr>
            <w:rStyle w:val="ListLabel113"/>
            <w:rFonts w:eastAsia="Cambria" w:cs="Cambria"/>
            <w:b w:val="false"/>
            <w:bCs w:val="false"/>
            <w:i w:val="false"/>
            <w:iCs w:val="false"/>
            <w:color w:val="0563C1"/>
            <w:sz w:val="22"/>
            <w:szCs w:val="22"/>
            <w:u w:val="single"/>
          </w:rPr>
          <w:t>deutsche-rentenversicherung.de</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Zeitleiste ist ein Beispielfahrplan für den H-1B-Lotterieweg von Familie Brandt (fiktiv); Registrierungsfenster, Bearbeitungszeiten und Terminwartezeiten der Konsulate ändern sich jährlich und stehen aktuell in Kapitel </w:t>
            </w:r>
            <w:hyperlink w:anchor="k11">
              <w:r>
                <w:rPr>
                  <w:rStyle w:val="ListLabel114"/>
                  <w:rFonts w:eastAsia="Cambria" w:cs="Cambria"/>
                  <w:b w:val="false"/>
                  <w:bCs w:val="false"/>
                  <w:i w:val="false"/>
                  <w:iCs w:val="false"/>
                  <w:sz w:val="20"/>
                  <w:szCs w:val="20"/>
                </w:rPr>
                <w:t>11</w:t>
              </w:r>
            </w:hyperlink>
            <w:r>
              <w:rPr>
                <w:rFonts w:eastAsia="Cambria" w:cs="Cambria"/>
                <w:b w:val="false"/>
                <w:bCs w:val="false"/>
                <w:i w:val="false"/>
                <w:iCs w:val="false"/>
                <w:sz w:val="20"/>
                <w:szCs w:val="20"/>
              </w:rPr>
              <w:t>. Bei anderen Visumswegen verschieben sich die Monate, der kritische Pfad aus Visum, Wohnungskündigung und Verschiffung bleibt gleich. Prüfe vor jeder Kündigung und Buchung die aktuellen Fristen in Kapitel </w:t>
            </w:r>
            <w:hyperlink w:anchor="k16">
              <w:r>
                <w:rPr>
                  <w:rStyle w:val="ListLabel114"/>
                  <w:rFonts w:eastAsia="Cambria" w:cs="Cambria"/>
                  <w:b w:val="false"/>
                  <w:bCs w:val="false"/>
                  <w:i w:val="false"/>
                  <w:iCs w:val="false"/>
                  <w:sz w:val="20"/>
                  <w:szCs w:val="20"/>
                </w:rPr>
                <w:t>16</w:t>
              </w:r>
            </w:hyperlink>
            <w:r>
              <w:rPr>
                <w:rFonts w:eastAsia="Cambria" w:cs="Cambria"/>
                <w:b w:val="false"/>
                <w:bCs w:val="false"/>
                <w:i w:val="false"/>
                <w:iCs w:val="false"/>
                <w:sz w:val="20"/>
                <w:szCs w:val="20"/>
              </w:rPr>
              <w:t xml:space="preserve"> bis </w:t>
            </w:r>
            <w:hyperlink w:anchor="k20">
              <w:r>
                <w:rPr>
                  <w:rStyle w:val="ListLabel114"/>
                  <w:rFonts w:eastAsia="Cambria" w:cs="Cambria"/>
                  <w:b w:val="false"/>
                  <w:bCs w:val="false"/>
                  <w:i w:val="false"/>
                  <w:iCs w:val="false"/>
                  <w:sz w:val="20"/>
                  <w:szCs w:val="20"/>
                </w:rPr>
                <w:t>20</w:t>
              </w:r>
            </w:hyperlink>
            <w:r>
              <w:rPr>
                <w:rFonts w:eastAsia="Cambria" w:cs="Cambria"/>
                <w:b w:val="false"/>
                <w:bCs w:val="false"/>
                <w:i w:val="false"/>
                <w:iCs w:val="false"/>
                <w:sz w:val="20"/>
                <w:szCs w:val="20"/>
              </w:rPr>
              <w:t>.</w:t>
            </w:r>
          </w:p>
        </w:tc>
      </w:tr>
    </w:tbl>
    <w:p>
      <w:pPr>
        <w:pStyle w:val="Normal"/>
        <w:spacing w:lineRule="exact" w:line="220" w:before="0" w:after="0"/>
        <w:rPr/>
      </w:pPr>
      <w:r>
        <w:rPr/>
      </w:r>
      <w:r>
        <w:br w:type="page"/>
      </w:r>
    </w:p>
    <w:p>
      <w:pPr>
        <w:pStyle w:val="Heading2"/>
        <w:keepNext w:val="true"/>
        <w:spacing w:before="0" w:after="300"/>
        <w:jc w:val="center"/>
        <w:rPr/>
      </w:pPr>
      <w:bookmarkStart w:id="43" w:name="__RefHeading___Toc56465_3769931028"/>
      <w:bookmarkStart w:id="44" w:name="k16"/>
      <w:bookmarkEnd w:id="43"/>
      <w:r>
        <w:rPr>
          <w:rFonts w:eastAsia="Amazon Ember" w:cs="Amazon Ember" w:ascii="Amazon Ember" w:hAnsi="Amazon Ember"/>
          <w:b/>
          <w:bCs/>
          <w:color w:val="0000FF"/>
          <w:sz w:val="36"/>
          <w:szCs w:val="36"/>
        </w:rPr>
        <w:t>Kapitel 16: Behörden, Verträge, Versicherungen abwickeln</w:t>
      </w:r>
      <w:bookmarkEnd w:id="44"/>
    </w:p>
    <w:p>
      <w:pPr>
        <w:pStyle w:val="Normal"/>
        <w:keepNext w:val="false"/>
        <w:keepLines w:val="false"/>
        <w:spacing w:lineRule="exact" w:line="288" w:before="0" w:after="140"/>
        <w:jc w:val="left"/>
        <w:rPr/>
      </w:pPr>
      <w:r>
        <w:rPr>
          <w:rFonts w:eastAsia="Cambria" w:cs="Cambria"/>
          <w:b w:val="false"/>
          <w:bCs w:val="false"/>
          <w:i w:val="false"/>
          <w:iCs w:val="false"/>
          <w:sz w:val="22"/>
          <w:szCs w:val="22"/>
        </w:rPr>
        <w:t>Sechs Wochen nach dem Umzug landet im Briefkasten deiner alten Wohnung eine Mahnung des Beitragsservice: Rundfunkbeitrag für eine Wohnung, in der du längst nicht mehr lebst. Am selben Tag bucht die Krankenkasse den nächsten Monatsbeitrag ab. Deutschland lässt dich nicht automatisch los: Verträge laufen weiter, bis du sie beendest, und Vertragspartner erfahren vom Wegzug nur, wenn du es ihnen schreibst. Dieses Kapitel zeigt, was du wann kündigst, was du bewusst behältst und wie du dabei nichts Wichtiges verlierst.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Kein Vertrag endet mit dem Flug: Miete, Handy, Versicherungen, Rundfunkbeitrag und eine freiwillige Krankenversicherung laufen weiter, bis du kündigst oder abmeldest.</w:t>
            </w:r>
          </w:p>
          <w:p>
            <w:pPr>
              <w:pStyle w:val="ListParagraph"/>
              <w:numPr>
                <w:ilvl w:val="0"/>
                <w:numId w:val="1"/>
              </w:numPr>
              <w:spacing w:lineRule="exact" w:line="264" w:before="0" w:after="50"/>
              <w:rPr/>
            </w:pPr>
            <w:r>
              <w:rPr>
                <w:rFonts w:eastAsia="Cambria" w:cs="Cambria"/>
                <w:b w:val="false"/>
                <w:bCs w:val="false"/>
                <w:i w:val="false"/>
                <w:iCs w:val="false"/>
                <w:sz w:val="20"/>
                <w:szCs w:val="20"/>
              </w:rPr>
              <w:t>Abmelden musst du dich innerhalb von zwei Wochen nach dem Auszug, frühestens eine Woche vorher; ein Versäumnis kostet bis zu 1.000 € Bußgeld.</w:t>
            </w:r>
          </w:p>
          <w:p>
            <w:pPr>
              <w:pStyle w:val="ListParagraph"/>
              <w:numPr>
                <w:ilvl w:val="0"/>
                <w:numId w:val="1"/>
              </w:numPr>
              <w:spacing w:lineRule="exact" w:line="264" w:before="0" w:after="50"/>
              <w:rPr/>
            </w:pPr>
            <w:r>
              <w:rPr>
                <w:rFonts w:eastAsia="Cambria" w:cs="Cambria"/>
                <w:b w:val="false"/>
                <w:bCs w:val="false"/>
                <w:i w:val="false"/>
                <w:iCs w:val="false"/>
                <w:sz w:val="20"/>
                <w:szCs w:val="20"/>
              </w:rPr>
              <w:t>Die längsten Fristen haben meist Wohnung (drei Monate) und Arbeitsvertrag (gesetzlich vier Wochen, vertraglich oft mehr). Kündige dort aber erst, wenn dein Visum sicher ist.</w:t>
            </w:r>
          </w:p>
          <w:p>
            <w:pPr>
              <w:pStyle w:val="ListParagraph"/>
              <w:numPr>
                <w:ilvl w:val="0"/>
                <w:numId w:val="1"/>
              </w:numPr>
              <w:spacing w:lineRule="exact" w:line="264" w:before="0" w:after="50"/>
              <w:rPr/>
            </w:pPr>
            <w:r>
              <w:rPr>
                <w:rFonts w:eastAsia="Cambria" w:cs="Cambria"/>
                <w:b w:val="false"/>
                <w:bCs w:val="false"/>
                <w:i w:val="false"/>
                <w:iCs w:val="false"/>
                <w:sz w:val="20"/>
                <w:szCs w:val="20"/>
              </w:rPr>
              <w:t>Behalte ein deutsches Girokonto, eine Postadresse bei einer Vertrauensperson und deine Steuer-ID. Vollmachten lässt du vor dem Abflug beim Notar beurkunden.</w:t>
            </w:r>
          </w:p>
          <w:p>
            <w:pPr>
              <w:pStyle w:val="ListParagraph"/>
              <w:numPr>
                <w:ilvl w:val="0"/>
                <w:numId w:val="1"/>
              </w:numPr>
              <w:spacing w:lineRule="exact" w:line="264" w:before="0" w:after="50"/>
              <w:rPr/>
            </w:pPr>
            <w:r>
              <w:rPr>
                <w:rFonts w:eastAsia="Cambria" w:cs="Cambria"/>
                <w:b w:val="false"/>
                <w:bCs w:val="false"/>
                <w:i w:val="false"/>
                <w:iCs w:val="false"/>
                <w:sz w:val="20"/>
                <w:szCs w:val="20"/>
              </w:rPr>
              <w:t>Kindergeld und Elterngeld enden in der Regel mit dem Wegzug; melde ihn der Familienkasse und der Elterngeldstelle.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Zuerst die Vertragsliste, dann die Reihenfolge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Öffne die Kontoauszüge der letzten zwölf Monate; sie lesen sich wie ein Tagebuch deines Alltags, nur in Abbuchungen statt Sätzen. Jede wiederkehrende Abbuchung ist ein Vertrag: Miete, Strom, Handy, Fitnessstudio, Verein, Streaming, Zeitung, Versicherungen. Lege eine Tabelle an mit Vertrag, Kündigungsfrist, spätestem Kündigungstermin (vom Abflug rückwärts gerechnet) und Bestätigung. Das kostet einen Abend und erspart dir Restposten, die sonst Monate später als Abbuchung oder Mahnung auftauchen.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Reihenfolge folgt den Fristen: Was am längsten läuft, kündigst du zuerst. Das kollidiert mit der Unsicherheit beim Visum; wie du das entschärfst und Doppelmiete vermeidest, zeigt der Zeitplan in Kapitel </w:t>
      </w:r>
      <w:hyperlink w:anchor="k15">
        <w:r>
          <w:rPr>
            <w:rStyle w:val="ListLabel115"/>
            <w:rFonts w:eastAsia="Cambria" w:cs="Cambria"/>
            <w:b w:val="false"/>
            <w:bCs w:val="false"/>
            <w:i w:val="false"/>
            <w:iCs w:val="false"/>
            <w:sz w:val="22"/>
            <w:szCs w:val="22"/>
          </w:rPr>
          <w:t>15</w:t>
        </w:r>
      </w:hyperlink>
      <w:r>
        <w:rPr>
          <w:rFonts w:eastAsia="Cambria" w:cs="Cambria"/>
          <w:b w:val="false"/>
          <w:bCs w:val="false"/>
          <w:i w:val="false"/>
          <w:iCs w:val="false"/>
          <w:sz w:val="22"/>
          <w:szCs w:val="22"/>
        </w:rPr>
        <w:t>. Altersvorsorge (Riester, Rürup, Bausparen, Lebensversicherung) gehört nicht in die Kündigungswelle, denn ein Wegzug löst dort eigene Folgen aus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Kündige weder Wohnung noch Arbeitsvertrag auf Verdacht. Vor der Genehmigung kann alles scheitern, und auch danach ist das Visum erst mit dem Stempel im Pass sicher, weil sich Termine verschieben können. Wer früher kündigt, um Doppelmiete zu sparen, trägt ein Restrisiko und stimmt sich vorher mit Arbeitgeber und Anwalt ab (Kapitel </w:t>
            </w:r>
            <w:hyperlink w:anchor="k11">
              <w:r>
                <w:rPr>
                  <w:rStyle w:val="ListLabel114"/>
                  <w:rFonts w:eastAsia="Cambria" w:cs="Cambria"/>
                  <w:b w:val="false"/>
                  <w:bCs w:val="false"/>
                  <w:i w:val="false"/>
                  <w:iCs w:val="false"/>
                  <w:sz w:val="20"/>
                  <w:szCs w:val="20"/>
                </w:rPr>
                <w:t>11</w:t>
              </w:r>
            </w:hyperlink>
            <w:r>
              <w:rPr>
                <w:rFonts w:eastAsia="Cambria" w:cs="Cambria"/>
                <w:b w:val="false"/>
                <w:bCs w:val="false"/>
                <w:i w:val="false"/>
                <w:iCs w:val="false"/>
                <w:sz w:val="20"/>
                <w:szCs w:val="20"/>
              </w:rPr>
              <w: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Rechne jede Frist vom Abflugtermin rückwärts und lass dir jede Kündigung schriftlich bestätigen. Ohne Bestätigung kannst du im Streitfall weder Zugang noch Zeitpunkt beweisen.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Kündigungsfristen im Überblick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Tabelle nennt die gesetzliche Regel (Stand September 2026); dein Vertrag kann abweichen.</w:t>
      </w:r>
    </w:p>
    <w:tbl>
      <w:tblPr>
        <w:tblW w:w="6480" w:type="dxa"/>
        <w:jc w:val="left"/>
        <w:tblInd w:w="0" w:type="dxa"/>
        <w:tblLayout w:type="fixed"/>
        <w:tblCellMar>
          <w:top w:w="50" w:type="dxa"/>
          <w:left w:w="80" w:type="dxa"/>
          <w:bottom w:w="50" w:type="dxa"/>
          <w:right w:w="80" w:type="dxa"/>
        </w:tblCellMar>
      </w:tblPr>
      <w:tblGrid>
        <w:gridCol w:w="1513"/>
        <w:gridCol w:w="2483"/>
        <w:gridCol w:w="2484"/>
      </w:tblGrid>
      <w:tr>
        <w:trPr>
          <w:tblHeader w:val="true"/>
          <w:cantSplit w:val="true"/>
        </w:trPr>
        <w:tc>
          <w:tcPr>
            <w:tcW w:w="151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Vertrag</w:t>
            </w:r>
          </w:p>
        </w:tc>
        <w:tc>
          <w:tcPr>
            <w:tcW w:w="248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Frist (Rechtsgrundlage)</w:t>
            </w:r>
          </w:p>
        </w:tc>
        <w:tc>
          <w:tcPr>
            <w:tcW w:w="248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Bei Auslandsumzug</w:t>
            </w:r>
          </w:p>
        </w:tc>
      </w:tr>
      <w:tr>
        <w:trPr>
          <w:cantSplit w:val="true"/>
        </w:trPr>
        <w:tc>
          <w:tcPr>
            <w:tcW w:w="15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Mietwohnung</w:t>
            </w:r>
          </w:p>
        </w:tc>
        <w:tc>
          <w:tcPr>
            <w:tcW w:w="24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drei Monate; Zugang bis zum dritten Werktag des Monats (§ 573c BGB)</w:t>
            </w:r>
          </w:p>
        </w:tc>
        <w:tc>
          <w:tcPr>
            <w:tcW w:w="24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Sonderkündigungsrecht</w:t>
            </w:r>
          </w:p>
        </w:tc>
      </w:tr>
      <w:tr>
        <w:trPr>
          <w:cantSplit w:val="true"/>
        </w:trPr>
        <w:tc>
          <w:tcPr>
            <w:tcW w:w="15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Arbeitsvertrag</w:t>
            </w:r>
          </w:p>
        </w:tc>
        <w:tc>
          <w:tcPr>
            <w:tcW w:w="24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vier Wochen zum 15. oder Monatsende, in der Probezeit zwei Wochen; nur schriftlich (§§ 622, 623 BGB)</w:t>
            </w:r>
          </w:p>
        </w:tc>
        <w:tc>
          <w:tcPr>
            <w:tcW w:w="24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Aufhebungsvertrag verhandeln</w:t>
            </w:r>
          </w:p>
        </w:tc>
      </w:tr>
      <w:tr>
        <w:trPr>
          <w:cantSplit w:val="true"/>
        </w:trPr>
        <w:tc>
          <w:tcPr>
            <w:tcW w:w="15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Handy und Internet</w:t>
            </w:r>
          </w:p>
        </w:tc>
        <w:tc>
          <w:tcPr>
            <w:tcW w:w="24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Erstlaufzeit höchstens 24 Monate, danach ein Monat (§ 56 TKG)</w:t>
            </w:r>
          </w:p>
        </w:tc>
        <w:tc>
          <w:tcPr>
            <w:tcW w:w="24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Sonderkündigung mit einem Monat, wenn der Anbieter am neuen Wohnort nicht leistet (§ 60 TKG); Anwendung auf die USA unklar</w:t>
            </w:r>
          </w:p>
        </w:tc>
      </w:tr>
      <w:tr>
        <w:trPr>
          <w:cantSplit w:val="true"/>
        </w:trPr>
        <w:tc>
          <w:tcPr>
            <w:tcW w:w="15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Strom und Gas, Grundversorgung</w:t>
            </w:r>
          </w:p>
        </w:tc>
        <w:tc>
          <w:tcPr>
            <w:tcW w:w="24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zwei Wochen (§ 20 StromGVV)</w:t>
            </w:r>
          </w:p>
        </w:tc>
        <w:tc>
          <w:tcPr>
            <w:tcW w:w="24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Besonderheit</w:t>
            </w:r>
          </w:p>
        </w:tc>
      </w:tr>
      <w:tr>
        <w:trPr>
          <w:cantSplit w:val="true"/>
        </w:trPr>
        <w:tc>
          <w:tcPr>
            <w:tcW w:w="15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Strom und Gas, Sondervertrag</w:t>
            </w:r>
          </w:p>
        </w:tc>
        <w:tc>
          <w:tcPr>
            <w:tcW w:w="24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sechs Wochen bei Wohnsitzwechsel (§ 41b EnWG)</w:t>
            </w:r>
          </w:p>
        </w:tc>
        <w:tc>
          <w:tcPr>
            <w:tcW w:w="24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Anwendung auf die USA unklar</w:t>
            </w:r>
          </w:p>
        </w:tc>
      </w:tr>
      <w:tr>
        <w:trPr>
          <w:cantSplit w:val="true"/>
        </w:trPr>
        <w:tc>
          <w:tcPr>
            <w:tcW w:w="15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Rundfunkbeitrag</w:t>
            </w:r>
          </w:p>
        </w:tc>
        <w:tc>
          <w:tcPr>
            <w:tcW w:w="24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Kündigung, sondern Abmeldung der Wohnung</w:t>
            </w:r>
          </w:p>
        </w:tc>
        <w:tc>
          <w:tcPr>
            <w:tcW w:w="24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Nachweis beifügen</w:t>
            </w:r>
          </w:p>
        </w:tc>
      </w:tr>
      <w:tr>
        <w:trPr>
          <w:cantSplit w:val="true"/>
        </w:trPr>
        <w:tc>
          <w:tcPr>
            <w:tcW w:w="15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Hausrat, Haftpflicht, Rechtsschutz</w:t>
            </w:r>
          </w:p>
        </w:tc>
        <w:tc>
          <w:tcPr>
            <w:tcW w:w="24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 Vertragsbedingungen; Wegfall des Risikos sofort melden (§ 80 VVG)</w:t>
            </w:r>
          </w:p>
        </w:tc>
        <w:tc>
          <w:tcPr>
            <w:tcW w:w="24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Frist im Vertrag prüfen</w:t>
            </w:r>
          </w:p>
        </w:tc>
      </w:tr>
      <w:tr>
        <w:trPr>
          <w:cantSplit w:val="true"/>
        </w:trPr>
        <w:tc>
          <w:tcPr>
            <w:tcW w:w="15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Nachsendeauftrag</w:t>
            </w:r>
          </w:p>
        </w:tc>
        <w:tc>
          <w:tcPr>
            <w:tcW w:w="24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sechs Monate Laufzeit, fünf Werktage Vorlauf</w:t>
            </w:r>
          </w:p>
        </w:tc>
        <w:tc>
          <w:tcPr>
            <w:tcW w:w="24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Ausland eingeschränkt</w:t>
            </w:r>
          </w:p>
        </w:tc>
      </w:tr>
      <w:tr>
        <w:trPr>
          <w:cantSplit w:val="true"/>
        </w:trPr>
        <w:tc>
          <w:tcPr>
            <w:tcW w:w="15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Freiwillige gesetzliche Krankenversicherung</w:t>
            </w:r>
          </w:p>
        </w:tc>
        <w:tc>
          <w:tcPr>
            <w:tcW w:w="24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endet nicht automatisch mit dem Wegzug (§ 191 SGB V)</w:t>
            </w:r>
          </w:p>
        </w:tc>
        <w:tc>
          <w:tcPr>
            <w:tcW w:w="24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Kündigung oder Anwartschaft: Kapitel </w:t>
            </w:r>
            <w:hyperlink w:anchor="k18">
              <w:r>
                <w:rPr>
                  <w:rStyle w:val="ListLabel112"/>
                  <w:rFonts w:eastAsia="Cambria" w:cs="Cambria"/>
                  <w:b w:val="false"/>
                  <w:bCs w:val="false"/>
                  <w:i w:val="false"/>
                  <w:iCs w:val="false"/>
                  <w:sz w:val="18"/>
                  <w:szCs w:val="18"/>
                </w:rPr>
                <w:t>18</w:t>
              </w:r>
            </w:hyperlink>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Das ist keine Rechtsberatung. Miet-, Arbeits- und Versicherungsverträge können von der gesetzlichen Regel abweichen. Bei Streit helfen Mieterverein, Fachanwalt für Arbeitsrecht oder Verbraucherzentrale.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Abmeldung: Frist, Bescheinigung, Wohnsitz behalten?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auszieht und keine neue Wohnung im Inland bezieht, muss sich innerhalb von zwei Wochen nach dem Auszug bei der Meldebehörde abmelden (§ 17 Abs. 2 Bundesmeldegesetz, BMG). Früher als eine Woche vor dem Auszug geht es nicht; das Melderegister wird zum Auszugsdatum fortgeschrieben. Wer die Frist versäumt, begeht eine Ordnungswidrigkeit mit bis zu 1.000 € Bußgeld. Termin, Online-Formular und Vollmacht für einen Vertreter regelt deine Kommune; schau auf die Website des Bürgeramts.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Lass dir eine Abmeldebescheinigung ausstellen und kopiere sie mehrfach. Das Gesetz nennt sie nicht ausdrücklich, doch Meldebehörden stellen sie in der Praxis aus, und Beitragsservice, Krankenkasse oder Finanzamt verlangen sie häufig. Dein Personalausweis bleibt nach dem Wegzug gültig (§ 28 PAuswG), gilt aber nicht für die Einreise in die USA; den Reisepass klärt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Wohnsitz behalten?</w:t>
      </w:r>
      <w:r>
        <w:rPr>
          <w:rFonts w:eastAsia="Cambria" w:cs="Cambria"/>
          <w:b w:val="false"/>
          <w:bCs w:val="false"/>
          <w:i w:val="false"/>
          <w:iCs w:val="false"/>
          <w:sz w:val="22"/>
          <w:szCs w:val="22"/>
        </w:rPr>
        <w:t xml:space="preserve"> Solange du eine Wohnung im Inland bezogen hältst, entfällt nach dem Gesetzeswortlaut die Abmeldepflicht; sie zählt dann als Haupt- oder Nebenwohnung (§ 21 BMG). Der Preis: Eine behaltene Wohnung kann Folgen für Steuerpflicht, Krankenkasse und Kindergeld haben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 xml:space="preserve"> und </w:t>
      </w:r>
      <w:hyperlink w:anchor="k18">
        <w:r>
          <w:rPr>
            <w:rStyle w:val="ListLabel115"/>
            <w:rFonts w:eastAsia="Cambria" w:cs="Cambria"/>
            <w:b w:val="false"/>
            <w:bCs w:val="false"/>
            <w:i w:val="false"/>
            <w:iCs w:val="false"/>
            <w:sz w:val="22"/>
            <w:szCs w:val="22"/>
          </w:rPr>
          <w:t>18</w:t>
        </w:r>
      </w:hyperlink>
      <w:r>
        <w:rPr>
          <w:rFonts w:eastAsia="Cambria" w:cs="Cambria"/>
          <w:b w:val="false"/>
          <w:bCs w:val="false"/>
          <w:i w:val="false"/>
          <w:iCs w:val="false"/>
          <w:sz w:val="22"/>
          <w:szCs w:val="22"/>
        </w:rPr>
        <w:t>). Entscheide das vor dem Umzug, nicht danach.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Bleibe nicht „pro forma“ bei Eltern oder Freunden gemeldet, wenn du dort nicht wohnst. Wer eine Scheinadresse bereitstellt, riskiert bis zu 50.000 € Bußgeld (§ 19 Abs. 6, § 54 BMG), und für dich kann die Anmeldung als Wohnsitz gewertet werden, mit steuerlichen Folgen.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Für Männer bis 45:</w:t>
      </w:r>
      <w:r>
        <w:rPr>
          <w:rFonts w:eastAsia="Cambria" w:cs="Cambria"/>
          <w:b w:val="false"/>
          <w:bCs w:val="false"/>
          <w:i w:val="false"/>
          <w:iCs w:val="false"/>
          <w:sz w:val="22"/>
          <w:szCs w:val="22"/>
        </w:rPr>
        <w:t xml:space="preserve"> Nach § 3 Abs. 2 Wehrpflichtgesetz brauchen Männer ab 17 Jahren grundsätzlich die Genehmigung des Karrierecenters der Bundeswehr für Auslandsaufenthalte von mehr als drei Monaten; die Wehrpflicht endet mit Ablauf des Jahres, in dem sie 45 werden. Das Verteidigungsministerium hat am 10. April 2026 verfügt, dass solche Anträge nicht gestellt werden müssen, solange der Wehrdienst freiwillig bleibt. Prüfe kurz vor dem Abflug, ob die Ausnahme noch gilt.</w:t>
      </w:r>
    </w:p>
    <w:p>
      <w:pPr>
        <w:pStyle w:val="Heading3"/>
        <w:keepNext w:val="true"/>
        <w:spacing w:before="280" w:after="100"/>
        <w:jc w:val="center"/>
        <w:rPr/>
      </w:pPr>
      <w:r>
        <w:rPr>
          <w:rFonts w:eastAsia="Amazon Ember" w:cs="Amazon Ember" w:ascii="Amazon Ember" w:hAnsi="Amazon Ember"/>
          <w:b/>
          <w:bCs/>
          <w:color w:val="0000FF"/>
          <w:sz w:val="36"/>
          <w:szCs w:val="36"/>
        </w:rPr>
        <w:t>Wohnung: Kündigung, Kaution, Übergabe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Als Mieter kündigst du mit drei Monaten Frist: Die Kündigung muss spätestens am dritten Werktag eines Monats beim Vermieter eingehen, dann endet der Vertrag zum Ablauf des übernächsten Monats (§ 573c BGB). Zugang bis zum dritten Werktag im Juni beendet ihn also am 31. August; ein Tag später bedeutet 30. September, eine volle zusätzliche Monatsmiete. Abweichende Klauseln zulasten des Mieters sind unwirksam. Prüfe aber, ob dein Vertrag befristet ist oder die Kündigung zeitweise ausschließt.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Entscheidend ist der Zugang, nicht das Absenden. Die Kündigung braucht Schriftform mit eigenhändiger Unterschrift aller Mieter; eine E-Mail genügt nicht. Lass sie per Einwurf-Einschreiben oder durch einen Boten zustellen, der den Einwurf bezeugen kann. Ob ein Samstag als Werktag zählt, wird meist bejaht, ist aber nicht immer geklärt; peile deshalb den ersten Werktag des Monats als Zugangstermin an.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Kaution darf höchstens drei Monatskaltmieten betragen (§ 551 BGB). Zurück bekommst du sie nach einer angemessenen Prüffrist, in der Rechtsprechung meist drei bis sechs Monate, und nach der Nebenkostenabrechnung. Nenne dem Vermieter schriftlich ein deutsches Konto für die Rückzahlung. Bei der Übergabe hältst du in einem Protokoll Zustand, Zählerstände und Schlüsselzahl fest, machst Fotos und lässt beide Seiten unterschreiben. Welche Schönheitsreparaturen fällig sind, steht im Vertrag; frage im Zweifel den Mieterverein. Kannst du den Termin nicht selbst wahrnehmen, bevollmächtige eine Person schriftlich. Eine kurze englische Referenz des Vermieters hilft bei der Wohnungssuche in den USA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Bringe einen zuverlässigen Nachmieter mit und bitte um einen schriftlichen Aufhebungsvertrag zum Übergabetag. Einen Anspruch darauf hast du nicht, doch viele Vermieter gehen darauf ein, wenn ihnen Leerstand erspart bleibt. Jeder Monat Doppelmiete kostet dich eine volle Monatsmiete.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Arbeitsvertrag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Als Arbeitnehmer kündigst du gesetzlich mit vier Wochen zum 15. oder zum Monatsende, in der Probezeit (höchstens sechs Monate) mit zwei Wochen (§ 622 BGB). Verträge und Tarifverträge dürfen längere Fristen vorsehen, für dich aber keine längeren als für den Arbeitgeber. Kündigung und Aufhebungsvertrag gelten nur schriftlich mit eigenhändiger Unterschrift; eine E-Mail ist unwirksam (§ 623 BGB).</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Liegt das Vertragsende hinter dem Abflugtermin, hilft ein Aufhebungsvertrag: Er erlaubt ein früheres Ende, braucht aber die Zustimmung des Arbeitgebers. Verhandle ihn mit Blick auf den Visumstermin. Bitte außerdem um ein qualifiziertes Arbeitszeugnis, wenn möglich auch auf Englisch; US-Arbeitgeber fragen später nach Referenzen. Resturlaub und betriebliche Altersvorsorge klärst du mit der Personalabteilung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 Wirst du innerhalb deines Konzerns versetzt (etwa mit L-1,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 muss der deutsche Vertrag nicht enden; das verändert aber Sozialversicherung und Steuer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 xml:space="preserve"> und </w:t>
      </w:r>
      <w:hyperlink w:anchor="k18">
        <w:r>
          <w:rPr>
            <w:rStyle w:val="ListLabel115"/>
            <w:rFonts w:eastAsia="Cambria" w:cs="Cambria"/>
            <w:b w:val="false"/>
            <w:bCs w:val="false"/>
            <w:i w:val="false"/>
            <w:iCs w:val="false"/>
            <w:sz w:val="22"/>
            <w:szCs w:val="22"/>
          </w:rPr>
          <w:t>18</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Handy, Internet, Energie, Rundfunkbeitrag und Kirche</w:t>
      </w:r>
    </w:p>
    <w:p>
      <w:pPr>
        <w:pStyle w:val="Normal"/>
        <w:keepNext w:val="false"/>
        <w:keepLines w:val="false"/>
        <w:spacing w:lineRule="exact" w:line="288" w:before="0" w:after="140"/>
        <w:jc w:val="left"/>
        <w:rPr/>
      </w:pPr>
      <w:r>
        <w:rPr>
          <w:rFonts w:eastAsia="Cambria" w:cs="Cambria"/>
          <w:b/>
          <w:bCs/>
          <w:i w:val="false"/>
          <w:iCs w:val="false"/>
          <w:sz w:val="22"/>
          <w:szCs w:val="22"/>
        </w:rPr>
        <w:t>Handy und Internet:</w:t>
      </w:r>
      <w:r>
        <w:rPr>
          <w:rFonts w:eastAsia="Cambria" w:cs="Cambria"/>
          <w:b w:val="false"/>
          <w:bCs w:val="false"/>
          <w:i w:val="false"/>
          <w:iCs w:val="false"/>
          <w:sz w:val="22"/>
          <w:szCs w:val="22"/>
        </w:rPr>
        <w:t xml:space="preserve"> Nach der Mindestlaufzeit kannst du mit einem Monat kündigen. Steckst du noch in der Laufzeit, hilft § 60 TKG: Der Anbieter muss die Leistung am neuen Wohnort erbringen, soweit er sie dort anbietet, sonst darfst du mit einem Monat kündigen. Der Wortlaut nennt kein Inland; ob Anbieter ihn auf einen Umzug in die USA anwenden, ist nicht belegt. Schreibe früh, füge Abmeldebescheinigung und Nachweis der neuen Stelle bei und rechne mit Kulanz statt Anspruch. Restraten für Geräte bleiben fällig.</w:t>
      </w:r>
    </w:p>
    <w:p>
      <w:pPr>
        <w:pStyle w:val="Normal"/>
        <w:keepNext w:val="false"/>
        <w:keepLines w:val="false"/>
        <w:spacing w:lineRule="exact" w:line="288" w:before="0" w:after="140"/>
        <w:jc w:val="left"/>
        <w:rPr/>
      </w:pPr>
      <w:r>
        <w:rPr>
          <w:rFonts w:eastAsia="Cambria" w:cs="Cambria"/>
          <w:b/>
          <w:bCs/>
          <w:i w:val="false"/>
          <w:iCs w:val="false"/>
          <w:sz w:val="22"/>
          <w:szCs w:val="22"/>
        </w:rPr>
        <w:t>Strom und Gas:</w:t>
      </w:r>
      <w:r>
        <w:rPr>
          <w:rFonts w:eastAsia="Cambria" w:cs="Cambria"/>
          <w:b w:val="false"/>
          <w:bCs w:val="false"/>
          <w:i w:val="false"/>
          <w:iCs w:val="false"/>
          <w:sz w:val="22"/>
          <w:szCs w:val="22"/>
        </w:rPr>
        <w:t xml:space="preserve"> Lies am Auszugstag die Zähler ab, fotografiere sie und melde die Stände dem Versorger. Ob der Sonderkündigungsgrund bei Wohnsitzwechsel für einen Umzug ins Ausland gilt, ist wie beim Handy offen.</w:t>
      </w:r>
    </w:p>
    <w:p>
      <w:pPr>
        <w:pStyle w:val="Normal"/>
        <w:keepNext w:val="false"/>
        <w:keepLines w:val="false"/>
        <w:spacing w:lineRule="exact" w:line="288" w:before="0" w:after="140"/>
        <w:jc w:val="left"/>
        <w:rPr/>
      </w:pPr>
      <w:r>
        <w:rPr>
          <w:rFonts w:eastAsia="Cambria" w:cs="Cambria"/>
          <w:b/>
          <w:bCs/>
          <w:i w:val="false"/>
          <w:iCs w:val="false"/>
          <w:sz w:val="22"/>
          <w:szCs w:val="22"/>
        </w:rPr>
        <w:t>Rundfunkbeitrag:</w:t>
      </w:r>
      <w:r>
        <w:rPr>
          <w:rFonts w:eastAsia="Cambria" w:cs="Cambria"/>
          <w:b w:val="false"/>
          <w:bCs w:val="false"/>
          <w:i w:val="false"/>
          <w:iCs w:val="false"/>
          <w:sz w:val="22"/>
          <w:szCs w:val="22"/>
        </w:rPr>
        <w:t xml:space="preserve"> 18,36 € im Monat je Wohnung (Stand 20. September 2026), rund 220 € im Jahr. Er endet nicht durch Kündigung, sondern durch Abmeldung der Wohnung im Online-Formular „Abmelden“ auf rundfunkbeitrag.de. Du brauchst die neunstellige Beitragsnummer und kannst Nachweise als Datei anhängen. Welche Nachweise verlangt werden und wie weit rückwirkend abgemeldet wird, nennt die Seite nicht. Melde dich deshalb sofort nach dem Auszug ab.</w:t>
      </w:r>
    </w:p>
    <w:p>
      <w:pPr>
        <w:pStyle w:val="Normal"/>
        <w:keepNext w:val="false"/>
        <w:keepLines w:val="false"/>
        <w:spacing w:lineRule="exact" w:line="288" w:before="0" w:after="140"/>
        <w:jc w:val="left"/>
        <w:rPr/>
      </w:pPr>
      <w:r>
        <w:rPr>
          <w:rFonts w:eastAsia="Cambria" w:cs="Cambria"/>
          <w:b/>
          <w:bCs/>
          <w:i w:val="false"/>
          <w:iCs w:val="false"/>
          <w:sz w:val="22"/>
          <w:szCs w:val="22"/>
        </w:rPr>
        <w:t>Kirche:</w:t>
      </w:r>
      <w:r>
        <w:rPr>
          <w:rFonts w:eastAsia="Cambria" w:cs="Cambria"/>
          <w:b w:val="false"/>
          <w:bCs w:val="false"/>
          <w:i w:val="false"/>
          <w:iCs w:val="false"/>
          <w:sz w:val="22"/>
          <w:szCs w:val="22"/>
        </w:rPr>
        <w:t xml:space="preserve"> Die Kirchensteuerpflicht knüpft nach den Landeskirchensteuergesetzen an Wohnsitz oder gewöhnlichen Aufenthalt im Inland und endet deshalb in der Regel mit dem Wegzug. Die Mitgliedschaft bleibt bestehen, die Pflicht lebt bei Rückkehr wieder auf. Der Austritt wird je nach Bundesland beim Amtsgericht, Standesamt oder Bürgeramt erklärt und kostet zwischen nichts und rund 75 €, häufig 30 €. Ob das aus dem Ausland geht, ist nicht einheitlich geklärt; wer austreten will, erledigt es vor dem Abflug. Bedenke, dass die Mitgliedschaft bei kirchlicher Trauung, Patenschaft oder Beerdigung eine Rolle spielt.</w:t>
      </w:r>
    </w:p>
    <w:p>
      <w:pPr>
        <w:pStyle w:val="Heading3"/>
        <w:keepNext w:val="true"/>
        <w:spacing w:before="280" w:after="100"/>
        <w:jc w:val="center"/>
        <w:rPr/>
      </w:pPr>
      <w:r>
        <w:rPr>
          <w:rFonts w:eastAsia="Amazon Ember" w:cs="Amazon Ember" w:ascii="Amazon Ember" w:hAnsi="Amazon Ember"/>
          <w:b/>
          <w:bCs/>
          <w:color w:val="0000FF"/>
          <w:sz w:val="36"/>
          <w:szCs w:val="36"/>
        </w:rPr>
        <w:t>Versicherungen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meisten deutschen Sachversicherungen sind an deinen Wohnsitz gebunden. Fällt das versicherte Interesse weg, etwa weil die Wohnung geräumt ist, steht dem Versicherer die Prämie bis zu dem Zeitpunkt zu, zu dem er davon erfährt (§ 80 Abs. 2 VVG). Melde den Wegfall also sofort schriftlich und lass dir das Ende bestätigen. Die Einzelheiten regeln die </w:t>
      </w:r>
      <w:r>
        <w:rPr>
          <w:rFonts w:eastAsia="Cambria" w:cs="Cambria"/>
          <w:b w:val="false"/>
          <w:bCs w:val="false"/>
          <w:i/>
          <w:iCs/>
          <w:sz w:val="22"/>
          <w:szCs w:val="22"/>
        </w:rPr>
        <w:t>Allgemeinen Versicherungsbedingungen</w:t>
      </w:r>
      <w:r>
        <w:rPr>
          <w:rFonts w:eastAsia="Cambria" w:cs="Cambria"/>
          <w:b w:val="false"/>
          <w:bCs w:val="false"/>
          <w:i w:val="false"/>
          <w:iCs w:val="false"/>
          <w:sz w:val="22"/>
          <w:szCs w:val="22"/>
        </w:rPr>
        <w:t xml:space="preserve"> (AVB) jedes Vertrags; die Übersicht ist Praxiswissen, keine Regel.</w:t>
      </w:r>
    </w:p>
    <w:tbl>
      <w:tblPr>
        <w:tblW w:w="6480" w:type="dxa"/>
        <w:jc w:val="left"/>
        <w:tblInd w:w="0" w:type="dxa"/>
        <w:tblLayout w:type="fixed"/>
        <w:tblCellMar>
          <w:top w:w="50" w:type="dxa"/>
          <w:left w:w="80" w:type="dxa"/>
          <w:bottom w:w="50" w:type="dxa"/>
          <w:right w:w="80" w:type="dxa"/>
        </w:tblCellMar>
      </w:tblPr>
      <w:tblGrid>
        <w:gridCol w:w="1334"/>
        <w:gridCol w:w="1948"/>
        <w:gridCol w:w="3198"/>
      </w:tblGrid>
      <w:tr>
        <w:trPr>
          <w:tblHeader w:val="true"/>
          <w:cantSplit w:val="true"/>
        </w:trPr>
        <w:tc>
          <w:tcPr>
            <w:tcW w:w="133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Versicherung</w:t>
            </w:r>
          </w:p>
        </w:tc>
        <w:tc>
          <w:tcPr>
            <w:tcW w:w="194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Meist sinnvoll</w:t>
            </w:r>
          </w:p>
        </w:tc>
        <w:tc>
          <w:tcPr>
            <w:tcW w:w="319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Das prüfst du</w:t>
            </w:r>
          </w:p>
        </w:tc>
      </w:tr>
      <w:tr>
        <w:trPr>
          <w:cantSplit w:val="true"/>
        </w:trPr>
        <w:tc>
          <w:tcPr>
            <w:tcW w:w="13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Privathaftpflicht</w:t>
            </w:r>
          </w:p>
        </w:tc>
        <w:tc>
          <w:tcPr>
            <w:tcW w:w="19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zum Übergabetag kündigen</w:t>
            </w:r>
          </w:p>
        </w:tc>
        <w:tc>
          <w:tcPr>
            <w:tcW w:w="31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Auslandsschutz ist meist zeitlich begrenzt; in den USA neu abschließen (Kapitel </w:t>
            </w:r>
            <w:hyperlink w:anchor="k25">
              <w:r>
                <w:rPr>
                  <w:rStyle w:val="ListLabel112"/>
                  <w:rFonts w:eastAsia="Cambria" w:cs="Cambria"/>
                  <w:b w:val="false"/>
                  <w:bCs w:val="false"/>
                  <w:i w:val="false"/>
                  <w:iCs w:val="false"/>
                  <w:sz w:val="18"/>
                  <w:szCs w:val="18"/>
                </w:rPr>
                <w:t>25</w:t>
              </w:r>
            </w:hyperlink>
            <w:r>
              <w:rPr>
                <w:rFonts w:eastAsia="Cambria" w:cs="Cambria"/>
                <w:b w:val="false"/>
                <w:bCs w:val="false"/>
                <w:i w:val="false"/>
                <w:iCs w:val="false"/>
                <w:sz w:val="18"/>
                <w:szCs w:val="18"/>
              </w:rPr>
              <w:t>)</w:t>
            </w:r>
          </w:p>
        </w:tc>
      </w:tr>
      <w:tr>
        <w:trPr>
          <w:cantSplit w:val="true"/>
        </w:trPr>
        <w:tc>
          <w:tcPr>
            <w:tcW w:w="13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Hausrat</w:t>
            </w:r>
          </w:p>
        </w:tc>
        <w:tc>
          <w:tcPr>
            <w:tcW w:w="19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kündigen, sobald die Wohnung geräumt ist</w:t>
            </w:r>
          </w:p>
        </w:tc>
        <w:tc>
          <w:tcPr>
            <w:tcW w:w="31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Umzugsgut auf dem Transport gesondert versichern (Kapitel </w:t>
            </w:r>
            <w:hyperlink w:anchor="k20">
              <w:r>
                <w:rPr>
                  <w:rStyle w:val="ListLabel112"/>
                  <w:rFonts w:eastAsia="Cambria" w:cs="Cambria"/>
                  <w:b w:val="false"/>
                  <w:bCs w:val="false"/>
                  <w:i w:val="false"/>
                  <w:iCs w:val="false"/>
                  <w:sz w:val="18"/>
                  <w:szCs w:val="18"/>
                </w:rPr>
                <w:t>20</w:t>
              </w:r>
            </w:hyperlink>
            <w:r>
              <w:rPr>
                <w:rFonts w:eastAsia="Cambria" w:cs="Cambria"/>
                <w:b w:val="false"/>
                <w:bCs w:val="false"/>
                <w:i w:val="false"/>
                <w:iCs w:val="false"/>
                <w:sz w:val="18"/>
                <w:szCs w:val="18"/>
              </w:rPr>
              <w:t>)</w:t>
            </w:r>
          </w:p>
        </w:tc>
      </w:tr>
      <w:tr>
        <w:trPr>
          <w:cantSplit w:val="true"/>
        </w:trPr>
        <w:tc>
          <w:tcPr>
            <w:tcW w:w="13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Rechtsschutz</w:t>
            </w:r>
          </w:p>
        </w:tc>
        <w:tc>
          <w:tcPr>
            <w:tcW w:w="19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meist kündigen</w:t>
            </w:r>
          </w:p>
        </w:tc>
        <w:tc>
          <w:tcPr>
            <w:tcW w:w="31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 deutschen Wohnsitz gebunden; laufende Fälle vorher klären</w:t>
            </w:r>
          </w:p>
        </w:tc>
      </w:tr>
      <w:tr>
        <w:trPr>
          <w:cantSplit w:val="true"/>
        </w:trPr>
        <w:tc>
          <w:tcPr>
            <w:tcW w:w="13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Berufsunfähigkeit</w:t>
            </w:r>
          </w:p>
        </w:tc>
        <w:tc>
          <w:tcPr>
            <w:tcW w:w="19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Fortführen prüfen</w:t>
            </w:r>
          </w:p>
        </w:tc>
        <w:tc>
          <w:tcPr>
            <w:tcW w:w="31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Wohnsitz-, Auslands- und Meldeklauseln; Leistungsfall im Ausland</w:t>
            </w:r>
          </w:p>
        </w:tc>
      </w:tr>
      <w:tr>
        <w:trPr>
          <w:cantSplit w:val="true"/>
        </w:trPr>
        <w:tc>
          <w:tcPr>
            <w:tcW w:w="13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Risikoleben, Lebensversicherung</w:t>
            </w:r>
          </w:p>
        </w:tc>
        <w:tc>
          <w:tcPr>
            <w:tcW w:w="19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Fortführen prüfen</w:t>
            </w:r>
          </w:p>
        </w:tc>
        <w:tc>
          <w:tcPr>
            <w:tcW w:w="31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Adressmeldepflicht; ein Neuabschluss später ist teurer, weil du dann älter bist</w:t>
            </w:r>
          </w:p>
        </w:tc>
      </w:tr>
      <w:tr>
        <w:trPr>
          <w:cantSplit w:val="true"/>
        </w:trPr>
        <w:tc>
          <w:tcPr>
            <w:tcW w:w="13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Kfz</w:t>
            </w:r>
          </w:p>
        </w:tc>
        <w:tc>
          <w:tcPr>
            <w:tcW w:w="19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 Verkauf oder Abmeldung beenden</w:t>
            </w:r>
          </w:p>
        </w:tc>
        <w:tc>
          <w:tcPr>
            <w:tcW w:w="31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Schadenfreiheitsbescheinigung auf Englisch anfordern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Schadenfreiheitsbescheinigung (SF-Klasse und Schadenverlauf) stellt der Versicherer auf Anfrage aus. Ob ein US-Versicherer sie anerkennt, ist uneinheitlich; die deutsche SF-Klasse zählt in den USA meist nicht (Kapitel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 Kranken-, Pflege- und Auslandsreisekrankenversicherung sind ein Sonderfall (Kapitel </w:t>
      </w:r>
      <w:hyperlink w:anchor="k18">
        <w:r>
          <w:rPr>
            <w:rStyle w:val="ListLabel115"/>
            <w:rFonts w:eastAsia="Cambria" w:cs="Cambria"/>
            <w:b w:val="false"/>
            <w:bCs w:val="false"/>
            <w:i w:val="false"/>
            <w:iCs w:val="false"/>
            <w:sz w:val="22"/>
            <w:szCs w:val="22"/>
          </w:rPr>
          <w:t>18</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Kündige Haftpflicht und Hausrat nicht vor der Wohnungsübergabe. Schäden an der Mietsache, die erst bei der Übergabe auffallen, sind in vielen Tarifen über die Privathaftpflicht gedeckt; prüfe deinen Tarif. Beende beide Verträge zum Übergabetag, nicht drei Wochen davor.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Bankkonten und Kreditkarten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Behalte dein deutsches Girokonto. Deutsche Konsulate identifizieren seit den Änderungen am Geldwäschegesetz niemanden mehr für Kontoeröffnungen, Kredite über 15.000 € oder Kreditkarten; ein neues Konto aus den USA zu eröffnen, ist deshalb schwer. Du brauchst das Konto für die Kautionsrückzahlung, Erstattungen, mögliche Rentenzahlungen und als Rückfallebene in den ersten Wochen. Melde der Bank den Wegzug und frage schriftlich, welche Leistungen du weiter nutzen kannst: Manche Banken schränken Konten oder Depots bei US-Wohnsitz ein oder kündigen sie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Kläre außerdem, wie du Überweisungen freigibst. Hängt das Verfahren an einer SMS auf deine deutsche Nummer, funktioniert es im Ausland nur mit Roaming oder gar nicht. Stelle vor dem Abflug auf ein App-Verfahren um (pushTAN, photoTAN oder Ähnliches, je nach Bank) und teste es. Aktivierungsbriefe und Ersatzkarten kommen per Post nach Deutschland; deine Vertrauensperson muss sie erhalten können. Behalte auch eine deutsche Kreditkarte für die Anfangszeit. Deine US-Kreditwürdigkeit baust du ohnehin neu auf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 die Schufa hilft dabei nicht, ihr guter Ruf endet am Gate.</w:t>
      </w:r>
    </w:p>
    <w:p>
      <w:pPr>
        <w:pStyle w:val="Heading3"/>
        <w:keepNext w:val="true"/>
        <w:spacing w:before="280" w:after="100"/>
        <w:jc w:val="center"/>
        <w:rPr/>
      </w:pPr>
      <w:r>
        <w:rPr>
          <w:rFonts w:eastAsia="Amazon Ember" w:cs="Amazon Ember" w:ascii="Amazon Ember" w:hAnsi="Amazon Ember"/>
          <w:b/>
          <w:bCs/>
          <w:color w:val="0000FF"/>
          <w:sz w:val="36"/>
          <w:szCs w:val="36"/>
        </w:rPr>
        <w:t>Auto verkaufen, Post umleiten</w:t>
      </w:r>
    </w:p>
    <w:p>
      <w:pPr>
        <w:pStyle w:val="Normal"/>
        <w:keepNext w:val="false"/>
        <w:keepLines w:val="false"/>
        <w:spacing w:lineRule="exact" w:line="288" w:before="0" w:after="140"/>
        <w:jc w:val="left"/>
        <w:rPr/>
      </w:pPr>
      <w:r>
        <w:rPr>
          <w:rFonts w:eastAsia="Cambria" w:cs="Cambria"/>
          <w:b/>
          <w:bCs/>
          <w:i w:val="false"/>
          <w:iCs w:val="false"/>
          <w:sz w:val="22"/>
          <w:szCs w:val="22"/>
        </w:rPr>
        <w:t>Auto:</w:t>
      </w:r>
      <w:r>
        <w:rPr>
          <w:rFonts w:eastAsia="Cambria" w:cs="Cambria"/>
          <w:b w:val="false"/>
          <w:bCs w:val="false"/>
          <w:i w:val="false"/>
          <w:iCs w:val="false"/>
          <w:sz w:val="22"/>
          <w:szCs w:val="22"/>
        </w:rPr>
        <w:t xml:space="preserve"> Verkaufe das Auto in Deutschland, so spät, wie dein Alltag es erlaubt; eine Mitnahme ist aufwendig und selten sinnvoll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xml:space="preserve"> und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 Halte den Kaufvertrag schriftlich fest (Datum, Kilometerstand, Preis) und übergib Schlüssel und Papiere erst nach Zahlungseingang. Melde den Verkauf der Zulassungsstelle und dem Kfz-Versicherer, damit Steuer und Beiträge enden.</w:t>
      </w:r>
    </w:p>
    <w:p>
      <w:pPr>
        <w:pStyle w:val="Normal"/>
        <w:keepNext w:val="false"/>
        <w:keepLines w:val="false"/>
        <w:spacing w:lineRule="exact" w:line="288" w:before="0" w:after="140"/>
        <w:jc w:val="left"/>
        <w:rPr/>
      </w:pPr>
      <w:r>
        <w:rPr>
          <w:rFonts w:eastAsia="Cambria" w:cs="Cambria"/>
          <w:b/>
          <w:bCs/>
          <w:i w:val="false"/>
          <w:iCs w:val="false"/>
          <w:sz w:val="22"/>
          <w:szCs w:val="22"/>
        </w:rPr>
        <w:t>Post:</w:t>
      </w:r>
      <w:r>
        <w:rPr>
          <w:rFonts w:eastAsia="Cambria" w:cs="Cambria"/>
          <w:b w:val="false"/>
          <w:bCs w:val="false"/>
          <w:i w:val="false"/>
          <w:iCs w:val="false"/>
          <w:sz w:val="22"/>
          <w:szCs w:val="22"/>
        </w:rPr>
        <w:t xml:space="preserve"> Der Nachsendeauftrag der Deutschen Post läuft sechs Monate und kostet im Inland 31,90 € online oder 34,90 € in der Poststation, bei fünf Werktagen Vorlauf. Ins Ausland ausgeschlossen sind unter anderem Einschreiben, Dialogpost, Warensendungen sowie DHL-Pakete, Kleinpakete und Päckchen; Preis und Laufzeit für Auslandsziele erfragst du bei der Post. Ändere deshalb deine Adresse bei allen Absendern, stelle auf elektronische Post um, wo es geht, und nutze eine Postadresse bei einer Vertrauensperson. Behördenfristen laufen auch, wenn du den Bescheid erst spät liest.</w:t>
      </w:r>
    </w:p>
    <w:p>
      <w:pPr>
        <w:pStyle w:val="Heading3"/>
        <w:keepNext w:val="true"/>
        <w:spacing w:before="280" w:after="100"/>
        <w:jc w:val="center"/>
        <w:rPr/>
      </w:pPr>
      <w:r>
        <w:rPr>
          <w:rFonts w:eastAsia="Amazon Ember" w:cs="Amazon Ember" w:ascii="Amazon Ember" w:hAnsi="Amazon Ember"/>
          <w:b/>
          <w:bCs/>
          <w:color w:val="0000FF"/>
          <w:sz w:val="36"/>
          <w:szCs w:val="36"/>
        </w:rPr>
        <w:t>Vollmachten und Vorsorge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deutschen Konsulate in den USA beurkunden keine Generalvollmachten, Gesundheitsvollmachten, Patientenverfügungen und Testamente (laut germany.info, Seitenstand 2023); sie beglaubigen nur Unterschriften, für rund 60–85 €. Die Dokumente entstehen deshalb vor dem Abflug beim Notar:</w:t>
      </w:r>
    </w:p>
    <w:p>
      <w:pPr>
        <w:pStyle w:val="ListParagraph"/>
        <w:numPr>
          <w:ilvl w:val="0"/>
          <w:numId w:val="1"/>
        </w:numPr>
        <w:spacing w:lineRule="exact" w:line="288" w:before="0" w:after="60"/>
        <w:rPr/>
      </w:pPr>
      <w:r>
        <w:rPr>
          <w:rFonts w:eastAsia="Cambria" w:cs="Cambria"/>
          <w:b/>
          <w:bCs/>
          <w:i w:val="false"/>
          <w:iCs w:val="false"/>
          <w:sz w:val="22"/>
          <w:szCs w:val="22"/>
        </w:rPr>
        <w:t>Vorsorgevollmacht</w:t>
      </w:r>
      <w:r>
        <w:rPr>
          <w:rFonts w:eastAsia="Cambria" w:cs="Cambria"/>
          <w:b w:val="false"/>
          <w:bCs w:val="false"/>
          <w:i w:val="false"/>
          <w:iCs w:val="false"/>
          <w:sz w:val="22"/>
          <w:szCs w:val="22"/>
        </w:rPr>
        <w:t xml:space="preserve"> für Finanzen, Verträge und Behörden. Manche Banken verlangen ihr eigenes Formular; frage nach, ob die notarielle Vollmacht genügt.</w:t>
      </w:r>
    </w:p>
    <w:p>
      <w:pPr>
        <w:pStyle w:val="ListParagraph"/>
        <w:numPr>
          <w:ilvl w:val="0"/>
          <w:numId w:val="1"/>
        </w:numPr>
        <w:spacing w:lineRule="exact" w:line="288" w:before="0" w:after="60"/>
        <w:rPr/>
      </w:pPr>
      <w:r>
        <w:rPr>
          <w:rFonts w:eastAsia="Cambria" w:cs="Cambria"/>
          <w:b/>
          <w:bCs/>
          <w:i w:val="false"/>
          <w:iCs w:val="false"/>
          <w:sz w:val="22"/>
          <w:szCs w:val="22"/>
        </w:rPr>
        <w:t>Patientenverfügung</w:t>
      </w:r>
      <w:r>
        <w:rPr>
          <w:rFonts w:eastAsia="Cambria" w:cs="Cambria"/>
          <w:b w:val="false"/>
          <w:bCs w:val="false"/>
          <w:i w:val="false"/>
          <w:iCs w:val="false"/>
          <w:sz w:val="22"/>
          <w:szCs w:val="22"/>
        </w:rPr>
        <w:t xml:space="preserve"> und Gesundheitsvollmacht. Die Patientenverfügung braucht Schriftform und ist jederzeit formlos widerrufbar (§ 1827 BGB).</w:t>
      </w:r>
    </w:p>
    <w:p>
      <w:pPr>
        <w:pStyle w:val="ListParagraph"/>
        <w:numPr>
          <w:ilvl w:val="0"/>
          <w:numId w:val="1"/>
        </w:numPr>
        <w:spacing w:lineRule="exact" w:line="288" w:before="0" w:after="60"/>
        <w:rPr/>
      </w:pPr>
      <w:r>
        <w:rPr>
          <w:rFonts w:eastAsia="Cambria" w:cs="Cambria"/>
          <w:b/>
          <w:bCs/>
          <w:i w:val="false"/>
          <w:iCs w:val="false"/>
          <w:sz w:val="22"/>
          <w:szCs w:val="22"/>
        </w:rPr>
        <w:t>Betreuungsverfügung</w:t>
      </w:r>
      <w:r>
        <w:rPr>
          <w:rFonts w:eastAsia="Cambria" w:cs="Cambria"/>
          <w:b w:val="false"/>
          <w:bCs w:val="false"/>
          <w:i w:val="false"/>
          <w:iCs w:val="false"/>
          <w:sz w:val="22"/>
          <w:szCs w:val="22"/>
        </w:rPr>
        <w:t xml:space="preserve"> für den Fall, dass ein Gericht eine Betreuung anordnen muss.</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Lass die Dokumente im Zentralen Vorsorgeregister der Bundesnotarkammer eintragen (vorsorgeregister.de; die Gebühr fällt einmalig an). Wähle eine erreichbare Person in Deutschland, die dein volles Vertrauen hat, benenne eine Ersatzperson und zeige beiden, wo die Unterlagen liegen. Ärzte und Banken in den USA erkennen deutsche Vollmachten nicht zwingend an. Die Gegenstücke heißen </w:t>
      </w:r>
      <w:r>
        <w:rPr>
          <w:rFonts w:eastAsia="Cambria" w:cs="Cambria"/>
          <w:b w:val="false"/>
          <w:bCs w:val="false"/>
          <w:i/>
          <w:iCs/>
          <w:sz w:val="22"/>
          <w:szCs w:val="22"/>
        </w:rPr>
        <w:t>Durable Power of Attorney</w:t>
      </w:r>
      <w:r>
        <w:rPr>
          <w:rFonts w:eastAsia="Cambria" w:cs="Cambria"/>
          <w:b w:val="false"/>
          <w:bCs w:val="false"/>
          <w:i w:val="false"/>
          <w:iCs w:val="false"/>
          <w:sz w:val="22"/>
          <w:szCs w:val="22"/>
        </w:rPr>
        <w:t xml:space="preserve"> (Vollmacht, die auch bei Geschäftsunfähigkeit gilt) und </w:t>
      </w:r>
      <w:r>
        <w:rPr>
          <w:rFonts w:eastAsia="Cambria" w:cs="Cambria"/>
          <w:b w:val="false"/>
          <w:bCs w:val="false"/>
          <w:i/>
          <w:iCs/>
          <w:sz w:val="22"/>
          <w:szCs w:val="22"/>
        </w:rPr>
        <w:t>Health Care Proxy</w:t>
      </w:r>
      <w:r>
        <w:rPr>
          <w:rFonts w:eastAsia="Cambria" w:cs="Cambria"/>
          <w:b w:val="false"/>
          <w:bCs w:val="false"/>
          <w:i w:val="false"/>
          <w:iCs w:val="false"/>
          <w:sz w:val="22"/>
          <w:szCs w:val="22"/>
        </w:rPr>
        <w:t xml:space="preserve"> oder </w:t>
      </w:r>
      <w:r>
        <w:rPr>
          <w:rFonts w:eastAsia="Cambria" w:cs="Cambria"/>
          <w:b w:val="false"/>
          <w:bCs w:val="false"/>
          <w:i/>
          <w:iCs/>
          <w:sz w:val="22"/>
          <w:szCs w:val="22"/>
        </w:rPr>
        <w:t>Advance Directive</w:t>
      </w:r>
      <w:r>
        <w:rPr>
          <w:rFonts w:eastAsia="Cambria" w:cs="Cambria"/>
          <w:b w:val="false"/>
          <w:bCs w:val="false"/>
          <w:i w:val="false"/>
          <w:iCs w:val="false"/>
          <w:sz w:val="22"/>
          <w:szCs w:val="22"/>
        </w:rPr>
        <w:t xml:space="preserve"> (Gesundheitsvollmacht und Patientenverfügung); Form und Regeln bestimmt jeder Bundesstaat. Errichte sie nach der Ankunft zusätzlich (Kapitel </w:t>
      </w:r>
      <w:hyperlink w:anchor="k39">
        <w:r>
          <w:rPr>
            <w:rStyle w:val="ListLabel115"/>
            <w:rFonts w:eastAsia="Cambria" w:cs="Cambria"/>
            <w:b w:val="false"/>
            <w:bCs w:val="false"/>
            <w:i w:val="false"/>
            <w:iCs w:val="false"/>
            <w:sz w:val="22"/>
            <w:szCs w:val="22"/>
          </w:rPr>
          <w:t>39</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Warte nicht bis zur Ankunft. Aus den USA kannst du beim Konsulat nur Unterschriften beglaubigen lassen, keine Vorsorgedokumente beurkunden. Die Notarkosten richten sich in der Regel nach dem Vermögen; hole vorab ein Angebot ein.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Elefand und Wahlrecht: Kontakt nach Deutschland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Trage dich nach der Ankunft in die Krisenvorsorgeliste der Auslandsvertretungen ein, kurz Elefand. Sie ist freiwillig (seit November 2008) und gehört zu den Dingen, die man einträgt und dann hoffentlich nie braucht; bei Naturkatastrophen oder Unruhen können Botschaft und Generalkonsulate dich damit gezielt informieren. Auslandsdeutsche wählen nur nach Antrag: Du beantragst bei der Gemeinde deines letzten Wohnorts die Eintragung ins Wählerverzeichnis, vor jeder Wahl neu und spätestens bis zum 21. Tag vor dem Wahltag. Bedingung ist unter anderem, dass du nach dem 14. Geburtstag mindestens drei Monate ununterbrochen in Deutschland gewohnt hast und das nicht länger als 25 Jahre zurückliegt.</w:t>
      </w:r>
    </w:p>
    <w:p>
      <w:pPr>
        <w:pStyle w:val="Heading3"/>
        <w:keepNext w:val="true"/>
        <w:spacing w:before="280" w:after="100"/>
        <w:jc w:val="center"/>
        <w:rPr/>
      </w:pPr>
      <w:r>
        <w:rPr>
          <w:rFonts w:eastAsia="Amazon Ember" w:cs="Amazon Ember" w:ascii="Amazon Ember" w:hAnsi="Amazon Ember"/>
          <w:b/>
          <w:bCs/>
          <w:color w:val="0000FF"/>
          <w:sz w:val="36"/>
          <w:szCs w:val="36"/>
        </w:rPr>
        <w:t>Familie: Kindergeld, Elterngeld, Kita, Schule</w:t>
      </w:r>
    </w:p>
    <w:p>
      <w:pPr>
        <w:pStyle w:val="Normal"/>
        <w:keepNext w:val="false"/>
        <w:keepLines w:val="false"/>
        <w:spacing w:lineRule="exact" w:line="288" w:before="0" w:after="140"/>
        <w:jc w:val="left"/>
        <w:rPr/>
      </w:pPr>
      <w:r>
        <w:rPr>
          <w:rFonts w:eastAsia="Cambria" w:cs="Cambria"/>
          <w:b/>
          <w:bCs/>
          <w:i w:val="false"/>
          <w:iCs w:val="false"/>
          <w:sz w:val="22"/>
          <w:szCs w:val="22"/>
        </w:rPr>
        <w:t>Kindergeld:</w:t>
      </w:r>
      <w:r>
        <w:rPr>
          <w:rFonts w:eastAsia="Cambria" w:cs="Cambria"/>
          <w:b w:val="false"/>
          <w:bCs w:val="false"/>
          <w:i w:val="false"/>
          <w:iCs w:val="false"/>
          <w:sz w:val="22"/>
          <w:szCs w:val="22"/>
        </w:rPr>
        <w:t xml:space="preserve"> Anspruch hat, wer im Inland wohnt oder sich gewöhnlich aufhält (§ 62 EStG) – nicht, wer nur die deutsche Staatsangehörigkeit behält, ein verbreiteter Irrtum. Ziehst du mit den Kindern in die USA, endet der Anspruch in der Regel mit dem Wegzug. Teile das der Familienkasse rechtzeitig mit; zu Unrecht gezahlte Beträge werden zurückgefordert.</w:t>
      </w:r>
    </w:p>
    <w:p>
      <w:pPr>
        <w:pStyle w:val="Normal"/>
        <w:keepNext w:val="false"/>
        <w:keepLines w:val="false"/>
        <w:spacing w:lineRule="exact" w:line="288" w:before="0" w:after="140"/>
        <w:jc w:val="left"/>
        <w:rPr/>
      </w:pPr>
      <w:r>
        <w:rPr>
          <w:rFonts w:eastAsia="Cambria" w:cs="Cambria"/>
          <w:b/>
          <w:bCs/>
          <w:i w:val="false"/>
          <w:iCs w:val="false"/>
          <w:sz w:val="22"/>
          <w:szCs w:val="22"/>
        </w:rPr>
        <w:t>Elterngeld:</w:t>
      </w:r>
      <w:r>
        <w:rPr>
          <w:rFonts w:eastAsia="Cambria" w:cs="Cambria"/>
          <w:b w:val="false"/>
          <w:bCs w:val="false"/>
          <w:i w:val="false"/>
          <w:iCs w:val="false"/>
          <w:sz w:val="22"/>
          <w:szCs w:val="22"/>
        </w:rPr>
        <w:t xml:space="preserve"> Voraussetzung ist ein Wohnsitz oder gewöhnlicher Aufenthalt in Deutschland (§ 1 BEEG). Ausnahmen gelten für vorübergehend Entsandte; wer dauerhaft mit einem US-Arbeitgeber auswandert, fällt in der Regel nicht darunter. Bist du im laufenden Bezug oder erwartest ein Baby, sprich vor dem Umzug mit der Elterngeldstelle.</w:t>
      </w:r>
    </w:p>
    <w:p>
      <w:pPr>
        <w:pStyle w:val="Normal"/>
        <w:keepNext w:val="false"/>
        <w:keepLines w:val="false"/>
        <w:spacing w:lineRule="exact" w:line="288" w:before="0" w:after="140"/>
        <w:jc w:val="left"/>
        <w:rPr/>
      </w:pPr>
      <w:r>
        <w:rPr>
          <w:rFonts w:eastAsia="Cambria" w:cs="Cambria"/>
          <w:b/>
          <w:bCs/>
          <w:i w:val="false"/>
          <w:iCs w:val="false"/>
          <w:sz w:val="22"/>
          <w:szCs w:val="22"/>
        </w:rPr>
        <w:t>Kita und Schule:</w:t>
      </w:r>
      <w:r>
        <w:rPr>
          <w:rFonts w:eastAsia="Cambria" w:cs="Cambria"/>
          <w:b w:val="false"/>
          <w:bCs w:val="false"/>
          <w:i w:val="false"/>
          <w:iCs w:val="false"/>
          <w:sz w:val="22"/>
          <w:szCs w:val="22"/>
        </w:rPr>
        <w:t xml:space="preserve"> Kündigungsfristen für Betreuungsverträge und das Abmeldeverfahren der Schule sind Träger- oder Ländersache; lies den Vertrag und frage die Schule nach einer Abmeldebescheinigung. Nimm Zeugnisse im Original, beglaubigte Kopien und eine englische Übersetzung mit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 xml:space="preserve"> und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Sorgerecht:</w:t>
      </w:r>
      <w:r>
        <w:rPr>
          <w:rFonts w:eastAsia="Cambria" w:cs="Cambria"/>
          <w:b w:val="false"/>
          <w:bCs w:val="false"/>
          <w:i w:val="false"/>
          <w:iCs w:val="false"/>
          <w:sz w:val="22"/>
          <w:szCs w:val="22"/>
        </w:rPr>
        <w:t xml:space="preserve"> Haben getrennt lebende Eltern das gemeinsame Sorgerecht, ist ein Umzug ins Ausland in der Regel nur mit Zustimmung des anderen Elternteils oder einer familiengerichtlichen Entscheidung möglich. Lass dich vorher familienrechtlich beraten.</w:t>
      </w:r>
    </w:p>
    <w:p>
      <w:pPr>
        <w:pStyle w:val="Heading3"/>
        <w:keepNext w:val="true"/>
        <w:spacing w:before="280" w:after="100"/>
        <w:jc w:val="center"/>
        <w:rPr/>
      </w:pPr>
      <w:r>
        <w:rPr>
          <w:rFonts w:eastAsia="Amazon Ember" w:cs="Amazon Ember" w:ascii="Amazon Ember" w:hAnsi="Amazon Ember"/>
          <w:b/>
          <w:bCs/>
          <w:color w:val="0000FF"/>
          <w:sz w:val="36"/>
          <w:szCs w:val="36"/>
        </w:rPr>
        <w:t>Was du in Deutschland unbedingt behalten solltest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sauberer Schnitt klingt aufgeräumt, kostet aber den Rückweg. Diese Dinge behältst du:</w:t>
      </w:r>
    </w:p>
    <w:p>
      <w:pPr>
        <w:pStyle w:val="ListParagraph"/>
        <w:numPr>
          <w:ilvl w:val="0"/>
          <w:numId w:val="1"/>
        </w:numPr>
        <w:spacing w:lineRule="exact" w:line="288" w:before="0" w:after="60"/>
        <w:rPr/>
      </w:pPr>
      <w:r>
        <w:rPr>
          <w:rFonts w:eastAsia="Cambria" w:cs="Cambria"/>
          <w:b/>
          <w:bCs/>
          <w:i w:val="false"/>
          <w:iCs w:val="false"/>
          <w:sz w:val="22"/>
          <w:szCs w:val="22"/>
        </w:rPr>
        <w:t>Ein deutsches Girokonto</w:t>
      </w:r>
      <w:r>
        <w:rPr>
          <w:rFonts w:eastAsia="Cambria" w:cs="Cambria"/>
          <w:b w:val="false"/>
          <w:bCs w:val="false"/>
          <w:i w:val="false"/>
          <w:iCs w:val="false"/>
          <w:sz w:val="22"/>
          <w:szCs w:val="22"/>
        </w:rPr>
        <w:t xml:space="preserve"> samt Kreditkarte, als Ziel für Rückzahlungen und Rückfallebene.</w:t>
      </w:r>
    </w:p>
    <w:p>
      <w:pPr>
        <w:pStyle w:val="ListParagraph"/>
        <w:numPr>
          <w:ilvl w:val="0"/>
          <w:numId w:val="1"/>
        </w:numPr>
        <w:spacing w:lineRule="exact" w:line="288" w:before="0" w:after="60"/>
        <w:rPr/>
      </w:pPr>
      <w:r>
        <w:rPr>
          <w:rFonts w:eastAsia="Cambria" w:cs="Cambria"/>
          <w:b/>
          <w:bCs/>
          <w:i w:val="false"/>
          <w:iCs w:val="false"/>
          <w:sz w:val="22"/>
          <w:szCs w:val="22"/>
        </w:rPr>
        <w:t>Eine Postadresse und eine Vertrauensperson.</w:t>
      </w:r>
      <w:r>
        <w:rPr>
          <w:rFonts w:eastAsia="Cambria" w:cs="Cambria"/>
          <w:b w:val="false"/>
          <w:bCs w:val="false"/>
          <w:i w:val="false"/>
          <w:iCs w:val="false"/>
          <w:sz w:val="22"/>
          <w:szCs w:val="22"/>
        </w:rPr>
        <w:t xml:space="preserve"> Bescheide, Aktivierungsbriefe und Einschreiben kommen weiter nach Deutschland. Behörden können außerdem verlangen, dass du für Post einen Empfangs- oder Zustellungsbevollmächtigten im Inland benennst; das ist oft dieselbe Person oder deine Steuerberatung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Deine Steuer-ID und deine Rentenversicherungsnummer.</w:t>
      </w:r>
      <w:r>
        <w:rPr>
          <w:rFonts w:eastAsia="Cambria" w:cs="Cambria"/>
          <w:b w:val="false"/>
          <w:bCs w:val="false"/>
          <w:i w:val="false"/>
          <w:iCs w:val="false"/>
          <w:sz w:val="22"/>
          <w:szCs w:val="22"/>
        </w:rPr>
        <w:t xml:space="preserve"> Notiere beide und lege sie sicher ab.</w:t>
      </w:r>
    </w:p>
    <w:p>
      <w:pPr>
        <w:pStyle w:val="ListParagraph"/>
        <w:numPr>
          <w:ilvl w:val="0"/>
          <w:numId w:val="1"/>
        </w:numPr>
        <w:spacing w:lineRule="exact" w:line="288" w:before="0" w:after="60"/>
        <w:rPr/>
      </w:pPr>
      <w:r>
        <w:rPr>
          <w:rFonts w:eastAsia="Cambria" w:cs="Cambria"/>
          <w:b/>
          <w:bCs/>
          <w:i w:val="false"/>
          <w:iCs w:val="false"/>
          <w:sz w:val="22"/>
          <w:szCs w:val="22"/>
        </w:rPr>
        <w:t>Den Rückweg in die Krankenversicherung.</w:t>
      </w:r>
      <w:r>
        <w:rPr>
          <w:rFonts w:eastAsia="Cambria" w:cs="Cambria"/>
          <w:b w:val="false"/>
          <w:bCs w:val="false"/>
          <w:i w:val="false"/>
          <w:iCs w:val="false"/>
          <w:sz w:val="22"/>
          <w:szCs w:val="22"/>
        </w:rPr>
        <w:t xml:space="preserve"> Prüfe, ob eine Anwartschaft in der gesetzlichen oder privaten Krankenversicherung ihn offenhält (Kapitel </w:t>
      </w:r>
      <w:hyperlink w:anchor="k18">
        <w:r>
          <w:rPr>
            <w:rStyle w:val="ListLabel115"/>
            <w:rFonts w:eastAsia="Cambria" w:cs="Cambria"/>
            <w:b w:val="false"/>
            <w:bCs w:val="false"/>
            <w:i w:val="false"/>
            <w:iCs w:val="false"/>
            <w:sz w:val="22"/>
            <w:szCs w:val="22"/>
          </w:rPr>
          <w:t>18</w:t>
        </w:r>
      </w:hyperlink>
      <w:r>
        <w:rPr>
          <w:rFonts w:eastAsia="Cambria" w:cs="Cambria"/>
          <w:b w:val="false"/>
          <w:bCs w:val="false"/>
          <w:i w:val="false"/>
          <w:iCs w:val="false"/>
          <w:sz w:val="22"/>
          <w:szCs w:val="22"/>
        </w:rPr>
        <w:t xml:space="preserve"> und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Eine deutsche Telefonnummer oder E-Mail-Adresse</w:t>
      </w:r>
      <w:r>
        <w:rPr>
          <w:rFonts w:eastAsia="Cambria" w:cs="Cambria"/>
          <w:b w:val="false"/>
          <w:bCs w:val="false"/>
          <w:i w:val="false"/>
          <w:iCs w:val="false"/>
          <w:sz w:val="22"/>
          <w:szCs w:val="22"/>
        </w:rPr>
        <w:t xml:space="preserve"> als Verifizierungskanal für Bank und Portale. Ein günstiger Prepaid- oder Monatstarif genügt; prüfe, ob der Anbieter ungenutzte Karten abschaltet.</w:t>
      </w:r>
    </w:p>
    <w:p>
      <w:pPr>
        <w:pStyle w:val="ListParagraph"/>
        <w:numPr>
          <w:ilvl w:val="0"/>
          <w:numId w:val="1"/>
        </w:numPr>
        <w:spacing w:lineRule="exact" w:line="288" w:before="0" w:after="60"/>
        <w:rPr/>
      </w:pPr>
      <w:r>
        <w:rPr>
          <w:rFonts w:eastAsia="Cambria" w:cs="Cambria"/>
          <w:b/>
          <w:bCs/>
          <w:i w:val="false"/>
          <w:iCs w:val="false"/>
          <w:sz w:val="22"/>
          <w:szCs w:val="22"/>
        </w:rPr>
        <w:t>Nachweise:</w:t>
      </w:r>
      <w:r>
        <w:rPr>
          <w:rFonts w:eastAsia="Cambria" w:cs="Cambria"/>
          <w:b w:val="false"/>
          <w:bCs w:val="false"/>
          <w:i w:val="false"/>
          <w:iCs w:val="false"/>
          <w:sz w:val="22"/>
          <w:szCs w:val="22"/>
        </w:rPr>
        <w:t xml:space="preserve"> Renteninformation, Versicherungsverläufe, Schadenfreiheitsbescheinigung, Urkunden und Zeugnisse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Deine deutsche Staatsangehörigkeit.</w:t>
      </w:r>
      <w:r>
        <w:rPr>
          <w:rFonts w:eastAsia="Cambria" w:cs="Cambria"/>
          <w:b w:val="false"/>
          <w:bCs w:val="false"/>
          <w:i w:val="false"/>
          <w:iCs w:val="false"/>
          <w:sz w:val="22"/>
          <w:szCs w:val="22"/>
        </w:rPr>
        <w:t xml:space="preserve"> Sie bleibt beim Umzug unberührt, und die spätere US-Einbürgerung kostet sie seit dem 27. Juni 2024 nicht mehr (Kapitel </w:t>
      </w:r>
      <w:hyperlink w:anchor="k41">
        <w:r>
          <w:rPr>
            <w:rStyle w:val="ListLabel115"/>
            <w:rFonts w:eastAsia="Cambria" w:cs="Cambria"/>
            <w:b w:val="false"/>
            <w:bCs w:val="false"/>
            <w:i w:val="false"/>
            <w:iCs w:val="false"/>
            <w:sz w:val="22"/>
            <w:szCs w:val="22"/>
          </w:rPr>
          <w:t>41</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aus Stuttgart (fiktives Beispiel) will Ende September fliegen, passend zum H-1B-Start am 1. Oktober. Als die Genehmigung vorliegt und der Konsulatstermin feststeht, geht Markus am 28. Juni mit dem Kündigungsschreiben zur Post – er hat es dreimal gegengelesen, bevor er es als Einwurf-Einschreiben zustellen lässt, vor dem dritten Werktag im Juli; das Mietverhältnis endet am 30. September. Die Kaution von 4.050 € (dreimal 1.350 € Kaltmiete) soll auf das Stuttgarter Girokonto zurück, das die Familie behält. Anna kündigt Haftpflicht und Hausrat zum Übergabetag, fordert vom Kfz-Versicherer eine englische Schadenfreiheitsbescheinigung an und meldet der Familienkasse den Wegzug. Annas Bruder erhält eine notarielle Vorsorgevollmacht und wird Postadresse der Familie. Eine Doppelmiete entsteht nicht.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deutsches Konto nimmt Kaution, Erstattungen und Rente auf und erleichtert den Rückweg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Manche Banken schränken Konten bei US-Wohnsitz ein oder verlangen zusätzliche Erklärungen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Eine Anwartschaft hält die Rückkehr in die Krankenversicherung offen (Kapitel </w:t>
            </w:r>
            <w:hyperlink w:anchor="k18">
              <w:r>
                <w:rPr>
                  <w:rStyle w:val="ListLabel112"/>
                  <w:rFonts w:eastAsia="Cambria" w:cs="Cambria"/>
                  <w:b w:val="false"/>
                  <w:bCs w:val="false"/>
                  <w:i w:val="false"/>
                  <w:iCs w:val="false"/>
                  <w:sz w:val="18"/>
                  <w:szCs w:val="18"/>
                </w:rPr>
                <w:t>18</w:t>
              </w:r>
            </w:hyperlink>
            <w:r>
              <w:rPr>
                <w:rFonts w:eastAsia="Cambria" w:cs="Cambria"/>
                <w:b w:val="false"/>
                <w:bCs w:val="false"/>
                <w:i w:val="false"/>
                <w:iCs w:val="false"/>
                <w:sz w:val="18"/>
                <w:szCs w:val="18"/>
              </w:rPr>
              <w: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Kostet Beitrag, ohne dass du Leistungen erhältst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Fortgeführte Berufsunfähigkeits- und Risikolebensversicherung behalten die einmal geprüfte Gesundheitseinstufung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Wohnsitz- und Auslandsklauseln können im Leistungsfall Ärger machen; der Beitrag läuft weiter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Eine bevollmächtigte Vertrauensperson fängt Post und Fristen ab</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Setzt dein volles Vertrauen voraus; Notar und Vorsorgeregister kosten Geld</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Eine behaltene Wohnung ist ein sicherer Hafen bei Rückkehr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Kann Steuer- und Meldepflichten auslösen und kostet laufend Miete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sauberer Schnitt bedeutet wenig Verwaltung und keine laufenden Kosten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 Rückkehr fehlen Konto, Versicherungshistorie und Wohnung (Kapitel </w:t>
            </w:r>
            <w:hyperlink w:anchor="k42">
              <w:r>
                <w:rPr>
                  <w:rStyle w:val="ListLabel112"/>
                  <w:rFonts w:eastAsia="Cambria" w:cs="Cambria"/>
                  <w:b w:val="false"/>
                  <w:bCs w:val="false"/>
                  <w:i w:val="false"/>
                  <w:iCs w:val="false"/>
                  <w:sz w:val="18"/>
                  <w:szCs w:val="18"/>
                </w:rPr>
                <w:t>42</w:t>
              </w:r>
            </w:hyperlink>
            <w:r>
              <w:rPr>
                <w:rFonts w:eastAsia="Cambria" w:cs="Cambria"/>
                <w:b w:val="false"/>
                <w:bCs w:val="false"/>
                <w:i w:val="false"/>
                <w:iCs w:val="false"/>
                <w:sz w:val="18"/>
                <w:szCs w:val="18"/>
              </w:rPr>
              <w: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ListParagraph"/>
        <w:numPr>
          <w:ilvl w:val="0"/>
          <w:numId w:val="132"/>
        </w:numPr>
        <w:spacing w:lineRule="exact" w:line="288" w:before="0" w:after="60"/>
        <w:rPr/>
      </w:pPr>
      <w:r>
        <w:rPr>
          <w:rFonts w:eastAsia="Cambria" w:cs="Cambria"/>
          <w:b w:val="false"/>
          <w:bCs w:val="false"/>
          <w:i w:val="false"/>
          <w:iCs w:val="false"/>
          <w:sz w:val="22"/>
          <w:szCs w:val="22"/>
        </w:rPr>
        <w:t>Erstelle heute die Vertragsliste und rechne die Kündigungstermine rückwärts vom Abflug.</w:t>
      </w:r>
    </w:p>
    <w:p>
      <w:pPr>
        <w:pStyle w:val="ListParagraph"/>
        <w:numPr>
          <w:ilvl w:val="0"/>
          <w:numId w:val="133"/>
        </w:numPr>
        <w:spacing w:lineRule="exact" w:line="288" w:before="0" w:after="60"/>
        <w:rPr/>
      </w:pPr>
      <w:r>
        <w:rPr>
          <w:rFonts w:eastAsia="Cambria" w:cs="Cambria"/>
          <w:b w:val="false"/>
          <w:bCs w:val="false"/>
          <w:i w:val="false"/>
          <w:iCs w:val="false"/>
          <w:sz w:val="22"/>
          <w:szCs w:val="22"/>
        </w:rPr>
        <w:t>Buche früh Notar (Vollmachten) und Bürgeramt (Abmeldung).</w:t>
      </w:r>
    </w:p>
    <w:p>
      <w:pPr>
        <w:pStyle w:val="ListParagraph"/>
        <w:numPr>
          <w:ilvl w:val="0"/>
          <w:numId w:val="134"/>
        </w:numPr>
        <w:spacing w:lineRule="exact" w:line="288" w:before="0" w:after="60"/>
        <w:rPr/>
      </w:pPr>
      <w:r>
        <w:rPr>
          <w:rFonts w:eastAsia="Cambria" w:cs="Cambria"/>
          <w:b w:val="false"/>
          <w:bCs w:val="false"/>
          <w:i w:val="false"/>
          <w:iCs w:val="false"/>
          <w:sz w:val="22"/>
          <w:szCs w:val="22"/>
        </w:rPr>
        <w:t>Kündige Wohnung und Arbeitsvertrag, sobald das Visum sicher ist, den Rest nach Frist.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Vertragsliste aus zwölf Monaten Kontoauszügen erstellt, Kündigungstermine vom Abflug rückwärts berechnet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Visum genehmigt und Termine mit Arbeitgeber und Anwalt abgestimmt, bevor Wohnung und Arbeitsvertrag gekündigt werden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Mietvertrag schriftlich gekündigt (Zugang bis zum dritten Werktag), Übergabetermin und Kautionskonto mitgeteilt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Arbeitsvertrag mit Unterschrift gekündigt oder Aufhebungsvertrag geschlossen, Arbeitszeugnis angefordert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Abmeldung frühestens eine Woche vor dem Auszug erledigt, Abmeldebescheinigung mehrfach kopiert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Rundfunkbeitrag, Handy, Internet, Strom und Gas beendet oder abgemeldet, Bestätigungen abgelegt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Haftpflicht, Hausrat und Rechtsschutz zum Übergabetag gekündigt, Berufsunfähigkeits- und Risikolebensversicherung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Schadenfreiheitsbescheinigung auf Englisch angefordert, Auto verkauft, Zulassungsstelle informiert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Bank über Wegzug informiert, App-Verfahren für Überweisungen eingerichtet, Konto und Kreditkarte behalten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Vorsorgevollmacht, Patientenverfügung und Betreuungsverfügung beim Notar beurkundet und registriert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Familienkasse, Elterngeldstelle, Kita und Schule informiert, Zeugniskopien besorgt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Nachsendeauftrag und Adressänderungen erledigt, Elefand-Eintrag nach der Ankunft eingeplant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Bundesmeldegesetz, BGB, Telekommunikationsgesetz, Versicherungsvertragsgesetz, Wehrpflichtgesetz (Wortlaut) — </w:t>
      </w:r>
      <w:hyperlink r:id="rId157">
        <w:r>
          <w:rPr>
            <w:rStyle w:val="ListLabel113"/>
            <w:rFonts w:eastAsia="Cambria" w:cs="Cambria"/>
            <w:b w:val="false"/>
            <w:bCs w:val="false"/>
            <w:i w:val="false"/>
            <w:iCs w:val="false"/>
            <w:color w:val="0563C1"/>
            <w:sz w:val="22"/>
            <w:szCs w:val="22"/>
            <w:u w:val="single"/>
          </w:rPr>
          <w:t>gesetze-im-internet.de</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Rundfunkbeitrag, Abmeldung einer Wohnung — </w:t>
      </w:r>
      <w:hyperlink r:id="rId158">
        <w:r>
          <w:rPr>
            <w:rStyle w:val="ListLabel113"/>
            <w:rFonts w:eastAsia="Cambria" w:cs="Cambria"/>
            <w:b w:val="false"/>
            <w:bCs w:val="false"/>
            <w:i w:val="false"/>
            <w:iCs w:val="false"/>
            <w:color w:val="0563C1"/>
            <w:sz w:val="22"/>
            <w:szCs w:val="22"/>
            <w:u w:val="single"/>
          </w:rPr>
          <w:t>rundfunkbeitrag.de</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Nachsendeservice der Deutschen Post — </w:t>
      </w:r>
      <w:hyperlink r:id="rId159">
        <w:r>
          <w:rPr>
            <w:rStyle w:val="ListLabel113"/>
            <w:rFonts w:eastAsia="Cambria" w:cs="Cambria"/>
            <w:b w:val="false"/>
            <w:bCs w:val="false"/>
            <w:i w:val="false"/>
            <w:iCs w:val="false"/>
            <w:color w:val="0563C1"/>
            <w:sz w:val="22"/>
            <w:szCs w:val="22"/>
            <w:u w:val="single"/>
          </w:rPr>
          <w:t>deutschepost.de/de/n/nachsendeservice.html</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Deutsche Vertretungen in den USA: Beglaubigungen, Pässe, Wahlen — </w:t>
      </w:r>
      <w:hyperlink r:id="rId160">
        <w:r>
          <w:rPr>
            <w:rStyle w:val="ListLabel113"/>
            <w:rFonts w:eastAsia="Cambria" w:cs="Cambria"/>
            <w:b w:val="false"/>
            <w:bCs w:val="false"/>
            <w:i w:val="false"/>
            <w:iCs w:val="false"/>
            <w:color w:val="0563C1"/>
            <w:sz w:val="22"/>
            <w:szCs w:val="22"/>
            <w:u w:val="single"/>
          </w:rPr>
          <w:t>germany.info/us-en/service</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Auswärtiges Amt: Reise- und Sicherheitshinweise USA, Krisenvorsorgeliste — </w:t>
      </w:r>
      <w:hyperlink r:id="rId161">
        <w:r>
          <w:rPr>
            <w:rStyle w:val="ListLabel113"/>
            <w:rFonts w:eastAsia="Cambria" w:cs="Cambria"/>
            <w:b w:val="false"/>
            <w:bCs w:val="false"/>
            <w:i w:val="false"/>
            <w:iCs w:val="false"/>
            <w:color w:val="0563C1"/>
            <w:sz w:val="22"/>
            <w:szCs w:val="22"/>
            <w:u w:val="single"/>
          </w:rPr>
          <w:t>auswaertiges-amt.de</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Zentrales Vorsorgeregister der Bundesnotarkammer — </w:t>
      </w:r>
      <w:hyperlink r:id="rId162">
        <w:r>
          <w:rPr>
            <w:rStyle w:val="ListLabel113"/>
            <w:rFonts w:eastAsia="Cambria" w:cs="Cambria"/>
            <w:b w:val="false"/>
            <w:bCs w:val="false"/>
            <w:i w:val="false"/>
            <w:iCs w:val="false"/>
            <w:color w:val="0563C1"/>
            <w:sz w:val="22"/>
            <w:szCs w:val="22"/>
            <w:u w:val="single"/>
          </w:rPr>
          <w:t>vorsorgeregister.de</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Kindergeld (Familienkasse) und Elterngeld — </w:t>
      </w:r>
      <w:hyperlink r:id="rId163">
        <w:r>
          <w:rPr>
            <w:rStyle w:val="ListLabel113"/>
            <w:rFonts w:eastAsia="Cambria" w:cs="Cambria"/>
            <w:b w:val="false"/>
            <w:bCs w:val="false"/>
            <w:i w:val="false"/>
            <w:iCs w:val="false"/>
            <w:color w:val="0563C1"/>
            <w:sz w:val="22"/>
            <w:szCs w:val="22"/>
            <w:u w:val="single"/>
          </w:rPr>
          <w:t>arbeitsagentur.de</w:t>
        </w:r>
      </w:hyperlink>
      <w:r>
        <w:rPr>
          <w:rFonts w:eastAsia="Cambria" w:cs="Cambria"/>
          <w:b w:val="false"/>
          <w:bCs w:val="false"/>
          <w:i w:val="false"/>
          <w:iCs w:val="false"/>
          <w:sz w:val="22"/>
          <w:szCs w:val="22"/>
        </w:rPr>
        <w:t xml:space="preserve"> und </w:t>
      </w:r>
      <w:hyperlink r:id="rId164">
        <w:r>
          <w:rPr>
            <w:rStyle w:val="ListLabel113"/>
            <w:rFonts w:eastAsia="Cambria" w:cs="Cambria"/>
            <w:b w:val="false"/>
            <w:bCs w:val="false"/>
            <w:i w:val="false"/>
            <w:iCs w:val="false"/>
            <w:color w:val="0563C1"/>
            <w:sz w:val="22"/>
            <w:szCs w:val="22"/>
            <w:u w:val="single"/>
          </w:rPr>
          <w:t>familienportal.de</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Wehrdienst und Auslandsaufenthalt — </w:t>
      </w:r>
      <w:hyperlink r:id="rId165">
        <w:r>
          <w:rPr>
            <w:rStyle w:val="ListLabel113"/>
            <w:rFonts w:eastAsia="Cambria" w:cs="Cambria"/>
            <w:b w:val="false"/>
            <w:bCs w:val="false"/>
            <w:i w:val="false"/>
            <w:iCs w:val="false"/>
            <w:color w:val="0563C1"/>
            <w:sz w:val="22"/>
            <w:szCs w:val="22"/>
            <w:u w:val="single"/>
          </w:rPr>
          <w:t>bmvg.de</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schnell: der Rundfunkbeitrag (18,36 € im Monat; ob er ab 2027 steigt, ist offen), Preise der Deutschen Post, Konsulatsgebühren und die Genehmigungsregel für Männer bis 45, deren Ausnahme nur gilt, solange der Wehrdienst freiwillig bleibt. Das Bundesmeldegesetz wurde 2026 mehrfach geändert. Prüfe Fristen, Preise und Bedingungen vor jeder Kündigung bei der jeweiligen Stelle.</w:t>
            </w:r>
          </w:p>
        </w:tc>
      </w:tr>
    </w:tbl>
    <w:p>
      <w:pPr>
        <w:pStyle w:val="Normal"/>
        <w:spacing w:lineRule="exact" w:line="220" w:before="0" w:after="0"/>
        <w:rPr/>
      </w:pPr>
      <w:r>
        <w:rPr/>
      </w:r>
      <w:r>
        <w:br w:type="page"/>
      </w:r>
    </w:p>
    <w:p>
      <w:pPr>
        <w:pStyle w:val="Heading2"/>
        <w:keepNext w:val="true"/>
        <w:spacing w:before="0" w:after="300"/>
        <w:jc w:val="center"/>
        <w:rPr/>
      </w:pPr>
      <w:bookmarkStart w:id="45" w:name="__RefHeading___Toc56467_3769931028"/>
      <w:bookmarkStart w:id="46" w:name="k17"/>
      <w:bookmarkEnd w:id="45"/>
      <w:r>
        <w:rPr>
          <w:rFonts w:eastAsia="Amazon Ember" w:cs="Amazon Ember" w:ascii="Amazon Ember" w:hAnsi="Amazon Ember"/>
          <w:b/>
          <w:bCs/>
          <w:color w:val="0000FF"/>
          <w:sz w:val="36"/>
          <w:szCs w:val="36"/>
        </w:rPr>
        <w:t>Kapitel 17: Steuern, Rente und Geld: die deutsche Seite</w:t>
      </w:r>
      <w:bookmarkEnd w:id="46"/>
    </w:p>
    <w:p>
      <w:pPr>
        <w:pStyle w:val="Normal"/>
        <w:keepNext w:val="false"/>
        <w:keepLines w:val="false"/>
        <w:spacing w:lineRule="exact" w:line="288" w:before="0" w:after="140"/>
        <w:jc w:val="left"/>
        <w:rPr/>
      </w:pPr>
      <w:r>
        <w:rPr>
          <w:rFonts w:eastAsia="Cambria" w:cs="Cambria"/>
          <w:b w:val="false"/>
          <w:bCs w:val="false"/>
          <w:i w:val="false"/>
          <w:iCs w:val="false"/>
          <w:sz w:val="22"/>
          <w:szCs w:val="22"/>
        </w:rPr>
        <w:t>Drei Monate vor dem Abflug flattert oft ein Brief ins Haus, mit dem niemand gerechnet hat: Die Depotbank kündigt das Wertpapierdepot, weil bald ein Wohnsitz in den USA im System steht. Gleichzeitig läuft die gesetzliche Rente ganz normal weiter, während ein ETF-Sparplan, der in Deutschland völlig unauffällig war, in den USA zu einer teuren Steuerfalle werden kann. Wer Depot, Rente und Bankkonto erst am Flughafen klärt, zahlt drauf – an Zeit, an Nerven und oft auch an Geld. Dieses Kapitel ordnet, was auf der deutschen Seite vor dem Wegzug zu regeln ist.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Mit dem Wegzug wirst du in Deutschland meist beschränkt steuerpflichtig – außer du behältst eine nutzbare Wohnung (Zweitwohnsitz-Falle).</w:t>
            </w:r>
          </w:p>
          <w:p>
            <w:pPr>
              <w:pStyle w:val="ListParagraph"/>
              <w:numPr>
                <w:ilvl w:val="0"/>
                <w:numId w:val="1"/>
              </w:numPr>
              <w:spacing w:lineRule="exact" w:line="264" w:before="0" w:after="50"/>
              <w:rPr/>
            </w:pPr>
            <w:r>
              <w:rPr>
                <w:rFonts w:eastAsia="Cambria" w:cs="Cambria"/>
                <w:b w:val="false"/>
                <w:bCs w:val="false"/>
                <w:i w:val="false"/>
                <w:iCs w:val="false"/>
                <w:sz w:val="20"/>
                <w:szCs w:val="20"/>
              </w:rPr>
              <w:t>Besitzt du GmbH-Anteile oder eine Beteiligung ab 1 %: Prüfe die Wegzugsteuer nach § 6 AStG rechtzeitig.</w:t>
            </w:r>
          </w:p>
          <w:p>
            <w:pPr>
              <w:pStyle w:val="ListParagraph"/>
              <w:numPr>
                <w:ilvl w:val="0"/>
                <w:numId w:val="1"/>
              </w:numPr>
              <w:spacing w:lineRule="exact" w:line="264" w:before="0" w:after="50"/>
              <w:rPr/>
            </w:pPr>
            <w:r>
              <w:rPr>
                <w:rFonts w:eastAsia="Cambria" w:cs="Cambria"/>
                <w:b w:val="false"/>
                <w:bCs w:val="false"/>
                <w:i w:val="false"/>
                <w:iCs w:val="false"/>
                <w:sz w:val="20"/>
                <w:szCs w:val="20"/>
              </w:rPr>
              <w:t>Deutsche Fonds und ETFs werden für die US-Steuer zur PFIC – kläre das vor dem US-Zuzug, nicht danach.</w:t>
            </w:r>
          </w:p>
          <w:p>
            <w:pPr>
              <w:pStyle w:val="ListParagraph"/>
              <w:numPr>
                <w:ilvl w:val="0"/>
                <w:numId w:val="1"/>
              </w:numPr>
              <w:spacing w:lineRule="exact" w:line="264" w:before="0" w:after="50"/>
              <w:rPr/>
            </w:pPr>
            <w:r>
              <w:rPr>
                <w:rFonts w:eastAsia="Cambria" w:cs="Cambria"/>
                <w:b w:val="false"/>
                <w:bCs w:val="false"/>
                <w:i w:val="false"/>
                <w:iCs w:val="false"/>
                <w:sz w:val="20"/>
                <w:szCs w:val="20"/>
              </w:rPr>
              <w:t>Die deutsche gesetzliche Rente läuft weiter und wird für US-Ansässige nur in den USA besteuert.</w:t>
            </w:r>
          </w:p>
          <w:p>
            <w:pPr>
              <w:pStyle w:val="ListParagraph"/>
              <w:numPr>
                <w:ilvl w:val="0"/>
                <w:numId w:val="1"/>
              </w:numPr>
              <w:spacing w:lineRule="exact" w:line="264" w:before="0" w:after="50"/>
              <w:rPr/>
            </w:pPr>
            <w:r>
              <w:rPr>
                <w:rFonts w:eastAsia="Cambria" w:cs="Cambria"/>
                <w:b w:val="false"/>
                <w:bCs w:val="false"/>
                <w:i w:val="false"/>
                <w:iCs w:val="false"/>
                <w:sz w:val="20"/>
                <w:szCs w:val="20"/>
              </w:rPr>
              <w:t>Riester, Depot und Bankkonto brauchen vor dem Abflug eine bewusste Entscheidung.</w:t>
            </w:r>
          </w:p>
          <w:p>
            <w:pPr>
              <w:pStyle w:val="ListParagraph"/>
              <w:numPr>
                <w:ilvl w:val="0"/>
                <w:numId w:val="1"/>
              </w:numPr>
              <w:spacing w:lineRule="exact" w:line="264" w:before="0" w:after="50"/>
              <w:rPr/>
            </w:pPr>
            <w:r>
              <w:rPr>
                <w:rFonts w:eastAsia="Cambria" w:cs="Cambria"/>
                <w:b w:val="false"/>
                <w:bCs w:val="false"/>
                <w:i w:val="false"/>
                <w:iCs w:val="false"/>
                <w:sz w:val="20"/>
                <w:szCs w:val="20"/>
              </w:rPr>
              <w:t>Für Überweisungen und Bargeld gelten Meldegrenzen, die du kennen solltest.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erklärt Regeln und Zusammenhänge, ersetzt aber keine individuelle Steuer- oder Rechtsberatung: Steuerrecht, Sozialversicherungsrecht und das Doppelbesteuerungsabkommen hängen stark von deiner persönlichen Situation ab. Sprich vor dem Wegzug mit einem Steuerberater (siehe Abschnitt „Einen Steuerberater finden, der beide Länder kennt“).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Vom unbeschränkten zum beschränkten Steuerpflichtigen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Solange du in Deutschland wohnst, bist du unbeschränkt steuerpflichtig: Das Finanzamt besteuert dein Welteinkommen, dafür stehen dir Grundfreibetrag, Sonderausgaben und Kinderfreibeträge zu. Mit dem Wegzug ändert sich das – vorausgesetzt, du gibst den deutschen Wohnsitz wirklich auf.</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Entscheidend ist § 8 der Abgabenordnung (AO): Ein Wohnsitz ist jede Wohnung, die du „beibehalten und benutzen wirst“ – nicht nur die Hauptwohnung, sondern jede jederzeit zugängliche Wohnung, auch ein Zimmer bei den Eltern oder eine unvermietete Zweitwohnung. Nur eine vollständig und dauerhaft vermietete Wohnung ohne eigenes Nutzungsrecht beendet den Wohnsitz. Verbreiteter Irrtum: Viele halten die Abmeldung beim Einwohnermeldeamt (siehe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 für den entscheidenden Schritt. Tatsächlich ist sie nur ein Indiz; die Entscheidung trifft das Finanzamt anhand der tatsächlichen Wohnverhältnisse, nicht anhand des Meldezettels.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eine Wohnung in Deutschland „für alle Fälle“ behält, bleibt unbeschränkt steuerpflichtig – mit dem gesamten Welteinkommen, nicht nur den deutschen Einkünften. Die Zweitwohnsitz-Falle trifft vor allem Familien mit Rückkehroption. Wer der unbeschränkten Steuerpflicht wirklich entkommen will, muss die Wohnung verkaufen oder vollständig vermieten.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Entstehen dadurch zwei Wohnsitze – einer in Deutschland, einer in den USA –, entscheidet das Doppelbesteuerungsabkommen (DBA), wo du steuerlich ansässig bist. Artikel 4 Absatz 2 gibt eine feste Prüfreihenfolge vor: zuerst die ständige Wohnstätte, dann der Mittelpunkt der Lebensinteressen, dann der gewöhnliche Aufenthalt, dann die Staatsangehörigkeit, notfalls ein Verständigungsverfahren zwischen beiden Finanzverwaltungen. Bei Familien, die mit Job und Kindern in die USA ziehen, liegt dieser Mittelpunkt fast immer dort.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Als beschränkt Steuerpflichtiger besteuert das Finanzamt nur noch Einkünfte aus deutschen Quellen – etwa Miete, bestimmte Kapitalerträge oder in Deutschland verbrachte Arbeitstage. Der Tarif wird berechnet, als gälte der Grundfreibetrag nicht; Sonderausgaben und Kinderfreibeträge entfallen. Ein Antrag auf Behandlung als unbeschränkt steuerpflichtig (§ 1 Abs. 3 EStG) hilft nur, wenn mindestens 90 % deines Einkommens aus Deutschland stammen oder dein Auslandseinkommen unter dem Grundfreibetrag liegt – für ein normales US-Gehalt praktisch nie der Fall. Wer weiterhin deutsche Einkünfte hat (Miete, Depot, § 6 AStG), sollte einen Zustellungsbevollmächtigten in Deutschland benennen (§ 123 AO), damit Post vom Finanzamt nicht ins Leere läuft.</w:t>
      </w:r>
    </w:p>
    <w:p>
      <w:pPr>
        <w:pStyle w:val="Heading3"/>
        <w:keepNext w:val="true"/>
        <w:spacing w:before="280" w:after="100"/>
        <w:jc w:val="center"/>
        <w:rPr/>
      </w:pPr>
      <w:r>
        <w:rPr>
          <w:rFonts w:eastAsia="Amazon Ember" w:cs="Amazon Ember" w:ascii="Amazon Ember" w:hAnsi="Amazon Ember"/>
          <w:b/>
          <w:bCs/>
          <w:color w:val="0000FF"/>
          <w:sz w:val="36"/>
          <w:szCs w:val="36"/>
        </w:rPr>
        <w:t>Die Wegzugsteuer nach § 6 AStG: nur bei echten Unternehmensanteilen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an einer Kapitalgesellschaft – GmbH, AG oder Start-up – mit mindestens 1 % beteiligt ist und mindestens 7 der letzten 12 Jahre in Deutschland unbeschränkt steuerpflichtig war, löst mit dem Wegzug die Wegzugsteuer nach § 6 Außensteuergesetz (AStG) aus. Das Finanzamt behandelt die Anteile so, als wären sie am Wegzugstag zum vollen Marktwert verkauft worden – auch wenn nichts verkauft wurde.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Auf Antrag wird die Steuer in 7 gleichen Jahresraten gestundet, meist gegen Sicherheitsleistung und zinslos; die erste Rate ist einen Monat nach dem Steuerbescheid fällig, die weiteren jeweils zum 31. Juli. Kehrst du innerhalb von 7 Jahren nach Deutschland zurück (auf Antrag verlängerbar um bis zu 5 weitere Jahre), ohne die Anteile verkauft, übertragen oder hohe Ausschüttungen entnommen zu haben, entfällt die Steuer rückwirkend. Bis dahin musst du jährlich bis zum 31. Juli deine aktuelle Anschrift melden. Auf US-Seite erlaubt Artikel 13 Absatz 6 des DBA ein </w:t>
      </w:r>
      <w:r>
        <w:rPr>
          <w:rFonts w:eastAsia="Cambria" w:cs="Cambria"/>
          <w:b w:val="false"/>
          <w:bCs w:val="false"/>
          <w:i/>
          <w:iCs/>
          <w:sz w:val="22"/>
          <w:szCs w:val="22"/>
        </w:rPr>
        <w:t>Step-up</w:t>
      </w:r>
      <w:r>
        <w:rPr>
          <w:rFonts w:eastAsia="Cambria" w:cs="Cambria"/>
          <w:b w:val="false"/>
          <w:bCs w:val="false"/>
          <w:i w:val="false"/>
          <w:iCs w:val="false"/>
          <w:sz w:val="22"/>
          <w:szCs w:val="22"/>
        </w:rPr>
        <w:t>-Wahlrecht: Die USA können den Wert am Wegzugstag als neue Anschaffungskosten ansetzen, damit derselbe Wertzuwachs nicht doppelt besteuert wird.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Beispiel zur Größenordnung: Hältst du 5 % an einer GmbH, die dein Steuerberater beim Wegzug mit 400.000 € bewertet, bei ursprünglichen Anschaffungskosten von 40.000 €, gilt der fiktive Gewinn von 360.000 € als steuerpflichtig – unabhängig davon, ob du je einen Euro davon ausgezahlt bekommst. Die genaue Steuerlast hängt von Freibeträgen und dem Besteuerungsverfahren für Anteile nach § 17 EStG ab; das rechnet der Steuerberater vor dem Wegzug konkret vor.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6 AStG betrifft nur echte Unternehmensbeteiligungen ab 1 %, nicht dein Aktien- oder ETF-Depot. Für Wertpapierdepots ist die PFIC-Regel das relevante Thema (siehe unten).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Immobilien in Deutschland: vermieten oder verkaufen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eine Immobilie in Deutschland behält und vermietet, bleibt beschränkt steuerpflichtig – die Mieteinkünfte müssen auch aus den USA weiter in einer deutschen Steuererklärung stehen. Beim Verkauf greift die Zehnjahresfrist des § 23 EStG: Verkaufst du innerhalb von 10 Jahren nach dem Kauf, ist der Gewinn steuerpflichtig, außer du hast im Verkaufsjahr und den beiden Vorjahren selbst darin gewohnt. Nach dem Wegzug entfällt diese Ausnahme oft, sobald der Auszug länger als 2 Jahre zurückliegt und die Zehnjahresfrist noch läuft.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Beispiel: Wer sein Reihenhaus vor 7 Jahren für 300.000 € gekauft hat und es 3 Jahre nach dem Umzug in die USA für 380.000 € verkauft, versteuert den Gewinn von 80.000 € in Deutschland – die Selbstnutzungsausnahme greift nicht mehr, weil der Auszug länger als 2 Jahre zurückliegt, während die Zehnjahresfrist noch läuft. In den USA zählt derselbe Gewinn zum weltweiten Einkommen, neu berechnet in US-Dollar (Kurse bei Kauf und Verkauf); das DBA gibt Deutschland das vorrangige Besteuerungsrecht, die US-Steuer rechnet die deutsche an. Wer die Immobilie ohnehin irgendwann verkaufen will, sollte den Zeitpunkt – möglichst noch mit greifender Selbstnutzungsausnahme – vor dem Wegzug durchrechnen lassen.</w:t>
      </w:r>
    </w:p>
    <w:p>
      <w:pPr>
        <w:pStyle w:val="Heading3"/>
        <w:keepNext w:val="true"/>
        <w:spacing w:before="280" w:after="100"/>
        <w:jc w:val="center"/>
        <w:rPr/>
      </w:pPr>
      <w:r>
        <w:rPr>
          <w:rFonts w:eastAsia="Amazon Ember" w:cs="Amazon Ember" w:ascii="Amazon Ember" w:hAnsi="Amazon Ember"/>
          <w:b/>
          <w:bCs/>
          <w:color w:val="0000FF"/>
          <w:sz w:val="36"/>
          <w:szCs w:val="36"/>
        </w:rPr>
        <w:t>Depot, Kapitalerträge und die Bankfrage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Auf Dividenden deutscher Unternehmen behält die Bank pauschal 26,375 % ein – 25 % Kapitalertragsteuer plus Solidaritätszuschlag (zusätzlich Kirchensteuer, falls zutreffend); für beschränkt Steuerpflichtige gilt das als abgeltend, eine Steuererklärung ist meist nicht nötig. Das DBA begrenzt die deutsche Quellensteuer für US-Ansässige auf 15 %; die Differenz forderst du mit einer US-Ansässigkeitsbescheinigung (IRS Form 6166) beim Bundeszentralamt für Steuern (BZSt) zurück. Zinsen und Kursgewinne aus frei handelbaren Wertpapieren sind für Nichtansässige nach dem DBA meist gar nicht in Deutschland steuerpflichtig.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Weniger klar ist die Bankpraxis: Deutsche Banken melden „US-Personen“ nach dem FATCA-Abkommen (</w:t>
      </w:r>
      <w:r>
        <w:rPr>
          <w:rFonts w:eastAsia="Cambria" w:cs="Cambria"/>
          <w:b w:val="false"/>
          <w:bCs w:val="false"/>
          <w:i/>
          <w:iCs/>
          <w:sz w:val="22"/>
          <w:szCs w:val="22"/>
        </w:rPr>
        <w:t>Foreign Account Tax Compliance Act</w:t>
      </w:r>
      <w:r>
        <w:rPr>
          <w:rFonts w:eastAsia="Cambria" w:cs="Cambria"/>
          <w:b w:val="false"/>
          <w:bCs w:val="false"/>
          <w:i w:val="false"/>
          <w:iCs w:val="false"/>
          <w:sz w:val="22"/>
          <w:szCs w:val="22"/>
        </w:rPr>
        <w:t>, das US-Gesetz zur Meldung von Auslandskonten) über das BZSt an die US-Steuerbehörde IRS und verlangen dafür eine Selbstauskunft zur Steuerresidenz. Ob einzelne Banken – etwa Direktbanken oder Neobroker – Konten und Depots von Kunden mit US-Wohnsitz einschränken oder kündigen, ist von Institut zu Institut unterschiedlich.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Verlass dich nicht darauf, dass Konto und Depot nach dem Umzug unverändert weiterlaufen. Frag deine Bank vor dem Wegzug schriftlich, wie sie mit Kunden umgeht, die in den USA steuerpflichtig werden – Kündigung, Einschränkung oder Weiterführung sind alle möglich.</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Unabhängig davon, was die Bank tut, entsteht eine eigene Meldepflicht, sobald du in den USA steuerlich ansässig bist: Der </w:t>
      </w:r>
      <w:r>
        <w:rPr>
          <w:rFonts w:eastAsia="Cambria" w:cs="Cambria"/>
          <w:b w:val="false"/>
          <w:bCs w:val="false"/>
          <w:i/>
          <w:iCs/>
          <w:sz w:val="22"/>
          <w:szCs w:val="22"/>
        </w:rPr>
        <w:t>Foreign Bank Account Report</w:t>
      </w:r>
      <w:r>
        <w:rPr>
          <w:rFonts w:eastAsia="Cambria" w:cs="Cambria"/>
          <w:b w:val="false"/>
          <w:bCs w:val="false"/>
          <w:i w:val="false"/>
          <w:iCs w:val="false"/>
          <w:sz w:val="22"/>
          <w:szCs w:val="22"/>
        </w:rPr>
        <w:t xml:space="preserve"> (FBAR, die jährliche Meldung ausländischer Konten ans US-Finanzministerium) wird fällig, sobald die Summe aller ausländischen Konten zu irgendeinem Zeitpunkt im Jahr 10.000 $ übersteigt – Giro-, Spar- und Depotkonten zählen zusammen. Ergänzend verlangt Formular 8938 bei in den USA lebenden Ehepaaren ab 100.000 $ Vermögen zum Jahresende (Alleinstehende ab 50.000 $) eine weitere Meldung in der Steuererklärung. Das gilt auch, wenn auf die Konten keine US-Steuer anfällt oder die Bank das Konto normal weiterführt. Mehr zu Fristen und Strafen in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Die PFIC-Falle: deutsche Fonds und ETFs vor dem Zuzug regeln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die US-Steuer gelten fast alle im Ausland aufgelegten Investmentfonds und ETFs – auch die deutschen Fondssparpläne, mit denen halb Deutschland seine Altersvorsorge bestreitet – als </w:t>
      </w:r>
      <w:r>
        <w:rPr>
          <w:rFonts w:eastAsia="Cambria" w:cs="Cambria"/>
          <w:b w:val="false"/>
          <w:bCs w:val="false"/>
          <w:i/>
          <w:iCs/>
          <w:sz w:val="22"/>
          <w:szCs w:val="22"/>
        </w:rPr>
        <w:t>Passive Foreign Investment Company</w:t>
      </w:r>
      <w:r>
        <w:rPr>
          <w:rFonts w:eastAsia="Cambria" w:cs="Cambria"/>
          <w:b w:val="false"/>
          <w:bCs w:val="false"/>
          <w:i w:val="false"/>
          <w:iCs w:val="false"/>
          <w:sz w:val="22"/>
          <w:szCs w:val="22"/>
        </w:rPr>
        <w:t xml:space="preserve"> (PFIC, eine ausländische Kapitalanlage mit überwiegend passiven Erträgen). Der Name klingt dramatischer, als der biedere Sparplan es je verdient hätte; die steuerlichen Folgen sind es leider auch. Sobald du nach US-Recht steuerlich ansässig bist (siehe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greift ein Regelwerk, das spürbar härter ist als die normale Kapitalertragsbesteuerung.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Im Standardfall werden Ausschüttungen und Verkaufsgewinne als </w:t>
      </w:r>
      <w:r>
        <w:rPr>
          <w:rFonts w:eastAsia="Cambria" w:cs="Cambria"/>
          <w:b w:val="false"/>
          <w:bCs w:val="false"/>
          <w:i/>
          <w:iCs/>
          <w:sz w:val="22"/>
          <w:szCs w:val="22"/>
        </w:rPr>
        <w:t>Excess Distribution</w:t>
      </w:r>
      <w:r>
        <w:rPr>
          <w:rFonts w:eastAsia="Cambria" w:cs="Cambria"/>
          <w:b w:val="false"/>
          <w:bCs w:val="false"/>
          <w:i w:val="false"/>
          <w:iCs w:val="false"/>
          <w:sz w:val="22"/>
          <w:szCs w:val="22"/>
        </w:rPr>
        <w:t xml:space="preserve"> (übermäßige Ausschüttung) gleichmäßig auf die gesamte Haltedauer verteilt; ältere Jahre werden zum jeweils höchsten Steuersatz plus Zinsen nachbesteuert – unabhängig vom tatsächlichen Steuersatz. Für jeden Fonds und jedes Jahr wird obendrein Formular 8621 fällig (Ausnahme: Der Gesamtwert aller PFICs liegt ohne Ausschüttung oder Verkauf bei höchstens 25.000 $, bei gemeinsamer Veranlagung 50.000 $). Die theoretischen Alternativen helfen selten: Für die günstigere </w:t>
      </w:r>
      <w:r>
        <w:rPr>
          <w:rFonts w:eastAsia="Cambria" w:cs="Cambria"/>
          <w:b w:val="false"/>
          <w:bCs w:val="false"/>
          <w:i/>
          <w:iCs/>
          <w:sz w:val="22"/>
          <w:szCs w:val="22"/>
        </w:rPr>
        <w:t>QEF</w:t>
      </w:r>
      <w:r>
        <w:rPr>
          <w:rFonts w:eastAsia="Cambria" w:cs="Cambria"/>
          <w:b w:val="false"/>
          <w:bCs w:val="false"/>
          <w:i w:val="false"/>
          <w:iCs w:val="false"/>
          <w:sz w:val="22"/>
          <w:szCs w:val="22"/>
        </w:rPr>
        <w:t>-Wahl (laufende Besteuerung der anteiligen Fondserträge statt pauschaler Nachversteuerung) müsste die deutsche Fondsgesellschaft ein „PFIC Annual Information Statement“ liefern, was sie in der Praxis kaum tut; die Marktbewertung (</w:t>
      </w:r>
      <w:r>
        <w:rPr>
          <w:rFonts w:eastAsia="Cambria" w:cs="Cambria"/>
          <w:b w:val="false"/>
          <w:bCs w:val="false"/>
          <w:i/>
          <w:iCs/>
          <w:sz w:val="22"/>
          <w:szCs w:val="22"/>
        </w:rPr>
        <w:t>Mark-to-Market</w:t>
      </w:r>
      <w:r>
        <w:rPr>
          <w:rFonts w:eastAsia="Cambria" w:cs="Cambria"/>
          <w:b w:val="false"/>
          <w:bCs w:val="false"/>
          <w:i w:val="false"/>
          <w:iCs w:val="false"/>
          <w:sz w:val="22"/>
          <w:szCs w:val="22"/>
        </w:rPr>
        <w:t>) funktioniert nur für börsengehandelte Anteile, nicht für klassische Fondsanteile.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PFIC-Regel greift ab dem Tag, an dem du steuerlich als US-ansässig giltst – das kann schon vor dem eigentlichen Umzug der Fall sein, wenn du dich vorher lange in den USA aufhältst. Wer Fonds und ETFs erst nach der Ankunft verkauft, hat die Falle oft schon ausgelöst.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Praktische Konsequenz: Kläre vor dem US-Zuzug, ob du deutsche Fonds und ETFs verkaufst (Steuerfolgen vorher mit einem Steuerberater klären) oder aus anderen Gründen behältst und dafür eine grenzüberschreitende Beratung einplanst. Nach der Ankunft investierst du am unkompliziertesten in US-domizilierte ETFs. Mehr zur US-Seite in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zur langfristigen Vermögensplanung in Kapitel </w:t>
      </w:r>
      <w:hyperlink w:anchor="k39">
        <w:r>
          <w:rPr>
            <w:rStyle w:val="ListLabel115"/>
            <w:rFonts w:eastAsia="Cambria" w:cs="Cambria"/>
            <w:b w:val="false"/>
            <w:bCs w:val="false"/>
            <w:i w:val="false"/>
            <w:iCs w:val="false"/>
            <w:sz w:val="22"/>
            <w:szCs w:val="22"/>
          </w:rPr>
          <w:t>39</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hatte bei ihrer Bank in der Nähe von Stuttgart seit Jahren einen ETF-Sparplan auf einen weltweiten Aktienindex laufen. Als Markus’ H-1B-Antrag genehmigt war, saß das Paar beim Steuerberater eigentlich nur wegen der Wegzugsformalitäten – bis der einen Blick ins Depot warf und an die PFIC-Regel erinnerte: Nach dem Umzug nach Michigan wäre der Sparplan aus US-Sicht eine hoch besteuerte Excess Distribution gewesen, mit Formular 8621 für jedes einzelne Jahr. Die Familie verkaufte den Sparplan 2 Monate vor dem Abflug, versteuerte den Gewinn regulär mit deutscher Abgeltungsteuer und eröffnete nach der Ankunft in Detroit ein Depot bei einem US-Broker für einen amerikanischen ETF.</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Riester, Rürup, bAV, Lebensversicherung, Bausparen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bestehender Riester-Vertrag läuft während der Ansparphase unverändert weiter – der Wegzug in die USA allein löst keine Rückzahlung von Zulagen oder Steuervorteilen aus. Kritisch wird es erst zu Beginn der Auszahlungsphase: Wohnst du dann außerhalb der EU/des EWR, muss der Anbieter die erhaltenen Zulagen und Steuervorteile einbehalten und an den Fiskus abführen. Wer die Rente in den USA antreten will, sollte diesen Betrag einkalkulieren. Ab dem 1. Januar 2027 werden keine neuen Riester-Verträge mehr abgeschlossen; bestehende genießen Bestandsschutz und laufen unverändert weiter.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Rürup-Vertrag lässt sich nicht kündigen oder beleihen; der Wegzug ändert daran nichts. Wie Auszahlungen an dich als dann beschränkt Steuerpflichtigen mit US-Wohnsitz steuerlich behandelt werden, ist nicht abschließend geklärt – frag gezielt beim Steuerberater nach. Ansprüche aus der betrieblichen Altersvorsorge (bAV) bleiben bei Unverfallbarkeit erhalten und lassen sich auch ins Ausland auszahlen; nach dem DBA wird eine solche private Rente nur im Wohnsitzstaat besteuert, also in den USA.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Eine Lebensversicherung lässt sich oft fortführen – prüfe die Auslandsklauseln im Vertrag. Wohnungsbauprämie und Arbeitnehmersparzulage setzen dagegen unbeschränkte Steuerpflicht voraus und enden meist mit dem Wegzug. Sobald du in den USA steuerpflichtig bist, zählen Bausparvertrag und Lebensversicherung mit Rückkaufswert zu den ausländischen Konten, die du über FBAR und Formular 8938 melden musst (siehe oben) – auch ohne anfallende US-Steuer.</w:t>
      </w:r>
    </w:p>
    <w:p>
      <w:pPr>
        <w:pStyle w:val="Heading3"/>
        <w:keepNext w:val="true"/>
        <w:spacing w:before="280" w:after="100"/>
        <w:jc w:val="center"/>
        <w:rPr/>
      </w:pPr>
      <w:r>
        <w:rPr>
          <w:rFonts w:eastAsia="Amazon Ember" w:cs="Amazon Ember" w:ascii="Amazon Ember" w:hAnsi="Amazon Ember"/>
          <w:b/>
          <w:bCs/>
          <w:color w:val="0000FF"/>
          <w:sz w:val="36"/>
          <w:szCs w:val="36"/>
        </w:rPr>
        <w:t>Die gesetzliche Rente: Wartezeit, Abkommen, freiwillige Beiträge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Sozialversicherungsabkommen zwischen Deutschland und den USA gilt seit dem 1. Dezember 1979 und regelt nur die Rentenversicherung – nicht Kranken-, Pflege- oder Arbeitslosenversicherung. Wirst du von einem deutschen Arbeitgeber für bis zu 5 Jahre in die USA entsandt, bleibst du meist in der deutschen Rentenversicherung, nachgewiesen durch die Bescheinigung D/USA 101 deiner Krankenkasse; für längere Entsendungen braucht es eine Ausnahmevereinbarung über die Deutsche Verbindungsstelle Krankenversicherung – Ausland (DVKA) in Bonn. Wanderst du dagegen regulär aus – ohne Entsendung, etwa mit neuem Arbeitgeber vor Ort –, endet die deutsche Rentenversicherungspflicht, und du wirst nach US-Recht sozialversichert.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gesetzliche Rente gilt eine Wartezeit von 5 Jahren; deutsche und US-amerikanische Versicherungszeiten werden dafür zusammengerechnet, auch wenn am Ende jedes Land seine Rente separat aus den eigenen Zeiten berechnet und zahlt. In den USA sind dafür normalerweise 40 Credits nötig (etwa 10 Berufsjahre); das Abkommen hilft, Lücken zu überbrücken.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Als Deutsche oder Deutscher kannst du freiwillige Beiträge zur Rentenversicherung jederzeit leisten, auch aus den USA; die Zahlung für ein Jahr muss bis zum 31. März des Folgejahres eingehen. 2026 liegt der Höchstbeitrag bei rund 1.571,70 € im Monat. Freiwillige Beiträge halten die Versicherungsbiografie lückenlos, sichern den Erwerbsminderungsschutz und erhöhen die spätere Rente.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den Erwerbsminderungsschutz über freiwillige Mindestbeiträge zur Rentenversicherung aufrechterhält, kommt oft günstiger weg als mit einer neuen privaten Berufsunfähigkeitsversicherung in den USA – und sichert zugleich die spätere Rente ab.</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Deutsche Rentenversicherung (DRV) empfiehlt, dich 3–4 Monate vor dem Umzug beraten zu lassen: neue Anschrift, Staatsangehörigkeit und Zahlungsverbindung melden und eine Kontenklärung (Überprüfung des Versicherungsverlaufs) beantragen, solange Unterlagen aus Deutschland leicht zu beschaffen sind. Läuft die Rente bereits, wird sie unverändert und ungekürzt weltweit ausgezahlt, solange sie ausschließlich aus deutschen Beitragszeiten stammt (aktueller Rentenwert: 42,52 € seit dem 1. Juli 2026); Bankgebühren und Wechselkurs trägt der Rentenempfänger. Jedes Jahr ist eine „Erklärung zum Weiterbezug einer Rente“ fällig, die die zuständige US-Behörde bestätigt. Die deutsche Kranken- und Pflegeversicherungspflicht von Rentnern endet mit dem Umzug in die USA; einen Zuschuss zahlt die DRV nur zu einer privaten Krankenversicherung mit Sitz in Deutschland, der EU, dem EWR oder der Schweiz – nicht zu einer US-Versicherung (siehe Kapitel </w:t>
      </w:r>
      <w:hyperlink w:anchor="k18">
        <w:r>
          <w:rPr>
            <w:rStyle w:val="ListLabel115"/>
            <w:rFonts w:eastAsia="Cambria" w:cs="Cambria"/>
            <w:b w:val="false"/>
            <w:bCs w:val="false"/>
            <w:i w:val="false"/>
            <w:iCs w:val="false"/>
            <w:sz w:val="22"/>
            <w:szCs w:val="22"/>
          </w:rPr>
          <w:t>18</w:t>
        </w:r>
      </w:hyperlink>
      <w:r>
        <w:rPr>
          <w:rFonts w:eastAsia="Cambria" w:cs="Cambria"/>
          <w:b w:val="false"/>
          <w:bCs w:val="false"/>
          <w:i w:val="false"/>
          <w:iCs w:val="false"/>
          <w:sz w:val="22"/>
          <w:szCs w:val="22"/>
        </w:rPr>
        <w:t>). Verbreiteter Irrtum: Viele befürchten, diese Rente werde am Ende doppelt besteuert, einmal in Deutschland und einmal in den USA. Tatsächlich gilt: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Nach Artikel 18 Absatz 5 des DBA wird die deutsche gesetzliche Rente für US-Ansässige ausschließlich in den USA besteuert, nicht in Deutschland.</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Geld mitnehmen: Überweisung, Wechselkurs, Meldepflichten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Überweisungen ins Ausland bis 50.000 € muss niemand melden – darüber hinaus meldet die Bank die Zahlung automatisch der Bundesbank (§ 67 Außenwirtschaftsverordnung). Das ist kein Hindernis, nur gut zu wissen, damit eine größere Überweisung – etwa der Verkaufserlös der Wohnung in einer Summe – nicht überrascht. Bargeld über 10.000 € muss beim Verlassen der EU beim Zoll angemeldet werden; bei der Einreise in die USA gilt dieselbe Grenze in Dollar über das Formular FinCEN 105 (die Bargeld-Anmeldung bei der US-Einreise).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Zur groben Orientierung: 1 € entsprach im September 2026 etwa 1,15 $ (bitte tagesaktuell prüfen). Normale Banküberweisungen ins Ausland haben oft einen versteckt schlechten Wechselkurs zusätzlich zur Gebühr.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Für größere Beträge lohnt sich der Vergleich: Spezialisierte Dienste wie Wise rechnen meist zum Interbankenkurs plus transparenter Gebühr ab und sind bei größeren Summen oft spürbar günstiger als eine klassische Bank-Überweisung.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Einen Steuerberater finden, der beide Länder kennt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Auch nach dem Wegzug bleibt dein bisheriges Wohnsitzfinanzamt zuständig. Wer noch deutsche Einkünfte hat – Miete, Depot, eine laufende Wegzugsteuer nach § 6 AStG – kommt um einen deutschen Steuerberater kaum herum. Für die US-Steuererklärung brauchst du außerdem einen amerikanischen </w:t>
      </w:r>
      <w:r>
        <w:rPr>
          <w:rFonts w:eastAsia="Cambria" w:cs="Cambria"/>
          <w:b w:val="false"/>
          <w:bCs w:val="false"/>
          <w:i/>
          <w:iCs/>
          <w:sz w:val="22"/>
          <w:szCs w:val="22"/>
        </w:rPr>
        <w:t>Certified Public Accountant</w:t>
      </w:r>
      <w:r>
        <w:rPr>
          <w:rFonts w:eastAsia="Cambria" w:cs="Cambria"/>
          <w:b w:val="false"/>
          <w:bCs w:val="false"/>
          <w:i w:val="false"/>
          <w:iCs w:val="false"/>
          <w:sz w:val="22"/>
          <w:szCs w:val="22"/>
        </w:rPr>
        <w:t xml:space="preserve"> (CPA, den US-Wirtschaftsprüfer mit Steuerbefugnis) oder </w:t>
      </w:r>
      <w:r>
        <w:rPr>
          <w:rFonts w:eastAsia="Cambria" w:cs="Cambria"/>
          <w:b w:val="false"/>
          <w:bCs w:val="false"/>
          <w:i/>
          <w:iCs/>
          <w:sz w:val="22"/>
          <w:szCs w:val="22"/>
        </w:rPr>
        <w:t>Enrolled Agent</w:t>
      </w:r>
      <w:r>
        <w:rPr>
          <w:rFonts w:eastAsia="Cambria" w:cs="Cambria"/>
          <w:b w:val="false"/>
          <w:bCs w:val="false"/>
          <w:i w:val="false"/>
          <w:iCs w:val="false"/>
          <w:sz w:val="22"/>
          <w:szCs w:val="22"/>
        </w:rPr>
        <w:t xml:space="preserve"> (EA, einen von der US-Steuerbehörde zugelassenen Steuerfachmann; siehe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nur wenige Kanzleien decken beide Systeme kompetent ab.</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Frag gezielt nach Erfahrung mit § 6 AStG, PFIC, FBAR und dem Doppelbesteuerungsabkommen Deutschland–USA, und lass dir vorab einen Kostenrahmen nennen – eine grenzüberschreitende Erklärung kostet merklich mehr als eine rein deutsche oder amerikanische. Grobe Orientierung für die US-Seite: Eine einfache Erklärung als Resident liegt bei CPA oder Enrolled Agent oft bei 300–800 $, ein erstes Jahr mit FBAR und Formular 8938 eher bei 800–2.500 $, jedes zusätzliche PFIC-Formular 8621 noch einmal bei 100–300 $ – Angebote lohnen sich, gerade im ersten Jahr. Sinnvoll ist außerdem, den deutschen Steuerberater gleich als Zustellungsbevollmächtigten nach § 123 AO zu benennen, damit Post vom Finanzamt zuverlässig ankommt.</w:t>
      </w:r>
    </w:p>
    <w:p>
      <w:pPr>
        <w:pStyle w:val="Heading3"/>
        <w:keepNext w:val="true"/>
        <w:spacing w:before="280" w:after="100"/>
        <w:jc w:val="center"/>
        <w:rPr/>
      </w:pPr>
      <w:r>
        <w:rPr>
          <w:rFonts w:eastAsia="Amazon Ember" w:cs="Amazon Ember" w:ascii="Amazon Ember" w:hAnsi="Amazon Ember"/>
          <w:b/>
          <w:bCs/>
          <w:color w:val="0000FF"/>
          <w:sz w:val="36"/>
          <w:szCs w:val="36"/>
        </w:rPr>
        <w:t>Erbschaftsteuer nach dem Wegzug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Deutsche Staatsangehörige bleiben nach § 2 ErbStG bis zu 5 Jahre nach dem Wegzug unbeschränkt erbschaft- und schenkungsteuerpflichtig, solange sie keinen Wohnsitz in Deutschland mehr haben – unabhängig davon, ob sie selbst erben, vererben, schenken oder beschenkt werden. Das gilt zusätzlich zu einer möglichen US-Nachlasssteuer auf dasselbe Vermögen. Details, Freibeträge und Gestaltungsmöglichkeiten gehören in die langfristige Vorsorgeplanung; siehe Kapitel </w:t>
      </w:r>
      <w:hyperlink w:anchor="k39">
        <w:r>
          <w:rPr>
            <w:rStyle w:val="ListLabel115"/>
            <w:rFonts w:eastAsia="Cambria" w:cs="Cambria"/>
            <w:b w:val="false"/>
            <w:bCs w:val="false"/>
            <w:i w:val="false"/>
            <w:iCs w:val="false"/>
            <w:sz w:val="22"/>
            <w:szCs w:val="22"/>
          </w:rPr>
          <w:t>39</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gesetzliche Rente bleibt bestehen und wird weltweit ausgezahlt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Ausländische Fonds und ETFs werden in den USA zur teuren PFIC</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Das Doppelbesteuerungsabkommen verhindert doppelte Besteuerung derselben Rente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Depot und Bankkonto können bei US-Wohnsitz eingeschränkt oder gekündigt werden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Freiwillige Rentenbeiträge sichern Wartezeit und Erwerbsminderungsschutz günstig ab</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Wegzugsteuer nach § 6 AStG trifft Unternehmensanteile hart, wenn auch in Raten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Riester läuft während der Ansparphase unbeschränkt weiter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Zwei Steuersysteme bedeuten doppelte Beratungskosten und doppelte Meldepflichten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Bausparvertrag und Lebensversicherung lassen sich oft fortführen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Zweitwohnsitz-Falle kann die unbeschränkte Steuerpflicht ungewollt verlängern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Beginne mit den zeitkritischen Punkten: Depot und Fondssparpläne auf PFIC-Risiko prüfen, bevor du steuerlich in den USA ansässig wirst, und bei Unternehmensanteilen ab 1 % die Wegzugsteuer durchrechnen lassen. Kläre parallel, ob eine Wohnung in Deutschland zurückbleibt und ob das gewollt ist. Melde dich rechtzeitig bei der Deutschen Rentenversicherung für die Kontenklärung, informiere Bank und Versicherungen schriftlich über den Umzug und such dir einen Steuerberater für beide Länder. Alles Weitere – Überweisungen, Bargeld, laufende Erklärungen – lässt sich mit dieser Vorarbeit deutlich entspannter erledigen.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Prüfen, ob nach dem Wegzug eine nutzbare Wohnung in Deutschland zurückbleibt (Zweitwohnsitz-Falle)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Unternehmensanteilen ab 1 %: Wegzugsteuer nach § 6 AStG mit dem Steuerberater durchrechnen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Depot und Fondssparpläne auf PFIC-Risiko prüfen und vor dem Zuzug entscheiden: verkaufen oder behalten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Bank und Depotbank schriftlich über den künftigen US-Wohnsitz informieren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Rentenversicherungsverlauf klären lassen (Kontenklärung) und neue Anschrift der Deutschen Rentenversicherung melden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Prüfen, ob freiwillige Rentenbeiträge sinnvoll sind</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Riester-Vertrag auf den geplanten Zeitpunkt der Auszahlungsphase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vermieteter Immobilie oder einer Immobilie, die noch keine zehn Jahre im Besitz ist: steuerliche Folgen von Vermietung oder Verkauf klären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Zustellungsbevollmächtigten in Deutschland benennen (§ 123 AO)</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Steuerberater mit Erfahrung im deutsch-amerikanischen Steuerrecht finden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Meldegrenzen für Geldtransfers und Bargeld (50.000 € / 10.000 €) im Kopf behalten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Nach der Ankunft: US-Steuerpflichten wie FBAR, Formular 8938 und PFIC mit Kapitel </w:t>
            </w:r>
            <w:hyperlink w:anchor="k28">
              <w:r>
                <w:rPr>
                  <w:rStyle w:val="ListLabel114"/>
                  <w:rFonts w:eastAsia="Cambria" w:cs="Cambria"/>
                  <w:b w:val="false"/>
                  <w:bCs w:val="false"/>
                  <w:i w:val="false"/>
                  <w:iCs w:val="false"/>
                  <w:sz w:val="20"/>
                  <w:szCs w:val="20"/>
                </w:rPr>
                <w:t>28</w:t>
              </w:r>
            </w:hyperlink>
            <w:r>
              <w:rPr>
                <w:rFonts w:eastAsia="Cambria" w:cs="Cambria"/>
                <w:b w:val="false"/>
                <w:bCs w:val="false"/>
                <w:i w:val="false"/>
                <w:iCs w:val="false"/>
                <w:sz w:val="20"/>
                <w:szCs w:val="20"/>
              </w:rPr>
              <w:t xml:space="preserve"> abgleichen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hyperlink r:id="rId166">
        <w:r>
          <w:rPr>
            <w:rStyle w:val="ListLabel113"/>
            <w:rFonts w:eastAsia="Cambria" w:cs="Cambria"/>
            <w:b w:val="false"/>
            <w:bCs w:val="false"/>
            <w:i w:val="false"/>
            <w:iCs w:val="false"/>
            <w:color w:val="0563C1"/>
            <w:sz w:val="22"/>
            <w:szCs w:val="22"/>
            <w:u w:val="single"/>
          </w:rPr>
          <w:t>gesetze-im-internet.de</w:t>
        </w:r>
      </w:hyperlink>
      <w:r>
        <w:rPr>
          <w:rFonts w:eastAsia="Cambria" w:cs="Cambria"/>
          <w:b w:val="false"/>
          <w:bCs w:val="false"/>
          <w:i w:val="false"/>
          <w:iCs w:val="false"/>
          <w:sz w:val="22"/>
          <w:szCs w:val="22"/>
        </w:rPr>
        <w:t xml:space="preserve"> – Einkommensteuergesetz, Außensteuergesetz, Abgabenordnung</w:t>
      </w:r>
    </w:p>
    <w:p>
      <w:pPr>
        <w:pStyle w:val="ListParagraph"/>
        <w:numPr>
          <w:ilvl w:val="0"/>
          <w:numId w:val="1"/>
        </w:numPr>
        <w:spacing w:lineRule="exact" w:line="288" w:before="0" w:after="60"/>
        <w:rPr/>
      </w:pPr>
      <w:hyperlink r:id="rId167">
        <w:r>
          <w:rPr>
            <w:rStyle w:val="ListLabel113"/>
            <w:rFonts w:eastAsia="Cambria" w:cs="Cambria"/>
            <w:b w:val="false"/>
            <w:bCs w:val="false"/>
            <w:i w:val="false"/>
            <w:iCs w:val="false"/>
            <w:color w:val="0563C1"/>
            <w:sz w:val="22"/>
            <w:szCs w:val="22"/>
            <w:u w:val="single"/>
          </w:rPr>
          <w:t>deutsche-rentenversicherung.de</w:t>
        </w:r>
      </w:hyperlink>
      <w:r>
        <w:rPr>
          <w:rFonts w:eastAsia="Cambria" w:cs="Cambria"/>
          <w:b w:val="false"/>
          <w:bCs w:val="false"/>
          <w:i w:val="false"/>
          <w:iCs w:val="false"/>
          <w:sz w:val="22"/>
          <w:szCs w:val="22"/>
        </w:rPr>
        <w:t xml:space="preserve"> – Broschüre „Arbeit und Rente in Deutschland und in den USA“</w:t>
      </w:r>
    </w:p>
    <w:p>
      <w:pPr>
        <w:pStyle w:val="ListParagraph"/>
        <w:numPr>
          <w:ilvl w:val="0"/>
          <w:numId w:val="1"/>
        </w:numPr>
        <w:spacing w:lineRule="exact" w:line="288" w:before="0" w:after="60"/>
        <w:rPr/>
      </w:pPr>
      <w:hyperlink r:id="rId168">
        <w:r>
          <w:rPr>
            <w:rStyle w:val="ListLabel113"/>
            <w:rFonts w:eastAsia="Cambria" w:cs="Cambria"/>
            <w:b w:val="false"/>
            <w:bCs w:val="false"/>
            <w:i w:val="false"/>
            <w:iCs w:val="false"/>
            <w:color w:val="0563C1"/>
            <w:sz w:val="22"/>
            <w:szCs w:val="22"/>
            <w:u w:val="single"/>
          </w:rPr>
          <w:t>bzst.de</w:t>
        </w:r>
      </w:hyperlink>
      <w:r>
        <w:rPr>
          <w:rFonts w:eastAsia="Cambria" w:cs="Cambria"/>
          <w:b w:val="false"/>
          <w:bCs w:val="false"/>
          <w:i w:val="false"/>
          <w:iCs w:val="false"/>
          <w:sz w:val="22"/>
          <w:szCs w:val="22"/>
        </w:rPr>
        <w:t xml:space="preserve"> – FATCA und Erstattung der Kapitalertragsteuer</w:t>
      </w:r>
    </w:p>
    <w:p>
      <w:pPr>
        <w:pStyle w:val="ListParagraph"/>
        <w:numPr>
          <w:ilvl w:val="0"/>
          <w:numId w:val="1"/>
        </w:numPr>
        <w:spacing w:lineRule="exact" w:line="288" w:before="0" w:after="60"/>
        <w:rPr/>
      </w:pPr>
      <w:hyperlink r:id="rId169">
        <w:r>
          <w:rPr>
            <w:rStyle w:val="ListLabel113"/>
            <w:rFonts w:eastAsia="Cambria" w:cs="Cambria"/>
            <w:b w:val="false"/>
            <w:bCs w:val="false"/>
            <w:i w:val="false"/>
            <w:iCs w:val="false"/>
            <w:color w:val="0563C1"/>
            <w:sz w:val="22"/>
            <w:szCs w:val="22"/>
            <w:u w:val="single"/>
          </w:rPr>
          <w:t>bundesfinanzministerium.de</w:t>
        </w:r>
      </w:hyperlink>
      <w:r>
        <w:rPr>
          <w:rFonts w:eastAsia="Cambria" w:cs="Cambria"/>
          <w:b w:val="false"/>
          <w:bCs w:val="false"/>
          <w:i w:val="false"/>
          <w:iCs w:val="false"/>
          <w:sz w:val="22"/>
          <w:szCs w:val="22"/>
        </w:rPr>
        <w:t xml:space="preserve"> – FAQ zur Reform der privaten Altersvorsorge</w:t>
      </w:r>
    </w:p>
    <w:p>
      <w:pPr>
        <w:pStyle w:val="ListParagraph"/>
        <w:numPr>
          <w:ilvl w:val="0"/>
          <w:numId w:val="1"/>
        </w:numPr>
        <w:spacing w:lineRule="exact" w:line="288" w:before="0" w:after="60"/>
        <w:rPr/>
      </w:pPr>
      <w:hyperlink r:id="rId170">
        <w:r>
          <w:rPr>
            <w:rStyle w:val="ListLabel113"/>
            <w:rFonts w:eastAsia="Cambria" w:cs="Cambria"/>
            <w:b w:val="false"/>
            <w:bCs w:val="false"/>
            <w:i w:val="false"/>
            <w:iCs w:val="false"/>
            <w:color w:val="0563C1"/>
            <w:sz w:val="22"/>
            <w:szCs w:val="22"/>
            <w:u w:val="single"/>
          </w:rPr>
          <w:t>irs.gov/pub/irs-trty/germany.pdf</w:t>
        </w:r>
      </w:hyperlink>
      <w:r>
        <w:rPr>
          <w:rFonts w:eastAsia="Cambria" w:cs="Cambria"/>
          <w:b w:val="false"/>
          <w:bCs w:val="false"/>
          <w:i w:val="false"/>
          <w:iCs w:val="false"/>
          <w:sz w:val="22"/>
          <w:szCs w:val="22"/>
        </w:rPr>
        <w:t xml:space="preserve"> – Doppelbesteuerungsabkommen Deutschland–USA</w:t>
      </w:r>
    </w:p>
    <w:p>
      <w:pPr>
        <w:pStyle w:val="ListParagraph"/>
        <w:numPr>
          <w:ilvl w:val="0"/>
          <w:numId w:val="1"/>
        </w:numPr>
        <w:spacing w:lineRule="exact" w:line="288" w:before="0" w:after="60"/>
        <w:rPr/>
      </w:pPr>
      <w:hyperlink r:id="rId171">
        <w:r>
          <w:rPr>
            <w:rStyle w:val="ListLabel113"/>
            <w:rFonts w:eastAsia="Cambria" w:cs="Cambria"/>
            <w:b w:val="false"/>
            <w:bCs w:val="false"/>
            <w:i w:val="false"/>
            <w:iCs w:val="false"/>
            <w:color w:val="0563C1"/>
            <w:sz w:val="22"/>
            <w:szCs w:val="22"/>
            <w:u w:val="single"/>
          </w:rPr>
          <w:t>irs.gov/instructions/i8621</w:t>
        </w:r>
      </w:hyperlink>
      <w:r>
        <w:rPr>
          <w:rFonts w:eastAsia="Cambria" w:cs="Cambria"/>
          <w:b w:val="false"/>
          <w:bCs w:val="false"/>
          <w:i w:val="false"/>
          <w:iCs w:val="false"/>
          <w:sz w:val="22"/>
          <w:szCs w:val="22"/>
        </w:rPr>
        <w:t xml:space="preserve"> – Formular 8621 (PFIC)</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Rentenwert, Beitragsbemessungsgrenzen, PFIC-Freigrenzen und die Riester-Reform ändern sich regelmäßig. Prüfe aktuelle Zahlen und Fristen vor jeder Entscheidung auf den offiziellen Seiten oder mit einem Steuerberater.</w:t>
            </w:r>
          </w:p>
        </w:tc>
      </w:tr>
    </w:tbl>
    <w:p>
      <w:pPr>
        <w:pStyle w:val="Normal"/>
        <w:spacing w:lineRule="exact" w:line="220" w:before="0" w:after="0"/>
        <w:rPr/>
      </w:pPr>
      <w:r>
        <w:rPr/>
      </w:r>
      <w:r>
        <w:br w:type="page"/>
      </w:r>
    </w:p>
    <w:p>
      <w:pPr>
        <w:pStyle w:val="Heading2"/>
        <w:keepNext w:val="true"/>
        <w:spacing w:before="0" w:after="300"/>
        <w:jc w:val="center"/>
        <w:rPr/>
      </w:pPr>
      <w:bookmarkStart w:id="47" w:name="__RefHeading___Toc56469_3769931028"/>
      <w:bookmarkStart w:id="48" w:name="k18"/>
      <w:bookmarkEnd w:id="47"/>
      <w:r>
        <w:rPr>
          <w:rFonts w:eastAsia="Amazon Ember" w:cs="Amazon Ember" w:ascii="Amazon Ember" w:hAnsi="Amazon Ember"/>
          <w:b/>
          <w:bCs/>
          <w:color w:val="0000FF"/>
          <w:sz w:val="36"/>
          <w:szCs w:val="36"/>
        </w:rPr>
        <w:t>Kapitel 18: Krankenversicherung und Gesundheit vor dem Abflug</w:t>
      </w:r>
      <w:bookmarkEnd w:id="48"/>
    </w:p>
    <w:p>
      <w:pPr>
        <w:pStyle w:val="Normal"/>
        <w:keepNext w:val="false"/>
        <w:keepLines w:val="false"/>
        <w:spacing w:lineRule="exact" w:line="288" w:before="0" w:after="140"/>
        <w:jc w:val="left"/>
        <w:rPr/>
      </w:pPr>
      <w:r>
        <w:rPr>
          <w:rFonts w:eastAsia="Cambria" w:cs="Cambria"/>
          <w:b w:val="false"/>
          <w:bCs w:val="false"/>
          <w:i w:val="false"/>
          <w:iCs w:val="false"/>
          <w:sz w:val="22"/>
          <w:szCs w:val="22"/>
        </w:rPr>
        <w:t>Drei Monate vor dem Abflug nach Michigan sitzt Anna Brandt (fiktiv) über zwei Listen: eine für Zahnarzt-, Augen- und Kinderarzttermine, eine für Fristen bei der Krankenkasse. Der neue Arbeitgeber meldet Markus zur Firmen-Krankenversicherung erst mit Arbeitsbeginn an, und bis die Deckung greift, können mehrere Monate vergehen. In dieser Zeit ist die Familie weder in Deutschland noch in den USA automatisch abgesichert. Was mit der deutschen Krankenversicherung beim Wegzug passiert, wie du die Lücke schließt und was du in Sachen Gesundheit vor dem Abflug erledigst, klärt dieses Kapitel.</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Die Pflichtmitgliedschaft in der GKV endet mit dem letzten Arbeitstag; eine freiwillige Mitgliedschaft endet nicht automatisch, sondern erst mit Kündigung und Nachweis einer anderen Absicherung.</w:t>
            </w:r>
          </w:p>
          <w:p>
            <w:pPr>
              <w:pStyle w:val="ListParagraph"/>
              <w:numPr>
                <w:ilvl w:val="0"/>
                <w:numId w:val="1"/>
              </w:numPr>
              <w:spacing w:lineRule="exact" w:line="264" w:before="0" w:after="50"/>
              <w:rPr/>
            </w:pPr>
            <w:r>
              <w:rPr>
                <w:rFonts w:eastAsia="Cambria" w:cs="Cambria"/>
                <w:b w:val="false"/>
                <w:bCs w:val="false"/>
                <w:i w:val="false"/>
                <w:iCs w:val="false"/>
                <w:sz w:val="20"/>
                <w:szCs w:val="20"/>
              </w:rPr>
              <w:t>Eine Anwartschaft bei GKV oder PKV hält dir die Rückkehr offen, kostet aber laufend Beitrag, ohne dass du davon in den USA etwas hast.</w:t>
            </w:r>
          </w:p>
          <w:p>
            <w:pPr>
              <w:pStyle w:val="ListParagraph"/>
              <w:numPr>
                <w:ilvl w:val="0"/>
                <w:numId w:val="1"/>
              </w:numPr>
              <w:spacing w:lineRule="exact" w:line="264" w:before="0" w:after="50"/>
              <w:rPr/>
            </w:pPr>
            <w:r>
              <w:rPr>
                <w:rFonts w:eastAsia="Cambria" w:cs="Cambria"/>
                <w:b w:val="false"/>
                <w:bCs w:val="false"/>
                <w:i w:val="false"/>
                <w:iCs w:val="false"/>
                <w:sz w:val="20"/>
                <w:szCs w:val="20"/>
              </w:rPr>
              <w:t>Zwischen deutscher Absicherung und dem Start der US-Versicherung liegt oft eine Lücke von mehreren Wochen bis Monaten, die eine Auslandskrankenversicherung überbrücken sollte.</w:t>
            </w:r>
          </w:p>
          <w:p>
            <w:pPr>
              <w:pStyle w:val="ListParagraph"/>
              <w:numPr>
                <w:ilvl w:val="0"/>
                <w:numId w:val="1"/>
              </w:numPr>
              <w:spacing w:lineRule="exact" w:line="264" w:before="0" w:after="50"/>
              <w:rPr/>
            </w:pPr>
            <w:r>
              <w:rPr>
                <w:rFonts w:eastAsia="Cambria" w:cs="Cambria"/>
                <w:b w:val="false"/>
                <w:bCs w:val="false"/>
                <w:i w:val="false"/>
                <w:iCs w:val="false"/>
                <w:sz w:val="20"/>
                <w:szCs w:val="20"/>
              </w:rPr>
              <w:t>Erledige Zahnarzt, Augenarzt, Kinderarzt und größere Vorsorgetermine vor dem Abflug: In den USA sind Zahn- und Augenbehandlung meist separat versichert und teuer.</w:t>
            </w:r>
          </w:p>
          <w:p>
            <w:pPr>
              <w:pStyle w:val="ListParagraph"/>
              <w:numPr>
                <w:ilvl w:val="0"/>
                <w:numId w:val="1"/>
              </w:numPr>
              <w:spacing w:lineRule="exact" w:line="264" w:before="0" w:after="50"/>
              <w:rPr/>
            </w:pPr>
            <w:r>
              <w:rPr>
                <w:rFonts w:eastAsia="Cambria" w:cs="Cambria"/>
                <w:b w:val="false"/>
                <w:bCs w:val="false"/>
                <w:i w:val="false"/>
                <w:iCs w:val="false"/>
                <w:sz w:val="20"/>
                <w:szCs w:val="20"/>
              </w:rPr>
              <w:t>Schulimpfpflichten regelt jeder Bundesstaat selbst; lass den Impfpass übersetzen und rechne mit Nachimpfungen.</w:t>
            </w:r>
          </w:p>
          <w:p>
            <w:pPr>
              <w:pStyle w:val="ListParagraph"/>
              <w:numPr>
                <w:ilvl w:val="0"/>
                <w:numId w:val="1"/>
              </w:numPr>
              <w:spacing w:lineRule="exact" w:line="264" w:before="0" w:after="50"/>
              <w:rPr/>
            </w:pPr>
            <w:r>
              <w:rPr>
                <w:rFonts w:eastAsia="Cambria" w:cs="Cambria"/>
                <w:b w:val="false"/>
                <w:bCs w:val="false"/>
                <w:i w:val="false"/>
                <w:iCs w:val="false"/>
                <w:sz w:val="20"/>
                <w:szCs w:val="20"/>
              </w:rPr>
              <w:t>Bist du 55 oder älter oder verdienst du über der Versicherungspflichtgrenze, denk die Rückkehr in die GKV schon jetzt mit (Kapitel </w:t>
            </w:r>
            <w:hyperlink w:anchor="k42">
              <w:r>
                <w:rPr>
                  <w:rStyle w:val="ListLabel114"/>
                  <w:rFonts w:eastAsia="Cambria" w:cs="Cambria"/>
                  <w:b w:val="false"/>
                  <w:bCs w:val="false"/>
                  <w:i w:val="false"/>
                  <w:iCs w:val="false"/>
                  <w:sz w:val="20"/>
                  <w:szCs w:val="20"/>
                </w:rPr>
                <w:t>42</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mit deiner Krankenversicherung passiert, wenn du gehst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Viele glauben, die deutsche Krankenversicherung ende von selbst, sobald man das Land verlässt. Tatsächlich hängt das vom Status ab. Bei einer Anstellung endet die GKV-Pflichtmitgliedschaft mit Ablauf des Tages, an dem das Beschäftigungsverhältnis endet (§ 190 Abs. 2 SGB V). Bist du freiwillig versichert – etwa als Selbständiger, Beamter oder mit Einkommen über der Versicherungspflichtgrenze –, endet die Mitgliedschaft nicht automatisch mit dem Wegzug, sondern läuft weiter, bis du sie aktiv kündigst (§ 191 SGB V). Die Kündigung wirkt zudem erst, wenn du der Kasse eine anderweitige Absicherung nachweist (§ 175 Abs. 4 SGB V); ohne diesen Nachweis bucht die Kasse den Beitrag ungerührt weiter.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Tückische: Der Leistungsanspruch ruht ohnehin, sobald du dich im Ausland aufhältst (§ 16 Abs. 1 Nr. 1 SGB V). Ohne Kündigung oder Anwartschaft zahlst du also womöglich monatlich Beitrag, ohne dass die Kasse in den USA auch nur einen Arztbesuch übernimmt. Angehörige, die in Deutschland bleiben, bleiben familienversichert – vor allem, wenn ein Elternteil vorausreist.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Leistungsanspruch der GKV ruht im Ausland. Wer nicht kündigt oder in eine Anwartschaft wechselt, zahlt weiter Beitrag, ohne je eine Leistung dafür zu bekommen.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Kündige die freiwillige Mitgliedschaft nicht auf Verdacht. Sie wirkt erst mit Nachweis einer anderen Absicherung – kläre zuerst Anwartschaft oder Übergangsversicherung, sonst entsteht eine Lücke ganz ohne Schutz.</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Anwartschaft: die Rückkehr offen halten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Eine Anwartschaftsversicherung ist kein gesetzlicher Anspruch, sondern ein Angebot der Kassen und Versicherer: Du zahlst einen reduzierten Beitrag dafür, dass du bei der Rückkehr ohne neue Wartezeit und – bei der PKV – ohne neue Gesundheitsprüfung wieder einsteigen kannst. Für die GKV bieten einzelne Kassen, etwa die Techniker Krankenkasse, eine solche Anwartschaft für längere außereuropäische Aufenthalte an, vor allem für Selbständige, freiwillig Versicherte und alle, die sonst bei der Rückkehr Probleme bekämen. Ein Auswanderer-Ratgeber nennt einen Richtwert von rund 70 € im Monat; Rechtsgrundlage, Vorversicherungszeit und Höhe legt aber jede Kasse selbst fest – frag konkret nach den Bedingungen.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der PKV unterscheidest du die kleine und die große Anwartschaft. Die kleine friert nur den Gesundheitszustand ein: Du kommst ohne neue Gesundheitsprüfung zurück, zahlst aber nach deinem tatsächlichen Eintrittsalter zum Zeitpunkt der Rückkehr. Sie kostet grob 5 bis 10 % des vollen Tarifbeitrags. Die große Anwartschaft erhält zusätzlich das ursprüngliche Eintrittsalter und die angesparten Alterungsrückstellungen; dafür kostet sie etwa 20 bis 45 % des Tarifbeitrags. Je länger der Auslandsaufenthalt und je wahrscheinlicher eine Rückkehr im höheren Alter, desto eher lohnt sich die teurere Variante.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Eine volle Kündigung der PKV vernichtet die Alterungsrückstellungen unwiderruflich; nur beim Wechsel zu einem anderen deutschen Versicherer lassen sie sich teilweise mitnehmen (§ 204 VVG). Die Gesundheitsprüfung für die Anwartschaft findet jetzt statt, während du gesund und jung bist – nicht erst bei der Rückkehr in einigen Jahren. Das ist der eigentliche Wert der Anwartschaft.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Wenn die Familienversicherung endet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beitragsfreie Familienversicherung in der GKV setzt einen Wohnsitz oder gewöhnlichen Aufenthalt im Inland voraus (§ 10 Abs. 1 SGB V). Zieht die ganze Familie in die USA, endet sie für Ehepartner und Kinder ebenfalls. In der Praxis übernimmt meist der US-Arbeitgeberplan die ganze Familie: Ehepartner mit H-4- oder L-2-Status und Kinder lassen sich dort in der Regel mitversichern, sobald die Deckung des Hauptversicherten beginnt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Bis dahin gilt dieselbe Lücke wie für die versicherte Person selbst – und dieselbe Lösung: eine Übergangsversicherung.</w:t>
      </w:r>
    </w:p>
    <w:p>
      <w:pPr>
        <w:pStyle w:val="Heading3"/>
        <w:keepNext w:val="true"/>
        <w:spacing w:before="280" w:after="100"/>
        <w:jc w:val="center"/>
        <w:rPr/>
      </w:pPr>
      <w:r>
        <w:rPr>
          <w:rFonts w:eastAsia="Amazon Ember" w:cs="Amazon Ember" w:ascii="Amazon Ember" w:hAnsi="Amazon Ember"/>
          <w:b/>
          <w:bCs/>
          <w:color w:val="0000FF"/>
          <w:sz w:val="36"/>
          <w:szCs w:val="36"/>
        </w:rPr>
        <w:t>Die Lücke überbrücken: Auslandskrankenversicherung als Übergang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Zwischen dem Ende der deutschen Absicherung und dem Start der US-Versicherung liegen oft drei bis vier Monate: Arbeitgeberpläne dürfen gesetzlich bis zu 90 Tage Wartefrist verlangen, und die Deckung beginnt meist erst zum Ersten des Folgemonats. Für diese Zeit brauchst du eine eigene Lösung – meist eine deutsche Auslandsreise- oder, bei längerer Lücke, eine Langzeit-Auslandskrankenversicherung.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Prüfe bei der Auswahl vier Punkte: Beginnt die Deckung mit der Ausreise oder erst später? Deckt sie Behandlungen in den USA ohne niedrige Kostenobergrenze – US-Behandlungen sind teuer? Sind akute Verschlimmerungen von Vorerkrankungen mitversichert, und wie steht es um Schwangerschaft und Geburt? Lässt sich das Vertragsende exakt an den Start der Firmenversicherung koppeln, damit keine doppelten Beiträge anfallen? Reine Kurzzeit-Reiseversicherungen für ein paar Wochen Urlaub sind dafür meist zu knapp geschnitten; sie schließen Vorerkrankungen, Schwangerschaft und Vorsorge in der Regel aus.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Frag die Personalabteilung des neuen Arbeitgebers ausdrücklich, ob eine Deckung „ab Tag 1“ möglich ist oder ob sich die Wartefrist verkürzen lässt. Jeder Monat, den du so einsparst, ist ein Monat weniger Doppelbeitrag für die Übergangsversicherung.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Vorsorge vor dem Abflug: Zähne, Augen, Kinderarzt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den USA sind Zahn- und Augenbehandlungen für Erwachsene meist nicht Teil der Krankenversicherung, sondern eigene, oft zusätzlich zu zahlende Pläne mit Jahreshöchstleistung und Wartefristen für Zahnersatz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Größere Behandlungen – Zahnsanierung, neue Kronen, eine überfällige Wurzelbehandlung – gehören deshalb vor den Abflug, wenn ohnehin fällig; günstiger und ohne neuen Anbieter geht es kaum. Lass außerdem eine aktuelle Sehstärkenbestimmung ausstellen und frag ausdrücklich nach dem Pupillenabstand (PD); amerikanische Optiker verlangen ihn oft separat vom Rezept. Für Kontaktlinsen und wichtige Brillen lohnt sich ein Vorrat für die ersten Monate.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Kinder gehört ein Termin beim Kinderarzt auf die Liste, auch ohne anstehende Vorsorgeuntersuchung: Er prüft den Impfstatus, füllt Lücken und stellt Nachweise aus, die du in den USA brauchst (nächster Abschnitt). Erwachsene nutzen die Gelegenheit für den Hausarzt- und, falls fällig, Facharztcheck, den sie in den ersten unversicherten US-Monaten sonst aus eigener Tasche zahlen müssten.</w:t>
      </w:r>
    </w:p>
    <w:p>
      <w:pPr>
        <w:pStyle w:val="Heading3"/>
        <w:keepNext w:val="true"/>
        <w:spacing w:before="280" w:after="100"/>
        <w:jc w:val="center"/>
        <w:rPr/>
      </w:pPr>
      <w:r>
        <w:rPr>
          <w:rFonts w:eastAsia="Amazon Ember" w:cs="Amazon Ember" w:ascii="Amazon Ember" w:hAnsi="Amazon Ember"/>
          <w:b/>
          <w:bCs/>
          <w:color w:val="0000FF"/>
          <w:sz w:val="36"/>
          <w:szCs w:val="36"/>
        </w:rPr>
        <w:t>Impfungen und die US-Schulimpfpflicht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Ob und welche Impfungen ein Kind für Schule oder Kita braucht, regelt in den USA jeder Bundesstaat selbst, teils ergänzend der Schuldistrikt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 Bundesweit verlangen alle 50 Staaten und der District of Columbia Masern-Mumps-Röteln (MMR), Diphtherie-Tetanus-Keuchhusten (DTaP/Tdap), Polio und Varizellen; 49 Staaten obendrein Hepatitis B, mit Alabama als Ausnahme. Eine Ausnahme ohne medizinischen Grund gibt es nicht mehr in Kalifornien, Connecticut, Maine, New York und West Virginia; mehrere andere Staaten haben ihre Ausnahmeregeln 2025 und 2026 eher gelockert (Stand September 2026). Die genauen Vorgaben deines künftigen Bundesstaats und Schuldistrikts erfragst du am besten direkt bei der Schule.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vollständiger deutscher Impfpass wird meist anerkannt, wenn Datum und Impfstoffname erkennbar sind – doch die Dosierschemata der deutschen Ständigen Impfkommission (STIKO) und die US-amerikanischen weichen an einigen Stellen ab. Windpocken (Varizellen) verlangen in den USA meist zwei Dosen, eine Tdap-Auffrischung ist oft erst für die weiterführende Schule fällig. Rechne damit, dass der künftige Kinderarzt nachimpft, auch bei vollständig erfüllten STIKO-Empfehlungen.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Auf Bundesebene empfiehlt die Gesundheitsbehörde CDC einen Kinder-Impfplan, der zuletzt in Bewegung war: Eine Überarbeitung vom 5. Januar 2026 reduzierte die Zahl der routinemäßig empfohlenen Impfungen, wurde aber am 16. März 2026 gerichtlich ausgesetzt; über die Berufung war zum Stand September 2026 noch nicht entschieden. Die gesetzlichen Schulimpfpflichten der Bundesstaaten sind davon unabhängig und bislang unverändert.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 lässt Lena (9) und Jonas (5) sechs Wochen vor dem Abflug beim Kinderarzt durchchecken. Beide haben laut Impfpass alle STIKO-Impfungen, doch die künftige Schule in Michigan verlangt eine zweite Varizellen-Dosis, die in Deutschland früher nur einmal üblich war. Jonas findet die zweite Spritze „total unfair“, weil er dachte, das Impfen sei doch längst erledigt gewesen – der Kinderarzt impft trotzdem nach und stellt die Nachweise obendrein auf Englisch aus. Anna lässt den Impfpass beglaubigt übersetzen, weil die Schule ein offizielles Dokument sehen will. Kosten: rund 90 € für die Nachimpfung, 60 € für die Übersetzung. (Fiktives Beispiel.)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Impfpass und Krankenakte auf Englisch mitbringen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Amerikanische Ärzte können mit einem deutschen Arztbrief in den seltensten Fällen etwas anfangen, und deutsche Praxen übermitteln Akten nicht automatisch ins Ausland. Bitte deshalb rechtzeitig um eine englischsprachige Zusammenfassung: Diagnosen, Dauermedikation, Allergien, Operationen, bei Bedarf Bildgebung wie Röntgen, MRT oder CT auf CD, USB-Stick oder im Patientenportal. Für den Impfpass reicht meist eine vollständige Übersetzung mit Datum und Impfstoffname; eine Apostille verlangt dafür in aller Regel niemand (Einzelheiten in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Frag zuerst deine Ärzte, ob sie den Bericht direkt zweisprachig oder auf Englisch ausstellen. Das ist oft günstiger und schneller als eine nachträgliche beglaubigte Übersetzung durch ein externes Büro.</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Medikamente: Vorrat, Wirkstoffname, Einfuhr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Dauermedikation braucht, bespricht mit dem Arzt vor dem Abflug, welchen Vorrat er verschreiben kann, und lässt sich ergänzend ein englisches Rezept oder Attest mit dem Wirkstoffnamen ausstellen, nicht nur mit dem deutschen Handelsnamen. Der Grund: Amerikanische Apotheken kennen deutsche Markennamen in der Regel nicht, wohl aber den internationalen Wirkstoffnamen – aus Paracetamol wird dort etwa Acetaminophen, als hätten sich beide Länder stillschweigend auf unterschiedliche Wörter geeinigt.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Einreise gilt laut US-Grenzschutzbehörde CBP als grober Richtwert ein Vorrat für rund 90 Tage; Medikamente sollten in der Originalverpackung mit Beipackzettel mitreisen, dazu das englische Rezept oder Attest. Für als Betäubungsmittel eingestufte Wirkstoffe gilt eine deutlich engere Grenze von rund 50 Einzeldosen. Diese Angaben ändern sich und hängen vom einzelnen Wirkstoff ab; kläre deinen konkreten Fall vor der Reise bei der US-Botschaft oder auf der CBP-Website.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Verlass dich bei Rezepten nicht auf den deutschen Handelsnamen. Notiere für jedes Dauermedikament den Wirkstoffnamen und, falls bekannt, die US-Handelsbezeichnung – sonst stehst du in der amerikanischen Apotheke ohne verwertbares Rezept da.</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Weg zurück in die GKV</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Viele gehen davon aus, nach ein paar Jahren im Ausland könne man einfach wieder in die gesetzliche Kasse eintreten. Tatsächlich kommt, wer ohne Anwartschaft ausgewandert ist, nach der Rückkehr nicht automatisch und nicht immer zu denselben Bedingungen in die gesetzliche Krankenversicherung zurück. Die sogenannte Auffangversicherung (§ 5 Abs. 1 Nr. 13 SGB V) greift nur, wenn du zuletzt gesetzlich versichert warst und keinen anderen Anspruch hast; sie gilt nicht für hauptberuflich Selbständige und nicht für Angestellte über der Versicherungspflichtgrenze (2026: 77.400 € im Jahr). Wer nach dem 55. Geburtstag versicherungspflichtig würde und in den fünf Jahren zuvor nicht gesetzlich versichert war, kann nach § 6 Abs. 3a SGB V sogar ganz versicherungsfrei werden – und damit von der Rückkehr in die GKV ausgeschlossen bleiben. Genau diese Fälle sind der Grund, eine Anwartschaft schon vor der Abreise zu prüfen. Die vollständigen Regeln zur Rückkehr, samt Fristen und Sonderfällen, behandelt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Das ist keine Rechts- oder Steuerberatung. Ob Kündigung, Anwartschaft oder Übergangsversicherung zu deiner Situation passen, hängt von Einkommen, Alter, Familienstand und der konkreten Kasse oder dem Versicherer ab. Kläre deinen Einzelfall mit deiner Krankenkasse oder einem unabhängigen Versicherungsberater.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Eine Anwartschaft sichert die Rückkehr ohne neue Gesundheitsprüfung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Kostet laufend Beitrag, ohne dass du in den USA etwas davon hast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Kündigung der freiwilligen GKV spart sofort Beitrag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Rückkehr kann an der Versicherungspflichtgrenze, an Selbständigkeit oder am hohen Einreisealter scheitern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große PKV-Anwartschaft erhält Eintrittsalter und Alterungsrückstellungen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Deutlich teurer als die kleine Variante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Eine Auslandskrankenversicherung schließt die Lücke bis zum US-Start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Deckt oft keine Vorerkrankungen, Schwangerschaft oder reine Vorsorge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Vorsorge in Deutschland ist meist günstiger und schneller organisiert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Kostet Zeit im ohnehin engen Zeitplan vor dem Abflug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vollständiger, übersetzter Impfpass beschleunigt die Schulanmeldung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US-Schulen verlangen oft zusätzliche Dosen, die STIKO nicht vorsieht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Beginne vier Monate vor dem Abflug mit der Krankenkasse: Kläre, ob deine Mitgliedschaft freiwillig ist, und beantrage bei Bedarf eine Anwartschaft, solange du gesund bist. Lege parallel die Vorsorgetermine für die Familie fest. Sechs bis acht Wochen vorher stehen Impfauffrischungen und die Übersetzung von Impfpass und Arztbriefen an. In den letzten zwei bis drei Wochen klärst du den Medikamentenvorrat mit deinem Arzt und besorgst die englischen Rezepte. Sobald das Startdatum der US-Versicherung feststeht, schließt du die Übergangsversicherung passgenau daran an.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Kläre mit deiner Krankenkasse, ob deine Mitgliedschaft freiwillig oder pflichtig ist und was der Wegzug dafür bedeutet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Beantrage bei Bedarf eine GKV- oder PKV-Anwartschaft, solange du gesund bist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Schließe eine Auslandsreise- oder Langzeit-Auslandskrankenversicherung ab, die an den Start der US-Versicherung anschließt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Vereinbare Termine bei Zahnarzt, Augenarzt und Kinderarzt für die ganze Familie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Lass fehlende oder in den USA zusätzlich verlangte Impfungen nachholen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Lass den Impfpass mit Datum und Impfstoffnamen übersetzen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Bitte deine Ärzte um einen englischen Arztbrief sowie Bildgebung auf CD, USB-Stick oder im Patientenportal</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Kläre mit deinem Arzt einen ausreichenden Medikamentenvorrat und lass dir ein englisches Rezept mit Wirkstoffnamen ausstellen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Informiere dich vor der Einreise über Einfuhrregeln für deine konkreten Medikamente bei CBP oder der US-Botschaft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Prüfe bei über 55-Jährigen oder Angestellten über der Versicherungspflichtgrenze die Rückkehroption gesondert (Kapitel </w:t>
            </w:r>
            <w:hyperlink w:anchor="k42">
              <w:r>
                <w:rPr>
                  <w:rStyle w:val="ListLabel114"/>
                  <w:rFonts w:eastAsia="Cambria" w:cs="Cambria"/>
                  <w:b w:val="false"/>
                  <w:bCs w:val="false"/>
                  <w:i w:val="false"/>
                  <w:iCs w:val="false"/>
                  <w:sz w:val="20"/>
                  <w:szCs w:val="20"/>
                </w:rPr>
                <w:t>42</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hyperlink r:id="rId172">
        <w:r>
          <w:rPr>
            <w:rStyle w:val="ListLabel113"/>
            <w:rFonts w:eastAsia="Cambria" w:cs="Cambria"/>
            <w:b w:val="false"/>
            <w:bCs w:val="false"/>
            <w:i w:val="false"/>
            <w:iCs w:val="false"/>
            <w:color w:val="0563C1"/>
            <w:sz w:val="22"/>
            <w:szCs w:val="22"/>
            <w:u w:val="single"/>
          </w:rPr>
          <w:t>gesetze-im-internet.de</w:t>
        </w:r>
      </w:hyperlink>
      <w:r>
        <w:rPr>
          <w:rFonts w:eastAsia="Cambria" w:cs="Cambria"/>
          <w:b w:val="false"/>
          <w:bCs w:val="false"/>
          <w:i w:val="false"/>
          <w:iCs w:val="false"/>
          <w:sz w:val="22"/>
          <w:szCs w:val="22"/>
        </w:rPr>
        <w:t xml:space="preserve"> — SGB V §§ 5, 6, 9, 10, 16, 175, 190, 191; VVG § 193</w:t>
      </w:r>
    </w:p>
    <w:p>
      <w:pPr>
        <w:pStyle w:val="ListParagraph"/>
        <w:numPr>
          <w:ilvl w:val="0"/>
          <w:numId w:val="1"/>
        </w:numPr>
        <w:spacing w:lineRule="exact" w:line="288" w:before="0" w:after="60"/>
        <w:rPr/>
      </w:pPr>
      <w:r>
        <w:rPr>
          <w:rFonts w:eastAsia="Cambria" w:cs="Cambria"/>
          <w:b w:val="false"/>
          <w:bCs w:val="false"/>
          <w:i w:val="false"/>
          <w:iCs w:val="false"/>
          <w:sz w:val="22"/>
          <w:szCs w:val="22"/>
        </w:rPr>
        <w:t>GKV-Spitzenverband — Beitragssätze und Rechengrößen 2026 (</w:t>
      </w:r>
      <w:hyperlink r:id="rId173">
        <w:r>
          <w:rPr>
            <w:rStyle w:val="ListLabel113"/>
            <w:rFonts w:eastAsia="Cambria" w:cs="Cambria"/>
            <w:b w:val="false"/>
            <w:bCs w:val="false"/>
            <w:i w:val="false"/>
            <w:iCs w:val="false"/>
            <w:color w:val="0563C1"/>
            <w:sz w:val="22"/>
            <w:szCs w:val="22"/>
            <w:u w:val="single"/>
          </w:rPr>
          <w:t>gkv-spitzenverband.de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Techniker Krankenkasse — Anwartschaft bei Auslandsaufenthalt (</w:t>
      </w:r>
      <w:hyperlink r:id="rId174">
        <w:r>
          <w:rPr>
            <w:rStyle w:val="ListLabel113"/>
            <w:rFonts w:eastAsia="Cambria" w:cs="Cambria"/>
            <w:b w:val="false"/>
            <w:bCs w:val="false"/>
            <w:i w:val="false"/>
            <w:iCs w:val="false"/>
            <w:color w:val="0563C1"/>
            <w:sz w:val="22"/>
            <w:szCs w:val="22"/>
            <w:u w:val="single"/>
          </w:rPr>
          <w:t>tk.de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KFF — School Vaccine Requirements (</w:t>
      </w:r>
      <w:hyperlink r:id="rId175">
        <w:r>
          <w:rPr>
            <w:rStyle w:val="ListLabel113"/>
            <w:rFonts w:eastAsia="Cambria" w:cs="Cambria"/>
            <w:b w:val="false"/>
            <w:bCs w:val="false"/>
            <w:i w:val="false"/>
            <w:iCs w:val="false"/>
            <w:color w:val="0563C1"/>
            <w:sz w:val="22"/>
            <w:szCs w:val="22"/>
            <w:u w:val="single"/>
          </w:rPr>
          <w:t>kff.org</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CDC — Empfohlener Impfplan für Kinder (</w:t>
      </w:r>
      <w:hyperlink r:id="rId176">
        <w:r>
          <w:rPr>
            <w:rStyle w:val="ListLabel113"/>
            <w:rFonts w:eastAsia="Cambria" w:cs="Cambria"/>
            <w:b w:val="false"/>
            <w:bCs w:val="false"/>
            <w:i w:val="false"/>
            <w:iCs w:val="false"/>
            <w:color w:val="0563C1"/>
            <w:sz w:val="22"/>
            <w:szCs w:val="22"/>
            <w:u w:val="single"/>
          </w:rPr>
          <w:t>cdc.gov/vaccines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 Customs and Border Protection — Reisen mit Medikamenten (</w:t>
      </w:r>
      <w:hyperlink r:id="rId177">
        <w:r>
          <w:rPr>
            <w:rStyle w:val="ListLabel113"/>
            <w:rFonts w:eastAsia="Cambria" w:cs="Cambria"/>
            <w:b w:val="false"/>
            <w:bCs w:val="false"/>
            <w:i w:val="false"/>
            <w:iCs w:val="false"/>
            <w:color w:val="0563C1"/>
            <w:sz w:val="22"/>
            <w:szCs w:val="22"/>
            <w:u w:val="single"/>
          </w:rPr>
          <w:t>cbp.gov</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GKV-Beitragssätze, Versicherungspflichtgrenze und Anwartschaftskosten ändern sich jährlich; Rechtsgrundlage und Höhe der GKV-Anwartschaft legt jede Kasse selbst fest, die hier genannten 70 € sind nur ein Richtwert. Schulimpfpflichten sind Landesrecht und ändern sich von Schuljahr zu Schuljahr; prüfe sie beim zuständigen Schuldistrikt (Kapitel </w:t>
            </w:r>
            <w:hyperlink w:anchor="k36">
              <w:r>
                <w:rPr>
                  <w:rStyle w:val="ListLabel114"/>
                  <w:rFonts w:eastAsia="Cambria" w:cs="Cambria"/>
                  <w:b w:val="false"/>
                  <w:bCs w:val="false"/>
                  <w:i w:val="false"/>
                  <w:iCs w:val="false"/>
                  <w:sz w:val="20"/>
                  <w:szCs w:val="20"/>
                </w:rPr>
                <w:t>36</w:t>
              </w:r>
            </w:hyperlink>
            <w:r>
              <w:rPr>
                <w:rFonts w:eastAsia="Cambria" w:cs="Cambria"/>
                <w:b w:val="false"/>
                <w:bCs w:val="false"/>
                <w:i w:val="false"/>
                <w:iCs w:val="false"/>
                <w:sz w:val="20"/>
                <w:szCs w:val="20"/>
              </w:rPr>
              <w:t>), bevor du planst.</w:t>
            </w:r>
          </w:p>
        </w:tc>
      </w:tr>
    </w:tbl>
    <w:p>
      <w:pPr>
        <w:pStyle w:val="Normal"/>
        <w:spacing w:lineRule="exact" w:line="220" w:before="0" w:after="0"/>
        <w:rPr/>
      </w:pPr>
      <w:r>
        <w:rPr/>
      </w:r>
      <w:r>
        <w:br w:type="page"/>
      </w:r>
    </w:p>
    <w:p>
      <w:pPr>
        <w:pStyle w:val="Heading2"/>
        <w:keepNext w:val="true"/>
        <w:spacing w:before="0" w:after="300"/>
        <w:jc w:val="center"/>
        <w:rPr/>
      </w:pPr>
      <w:bookmarkStart w:id="49" w:name="__RefHeading___Toc56471_3769931028"/>
      <w:bookmarkStart w:id="50" w:name="k19"/>
      <w:bookmarkEnd w:id="49"/>
      <w:r>
        <w:rPr>
          <w:rFonts w:eastAsia="Amazon Ember" w:cs="Amazon Ember" w:ascii="Amazon Ember" w:hAnsi="Amazon Ember"/>
          <w:b/>
          <w:bCs/>
          <w:color w:val="0000FF"/>
          <w:sz w:val="36"/>
          <w:szCs w:val="36"/>
        </w:rPr>
        <w:t>Kapitel 19: Dokumente, Übersetzungen, Apostillen</w:t>
      </w:r>
      <w:bookmarkEnd w:id="50"/>
    </w:p>
    <w:p>
      <w:pPr>
        <w:pStyle w:val="Normal"/>
        <w:keepNext w:val="false"/>
        <w:keepLines w:val="false"/>
        <w:spacing w:lineRule="exact" w:line="288" w:before="0" w:after="140"/>
        <w:jc w:val="left"/>
        <w:rPr/>
      </w:pPr>
      <w:r>
        <w:rPr>
          <w:rFonts w:eastAsia="Cambria" w:cs="Cambria"/>
          <w:b w:val="false"/>
          <w:bCs w:val="false"/>
          <w:i w:val="false"/>
          <w:iCs w:val="false"/>
          <w:sz w:val="22"/>
          <w:szCs w:val="22"/>
        </w:rPr>
        <w:t>Zwei Wochen vor dem Abflug schreibt die künftige Grundschule: Für die Anmeldung fehlen Geburtsurkunde, Impfnachweis und Zeugnisse, bitte auf Englisch. Die Originale liegen in einem Ordner im Umzugscontainer, irgendwo auf dem Atlantik. Papierkram wirkt unspektakulär, bis ein Dokument fehlt, das sich in Deutschland mit einem Besuch beim Standesamt besorgen ließe, aus den USA aber nur mit Wochen Wartezeit. Dieses Kapitel zeigt, welche Unterlagen du wofür brauchst, wann Apostille und Übersetzung nötig sind und in welcher Reihenfolge du vorgehst.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Für Petition und Visum genügt meist eine vollständige englische Übersetzung mit Erklärung des Übersetzers; „vereidigt“ verlangt USCIS nicht. Eine Apostille brauchst du nur, wenn eine US-Stelle sie ausdrücklich fordert.</w:t>
            </w:r>
          </w:p>
          <w:p>
            <w:pPr>
              <w:pStyle w:val="ListParagraph"/>
              <w:numPr>
                <w:ilvl w:val="0"/>
                <w:numId w:val="1"/>
              </w:numPr>
              <w:spacing w:lineRule="exact" w:line="264" w:before="0" w:after="50"/>
              <w:rPr/>
            </w:pPr>
            <w:r>
              <w:rPr>
                <w:rFonts w:eastAsia="Cambria" w:cs="Cambria"/>
                <w:b w:val="false"/>
                <w:bCs w:val="false"/>
                <w:i w:val="false"/>
                <w:iCs w:val="false"/>
                <w:sz w:val="20"/>
                <w:szCs w:val="20"/>
              </w:rPr>
              <w:t>Apostillen stellen Landes- oder Bundesbehörden aus: meist 15–40 €, Dauer je nach Land etwa zwei bis zehn Wochen. Konsulate stellen keine aus.</w:t>
            </w:r>
          </w:p>
          <w:p>
            <w:pPr>
              <w:pStyle w:val="ListParagraph"/>
              <w:numPr>
                <w:ilvl w:val="0"/>
                <w:numId w:val="1"/>
              </w:numPr>
              <w:spacing w:lineRule="exact" w:line="264" w:before="0" w:after="50"/>
              <w:rPr/>
            </w:pPr>
            <w:r>
              <w:rPr>
                <w:rFonts w:eastAsia="Cambria" w:cs="Cambria"/>
                <w:b w:val="false"/>
                <w:bCs w:val="false"/>
                <w:i w:val="false"/>
                <w:iCs w:val="false"/>
                <w:sz w:val="20"/>
                <w:szCs w:val="20"/>
              </w:rPr>
              <w:t>Das Bewertungsgutachten für deinen Abschluss (WES oder ECE, ca. 110–240 $) ist für H-1B das wichtigste Papier. Es muss vor der Registrierung im März stehen.</w:t>
            </w:r>
          </w:p>
          <w:p>
            <w:pPr>
              <w:pStyle w:val="ListParagraph"/>
              <w:numPr>
                <w:ilvl w:val="0"/>
                <w:numId w:val="1"/>
              </w:numPr>
              <w:spacing w:lineRule="exact" w:line="264" w:before="0" w:after="50"/>
              <w:rPr/>
            </w:pPr>
            <w:r>
              <w:rPr>
                <w:rFonts w:eastAsia="Cambria" w:cs="Cambria"/>
                <w:b w:val="false"/>
                <w:bCs w:val="false"/>
                <w:i w:val="false"/>
                <w:iCs w:val="false"/>
                <w:sz w:val="20"/>
                <w:szCs w:val="20"/>
              </w:rPr>
              <w:t>Ärzte, Pflegekräfte, Lehrer, Handwerker und Ingenieure mit Prüfverantwortung brauchen eine Lizenz des Bundesstaats. Der Vorlauf reicht von Monaten bis zu Jahren.</w:t>
            </w:r>
          </w:p>
          <w:p>
            <w:pPr>
              <w:pStyle w:val="ListParagraph"/>
              <w:numPr>
                <w:ilvl w:val="0"/>
                <w:numId w:val="1"/>
              </w:numPr>
              <w:spacing w:lineRule="exact" w:line="264" w:before="0" w:after="50"/>
              <w:rPr/>
            </w:pPr>
            <w:r>
              <w:rPr>
                <w:rFonts w:eastAsia="Cambria" w:cs="Cambria"/>
                <w:b w:val="false"/>
                <w:bCs w:val="false"/>
                <w:i w:val="false"/>
                <w:iCs w:val="false"/>
                <w:sz w:val="20"/>
                <w:szCs w:val="20"/>
              </w:rPr>
              <w:t>Reisepässe müssen den ganzen Aufenthalt abdecken; Kinderreisepässe gibt es nicht mehr. Erneuere im Inland, bevor du das Visum beantragst.</w:t>
            </w:r>
          </w:p>
          <w:p>
            <w:pPr>
              <w:pStyle w:val="ListParagraph"/>
              <w:numPr>
                <w:ilvl w:val="0"/>
                <w:numId w:val="1"/>
              </w:numPr>
              <w:spacing w:lineRule="exact" w:line="264" w:before="0" w:after="50"/>
              <w:rPr/>
            </w:pPr>
            <w:r>
              <w:rPr>
                <w:rFonts w:eastAsia="Cambria" w:cs="Cambria"/>
                <w:b w:val="false"/>
                <w:bCs w:val="false"/>
                <w:i w:val="false"/>
                <w:iCs w:val="false"/>
                <w:sz w:val="20"/>
                <w:szCs w:val="20"/>
              </w:rPr>
              <w:t>Originale gehören ins Handgepäck, Scans verschlüsselt in die Cloud.</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Dokumentenliste: was du wofür brauchst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Nicht jede Person braucht jede Unterlage – die Tabelle zeigt, was bei Fachkräften mit Familie typisch anfällt. Für H-1B und H-4 wollen USCIS und Konsulat vor allem Pass, Abschluss samt Bewertung, Berufsnachweise und bei Angehörigen Heirats- und Geburtsurkunden sehen; die Mappe für das Interview steht in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1579"/>
        <w:gridCol w:w="1292"/>
        <w:gridCol w:w="1618"/>
        <w:gridCol w:w="1990"/>
      </w:tblGrid>
      <w:tr>
        <w:trPr>
          <w:tblHeader w:val="true"/>
          <w:cantSplit w:val="true"/>
        </w:trPr>
        <w:tc>
          <w:tcPr>
            <w:tcW w:w="157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Dokument</w:t>
            </w:r>
          </w:p>
        </w:tc>
        <w:tc>
          <w:tcPr>
            <w:tcW w:w="129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Wofür</w:t>
            </w:r>
          </w:p>
        </w:tc>
        <w:tc>
          <w:tcPr>
            <w:tcW w:w="161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Apostille/Übersetzung</w:t>
            </w:r>
          </w:p>
        </w:tc>
        <w:tc>
          <w:tcPr>
            <w:tcW w:w="199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Dauer und Kosten</w:t>
            </w:r>
          </w:p>
        </w:tc>
      </w:tr>
      <w:tr>
        <w:trPr>
          <w:cantSplit w:val="true"/>
        </w:trPr>
        <w:tc>
          <w:tcPr>
            <w:tcW w:w="15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Reisepass, jede Person</w:t>
            </w:r>
          </w:p>
        </w:tc>
        <w:tc>
          <w:tcPr>
            <w:tcW w:w="12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Registrierung, Visum, Einreise</w:t>
            </w:r>
          </w:p>
        </w:tc>
        <w:tc>
          <w:tcPr>
            <w:tcW w:w="1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w:t>
            </w:r>
          </w:p>
        </w:tc>
        <w:tc>
          <w:tcPr>
            <w:tcW w:w="19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Inland 3–4 Wochen, Express 3 Werktage; 70 € (ab 24 Jahren), 37,50 € (darunter)</w:t>
            </w:r>
          </w:p>
        </w:tc>
      </w:tr>
      <w:tr>
        <w:trPr>
          <w:cantSplit w:val="true"/>
        </w:trPr>
        <w:tc>
          <w:tcPr>
            <w:tcW w:w="15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Geburts- und Heiratsurkunde (internationale Ausfertigung)</w:t>
            </w:r>
          </w:p>
        </w:tc>
        <w:tc>
          <w:tcPr>
            <w:tcW w:w="12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H-4-Visum, Green Card, Schule</w:t>
            </w:r>
          </w:p>
        </w:tc>
        <w:tc>
          <w:tcPr>
            <w:tcW w:w="1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Übersetzung auf Verlangen; Apostille nur, wenn gefordert</w:t>
            </w:r>
          </w:p>
        </w:tc>
        <w:tc>
          <w:tcPr>
            <w:tcW w:w="19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Standesamt, meist 10–15 € je Urkunde; Dauer erfragen</w:t>
            </w:r>
          </w:p>
        </w:tc>
      </w:tr>
      <w:tr>
        <w:trPr>
          <w:cantSplit w:val="true"/>
        </w:trPr>
        <w:tc>
          <w:tcPr>
            <w:tcW w:w="15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Diplom und Zeugnisse</w:t>
            </w:r>
          </w:p>
        </w:tc>
        <w:tc>
          <w:tcPr>
            <w:tcW w:w="12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Zeugnisbewertung, Lizenz</w:t>
            </w:r>
          </w:p>
        </w:tc>
        <w:tc>
          <w:tcPr>
            <w:tcW w:w="1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Übersetzung ja; Apostille nur auf Verlangen</w:t>
            </w:r>
          </w:p>
        </w:tc>
        <w:tc>
          <w:tcPr>
            <w:tcW w:w="19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beglaubigte Kopien beim Hochschulsekretariat</w:t>
            </w:r>
          </w:p>
        </w:tc>
      </w:tr>
      <w:tr>
        <w:trPr>
          <w:cantSplit w:val="true"/>
        </w:trPr>
        <w:tc>
          <w:tcPr>
            <w:tcW w:w="15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Zeugnisbewertung</w:t>
            </w:r>
          </w:p>
        </w:tc>
        <w:tc>
          <w:tcPr>
            <w:tcW w:w="12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H-1B, Hochschule, Lizenz</w:t>
            </w:r>
          </w:p>
        </w:tc>
        <w:tc>
          <w:tcPr>
            <w:tcW w:w="1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c>
          <w:tcPr>
            <w:tcW w:w="19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110–240 $, mehrere Wochen</w:t>
            </w:r>
          </w:p>
        </w:tc>
      </w:tr>
      <w:tr>
        <w:trPr>
          <w:cantSplit w:val="true"/>
        </w:trPr>
        <w:tc>
          <w:tcPr>
            <w:tcW w:w="15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Arbeitszeugnisse, Arbeitsverträge</w:t>
            </w:r>
          </w:p>
        </w:tc>
        <w:tc>
          <w:tcPr>
            <w:tcW w:w="12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Berufserfahrung belegen</w:t>
            </w:r>
          </w:p>
        </w:tc>
        <w:tc>
          <w:tcPr>
            <w:tcW w:w="1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Übersetzung ja</w:t>
            </w:r>
          </w:p>
        </w:tc>
        <w:tc>
          <w:tcPr>
            <w:tcW w:w="19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beim Arbeitgeber anfordern</w:t>
            </w:r>
          </w:p>
        </w:tc>
      </w:tr>
      <w:tr>
        <w:trPr>
          <w:cantSplit w:val="true"/>
        </w:trPr>
        <w:tc>
          <w:tcPr>
            <w:tcW w:w="15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Führungszeugnis</w:t>
            </w:r>
          </w:p>
        </w:tc>
        <w:tc>
          <w:tcPr>
            <w:tcW w:w="12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Card im Konsularverfahren, Lizenzen</w:t>
            </w:r>
          </w:p>
        </w:tc>
        <w:tc>
          <w:tcPr>
            <w:tcW w:w="1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Übersetzung ja; Apostille über das BfAA</w:t>
            </w:r>
          </w:p>
        </w:tc>
        <w:tc>
          <w:tcPr>
            <w:tcW w:w="19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13 €, Apostille ab 22 €; Wochen</w:t>
            </w:r>
          </w:p>
        </w:tc>
      </w:tr>
      <w:tr>
        <w:trPr>
          <w:cantSplit w:val="true"/>
        </w:trPr>
        <w:tc>
          <w:tcPr>
            <w:tcW w:w="15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Führerschein</w:t>
            </w:r>
          </w:p>
        </w:tc>
        <w:tc>
          <w:tcPr>
            <w:tcW w:w="12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Fahren, Ausweis, Versicherung</w:t>
            </w:r>
          </w:p>
        </w:tc>
        <w:tc>
          <w:tcPr>
            <w:tcW w:w="1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 Bundesstaat verschieden (Kapitel </w:t>
            </w:r>
            <w:hyperlink w:anchor="k27">
              <w:r>
                <w:rPr>
                  <w:rStyle w:val="ListLabel112"/>
                  <w:rFonts w:eastAsia="Cambria" w:cs="Cambria"/>
                  <w:b w:val="false"/>
                  <w:bCs w:val="false"/>
                  <w:i w:val="false"/>
                  <w:iCs w:val="false"/>
                  <w:sz w:val="18"/>
                  <w:szCs w:val="18"/>
                </w:rPr>
                <w:t>27</w:t>
              </w:r>
            </w:hyperlink>
            <w:r>
              <w:rPr>
                <w:rFonts w:eastAsia="Cambria" w:cs="Cambria"/>
                <w:b w:val="false"/>
                <w:bCs w:val="false"/>
                <w:i w:val="false"/>
                <w:iCs w:val="false"/>
                <w:sz w:val="18"/>
                <w:szCs w:val="18"/>
              </w:rPr>
              <w:t>)</w:t>
            </w:r>
          </w:p>
        </w:tc>
        <w:tc>
          <w:tcPr>
            <w:tcW w:w="19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Original mitnehmen</w:t>
            </w:r>
          </w:p>
        </w:tc>
      </w:tr>
      <w:tr>
        <w:trPr>
          <w:cantSplit w:val="true"/>
        </w:trPr>
        <w:tc>
          <w:tcPr>
            <w:tcW w:w="15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Impfpass, Schulzeugnisse der Kinder</w:t>
            </w:r>
          </w:p>
        </w:tc>
        <w:tc>
          <w:tcPr>
            <w:tcW w:w="12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Schule, Kita, Arzt</w:t>
            </w:r>
          </w:p>
        </w:tc>
        <w:tc>
          <w:tcPr>
            <w:tcW w:w="1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Übersetzung; die Schule entscheidet (Kapitel </w:t>
            </w:r>
            <w:hyperlink w:anchor="k18">
              <w:r>
                <w:rPr>
                  <w:rStyle w:val="ListLabel112"/>
                  <w:rFonts w:eastAsia="Cambria" w:cs="Cambria"/>
                  <w:b w:val="false"/>
                  <w:bCs w:val="false"/>
                  <w:i w:val="false"/>
                  <w:iCs w:val="false"/>
                  <w:sz w:val="18"/>
                  <w:szCs w:val="18"/>
                </w:rPr>
                <w:t>18</w:t>
              </w:r>
            </w:hyperlink>
            <w:r>
              <w:rPr>
                <w:rFonts w:eastAsia="Cambria" w:cs="Cambria"/>
                <w:b w:val="false"/>
                <w:bCs w:val="false"/>
                <w:i w:val="false"/>
                <w:iCs w:val="false"/>
                <w:sz w:val="18"/>
                <w:szCs w:val="18"/>
              </w:rPr>
              <w:t xml:space="preserve">, </w:t>
            </w:r>
            <w:hyperlink w:anchor="k36">
              <w:r>
                <w:rPr>
                  <w:rStyle w:val="ListLabel112"/>
                  <w:rFonts w:eastAsia="Cambria" w:cs="Cambria"/>
                  <w:b w:val="false"/>
                  <w:bCs w:val="false"/>
                  <w:i w:val="false"/>
                  <w:iCs w:val="false"/>
                  <w:sz w:val="18"/>
                  <w:szCs w:val="18"/>
                </w:rPr>
                <w:t>36</w:t>
              </w:r>
            </w:hyperlink>
            <w:r>
              <w:rPr>
                <w:rFonts w:eastAsia="Cambria" w:cs="Cambria"/>
                <w:b w:val="false"/>
                <w:bCs w:val="false"/>
                <w:i w:val="false"/>
                <w:iCs w:val="false"/>
                <w:sz w:val="18"/>
                <w:szCs w:val="18"/>
              </w:rPr>
              <w:t>)</w:t>
            </w:r>
          </w:p>
        </w:tc>
        <w:tc>
          <w:tcPr>
            <w:tcW w:w="19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Arztpraxis, Schulsekretariat</w:t>
            </w:r>
          </w:p>
        </w:tc>
      </w:tr>
      <w:tr>
        <w:trPr>
          <w:cantSplit w:val="true"/>
        </w:trPr>
        <w:tc>
          <w:tcPr>
            <w:tcW w:w="15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Steuerbescheide, Gehaltsabrechnungen</w:t>
            </w:r>
          </w:p>
        </w:tc>
        <w:tc>
          <w:tcPr>
            <w:tcW w:w="12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Mietbewerbung, Kredit</w:t>
            </w:r>
          </w:p>
        </w:tc>
        <w:tc>
          <w:tcPr>
            <w:tcW w:w="1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Übersetzung nur auf Anfrage</w:t>
            </w:r>
          </w:p>
        </w:tc>
        <w:tc>
          <w:tcPr>
            <w:tcW w:w="19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Kopien der letzten Jahre</w:t>
            </w:r>
          </w:p>
        </w:tc>
      </w:tr>
      <w:tr>
        <w:trPr>
          <w:cantSplit w:val="true"/>
        </w:trPr>
        <w:tc>
          <w:tcPr>
            <w:tcW w:w="15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SF-Klassen-Nachweis (Schadenfreiheitsbescheinigung)</w:t>
            </w:r>
          </w:p>
        </w:tc>
        <w:tc>
          <w:tcPr>
            <w:tcW w:w="12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US-Autoversicherung (Kapitel </w:t>
            </w:r>
            <w:hyperlink w:anchor="k25">
              <w:r>
                <w:rPr>
                  <w:rStyle w:val="ListLabel112"/>
                  <w:rFonts w:eastAsia="Cambria" w:cs="Cambria"/>
                  <w:b w:val="false"/>
                  <w:bCs w:val="false"/>
                  <w:i w:val="false"/>
                  <w:iCs w:val="false"/>
                  <w:sz w:val="18"/>
                  <w:szCs w:val="18"/>
                </w:rPr>
                <w:t>25</w:t>
              </w:r>
            </w:hyperlink>
            <w:r>
              <w:rPr>
                <w:rFonts w:eastAsia="Cambria" w:cs="Cambria"/>
                <w:b w:val="false"/>
                <w:bCs w:val="false"/>
                <w:i w:val="false"/>
                <w:iCs w:val="false"/>
                <w:sz w:val="18"/>
                <w:szCs w:val="18"/>
              </w:rPr>
              <w:t>)</w:t>
            </w:r>
          </w:p>
        </w:tc>
        <w:tc>
          <w:tcPr>
            <w:tcW w:w="1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englische Fassung anfordern</w:t>
            </w:r>
          </w:p>
        </w:tc>
        <w:tc>
          <w:tcPr>
            <w:tcW w:w="19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beim Versicherer; Anerkennung uneinheitlich</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Einkommensnachweise helfen später bei Miete und Kredit, denn dein deutscher Schufa-Score gilt in den USA nicht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 xml:space="preserve">,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Apostille: Echtheitsvermerk für Sonderfälle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Eine Apostille bestätigt die Echtheit der Unterschrift und die Befugnis des Ausstellers, nicht den Inhalt der Urkunde. Grundlage ist das Haager Übereinkommen von 1961, dem Deutschland und die USA angehören. Verbreiteter Irrtum: Viele lassen vorsorglich jede Urkunde mit Apostille versehen, weil das Wort so amtlich-endgültig klingt. Für Petition und Visum ist sie nach den veröffentlichten USCIS-Anforderungen aber meist gar nicht nötig (Stand September 2026); frag die Kanzlei, bevor du bestellst. Fordern kann sie jede US-Stelle, die deutsche Urkunden prüfen will – etwa eine Lizenzbehörde, ein Gericht oder eine Hochschule.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sie ausstellt, hängt von der Urkunde ab:</w:t>
      </w:r>
    </w:p>
    <w:p>
      <w:pPr>
        <w:pStyle w:val="ListParagraph"/>
        <w:numPr>
          <w:ilvl w:val="0"/>
          <w:numId w:val="1"/>
        </w:numPr>
        <w:spacing w:lineRule="exact" w:line="288" w:before="0" w:after="60"/>
        <w:rPr/>
      </w:pPr>
      <w:r>
        <w:rPr>
          <w:rFonts w:eastAsia="Cambria" w:cs="Cambria"/>
          <w:b w:val="false"/>
          <w:bCs w:val="false"/>
          <w:i w:val="false"/>
          <w:iCs w:val="false"/>
          <w:sz w:val="22"/>
          <w:szCs w:val="22"/>
        </w:rPr>
        <w:t>Notarielle Urkunden: die Präsidentin oder der Präsident des Landgerichts.</w:t>
      </w:r>
    </w:p>
    <w:p>
      <w:pPr>
        <w:pStyle w:val="ListParagraph"/>
        <w:numPr>
          <w:ilvl w:val="0"/>
          <w:numId w:val="1"/>
        </w:numPr>
        <w:spacing w:lineRule="exact" w:line="288" w:before="0" w:after="60"/>
        <w:rPr/>
      </w:pPr>
      <w:r>
        <w:rPr>
          <w:rFonts w:eastAsia="Cambria" w:cs="Cambria"/>
          <w:b w:val="false"/>
          <w:bCs w:val="false"/>
          <w:i w:val="false"/>
          <w:iCs w:val="false"/>
          <w:sz w:val="22"/>
          <w:szCs w:val="22"/>
        </w:rPr>
        <w:t>Personenstandsurkunden (Geburt, Heirat): Regierungspräsidium, Bezirksregierung oder Landesministerium, je nach Bundesland.</w:t>
      </w:r>
    </w:p>
    <w:p>
      <w:pPr>
        <w:pStyle w:val="ListParagraph"/>
        <w:numPr>
          <w:ilvl w:val="0"/>
          <w:numId w:val="1"/>
        </w:numPr>
        <w:spacing w:lineRule="exact" w:line="288" w:before="0" w:after="60"/>
        <w:rPr/>
      </w:pPr>
      <w:r>
        <w:rPr>
          <w:rFonts w:eastAsia="Cambria" w:cs="Cambria"/>
          <w:b w:val="false"/>
          <w:bCs w:val="false"/>
          <w:i w:val="false"/>
          <w:iCs w:val="false"/>
          <w:sz w:val="22"/>
          <w:szCs w:val="22"/>
        </w:rPr>
        <w:t>Bundesurkunden wie das Führungszeugnis: das Bundesamt für Auswärtige Angelegenheiten (BfAA) in Brandenburg an der Havel, nach Vorbeglaubigung durch die ausstellende Bundesbehörde; 22 € je Beglaubigung seit 1. Juli 2025.</w:t>
      </w:r>
    </w:p>
    <w:p>
      <w:pPr>
        <w:pStyle w:val="ListParagraph"/>
        <w:numPr>
          <w:ilvl w:val="0"/>
          <w:numId w:val="1"/>
        </w:numPr>
        <w:spacing w:lineRule="exact" w:line="288" w:before="0" w:after="60"/>
        <w:rPr/>
      </w:pPr>
      <w:r>
        <w:rPr>
          <w:rFonts w:eastAsia="Cambria" w:cs="Cambria"/>
          <w:b w:val="false"/>
          <w:bCs w:val="false"/>
          <w:i w:val="false"/>
          <w:iCs w:val="false"/>
          <w:sz w:val="22"/>
          <w:szCs w:val="22"/>
        </w:rPr>
        <w:t>Deutsche Botschaften und Konsulate: stellen keine Apostillen aus.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US-Urkunden, etwa die Geburtsurkunde eines dort geborenen Kindes: der </w:t>
      </w:r>
      <w:r>
        <w:rPr>
          <w:rFonts w:eastAsia="Cambria" w:cs="Cambria"/>
          <w:b w:val="false"/>
          <w:bCs w:val="false"/>
          <w:i/>
          <w:iCs/>
          <w:sz w:val="22"/>
          <w:szCs w:val="22"/>
        </w:rPr>
        <w:t>Secretary of State</w:t>
      </w:r>
      <w:r>
        <w:rPr>
          <w:rFonts w:eastAsia="Cambria" w:cs="Cambria"/>
          <w:b w:val="false"/>
          <w:bCs w:val="false"/>
          <w:i w:val="false"/>
          <w:iCs w:val="false"/>
          <w:sz w:val="22"/>
          <w:szCs w:val="22"/>
        </w:rPr>
        <w:t xml:space="preserve"> des Bundesstaats (Kapitel </w:t>
      </w:r>
      <w:hyperlink w:anchor="k41">
        <w:r>
          <w:rPr>
            <w:rStyle w:val="ListLabel115"/>
            <w:rFonts w:eastAsia="Cambria" w:cs="Cambria"/>
            <w:b w:val="false"/>
            <w:bCs w:val="false"/>
            <w:i w:val="false"/>
            <w:iCs w:val="false"/>
            <w:sz w:val="22"/>
            <w:szCs w:val="22"/>
          </w:rPr>
          <w:t>41</w:t>
        </w:r>
      </w:hyperlink>
      <w:r>
        <w:rPr>
          <w:rFonts w:eastAsia="Cambria" w:cs="Cambria"/>
          <w:b w:val="false"/>
          <w:bCs w:val="false"/>
          <w:i w:val="false"/>
          <w:iCs w:val="false"/>
          <w:sz w:val="22"/>
          <w:szCs w:val="22"/>
        </w:rPr>
        <w:t xml:space="preserve">,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Landesbehörden verlangen laut ihren Websites meist 15–40 € je Apostille (Berlin 19 €, Baden-Württemberg 25 €). Die Bearbeitung dauert in Berlin etwa zwei Wochen, in Mittelfranken drei bis vier Wochen samt Post, in Düsseldorf und Baden-Württemberg acht bis zehn Wochen. Das Auswärtige Amt selbst spricht von langen Wartezeiten.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Eine Apostille gehört zu genau einer Urkunde; brauchst du sie für mehrere Stellen, sind mehrere Ausfertigungen nötig. Bestelle sie nicht auf Verdacht, aber starte sofort, wenn eine US-Stelle sie schriftlich fordert: Bis zu zehn Wochen sind realistisch.</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Bestelle Geburts- und Heiratsurkunden als mehrsprachige internationale Ausfertigung beim Standesamt des Geburts- oder Heiratsorts, gleich zwei- bis dreimal – das Auswärtige Amt empfiehlt sie für die USA. Konsulate stellen sie nicht aus, und jede Nachbestellung kostet Gebühr und Zeit.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Übersetzungen: was USCIS und das Konsulat verlangen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USCIS verlangt für jede fremdsprachige Unterlage eine vollständige englische Übersetzung. Der Übersetzer bescheinigt schriftlich, dass sie vollständig und richtig ist und dass er das Englische und die Ausgangssprache beherrscht (8 CFR 103.2(b)(3)). Verbreiteter Irrtum: Viele glauben, sie bräuchten eine vereidigte oder notariell beglaubigte Übersetzung wie in Deutschland üblich. Tatsächlich ist das keine Voraussetzung. In Deutschland denkt man bei „beglaubigt“ an den Stempel eines ermächtigten Übersetzers; für USCIS zählt allein die Bescheinigung (</w:t>
      </w:r>
      <w:r>
        <w:rPr>
          <w:rFonts w:eastAsia="Cambria" w:cs="Cambria"/>
          <w:b w:val="false"/>
          <w:bCs w:val="false"/>
          <w:i/>
          <w:iCs/>
          <w:sz w:val="22"/>
          <w:szCs w:val="22"/>
        </w:rPr>
        <w:t>Certificate of Accuracy</w:t>
      </w:r>
      <w:r>
        <w:rPr>
          <w:rFonts w:eastAsia="Cambria" w:cs="Cambria"/>
          <w:b w:val="false"/>
          <w:bCs w:val="false"/>
          <w:i w:val="false"/>
          <w:iCs w:val="false"/>
          <w:sz w:val="22"/>
          <w:szCs w:val="22"/>
        </w:rPr>
        <w:t>) mit Name, Anschrift, Datum und Unterschrift des Übersetzers. Ratsam ist ein unabhängiger Übersetzer oder ein Übersetzungsbüro, nicht du selbst oder Verwandte.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Beim Einwanderervisum akzeptiert das Generalkonsulat Frankfurt nach seiner Checkliste Unterlagen auf Deutsch und Englisch; für andere Sprachen verlangt es eine Übersetzung durch einen kompetenten, registrierten Übersetzer. Zum H-1B-Interview nimmst du Diplome, Zeugnisse und vorhandene Übersetzungen mit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Zeugnisse sind Fachtexte. Hole von zwei Büros Angebote mit Scans ein (abgerechnet wird meist pro Seite oder Normzeile), gib die Notenskala mit an und lass gleich mehrere Ausfertigungen anfertigen.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Lass Namen exakt wie im Reisepass schreiben, mit Umlauten und dem richtigen Namen (Geburts- oder Ehename). Weichen Zeugnisse, Urkunden und Pass voneinander ab, dient die Heiratsurkunde als Brücke. Abweichungen zwischen DS-160, Petition und Belegen können Nachfragen auslösen.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Führungszeugnis und Polizeizeugnisse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Petition und Visum brauchst du meist keins. Verlangt wird es bei der Green Card im Konsularverfahren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bei manchen Lizenzen und bei Arbeitgebern mit Hintergrundprüfung (</w:t>
      </w:r>
      <w:r>
        <w:rPr>
          <w:rFonts w:eastAsia="Cambria" w:cs="Cambria"/>
          <w:b w:val="false"/>
          <w:bCs w:val="false"/>
          <w:i/>
          <w:iCs/>
          <w:sz w:val="22"/>
          <w:szCs w:val="22"/>
        </w:rPr>
        <w:t>Background Check</w:t>
      </w:r>
      <w:r>
        <w:rPr>
          <w:rFonts w:eastAsia="Cambria" w:cs="Cambria"/>
          <w:b w:val="false"/>
          <w:bCs w:val="false"/>
          <w:i w:val="false"/>
          <w:iCs w:val="false"/>
          <w:sz w:val="22"/>
          <w:szCs w:val="22"/>
        </w:rPr>
        <w:t>). Beantragst du die Green Card im Inland (Form I-485), fordert USCIS Polizei- und Gerichtsakten nur bei Festnahmen, Anklagen oder Verurteilungen.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Deutschland beantragst du das Zeugnis bei der Meldebehörde oder online über fuehrungszeugnis.bund.de; es kostet 13 €. Aus dem Ausland geht der Antrag direkt an das Bundesamt für Justiz, online oder schriftlich mit amtlich beglaubigter Unterschrift (ein US-Notar genügt). Für Auslandsanträge nennt das Amt verlängerte Bearbeitungszeiten. Das Zeugnis wird meist auf Deutsch ausgestellt: Für USCIS oder Lizenzbehörden brauchst du eine englische Übersetzung, für das Konsulat Frankfurt genügt laut Checkliste das deutsche Original. Eine Apostille setzt die Vorbeglaubigung durch das Bundesamt für Justiz voraus, dann folgt das BfAA.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Beim Einwanderervisum brauchen alle ab 16 Jahren ein Polizeizeugnis, soweit erhältlich, nach 22 CFR 42.65 auch aus anderen Ländern: aus dem aktuellen Wohnland ab sechs Monaten Aufenthalt, aus früheren Wohnländern ab einem Jahr. Wer im Ausland studiert oder gearbeitet hat, fragt diese Register früh an. Wie aktuell ein Zeugnis sein darf, steht in der Checkliste deines Verfahrens.</w:t>
      </w:r>
    </w:p>
    <w:p>
      <w:pPr>
        <w:pStyle w:val="Heading3"/>
        <w:keepNext w:val="true"/>
        <w:spacing w:before="280" w:after="100"/>
        <w:jc w:val="center"/>
        <w:rPr/>
      </w:pPr>
      <w:r>
        <w:rPr>
          <w:rFonts w:eastAsia="Amazon Ember" w:cs="Amazon Ember" w:ascii="Amazon Ember" w:hAnsi="Amazon Ember"/>
          <w:b/>
          <w:bCs/>
          <w:color w:val="0000FF"/>
          <w:sz w:val="36"/>
          <w:szCs w:val="36"/>
        </w:rPr>
        <w:t>Diplom-Bewertung: WES, ECE und die H-1B-Gleichwertigkeit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H-1B muss dein Abschluss einem US-Bachelor oder mehr entsprechen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Ein deutsches Zeugnis sagt einer US-Behörde wenig; deshalb legt die Kanzlei meist ein Bewertungsgutachten (</w:t>
      </w:r>
      <w:r>
        <w:rPr>
          <w:rFonts w:eastAsia="Cambria" w:cs="Cambria"/>
          <w:b w:val="false"/>
          <w:bCs w:val="false"/>
          <w:i/>
          <w:iCs/>
          <w:sz w:val="22"/>
          <w:szCs w:val="22"/>
        </w:rPr>
        <w:t>Credential Evaluation</w:t>
      </w:r>
      <w:r>
        <w:rPr>
          <w:rFonts w:eastAsia="Cambria" w:cs="Cambria"/>
          <w:b w:val="false"/>
          <w:bCs w:val="false"/>
          <w:i w:val="false"/>
          <w:iCs w:val="false"/>
          <w:sz w:val="22"/>
          <w:szCs w:val="22"/>
        </w:rPr>
        <w:t>) vor – von einem privaten Anbieter, der deinen Abschluss dem US-System zuordnet. Verbreitet sind WES und ECE, beide Mitglieder im Verband NACES, der 18 Stellen zusammenfasst. Das Gutachten ist ein Beweismittel, keine Anerkennung: USCIS entscheidet selbst und kann trotz Gutachten nachfordern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Anbieter unterscheiden zwei Varianten. Die dokumentenbasierte Bewertung (</w:t>
      </w:r>
      <w:r>
        <w:rPr>
          <w:rFonts w:eastAsia="Cambria" w:cs="Cambria"/>
          <w:b w:val="false"/>
          <w:bCs w:val="false"/>
          <w:i/>
          <w:iCs/>
          <w:sz w:val="22"/>
          <w:szCs w:val="22"/>
        </w:rPr>
        <w:t>Document-by-Document</w:t>
      </w:r>
      <w:r>
        <w:rPr>
          <w:rFonts w:eastAsia="Cambria" w:cs="Cambria"/>
          <w:b w:val="false"/>
          <w:bCs w:val="false"/>
          <w:i w:val="false"/>
          <w:iCs w:val="false"/>
          <w:sz w:val="22"/>
          <w:szCs w:val="22"/>
        </w:rPr>
        <w:t>) nennt Abschluss und Gleichwertigkeit. Die Fach-für-Fach-Bewertung (</w:t>
      </w:r>
      <w:r>
        <w:rPr>
          <w:rFonts w:eastAsia="Cambria" w:cs="Cambria"/>
          <w:b w:val="false"/>
          <w:bCs w:val="false"/>
          <w:i/>
          <w:iCs/>
          <w:sz w:val="22"/>
          <w:szCs w:val="22"/>
        </w:rPr>
        <w:t>Course-by-Course</w:t>
      </w:r>
      <w:r>
        <w:rPr>
          <w:rFonts w:eastAsia="Cambria" w:cs="Cambria"/>
          <w:b w:val="false"/>
          <w:bCs w:val="false"/>
          <w:i w:val="false"/>
          <w:iCs w:val="false"/>
          <w:sz w:val="22"/>
          <w:szCs w:val="22"/>
        </w:rPr>
        <w:t>) listet zusätzlich Fächer, Credits und Notendurchschnitt; Hochschulen und Lizenzbehörden verlangen meist sie. Welche Variante sinnvoll ist, klärt die Kanzlei.</w:t>
      </w:r>
    </w:p>
    <w:tbl>
      <w:tblPr>
        <w:tblW w:w="6480" w:type="dxa"/>
        <w:jc w:val="left"/>
        <w:tblInd w:w="0" w:type="dxa"/>
        <w:tblLayout w:type="fixed"/>
        <w:tblCellMar>
          <w:top w:w="50" w:type="dxa"/>
          <w:left w:w="80" w:type="dxa"/>
          <w:bottom w:w="50" w:type="dxa"/>
          <w:right w:w="80" w:type="dxa"/>
        </w:tblCellMar>
      </w:tblPr>
      <w:tblGrid>
        <w:gridCol w:w="1688"/>
        <w:gridCol w:w="2310"/>
        <w:gridCol w:w="2482"/>
      </w:tblGrid>
      <w:tr>
        <w:trPr>
          <w:tblHeader w:val="true"/>
          <w:cantSplit w:val="true"/>
        </w:trPr>
        <w:tc>
          <w:tcPr>
            <w:tcW w:w="168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Variante</w:t>
            </w:r>
          </w:p>
        </w:tc>
        <w:tc>
          <w:tcPr>
            <w:tcW w:w="231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WES</w:t>
            </w:r>
          </w:p>
        </w:tc>
        <w:tc>
          <w:tcPr>
            <w:tcW w:w="248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ECE</w:t>
            </w:r>
          </w:p>
        </w:tc>
      </w:tr>
      <w:tr>
        <w:trPr>
          <w:cantSplit w:val="true"/>
        </w:trPr>
        <w:tc>
          <w:tcPr>
            <w:tcW w:w="16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Dokumentenbasiert</w:t>
            </w:r>
          </w:p>
        </w:tc>
        <w:tc>
          <w:tcPr>
            <w:tcW w:w="2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118 $ (ICAP-Paket 171 $)</w:t>
            </w:r>
          </w:p>
        </w:tc>
        <w:tc>
          <w:tcPr>
            <w:tcW w:w="24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110 $ (mit Notendurchschnitt 135 $)</w:t>
            </w:r>
          </w:p>
        </w:tc>
      </w:tr>
      <w:tr>
        <w:trPr>
          <w:cantSplit w:val="true"/>
        </w:trPr>
        <w:tc>
          <w:tcPr>
            <w:tcW w:w="16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Fach für Fach</w:t>
            </w:r>
          </w:p>
        </w:tc>
        <w:tc>
          <w:tcPr>
            <w:tcW w:w="2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186 $ (ICAP-Paket 239 $)</w:t>
            </w:r>
          </w:p>
        </w:tc>
        <w:tc>
          <w:tcPr>
            <w:tcW w:w="24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199 $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Preise laut Anbieterseiten vom 20. September 2026, zuzüglich Versand (WES ab 14 $, Kurier 19–86 $). WES hat 3 % mehr ab 1. Januar 2026 angekündigt; ob das in den Preisen steckt, ist unklar. ECE bietet einen Eilservice (5 Werktage, +90 $). Meist trägt der Arbeitgeber die Kosten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Wie ein deutscher Abschluss eingestuft wird, hängt vom Einzelfall ab. Bewertungsportale nennen als Regel: Ein dreijähriger Bachelor entspricht dem US-Bachelor, ein Diplom oder Staatsexamen mit vier bis sechs Jahren häufig einem Master; verbindlich ist nur das Gutachten. Auch ein hoch bewerteter deutscher Master öffnet nicht das Master-Kontingent der Lotterie, das US-Hochschulabschlüssen vorbehalten ist. Fehlt dir ein Bachelor (Ausbildung, Meister), können drei Jahre Berufserfahrung ein Studienjahr ersetzen; dafür sammelst du früh Arbeitszeugnisse und Verträge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xml:space="preserve">,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Bestelle das Gutachten nicht auf eigene Faust, sondern nach Rücksprache mit der Kanzlei, sonst zahlst du womöglich zweimal. Verwechsle es auch nicht mit anabin: Die Datenbank der Kultusministerkonferenz bewertet ausländische Abschlüsse für Deutschland, nicht deutsche für die USA. Plane Beschaffung der Zeugnisse, Übersetzung, Bewertung und Versand zusammen mit mehreren Wochen bis zwei Monaten ein.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Sabine Keller (fiktiv) bekommt im Dezember die Zusage, mitten im Weihnachtstrubel, und macht sich noch am selben Abend eine Liste. Das Hochschulsekretariat schickt nach drei Wochen beglaubigte Zeugniskopien, ein Übersetzungsbüro liefert nach einer weiteren Woche die englischen Fassungen. Die Kanzlei beauftragt eine Fach-für-Fach-Bewertung bei ECE (199 $, vom Arbeitgeber bezahlt) und legt sie im Februar in die Akte. Ende März steht das Ergebnis der Registrierung fest, und Sabine muss keine Unterlage mehr suchen. (Fiktives Beispiel.)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Berufsanerkennung: Lizenzen sind Sache der Bundesstaaten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den USA gibt es keine zentrale Anerkennung ausländischer Abschlüsse – kein Amt, das einmal einen Stempel setzt und die Sache ist erledigt. Wer einen reglementierten Beruf ausübt, braucht die Lizenz des Bundesstaats, in dem er arbeitet; jeder Staat hat eigene Regeln, Prüfungen und Gebühren. Softwareentwicklung, Naturwissenschaften, Vertrieb und viele Industrieberufe sind nicht lizenzpflichtig. Ist für deine Stelle eine Lizenz nötig, muss sie laut USCIS-Praxis spätestens zur Genehmigung der H-1B-Petition vorliegen, nicht schon zur Einreichung. Lizenzberufe haben darum den längsten Vorlauf.</w:t>
      </w:r>
    </w:p>
    <w:tbl>
      <w:tblPr>
        <w:tblW w:w="6480" w:type="dxa"/>
        <w:jc w:val="left"/>
        <w:tblInd w:w="0" w:type="dxa"/>
        <w:tblLayout w:type="fixed"/>
        <w:tblCellMar>
          <w:top w:w="50" w:type="dxa"/>
          <w:left w:w="80" w:type="dxa"/>
          <w:bottom w:w="50" w:type="dxa"/>
          <w:right w:w="80" w:type="dxa"/>
        </w:tblCellMar>
      </w:tblPr>
      <w:tblGrid>
        <w:gridCol w:w="949"/>
        <w:gridCol w:w="2055"/>
        <w:gridCol w:w="1530"/>
        <w:gridCol w:w="1945"/>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Beruf</w:t>
            </w:r>
          </w:p>
        </w:tc>
        <w:tc>
          <w:tcPr>
            <w:tcW w:w="205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verlangt wird</w:t>
            </w:r>
          </w:p>
        </w:tc>
        <w:tc>
          <w:tcPr>
            <w:tcW w:w="153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Zuständig</w:t>
            </w:r>
          </w:p>
        </w:tc>
        <w:tc>
          <w:tcPr>
            <w:tcW w:w="194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Hinweis</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Ingenieure</w:t>
            </w:r>
          </w:p>
        </w:tc>
        <w:tc>
          <w:tcPr>
            <w:tcW w:w="20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Für viele Industriejobs keine Lizenz; wer Pläne verantwortlich abzeichnet (Bau, Versorger, Beratung), braucht die PE-Lizenz</w:t>
            </w:r>
          </w:p>
        </w:tc>
        <w:tc>
          <w:tcPr>
            <w:tcW w:w="153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Lizenzbehörde des Bundesstaats, NCEES</w:t>
            </w:r>
          </w:p>
        </w:tc>
        <w:tc>
          <w:tcPr>
            <w:tcW w:w="19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mindestens 4 Jahre Berufserfahrung nach dem Studium</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Ärzte</w:t>
            </w:r>
          </w:p>
        </w:tc>
        <w:tc>
          <w:tcPr>
            <w:tcW w:w="20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ECFMG-Zertifizierung: USMLE Step 1 und Step 2 CK, Englischtest OET Medicine; danach Weiterbildungsstelle und Landeslizenz</w:t>
            </w:r>
          </w:p>
        </w:tc>
        <w:tc>
          <w:tcPr>
            <w:tcW w:w="153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ECFMG, </w:t>
            </w:r>
            <w:r>
              <w:rPr>
                <w:rFonts w:eastAsia="Cambria" w:cs="Cambria"/>
                <w:b w:val="false"/>
                <w:bCs w:val="false"/>
                <w:i/>
                <w:iCs/>
                <w:sz w:val="18"/>
                <w:szCs w:val="18"/>
              </w:rPr>
              <w:t>State Medical Board</w:t>
            </w:r>
          </w:p>
        </w:tc>
        <w:tc>
          <w:tcPr>
            <w:tcW w:w="19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Approbation ersetzt keine US-Lizenz</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Pflege und Therapie</w:t>
            </w:r>
          </w:p>
        </w:tc>
        <w:tc>
          <w:tcPr>
            <w:tcW w:w="20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VisaScreen für neun Gesundheitsberufe, Englischtest; Pflege zusätzlich NCLEX-RN oder TruMerit-Prüfung</w:t>
            </w:r>
          </w:p>
        </w:tc>
        <w:tc>
          <w:tcPr>
            <w:tcW w:w="153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TruMerit (früher CGFNS), </w:t>
            </w:r>
            <w:r>
              <w:rPr>
                <w:rFonts w:eastAsia="Cambria" w:cs="Cambria"/>
                <w:b w:val="false"/>
                <w:bCs w:val="false"/>
                <w:i/>
                <w:iCs/>
                <w:sz w:val="18"/>
                <w:szCs w:val="18"/>
              </w:rPr>
              <w:t>Board of Nursing</w:t>
            </w:r>
          </w:p>
        </w:tc>
        <w:tc>
          <w:tcPr>
            <w:tcW w:w="19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NCLEX-Testzentrum in Deutschland</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Lehrer</w:t>
            </w:r>
          </w:p>
        </w:tc>
        <w:tc>
          <w:tcPr>
            <w:tcW w:w="20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Lehrerlizenz des Bundesstaats, meist mit Zeugnisbewertung und Fachprüfungen</w:t>
            </w:r>
          </w:p>
        </w:tc>
        <w:tc>
          <w:tcPr>
            <w:tcW w:w="153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Bildungsbehörde des Bundesstaats</w:t>
            </w:r>
          </w:p>
        </w:tc>
        <w:tc>
          <w:tcPr>
            <w:tcW w:w="19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Regeln unterscheiden sich stark</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Handwerk (Elektro, Sanitär, Klima)</w:t>
            </w:r>
          </w:p>
        </w:tc>
        <w:tc>
          <w:tcPr>
            <w:tcW w:w="20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Lizenz je Bundesstaat, teils je Kommune; Prüfung und Berufsjahre</w:t>
            </w:r>
          </w:p>
        </w:tc>
        <w:tc>
          <w:tcPr>
            <w:tcW w:w="153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Lizenzstelle von Staat oder Kommune</w:t>
            </w:r>
          </w:p>
        </w:tc>
        <w:tc>
          <w:tcPr>
            <w:tcW w:w="19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Anrechnung deutscher Abschlüsse je Behörde verschieden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 den Kürzeln: ECFMG prüft und zertifiziert im Ausland ausgebildete Ärzte, USMLE ist die US-Ärzteprüfung, OET ein Englischtest für Medizinberufe, NCLEX-RN die Pflegeprüfung, PE die Ingenieurlizenz (</w:t>
      </w:r>
      <w:r>
        <w:rPr>
          <w:rFonts w:eastAsia="Cambria" w:cs="Cambria"/>
          <w:b w:val="false"/>
          <w:bCs w:val="false"/>
          <w:i/>
          <w:iCs/>
          <w:sz w:val="22"/>
          <w:szCs w:val="22"/>
        </w:rPr>
        <w:t>Professional Engineer</w:t>
      </w:r>
      <w:r>
        <w:rPr>
          <w:rFonts w:eastAsia="Cambria" w:cs="Cambria"/>
          <w:b w:val="false"/>
          <w:bCs w:val="false"/>
          <w:i w:val="false"/>
          <w:iCs w:val="false"/>
          <w:sz w:val="22"/>
          <w:szCs w:val="22"/>
        </w:rPr>
        <w:t>) – nötig, wo Ingenieure Leistungen für die Öffentlichkeit erbringen und Pläne abzeichnen. Ausländische Abschlüsse bewertet der Verband NCEES, die Anforderungen setzt jeder Bundesstaat selbst. Für Ärzte vergehen von der ECFMG-Anmeldung bis zur Landeslizenz meist Jahre: Nach den Prüfungen folgt die Bewerbung um eine Weiterbildungsstelle (</w:t>
      </w:r>
      <w:r>
        <w:rPr>
          <w:rFonts w:eastAsia="Cambria" w:cs="Cambria"/>
          <w:b w:val="false"/>
          <w:bCs w:val="false"/>
          <w:i/>
          <w:iCs/>
          <w:sz w:val="22"/>
          <w:szCs w:val="22"/>
        </w:rPr>
        <w:t>Residency</w:t>
      </w:r>
      <w:r>
        <w:rPr>
          <w:rFonts w:eastAsia="Cambria" w:cs="Cambria"/>
          <w:b w:val="false"/>
          <w:bCs w:val="false"/>
          <w:i w:val="false"/>
          <w:iCs w:val="false"/>
          <w:sz w:val="22"/>
          <w:szCs w:val="22"/>
        </w:rPr>
        <w:t xml:space="preserve">) über das Vergabeverfahren </w:t>
      </w:r>
      <w:r>
        <w:rPr>
          <w:rFonts w:eastAsia="Cambria" w:cs="Cambria"/>
          <w:b w:val="false"/>
          <w:bCs w:val="false"/>
          <w:i/>
          <w:iCs/>
          <w:sz w:val="22"/>
          <w:szCs w:val="22"/>
        </w:rPr>
        <w:t>Match</w:t>
      </w:r>
      <w:r>
        <w:rPr>
          <w:rFonts w:eastAsia="Cambria" w:cs="Cambria"/>
          <w:b w:val="false"/>
          <w:bCs w:val="false"/>
          <w:i w:val="false"/>
          <w:iCs w:val="false"/>
          <w:sz w:val="22"/>
          <w:szCs w:val="22"/>
        </w:rPr>
        <w:t>; das Visum dafür ist ein eigenes Thema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 Die ECFMG veröffentlicht ihre Anforderungen jährlich neu (ecfmg.org/certification-pathways). Für Pflege nennt TruMerit die Unterlagen; die NCLEX-Prüfung legst du außerhalb Deutschlands ab, etwa in Frankreich, Spanien oder Großbritannien.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Arbeitsvisum ist keine Berufserlaubnis. Auch mit H-1B darfst du einen lizenzpflichtigen Beruf erst ausüben, wenn der Bundesstaat die Lizenz erteilt hat. Frage die Lizenzbehörde des Ziel-Bundesstaats früh nach Fahrplan, Prüfungen und Gebühren.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Reisepass: Gültigkeit, Termine und Kinderpässe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den Reisehinweisen des Auswärtigen Amts (Stand 20. September 2026) muss das Reisedokument für den gesamten Aufenthalt einschließlich Ausreisetag gültig sein; der Personalausweis genügt dafür nicht. Ein Reisepass gilt zehn Jahre, bis zum 24. Geburtstag sechs Jahre. Prüfe die Ablaufdaten aller Familienmitglieder vor der Registrierung im März, denn der Arbeitgeber meldet deine Passdaten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Läuft ein Pass in den ersten Jahren in den USA ab, erneuere ihn vorher. Das Visum klebt im Pass; nach einem Passwechsel trägst du beide Pässe bei dir.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Im Inland kostet der Reisepass 70 € (ab 24 Jahren) bzw. 37,50 € (Stand 1. September 2026 laut Gebührenübersichten) und dauert drei bis vier Wochen, Express drei Werktage (+32 €). Das Passfoto muss seit 1. Mai 2025 digital übermittelt werden (ca. 6 €). Aus den USA erneuerst du den Pass nur persönlich bei Botschaft, Generalkonsulat oder in einigen Bundesstaaten bei einem Honorarkonsul: Online-Termin je Person, laut Auswärtigem Amt sechs bis acht Wochen Bearbeitung, höhere Gebühr (aktuell auf germany.info). Es gibt die Botschaft in Washington und acht Generalkonsulate, in Seattle keins; zuständig ist San Francisco.</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Kinderreisepässe gibt es seit 1. Januar 2024 nicht mehr; wer noch einen hat, kann damit nicht ohne Visum einreisen (kein ESTA). Beantrage vor dem Abflug für jedes Kind einen ePass (sechs Jahre gültig). Im Konsulat müssen beide Eltern und das Kind persönlich erscheinen. Bei gemeinsamem Sorgerecht braucht der Umzug meist auch die Zustimmung des anderen Elternteils oder eine gerichtliche Entscheidung.</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 prüft im November die Pässe. Markus’ Pass läuft in zwei Jahren ab, mitten in der ersten Visumsperiode, also erneuert er ihn vorab (70 €). Lena (9) und Jonas (5) haben Kinderreisepässe von 2023; beide Eltern beantragen zwei ePässe (2 × 37,50 €) – Jonas posiert beim Passfototermin todernst wie ein kleiner Weltraumreisender, was ein brauchbares Foto erst im dritten Anlauf zulässt. Beim Standesamt bestellt Anna Heiratsurkunde und beide Geburtsurkunden in internationaler Ausfertigung, jeweils doppelt. Mit Passfotos zahlen die Brandts rund 240 €. Erst mit den neuen Pässen buchen sie den Konsulatstermin, damit die richtigen Passnummern im Online-Visumantrag (DS-160) stehen. (Fiktives Beispiel.)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Originale, Kopien, digitale Sicherung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Container kann Wochen nach dir eintreffen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Alles, was du in den ersten Tagen brauchst, gehört deshalb ins Handgepäck, in eine Mappe pro Person: Pässe, Genehmigungsbescheid (Original der Form I-797), Urkunden, Zeugnisse samt Übersetzungen, Bewertungsgutachten, Impfnachweise, Führerschein, Arbeitsvertrag. Was die Grenzkontrolle sehen will, steht in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 Kopien der wichtigsten Unterlagen packst du getrennt ins Aufgabegepäck.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Scanne alles farbig und gut lesbar. Speichere die Dateien verschlüsselt, etwa in einem Passwortmanager oder Cloud-Speicher mit Zwei-Faktor-Anmeldung, und lege zusätzlich einen Datenträger bei einer Vertrauensperson in Deutschland ab. Schicke Scans von Pass und Urkunden nicht unverschlüsselt per E-Mail; Betrüger suchen gezielt nach Neuankömmlingen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Notfälle gilt: Standesämter versenden Urkunden auch ins Ausland; Konsulate stellen keine aus. Ein Führungszeugnis lässt sich direkt beim Bundesamt für Justiz beantragen. Eine Vollmacht für die Vertrauensperson in Deutschland erleichtert das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Apostille, Übersetzung und Bewertung sind drei verschiedene Dinge. Die Apostille bestätigt Echtheit, die Übersetzung schafft Verständlichkeit, die Bewertung belegt Gleichwertigkeit. Jede Stelle fordert nur das, was sie braucht; frage nach, statt alles auf Vorrat zu machen.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Kosten und Zeitplan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Reihenfolge folgt dem H-1B-Weg; bei anderen Wegen gilt derselbe Grundsatz: Pässe und Bewertung vor dem Antrag.</w:t>
      </w:r>
    </w:p>
    <w:tbl>
      <w:tblPr>
        <w:tblW w:w="6480" w:type="dxa"/>
        <w:jc w:val="left"/>
        <w:tblInd w:w="0" w:type="dxa"/>
        <w:tblLayout w:type="fixed"/>
        <w:tblCellMar>
          <w:top w:w="50" w:type="dxa"/>
          <w:left w:w="80" w:type="dxa"/>
          <w:bottom w:w="50" w:type="dxa"/>
          <w:right w:w="80" w:type="dxa"/>
        </w:tblCellMar>
      </w:tblPr>
      <w:tblGrid>
        <w:gridCol w:w="1533"/>
        <w:gridCol w:w="2704"/>
        <w:gridCol w:w="2243"/>
      </w:tblGrid>
      <w:tr>
        <w:trPr>
          <w:tblHeader w:val="true"/>
          <w:cantSplit w:val="true"/>
        </w:trPr>
        <w:tc>
          <w:tcPr>
            <w:tcW w:w="153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Wann</w:t>
            </w:r>
          </w:p>
        </w:tc>
        <w:tc>
          <w:tcPr>
            <w:tcW w:w="270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w:t>
            </w:r>
          </w:p>
        </w:tc>
        <w:tc>
          <w:tcPr>
            <w:tcW w:w="224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Vorlauf und Kosten</w:t>
            </w:r>
          </w:p>
        </w:tc>
      </w:tr>
      <w:tr>
        <w:trPr>
          <w:cantSplit w:val="true"/>
        </w:trPr>
        <w:tc>
          <w:tcPr>
            <w:tcW w:w="15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Sobald der Entschluss steht</w:t>
            </w:r>
          </w:p>
        </w:tc>
        <w:tc>
          <w:tcPr>
            <w:tcW w:w="27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Pässe prüfen, Urkunden bestellen, Zeugnisse anfordern, Lizenzweg klären</w:t>
            </w:r>
          </w:p>
        </w:tc>
        <w:tc>
          <w:tcPr>
            <w:tcW w:w="22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Standesamt und Hochschule: Wochen; Lizenzen: Monate bis Jahre</w:t>
            </w:r>
          </w:p>
        </w:tc>
      </w:tr>
      <w:tr>
        <w:trPr>
          <w:cantSplit w:val="true"/>
        </w:trPr>
        <w:tc>
          <w:tcPr>
            <w:tcW w:w="15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Ende Februar</w:t>
            </w:r>
          </w:p>
        </w:tc>
        <w:tc>
          <w:tcPr>
            <w:tcW w:w="27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Zeugnisbewertung und Übersetzungen fertig; Passdaten an die Kanzlei</w:t>
            </w:r>
          </w:p>
        </w:tc>
        <w:tc>
          <w:tcPr>
            <w:tcW w:w="22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110–240 $, meist Arbeitgeber</w:t>
            </w:r>
          </w:p>
        </w:tc>
      </w:tr>
      <w:tr>
        <w:trPr>
          <w:cantSplit w:val="true"/>
        </w:trPr>
        <w:tc>
          <w:tcPr>
            <w:tcW w:w="15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 der Auswahl, vor dem Konsulatstermin</w:t>
            </w:r>
          </w:p>
        </w:tc>
        <w:tc>
          <w:tcPr>
            <w:tcW w:w="27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Pässe erneuern, Apostillen und Führungszeugnis, soweit gefordert</w:t>
            </w:r>
          </w:p>
        </w:tc>
        <w:tc>
          <w:tcPr>
            <w:tcW w:w="22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Pass 3–4 Wochen; Apostille 2–10 Wochen</w:t>
            </w:r>
          </w:p>
        </w:tc>
      </w:tr>
      <w:tr>
        <w:trPr>
          <w:cantSplit w:val="true"/>
        </w:trPr>
        <w:tc>
          <w:tcPr>
            <w:tcW w:w="15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4–6 Wochen vor Abflug</w:t>
            </w:r>
          </w:p>
        </w:tc>
        <w:tc>
          <w:tcPr>
            <w:tcW w:w="27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Impfpass, Schulzeugnisse, SF-Nachweis übersetzen lassen; Scans; Ordner packen</w:t>
            </w:r>
          </w:p>
        </w:tc>
        <w:tc>
          <w:tcPr>
            <w:tcW w:w="22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Übersetzung nach Angebot</w:t>
            </w:r>
          </w:p>
        </w:tc>
      </w:tr>
      <w:tr>
        <w:trPr>
          <w:cantSplit w:val="true"/>
        </w:trPr>
        <w:tc>
          <w:tcPr>
            <w:tcW w:w="15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Abflugtag</w:t>
            </w:r>
          </w:p>
        </w:tc>
        <w:tc>
          <w:tcPr>
            <w:tcW w:w="27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Mappe mit Originalen ins Handgepäck</w:t>
            </w:r>
          </w:p>
        </w:tc>
        <w:tc>
          <w:tcPr>
            <w:tcW w:w="22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Papier, Fotos und Beschaffung kommen bei einer Familie einige hundert Euro zusammen (Beispiel oben), dazu Übersetzungen nach Angebot. Prüfungs- und Lizenzgebühren hängen von Beruf und Bundesstaat ab und stehen bei den jeweiligen Stellen. Den Gesamtfahrplan bis zum Abflug liefert Kapitel </w:t>
      </w:r>
      <w:hyperlink w:anchor="k15">
        <w:r>
          <w:rPr>
            <w:rStyle w:val="ListLabel115"/>
            <w:rFonts w:eastAsia="Cambria" w:cs="Cambria"/>
            <w:b w:val="false"/>
            <w:bCs w:val="false"/>
            <w:i w:val="false"/>
            <w:iCs w:val="false"/>
            <w:sz w:val="22"/>
            <w:szCs w:val="22"/>
          </w:rPr>
          <w:t>15</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Dokumente früh besorgen und vorbereiten:</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Behördenwartezeiten von bis zu zehn Wochen fallen nicht in die heiße Phase vor dem Termin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Apostillen und Übersetzungen kosten Geld, auch wenn niemand sie verlangt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Satz Unterlagen deckt Visum, Schule, Lizenz und Mietbewerbung ab</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Manche Stellen wollen neuere Ausfertigungen als die auf Vorrat besorgten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 Originalen im Handgepäck und Scans in der Cloud überstehst du auch einen verspäteten Container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 Ordner im Handgepäck ist ein Verlustrisiko; Scans erfordern sauberen Umgang mit Zugangsdaten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Kanzlei erkennt Lücken (Studienjahre, Lizenz) rechtzeitig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Manche Anforderungen zeigen sich erst im Verfahren, etwa durch eine Nachforderung</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Ablaufdaten aller Reisepässe notieren; bei kurzer Restgültigkeit vor Registrierung und Visumantrag in Deutschland erneuern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Für jedes Kind einen ePass beantragen (der Kinderreisepass genügt nicht)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Mit der Kanzlei klären, welche Unterlagen USCIS und Konsulat sehen wollen und ob eine Apostille gefordert wird</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Diplome, Zeugnisse und Arbeitszeugnisse beschaffen; Zeugnisbewertung vor der März-Registrierung beauftragen lassen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Geburts- und Heiratsurkunden als internationale Ausfertigung bestellen, zwei- bis dreimal</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Übersetzer mit Bescheinigung beauftragen; Namen exakt wie im Pass schreiben lassen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Bedarf Führungszeugnis beantragen (13 €) und Vorlauf für die Apostille einplanen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lizenzpflichtigem Beruf die Behörde des Ziel-Bundesstaats kontaktieren und einen Fahrplan erstellen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Impfpass, Schulzeugnisse, SF-Nachweis und Steuerbescheide bereitlegen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Alles scannen, verschlüsselt speichern und eine Kopie bei einer Vertrauensperson hinterlegen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Originale in die Handgepäck-Mappe legen, nicht in den Container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Auswärtiges Amt und Vertretungen — Pässe, Beurkundungen, Führungszeugnis (</w:t>
      </w:r>
      <w:hyperlink r:id="rId178">
        <w:r>
          <w:rPr>
            <w:rStyle w:val="ListLabel113"/>
            <w:rFonts w:eastAsia="Cambria" w:cs="Cambria"/>
            <w:b w:val="false"/>
            <w:bCs w:val="false"/>
            <w:i w:val="false"/>
            <w:iCs w:val="false"/>
            <w:color w:val="0563C1"/>
            <w:sz w:val="22"/>
            <w:szCs w:val="22"/>
            <w:u w:val="single"/>
          </w:rPr>
          <w:t>germany.info/us-de/service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Bundesamt für Auswärtige Angelegenheiten — Apostillen für Bundesbehörden (</w:t>
      </w:r>
      <w:hyperlink r:id="rId179">
        <w:r>
          <w:rPr>
            <w:rStyle w:val="ListLabel113"/>
            <w:rFonts w:eastAsia="Cambria" w:cs="Cambria"/>
            <w:b w:val="false"/>
            <w:bCs w:val="false"/>
            <w:i w:val="false"/>
            <w:iCs w:val="false"/>
            <w:color w:val="0563C1"/>
            <w:sz w:val="22"/>
            <w:szCs w:val="22"/>
            <w:u w:val="single"/>
          </w:rPr>
          <w:t>bfaa.diplo.de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Bundesamt für Justiz — Führungszeugnis, Antrag aus dem Ausland (</w:t>
      </w:r>
      <w:hyperlink r:id="rId180">
        <w:r>
          <w:rPr>
            <w:rStyle w:val="ListLabel113"/>
            <w:rFonts w:eastAsia="Cambria" w:cs="Cambria"/>
            <w:b w:val="false"/>
            <w:bCs w:val="false"/>
            <w:i w:val="false"/>
            <w:iCs w:val="false"/>
            <w:color w:val="0563C1"/>
            <w:sz w:val="22"/>
            <w:szCs w:val="22"/>
            <w:u w:val="single"/>
          </w:rPr>
          <w:t>bundesjustizamt.de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Übersetzungen und Nachweise (</w:t>
      </w:r>
      <w:hyperlink r:id="rId181">
        <w:r>
          <w:rPr>
            <w:rStyle w:val="ListLabel113"/>
            <w:rFonts w:eastAsia="Cambria" w:cs="Cambria"/>
            <w:b w:val="false"/>
            <w:bCs w:val="false"/>
            <w:i w:val="false"/>
            <w:iCs w:val="false"/>
            <w:color w:val="0563C1"/>
            <w:sz w:val="22"/>
            <w:szCs w:val="22"/>
            <w:u w:val="single"/>
          </w:rPr>
          <w:t>uscis.gov</w:t>
        </w:r>
      </w:hyperlink>
      <w:r>
        <w:rPr>
          <w:rFonts w:eastAsia="Cambria" w:cs="Cambria"/>
          <w:b w:val="false"/>
          <w:bCs w:val="false"/>
          <w:i w:val="false"/>
          <w:iCs w:val="false"/>
          <w:sz w:val="22"/>
          <w:szCs w:val="22"/>
        </w:rPr>
        <w:t xml:space="preserve">; 8 CFR 103.2 unter </w:t>
      </w:r>
      <w:hyperlink r:id="rId182">
        <w:r>
          <w:rPr>
            <w:rStyle w:val="ListLabel113"/>
            <w:rFonts w:eastAsia="Cambria" w:cs="Cambria"/>
            <w:b w:val="false"/>
            <w:bCs w:val="false"/>
            <w:i w:val="false"/>
            <w:iCs w:val="false"/>
            <w:color w:val="0563C1"/>
            <w:sz w:val="22"/>
            <w:szCs w:val="22"/>
            <w:u w:val="single"/>
          </w:rPr>
          <w:t>law.cornell.edu/cfr/text/8/103.2</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US-Außenministerium — Civil Documents FAQs (</w:t>
      </w:r>
      <w:hyperlink r:id="rId183">
        <w:r>
          <w:rPr>
            <w:rStyle w:val="ListLabel113"/>
            <w:rFonts w:eastAsia="Cambria" w:cs="Cambria"/>
            <w:b w:val="false"/>
            <w:bCs w:val="false"/>
            <w:i w:val="false"/>
            <w:iCs w:val="false"/>
            <w:color w:val="0563C1"/>
            <w:sz w:val="22"/>
            <w:szCs w:val="22"/>
            <w:u w:val="single"/>
          </w:rPr>
          <w:t>travel.state.gov</w:t>
        </w:r>
      </w:hyperlink>
      <w:r>
        <w:rPr>
          <w:rFonts w:eastAsia="Cambria" w:cs="Cambria"/>
          <w:b w:val="false"/>
          <w:bCs w:val="false"/>
          <w:i w:val="false"/>
          <w:iCs w:val="false"/>
          <w:sz w:val="22"/>
          <w:szCs w:val="22"/>
        </w:rPr>
        <w:t>, Suche „civil documents“)</w:t>
      </w:r>
    </w:p>
    <w:p>
      <w:pPr>
        <w:pStyle w:val="ListParagraph"/>
        <w:numPr>
          <w:ilvl w:val="0"/>
          <w:numId w:val="1"/>
        </w:numPr>
        <w:spacing w:lineRule="exact" w:line="288" w:before="0" w:after="60"/>
        <w:rPr/>
      </w:pPr>
      <w:r>
        <w:rPr>
          <w:rFonts w:eastAsia="Cambria" w:cs="Cambria"/>
          <w:b w:val="false"/>
          <w:bCs w:val="false"/>
          <w:i w:val="false"/>
          <w:iCs w:val="false"/>
          <w:sz w:val="22"/>
          <w:szCs w:val="22"/>
        </w:rPr>
        <w:t>WES und ECE — Zeugnisbewertung (</w:t>
      </w:r>
      <w:hyperlink r:id="rId184">
        <w:r>
          <w:rPr>
            <w:rStyle w:val="ListLabel113"/>
            <w:rFonts w:eastAsia="Cambria" w:cs="Cambria"/>
            <w:b w:val="false"/>
            <w:bCs w:val="false"/>
            <w:i w:val="false"/>
            <w:iCs w:val="false"/>
            <w:color w:val="0563C1"/>
            <w:sz w:val="22"/>
            <w:szCs w:val="22"/>
            <w:u w:val="single"/>
          </w:rPr>
          <w:t>wes.org/evaluations</w:t>
        </w:r>
      </w:hyperlink>
      <w:r>
        <w:rPr>
          <w:rFonts w:eastAsia="Cambria" w:cs="Cambria"/>
          <w:b w:val="false"/>
          <w:bCs w:val="false"/>
          <w:i w:val="false"/>
          <w:iCs w:val="false"/>
          <w:sz w:val="22"/>
          <w:szCs w:val="22"/>
        </w:rPr>
        <w:t xml:space="preserve">, </w:t>
      </w:r>
      <w:hyperlink r:id="rId185">
        <w:r>
          <w:rPr>
            <w:rStyle w:val="ListLabel113"/>
            <w:rFonts w:eastAsia="Cambria" w:cs="Cambria"/>
            <w:b w:val="false"/>
            <w:bCs w:val="false"/>
            <w:i w:val="false"/>
            <w:iCs w:val="false"/>
            <w:color w:val="0563C1"/>
            <w:sz w:val="22"/>
            <w:szCs w:val="22"/>
            <w:u w:val="single"/>
          </w:rPr>
          <w:t>ece.org</w:t>
        </w:r>
      </w:hyperlink>
      <w:r>
        <w:rPr>
          <w:rFonts w:eastAsia="Cambria" w:cs="Cambria"/>
          <w:b w:val="false"/>
          <w:bCs w:val="false"/>
          <w:i w:val="false"/>
          <w:iCs w:val="false"/>
          <w:sz w:val="22"/>
          <w:szCs w:val="22"/>
        </w:rPr>
        <w:t>); Mitglieder von NACES (</w:t>
      </w:r>
      <w:hyperlink r:id="rId186">
        <w:r>
          <w:rPr>
            <w:rStyle w:val="ListLabel113"/>
            <w:rFonts w:eastAsia="Cambria" w:cs="Cambria"/>
            <w:b w:val="false"/>
            <w:bCs w:val="false"/>
            <w:i w:val="false"/>
            <w:iCs w:val="false"/>
            <w:color w:val="0563C1"/>
            <w:sz w:val="22"/>
            <w:szCs w:val="22"/>
            <w:u w:val="single"/>
          </w:rPr>
          <w:t>naces.org/members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NCEES, ECFMG, TruMerit — Ingenieure, Ärzte, Pflege (</w:t>
      </w:r>
      <w:hyperlink r:id="rId187">
        <w:r>
          <w:rPr>
            <w:rStyle w:val="ListLabel113"/>
            <w:rFonts w:eastAsia="Cambria" w:cs="Cambria"/>
            <w:b w:val="false"/>
            <w:bCs w:val="false"/>
            <w:i w:val="false"/>
            <w:iCs w:val="false"/>
            <w:color w:val="0563C1"/>
            <w:sz w:val="22"/>
            <w:szCs w:val="22"/>
            <w:u w:val="single"/>
          </w:rPr>
          <w:t>ncees.org/engineering/pe</w:t>
        </w:r>
      </w:hyperlink>
      <w:r>
        <w:rPr>
          <w:rFonts w:eastAsia="Cambria" w:cs="Cambria"/>
          <w:b w:val="false"/>
          <w:bCs w:val="false"/>
          <w:i w:val="false"/>
          <w:iCs w:val="false"/>
          <w:sz w:val="22"/>
          <w:szCs w:val="22"/>
        </w:rPr>
        <w:t xml:space="preserve">, </w:t>
      </w:r>
      <w:hyperlink r:id="rId188">
        <w:r>
          <w:rPr>
            <w:rStyle w:val="ListLabel113"/>
            <w:rFonts w:eastAsia="Cambria" w:cs="Cambria"/>
            <w:b w:val="false"/>
            <w:bCs w:val="false"/>
            <w:i w:val="false"/>
            <w:iCs w:val="false"/>
            <w:color w:val="0563C1"/>
            <w:sz w:val="22"/>
            <w:szCs w:val="22"/>
            <w:u w:val="single"/>
          </w:rPr>
          <w:t>ecfmg.org/certification-pathways</w:t>
        </w:r>
      </w:hyperlink>
      <w:r>
        <w:rPr>
          <w:rFonts w:eastAsia="Cambria" w:cs="Cambria"/>
          <w:b w:val="false"/>
          <w:bCs w:val="false"/>
          <w:i w:val="false"/>
          <w:iCs w:val="false"/>
          <w:sz w:val="22"/>
          <w:szCs w:val="22"/>
        </w:rPr>
        <w:t xml:space="preserve">, </w:t>
      </w:r>
      <w:hyperlink r:id="rId189">
        <w:r>
          <w:rPr>
            <w:rStyle w:val="ListLabel113"/>
            <w:rFonts w:eastAsia="Cambria" w:cs="Cambria"/>
            <w:b w:val="false"/>
            <w:bCs w:val="false"/>
            <w:i w:val="false"/>
            <w:iCs w:val="false"/>
            <w:color w:val="0563C1"/>
            <w:sz w:val="22"/>
            <w:szCs w:val="22"/>
            <w:u w:val="single"/>
          </w:rPr>
          <w:t>trumerit.org</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NCLEX — Prüfung für Pflegekräfte (</w:t>
      </w:r>
      <w:hyperlink r:id="rId190">
        <w:r>
          <w:rPr>
            <w:rStyle w:val="ListLabel113"/>
            <w:rFonts w:eastAsia="Cambria" w:cs="Cambria"/>
            <w:b w:val="false"/>
            <w:bCs w:val="false"/>
            <w:i w:val="false"/>
            <w:iCs w:val="false"/>
            <w:color w:val="0563C1"/>
            <w:sz w:val="22"/>
            <w:szCs w:val="22"/>
            <w:u w:val="single"/>
          </w:rPr>
          <w:t>nclex.com</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schnell: Gebühren von WES und ECE (WES kündigte 3 % mehr ab 1. Januar 2026 an), Gebühren des BfAA (22 € seit 1. Juli 2025) und für Pässe und Ausweise (der Personalausweis wurde im Februar 2026 teurer), Konsulatsgebühren und -wartezeiten, Bearbeitungszeiten der Landesbehörden, ECFMG-Anforderungen (die Pathways gelten je Jahr) sowie Prüfungs- und Lizenzregeln der Bundesstaaten. Prüfe vor jeder Bestellung die offizielle Seite der jeweiligen Stelle.</w:t>
            </w:r>
          </w:p>
        </w:tc>
      </w:tr>
    </w:tbl>
    <w:p>
      <w:pPr>
        <w:sectPr>
          <w:footerReference w:type="even" r:id="rId191"/>
          <w:footerReference w:type="default" r:id="rId192"/>
          <w:footerReference w:type="first" r:id="rId193"/>
          <w:type w:val="nextPage"/>
          <w:pgSz w:w="8640" w:h="12983"/>
          <w:pgMar w:left="1080" w:right="1080" w:gutter="0" w:header="0" w:top="1080" w:footer="708" w:bottom="1100"/>
          <w:pgNumType w:fmt="decimal"/>
          <w:formProt w:val="false"/>
          <w:textDirection w:val="lrTb"/>
          <w:docGrid w:type="default" w:linePitch="360" w:charSpace="4096"/>
        </w:sectPr>
        <w:pStyle w:val="Normal"/>
        <w:spacing w:lineRule="exact" w:line="220" w:before="0" w:after="0"/>
        <w:rPr/>
      </w:pPr>
      <w:r>
        <w:rPr/>
      </w:r>
    </w:p>
    <w:p>
      <w:pPr>
        <w:pStyle w:val="Heading1"/>
        <w:spacing w:before="0" w:after="360"/>
        <w:jc w:val="center"/>
        <w:rPr/>
      </w:pPr>
      <w:bookmarkStart w:id="51" w:name="__RefHeading___Toc56473_3769931028"/>
      <w:bookmarkEnd w:id="51"/>
      <w:r>
        <w:rPr>
          <w:rFonts w:eastAsia="Amazon Ember" w:cs="Amazon Ember" w:ascii="Amazon Ember" w:hAnsi="Amazon Ember"/>
          <w:b/>
          <w:bCs/>
          <w:color w:val="0000FF"/>
        </w:rPr>
        <w:t>TEIL V — Der Umzug</w:t>
      </w:r>
    </w:p>
    <w:p>
      <w:pPr>
        <w:sectPr>
          <w:footerReference w:type="even" r:id="rId194"/>
          <w:footerReference w:type="default" r:id="rId195"/>
          <w:footerReference w:type="first" r:id="rId196"/>
          <w:type w:val="nextPage"/>
          <w:pgSz w:w="8640" w:h="12983"/>
          <w:pgMar w:left="1080" w:right="1080" w:gutter="0" w:header="0" w:top="1080" w:footer="708" w:bottom="1100"/>
          <w:pgNumType w:fmt="decimal"/>
          <w:formProt w:val="false"/>
          <w:vAlign w:val="center"/>
          <w:textDirection w:val="lrTb"/>
          <w:docGrid w:type="default" w:linePitch="360" w:charSpace="4096"/>
        </w:sectPr>
        <w:pStyle w:val="Normal"/>
        <w:spacing w:lineRule="exact" w:line="300" w:before="0" w:after="160"/>
        <w:ind w:left="400" w:right="400"/>
        <w:jc w:val="center"/>
        <w:rPr/>
      </w:pPr>
      <w:r>
        <w:rPr>
          <w:rFonts w:eastAsia="Cambria" w:cs="Cambria"/>
          <w:b w:val="false"/>
          <w:bCs w:val="false"/>
          <w:i/>
          <w:iCs/>
          <w:sz w:val="24"/>
          <w:szCs w:val="24"/>
        </w:rPr>
        <w:t>Container, Koffer oder Neuanfang? Wie du Umzugskosten senkst, was in den Container gehört und was du drüben günstiger kaufst.</w:t>
      </w:r>
      <w:r>
        <w:br w:type="page"/>
      </w:r>
    </w:p>
    <w:p>
      <w:pPr>
        <w:pStyle w:val="Heading2"/>
        <w:keepNext w:val="true"/>
        <w:spacing w:before="0" w:after="300"/>
        <w:jc w:val="center"/>
        <w:rPr/>
      </w:pPr>
      <w:bookmarkStart w:id="52" w:name="__RefHeading___Toc56475_3769931028"/>
      <w:bookmarkStart w:id="53" w:name="k20"/>
      <w:bookmarkEnd w:id="52"/>
      <w:r>
        <w:rPr>
          <w:rFonts w:eastAsia="Amazon Ember" w:cs="Amazon Ember" w:ascii="Amazon Ember" w:hAnsi="Amazon Ember"/>
          <w:b/>
          <w:bCs/>
          <w:color w:val="0000FF"/>
          <w:sz w:val="36"/>
          <w:szCs w:val="36"/>
        </w:rPr>
        <w:t>Kapitel 20: Container, Luftfracht oder Koffer: Umzug planen und Kosten sparen</w:t>
      </w:r>
      <w:bookmarkEnd w:id="53"/>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Berater der Spedition geht durch die Vier-Zimmer-Wohnung, notiert Sofa, Esstisch und Waschmaschine und stellt dann eine unbequeme Frage: Soll das wirklich alles über den Atlantik? Ein 20-Fuß-Container fasst 28–33 m³ und kostet ab Deutschland oft 4.000–7.500 €. Die deutsche Waschmaschine aber läuft an einer US-Steckdose nicht, und das Sofa passt vielleicht nicht durch die Tür der neuen Wohnung. Der größte Hebel beim Umzug in die USA ist deshalb nicht die Wahl der Spedition, sondern das Volumen. Jeder Kubikmeter, der mitfährt, kostet ungefähr so viel wie eine ordentliche Waschmaschine – nur dass die eigene Waschmaschine drüben ohnehin nicht funktioniert.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Du hast fünf Wege: Koffer, Paket, Luftfracht, Sammelladung und eigener Container. Ab Deutschland kostet eine Sammelladung 2.500–6.000 €, ein 20-ft-Container 4.000–7.500 € (Anbieterspannen 2026, meist ohne Zustellung in den USA).</w:t>
            </w:r>
          </w:p>
          <w:p>
            <w:pPr>
              <w:pStyle w:val="ListParagraph"/>
              <w:numPr>
                <w:ilvl w:val="0"/>
                <w:numId w:val="1"/>
              </w:numPr>
              <w:spacing w:lineRule="exact" w:line="264" w:before="0" w:after="50"/>
              <w:rPr/>
            </w:pPr>
            <w:r>
              <w:rPr>
                <w:rFonts w:eastAsia="Cambria" w:cs="Cambria"/>
                <w:b w:val="false"/>
                <w:bCs w:val="false"/>
                <w:i w:val="false"/>
                <w:iCs w:val="false"/>
                <w:sz w:val="20"/>
                <w:szCs w:val="20"/>
              </w:rPr>
              <w:t>Per Schiff dauert es von Tür zu Tür vier bis zwölf Wochen. Plane eine Übergangslösung ohne Möbel ein.</w:t>
            </w:r>
          </w:p>
          <w:p>
            <w:pPr>
              <w:pStyle w:val="ListParagraph"/>
              <w:numPr>
                <w:ilvl w:val="0"/>
                <w:numId w:val="1"/>
              </w:numPr>
              <w:spacing w:lineRule="exact" w:line="264" w:before="0" w:after="50"/>
              <w:rPr/>
            </w:pPr>
            <w:r>
              <w:rPr>
                <w:rFonts w:eastAsia="Cambria" w:cs="Cambria"/>
                <w:b w:val="false"/>
                <w:bCs w:val="false"/>
                <w:i w:val="false"/>
                <w:iCs w:val="false"/>
                <w:sz w:val="20"/>
                <w:szCs w:val="20"/>
              </w:rPr>
              <w:t>Zollfrei (</w:t>
            </w:r>
            <w:r>
              <w:rPr>
                <w:rFonts w:eastAsia="Cambria" w:cs="Cambria"/>
                <w:b w:val="false"/>
                <w:bCs w:val="false"/>
                <w:i/>
                <w:iCs/>
                <w:sz w:val="20"/>
                <w:szCs w:val="20"/>
              </w:rPr>
              <w:t>Free Entry</w:t>
            </w:r>
            <w:r>
              <w:rPr>
                <w:rFonts w:eastAsia="Cambria" w:cs="Cambria"/>
                <w:b w:val="false"/>
                <w:bCs w:val="false"/>
                <w:i w:val="false"/>
                <w:iCs w:val="false"/>
                <w:sz w:val="20"/>
                <w:szCs w:val="20"/>
              </w:rPr>
              <w:t xml:space="preserve">) kommt nur Gebrauchtes ins Land, das du mindestens ein Jahr genutzt hast. Dazu gehören die Zollerklärung </w:t>
            </w:r>
            <w:r>
              <w:rPr>
                <w:rFonts w:eastAsia="Cambria" w:cs="Cambria"/>
                <w:b w:val="false"/>
                <w:bCs w:val="false"/>
                <w:i/>
                <w:iCs/>
                <w:sz w:val="20"/>
                <w:szCs w:val="20"/>
              </w:rPr>
              <w:t>CBP Form 3299</w:t>
            </w:r>
            <w:r>
              <w:rPr>
                <w:rFonts w:eastAsia="Cambria" w:cs="Cambria"/>
                <w:b w:val="false"/>
                <w:bCs w:val="false"/>
                <w:i w:val="false"/>
                <w:iCs w:val="false"/>
                <w:sz w:val="20"/>
                <w:szCs w:val="20"/>
              </w:rPr>
              <w:t xml:space="preserve"> des US-Grenzschutzes CBP und eine englische Inventarliste; Neuware, Lebensmittel, Pflanzen und ungestempeltes Holz sind Fallen.</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Zahlt der Arbeitgeber den Umzug, ist das in den USA steuerpflichtiger Lohn. Ein </w:t>
            </w:r>
            <w:r>
              <w:rPr>
                <w:rFonts w:eastAsia="Cambria" w:cs="Cambria"/>
                <w:b w:val="false"/>
                <w:bCs w:val="false"/>
                <w:i/>
                <w:iCs/>
                <w:sz w:val="20"/>
                <w:szCs w:val="20"/>
              </w:rPr>
              <w:t>Gross-up</w:t>
            </w:r>
            <w:r>
              <w:rPr>
                <w:rFonts w:eastAsia="Cambria" w:cs="Cambria"/>
                <w:b w:val="false"/>
                <w:bCs w:val="false"/>
                <w:i w:val="false"/>
                <w:iCs w:val="false"/>
                <w:sz w:val="20"/>
                <w:szCs w:val="20"/>
              </w:rPr>
              <w:t xml:space="preserve"> (Aufstockung, damit netto der volle Betrag ankommt) verteuert die Leistung für ihn um etwa 30–55 %: Verhandle brutto und netto getrennt.</w:t>
            </w:r>
          </w:p>
          <w:p>
            <w:pPr>
              <w:pStyle w:val="ListParagraph"/>
              <w:numPr>
                <w:ilvl w:val="0"/>
                <w:numId w:val="1"/>
              </w:numPr>
              <w:spacing w:lineRule="exact" w:line="264" w:before="0" w:after="50"/>
              <w:rPr/>
            </w:pPr>
            <w:r>
              <w:rPr>
                <w:rFonts w:eastAsia="Cambria" w:cs="Cambria"/>
                <w:b w:val="false"/>
                <w:bCs w:val="false"/>
                <w:i w:val="false"/>
                <w:iCs w:val="false"/>
                <w:sz w:val="20"/>
                <w:szCs w:val="20"/>
              </w:rPr>
              <w:t>Sparen kannst du mit weniger Volumen, Nebensaison, Sammelladung statt eigenem Container, Selbstpacken und einem Festpreis bis zur Haustür.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Fünf Wege im Überblick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Es gibt keinen besten Weg, nur den, der zu Haushaltsgröße, Budget und Zeitplan passt. Die Tabelle nennt Spannen ab Deutschland (Stand 2026, Portale wie Targum, Umzugsportal und DMS) – meist inklusive Einpacken und Verladen, aber ohne Zustellung in den USA, und von Anbietern mit Eigeninteresse: Nimm sie als Orientierung, nicht als Angebot.</w:t>
      </w:r>
    </w:p>
    <w:tbl>
      <w:tblPr>
        <w:tblW w:w="6480" w:type="dxa"/>
        <w:jc w:val="left"/>
        <w:tblInd w:w="0" w:type="dxa"/>
        <w:tblLayout w:type="fixed"/>
        <w:tblCellMar>
          <w:top w:w="50" w:type="dxa"/>
          <w:left w:w="80" w:type="dxa"/>
          <w:bottom w:w="50" w:type="dxa"/>
          <w:right w:w="80" w:type="dxa"/>
        </w:tblCellMar>
      </w:tblPr>
      <w:tblGrid>
        <w:gridCol w:w="1163"/>
        <w:gridCol w:w="2192"/>
        <w:gridCol w:w="2175"/>
        <w:gridCol w:w="949"/>
      </w:tblGrid>
      <w:tr>
        <w:trPr>
          <w:tblHeader w:val="true"/>
          <w:cantSplit w:val="true"/>
        </w:trPr>
        <w:tc>
          <w:tcPr>
            <w:tcW w:w="116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Weg</w:t>
            </w:r>
          </w:p>
        </w:tc>
        <w:tc>
          <w:tcPr>
            <w:tcW w:w="219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Geeignet für</w:t>
            </w:r>
          </w:p>
        </w:tc>
        <w:tc>
          <w:tcPr>
            <w:tcW w:w="217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Kosten</w:t>
            </w:r>
          </w:p>
        </w:tc>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Dauer</w:t>
            </w:r>
          </w:p>
        </w:tc>
      </w:tr>
      <w:tr>
        <w:trPr>
          <w:cantSplit w:val="true"/>
        </w:trPr>
        <w:tc>
          <w:tcPr>
            <w:tcW w:w="11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Koffer (Fluggepäck)</w:t>
            </w:r>
          </w:p>
        </w:tc>
        <w:tc>
          <w:tcPr>
            <w:tcW w:w="21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Kleidung, Dokumente, Technik, Unersetzliches</w:t>
            </w:r>
          </w:p>
        </w:tc>
        <w:tc>
          <w:tcPr>
            <w:tcW w:w="21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Freigepäck des Tarifs, Zusatzgepäck nach Preisliste der Airline</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fliegt mit dir</w:t>
            </w:r>
          </w:p>
        </w:tc>
      </w:tr>
      <w:tr>
        <w:trPr>
          <w:cantSplit w:val="true"/>
        </w:trPr>
        <w:tc>
          <w:tcPr>
            <w:tcW w:w="11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Paket (DHL)</w:t>
            </w:r>
          </w:p>
        </w:tc>
        <w:tc>
          <w:tcPr>
            <w:tcW w:w="21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wenige Kartons, Dringendes; bis 31,5 kg je Paket</w:t>
            </w:r>
          </w:p>
        </w:tc>
        <w:tc>
          <w:tcPr>
            <w:tcW w:w="21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 kg: 142,99 €, 31,5 kg: 207,99 €</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6–12 Werktage</w:t>
            </w:r>
          </w:p>
        </w:tc>
      </w:tr>
      <w:tr>
        <w:trPr>
          <w:cantSplit w:val="true"/>
        </w:trPr>
        <w:tc>
          <w:tcPr>
            <w:tcW w:w="11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Luftfracht</w:t>
            </w:r>
          </w:p>
        </w:tc>
        <w:tc>
          <w:tcPr>
            <w:tcW w:w="21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Dringendes, wenige Kubikmeter</w:t>
            </w:r>
          </w:p>
        </w:tc>
        <w:tc>
          <w:tcPr>
            <w:tcW w:w="21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5–12 € je kg; 2 m³ etwa 1.200–2.200 €</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schneller als See</w:t>
            </w:r>
          </w:p>
        </w:tc>
      </w:tr>
      <w:tr>
        <w:trPr>
          <w:cantSplit w:val="true"/>
        </w:trPr>
        <w:tc>
          <w:tcPr>
            <w:tcW w:w="11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Sammelladung (LCL) oder Liftvan</w:t>
            </w:r>
          </w:p>
        </w:tc>
        <w:tc>
          <w:tcPr>
            <w:tcW w:w="21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10–20 m³ (LCL), 4,85 m³ (Liftvan)</w:t>
            </w:r>
          </w:p>
        </w:tc>
        <w:tc>
          <w:tcPr>
            <w:tcW w:w="21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LCL 2.500–6.000 €, Liftvan 2.000–3.000 €</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4–12 Wochen</w:t>
            </w:r>
          </w:p>
        </w:tc>
      </w:tr>
      <w:tr>
        <w:trPr>
          <w:cantSplit w:val="true"/>
        </w:trPr>
        <w:tc>
          <w:tcPr>
            <w:tcW w:w="11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Container 20 ft</w:t>
            </w:r>
          </w:p>
        </w:tc>
        <w:tc>
          <w:tcPr>
            <w:tcW w:w="21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28–33 m³, zwei bis drei Zimmer</w:t>
            </w:r>
          </w:p>
        </w:tc>
        <w:tc>
          <w:tcPr>
            <w:tcW w:w="21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4.000–7.500 €</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4–12 Wochen</w:t>
            </w:r>
          </w:p>
        </w:tc>
      </w:tr>
      <w:tr>
        <w:trPr>
          <w:cantSplit w:val="true"/>
        </w:trPr>
        <w:tc>
          <w:tcPr>
            <w:tcW w:w="11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Container 40 ft</w:t>
            </w:r>
          </w:p>
        </w:tc>
        <w:tc>
          <w:tcPr>
            <w:tcW w:w="21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55–68 m³, vier bis sechs Zimmer</w:t>
            </w:r>
          </w:p>
        </w:tc>
        <w:tc>
          <w:tcPr>
            <w:tcW w:w="21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7.500–14.000 €</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4–12 Wochen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Zielküste zählt. Für einen 20-ft-Container nennt ein Anbieter 5.000–8.000 € an die Ostküste, 7.000–11.000 € an die Westküste. Auf See liegen die Häfen unterschiedlich weit auseinander: New York rund zehn Tage, Boston zwölf, Miami 14, Los Angeles 24, San Francisco 27. Verladung, Zollabfertigung und Zustellung kommen dazu, bei Zielen im Landesinneren auch die Strecke ab Hafen; von Tür zu Tür sind es vier bis zwölf Wochen.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der Sammelladung (</w:t>
      </w:r>
      <w:r>
        <w:rPr>
          <w:rFonts w:eastAsia="Cambria" w:cs="Cambria"/>
          <w:b w:val="false"/>
          <w:bCs w:val="false"/>
          <w:i/>
          <w:iCs/>
          <w:sz w:val="22"/>
          <w:szCs w:val="22"/>
        </w:rPr>
        <w:t>Less than Container Load</w:t>
      </w:r>
      <w:r>
        <w:rPr>
          <w:rFonts w:eastAsia="Cambria" w:cs="Cambria"/>
          <w:b w:val="false"/>
          <w:bCs w:val="false"/>
          <w:i w:val="false"/>
          <w:iCs w:val="false"/>
          <w:sz w:val="22"/>
          <w:szCs w:val="22"/>
        </w:rPr>
        <w:t>, LCL) teilst du den Container mit anderen Kunden und zahlst nach Kubikmetern, rund 250–300 € je m³ (eigene Rechnung aus den Portalspannen). Nach der Faustregel der Portale ist LCL bis etwa 15 m³ günstiger, darüber der eigene 20-ft-Container (</w:t>
      </w:r>
      <w:r>
        <w:rPr>
          <w:rFonts w:eastAsia="Cambria" w:cs="Cambria"/>
          <w:b w:val="false"/>
          <w:bCs w:val="false"/>
          <w:i/>
          <w:iCs/>
          <w:sz w:val="22"/>
          <w:szCs w:val="22"/>
        </w:rPr>
        <w:t>Full Container Load</w:t>
      </w:r>
      <w:r>
        <w:rPr>
          <w:rFonts w:eastAsia="Cambria" w:cs="Cambria"/>
          <w:b w:val="false"/>
          <w:bCs w:val="false"/>
          <w:i w:val="false"/>
          <w:iCs w:val="false"/>
          <w:sz w:val="22"/>
          <w:szCs w:val="22"/>
        </w:rPr>
        <w:t xml:space="preserve">, FCL). Ein </w:t>
      </w:r>
      <w:r>
        <w:rPr>
          <w:rFonts w:eastAsia="Cambria" w:cs="Cambria"/>
          <w:b w:val="false"/>
          <w:bCs w:val="false"/>
          <w:i/>
          <w:iCs/>
          <w:sz w:val="22"/>
          <w:szCs w:val="22"/>
        </w:rPr>
        <w:t>Liftvan</w:t>
      </w:r>
      <w:r>
        <w:rPr>
          <w:rFonts w:eastAsia="Cambria" w:cs="Cambria"/>
          <w:b w:val="false"/>
          <w:bCs w:val="false"/>
          <w:i w:val="false"/>
          <w:iCs w:val="false"/>
          <w:sz w:val="22"/>
          <w:szCs w:val="22"/>
        </w:rPr>
        <w:t xml:space="preserve"> ist eine Transportkiste von rund 4,85 m³ für kleine Haushalte.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Luftfracht lohnt für Dringendes; bei sperrigem Gut zählt das Volumengewicht, denn 1 m³ gilt als 167 kg. Ein Paket kostet je Kilo etwa 6,60–7,15 € und lohnt nur für wenige Kartons: Zehn Kartons à 20 kg schlagen schon mit rund 1.430 € zu Buche. Gib bei Paketen Inhalt und Wert wahrheitsgemäß an und frage den Paketdienst nach den Zollregeln für gebrauchten Hausrat.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Sabine Keller (fiktiv, 33, Softwareentwicklerin) zieht von München nach Seattle. Sie fliegt mit zwei Koffern und schickt vorab vier Kartons à 20 kg per DHL-Paket: 4 × 142,99 € = 571,96 € (Preise 09/2026, sechs bis zwölf Werktage). Am Check-in-Schalter schiebt sie den zweiten Koffer noch einmal auf die Waage – randvoll, aber unter dem Limit. Möbel nimmt sie nicht mit; schon ein Liftvan hätte 2.000–3.000 € gekostet. Für eine 1BR rechnet sie mit 7.000–12.000 $ für Neuware mittlerer Qualität, mit IKEA und Gebrauchtem 40–60 % weniger, also grob 2.800–7.200 $.</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wirklich in den Container gehört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Bei der Sammelladung bezahlst du das Volumen, jeden Kubikmeter mit rund 250–300 €. Das macht aus „mitnehmen oder neu kaufen?“ eine Rechenaufgabe. Ein 20-ft-Container (4.000–7.500 € plus Zustellung in den USA) liegt in der Größenordnung der Neuausstattung einer </w:t>
      </w:r>
      <w:r>
        <w:rPr>
          <w:rFonts w:eastAsia="Cambria" w:cs="Cambria"/>
          <w:b w:val="false"/>
          <w:bCs w:val="false"/>
          <w:i/>
          <w:iCs/>
          <w:sz w:val="22"/>
          <w:szCs w:val="22"/>
        </w:rPr>
        <w:t>1BR</w:t>
      </w:r>
      <w:r>
        <w:rPr>
          <w:rFonts w:eastAsia="Cambria" w:cs="Cambria"/>
          <w:b w:val="false"/>
          <w:bCs w:val="false"/>
          <w:i w:val="false"/>
          <w:iCs w:val="false"/>
          <w:sz w:val="22"/>
          <w:szCs w:val="22"/>
        </w:rPr>
        <w:t>, einer Zweizimmerwohnung nach deutscher Zählung: Anbieter nennen dafür 7.000–12.000 $ in mittlerer Qualität, mit IKEA und Gebrauchtmöbeln 40–60 % weniger. Zur groben Orientierung: 1 € entsprach im September 2026 etwa 1,15 $ (bitte tagesaktuell prüfen).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Wer schon einmal umgezogen ist, denkt oft, die eigenen Möbel seien im neuen Zuhause billiger als neue – man hat sie ja bereits bezahlt. Beim Übersee-Umzug zählt aber nur, was der Transport zusätzlich kostet, und der frisst bei sperrigen Stücken schnell den vermeintlichen Vorteil auf. Ein Beispiel: Ein Dreisitzer-Sofa belegt grob geschätzt 2 m³, das sind 500–600 € Transport. Ein neues Sofa kostet in den USA 300–800 $ (Budget) oder 800–2.000 $ (Mittelklasse). Bei einem Erbstück, das du nicht ersetzen kannst, fällt die Rechnung anders aus.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Vieles passt außerdem technisch nicht: Das US-Netz liefert 120 V bei 60 Hz (Steckdosen Typ A und B). Wasserkocher, Toaster, Haartrockner und andere Heiz- und Motorgeräte lässt du zurück; Laptops und Ladegeräte mit dem Aufdruck 100–240 V laufen mit Adapter. Betten sind anders: Ein Queen-Bett misst 60 × 80 Zoll (152 × 203 cm), deutsche Lattenroste und Bettwäsche passen nicht. Sinnvoll im Container sind Persönliches, Bücher, Kleidung, Küchenutensilien und hochwertige Einzelstücke, oft genügen Kartons oder ein Liftvan. Die Raum-für-Raum-Liste steht in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 Haustiere reisen nicht im Umzugsgut (Kapitel </w:t>
      </w:r>
      <w:hyperlink w:anchor="k22">
        <w:r>
          <w:rPr>
            <w:rStyle w:val="ListLabel115"/>
            <w:rFonts w:eastAsia="Cambria" w:cs="Cambria"/>
            <w:b w:val="false"/>
            <w:bCs w:val="false"/>
            <w:i w:val="false"/>
            <w:iCs w:val="false"/>
            <w:sz w:val="22"/>
            <w:szCs w:val="22"/>
          </w:rPr>
          <w:t>22</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Jeder Kubikmeter im Container kostet rund 250–300 €. Nimm nur mit, was in den USA mehr kostet oder nicht zu ersetzen ist.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Spedition wählen und Angebote vergleichen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So gehst du vor:</w:t>
      </w:r>
    </w:p>
    <w:p>
      <w:pPr>
        <w:pStyle w:val="ListParagraph"/>
        <w:numPr>
          <w:ilvl w:val="0"/>
          <w:numId w:val="1"/>
        </w:numPr>
        <w:spacing w:lineRule="exact" w:line="288" w:before="0" w:after="60"/>
        <w:rPr/>
      </w:pPr>
      <w:r>
        <w:rPr>
          <w:rFonts w:eastAsia="Cambria" w:cs="Cambria"/>
          <w:b/>
          <w:bCs/>
          <w:i w:val="false"/>
          <w:iCs w:val="false"/>
          <w:sz w:val="22"/>
          <w:szCs w:val="22"/>
        </w:rPr>
        <w:t>Drei Angebote,</w:t>
      </w:r>
      <w:r>
        <w:rPr>
          <w:rFonts w:eastAsia="Cambria" w:cs="Cambria"/>
          <w:b w:val="false"/>
          <w:bCs w:val="false"/>
          <w:i w:val="false"/>
          <w:iCs w:val="false"/>
          <w:sz w:val="22"/>
          <w:szCs w:val="22"/>
        </w:rPr>
        <w:t xml:space="preserve"> jeweils nach Besichtigung vor Ort oder per Video-Survey (Rundgang per Videoanruf) – telefonische Schätzungen taugen nicht zum Vergleich.</w:t>
      </w:r>
    </w:p>
    <w:p>
      <w:pPr>
        <w:pStyle w:val="ListParagraph"/>
        <w:numPr>
          <w:ilvl w:val="0"/>
          <w:numId w:val="1"/>
        </w:numPr>
        <w:spacing w:lineRule="exact" w:line="288" w:before="0" w:after="60"/>
        <w:rPr/>
      </w:pPr>
      <w:r>
        <w:rPr>
          <w:rFonts w:eastAsia="Cambria" w:cs="Cambria"/>
          <w:b/>
          <w:bCs/>
          <w:i w:val="false"/>
          <w:iCs w:val="false"/>
          <w:sz w:val="22"/>
          <w:szCs w:val="22"/>
        </w:rPr>
        <w:t>Verbindlicher Festpreis</w:t>
      </w:r>
      <w:r>
        <w:rPr>
          <w:rFonts w:eastAsia="Cambria" w:cs="Cambria"/>
          <w:b w:val="false"/>
          <w:bCs w:val="false"/>
          <w:i w:val="false"/>
          <w:iCs w:val="false"/>
          <w:sz w:val="22"/>
          <w:szCs w:val="22"/>
        </w:rPr>
        <w:t xml:space="preserve"> statt Schätzung, schriftlich und mit gleichem Leistungsumfang bei allen Anbietern.</w:t>
      </w:r>
    </w:p>
    <w:p>
      <w:pPr>
        <w:pStyle w:val="ListParagraph"/>
        <w:numPr>
          <w:ilvl w:val="0"/>
          <w:numId w:val="1"/>
        </w:numPr>
        <w:spacing w:lineRule="exact" w:line="288" w:before="0" w:after="60"/>
        <w:rPr/>
      </w:pPr>
      <w:r>
        <w:rPr>
          <w:rFonts w:eastAsia="Cambria" w:cs="Cambria"/>
          <w:b/>
          <w:bCs/>
          <w:i w:val="false"/>
          <w:iCs w:val="false"/>
          <w:sz w:val="22"/>
          <w:szCs w:val="22"/>
        </w:rPr>
        <w:t>Qualitätsnachweise:</w:t>
      </w:r>
      <w:r>
        <w:rPr>
          <w:rFonts w:eastAsia="Cambria" w:cs="Cambria"/>
          <w:b w:val="false"/>
          <w:bCs w:val="false"/>
          <w:i w:val="false"/>
          <w:iCs w:val="false"/>
          <w:sz w:val="22"/>
          <w:szCs w:val="22"/>
        </w:rPr>
        <w:t xml:space="preserve"> </w:t>
      </w:r>
      <w:r>
        <w:rPr>
          <w:rFonts w:eastAsia="Cambria" w:cs="Cambria"/>
          <w:b w:val="false"/>
          <w:bCs w:val="false"/>
          <w:i/>
          <w:iCs/>
          <w:sz w:val="22"/>
          <w:szCs w:val="22"/>
        </w:rPr>
        <w:t>FIDI-FAIM</w:t>
      </w:r>
      <w:r>
        <w:rPr>
          <w:rFonts w:eastAsia="Cambria" w:cs="Cambria"/>
          <w:b w:val="false"/>
          <w:bCs w:val="false"/>
          <w:i w:val="false"/>
          <w:iCs w:val="false"/>
          <w:sz w:val="22"/>
          <w:szCs w:val="22"/>
        </w:rPr>
        <w:t xml:space="preserve"> (</w:t>
      </w:r>
      <w:r>
        <w:rPr>
          <w:rFonts w:eastAsia="Cambria" w:cs="Cambria"/>
          <w:b w:val="false"/>
          <w:bCs w:val="false"/>
          <w:i/>
          <w:iCs/>
          <w:sz w:val="22"/>
          <w:szCs w:val="22"/>
        </w:rPr>
        <w:t>FIDI Accredited International Mover</w:t>
      </w:r>
      <w:r>
        <w:rPr>
          <w:rFonts w:eastAsia="Cambria" w:cs="Cambria"/>
          <w:b w:val="false"/>
          <w:bCs w:val="false"/>
          <w:i w:val="false"/>
          <w:iCs w:val="false"/>
          <w:sz w:val="22"/>
          <w:szCs w:val="22"/>
        </w:rPr>
        <w:t xml:space="preserve">, Qualitätslabel des Umzugsverbands FIDI; Mitgliederliste auf fidi.org), auf US-Seite das Siegel </w:t>
      </w:r>
      <w:r>
        <w:rPr>
          <w:rFonts w:eastAsia="Cambria" w:cs="Cambria"/>
          <w:b w:val="false"/>
          <w:bCs w:val="false"/>
          <w:i/>
          <w:iCs/>
          <w:sz w:val="22"/>
          <w:szCs w:val="22"/>
        </w:rPr>
        <w:t>AMSA ProMover</w:t>
      </w:r>
      <w:r>
        <w:rPr>
          <w:rFonts w:eastAsia="Cambria" w:cs="Cambria"/>
          <w:b w:val="false"/>
          <w:bCs w:val="false"/>
          <w:i w:val="false"/>
          <w:iCs w:val="false"/>
          <w:sz w:val="22"/>
          <w:szCs w:val="22"/>
        </w:rPr>
        <w:t xml:space="preserve"> sowie USDOT- und MC-Nummer des Frachtführers, nachschlagbar bei der Bundesbehörde FMCSA (Aufsicht über den Lkw-Verkehr).</w:t>
      </w:r>
    </w:p>
    <w:p>
      <w:pPr>
        <w:pStyle w:val="ListParagraph"/>
        <w:numPr>
          <w:ilvl w:val="0"/>
          <w:numId w:val="1"/>
        </w:numPr>
        <w:spacing w:lineRule="exact" w:line="288" w:before="0" w:after="60"/>
        <w:rPr/>
      </w:pPr>
      <w:r>
        <w:rPr>
          <w:rFonts w:eastAsia="Cambria" w:cs="Cambria"/>
          <w:b/>
          <w:bCs/>
          <w:i w:val="false"/>
          <w:iCs w:val="false"/>
          <w:sz w:val="22"/>
          <w:szCs w:val="22"/>
        </w:rPr>
        <w:t>Zahlung</w:t>
      </w:r>
      <w:r>
        <w:rPr>
          <w:rFonts w:eastAsia="Cambria" w:cs="Cambria"/>
          <w:b w:val="false"/>
          <w:bCs w:val="false"/>
          <w:i w:val="false"/>
          <w:iCs w:val="false"/>
          <w:sz w:val="22"/>
          <w:szCs w:val="22"/>
        </w:rPr>
        <w:t xml:space="preserve"> nie komplett im Voraus; kläre, wann die Restzahlung fällig wird.</w:t>
      </w:r>
    </w:p>
    <w:p>
      <w:pPr>
        <w:pStyle w:val="ListParagraph"/>
        <w:numPr>
          <w:ilvl w:val="0"/>
          <w:numId w:val="1"/>
        </w:numPr>
        <w:spacing w:lineRule="exact" w:line="288" w:before="0" w:after="60"/>
        <w:rPr/>
      </w:pPr>
      <w:r>
        <w:rPr>
          <w:rFonts w:eastAsia="Cambria" w:cs="Cambria"/>
          <w:b/>
          <w:bCs/>
          <w:i w:val="false"/>
          <w:iCs w:val="false"/>
          <w:sz w:val="22"/>
          <w:szCs w:val="22"/>
        </w:rPr>
        <w:t>Zeitplan:</w:t>
      </w:r>
      <w:r>
        <w:rPr>
          <w:rFonts w:eastAsia="Cambria" w:cs="Cambria"/>
          <w:b w:val="false"/>
          <w:bCs w:val="false"/>
          <w:i w:val="false"/>
          <w:iCs w:val="false"/>
          <w:sz w:val="22"/>
          <w:szCs w:val="22"/>
        </w:rPr>
        <w:t xml:space="preserve"> Buche sechs bis acht Wochen vor der Verladung, aber verbindlich erst, wenn das Visum im Pass steht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 Zeitleiste in Kapitel </w:t>
      </w:r>
      <w:hyperlink w:anchor="k15">
        <w:r>
          <w:rPr>
            <w:rStyle w:val="ListLabel115"/>
            <w:rFonts w:eastAsia="Cambria" w:cs="Cambria"/>
            <w:b w:val="false"/>
            <w:bCs w:val="false"/>
            <w:i w:val="false"/>
            <w:iCs w:val="false"/>
            <w:sz w:val="22"/>
            <w:szCs w:val="22"/>
          </w:rPr>
          <w:t>15</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Preis ist noch kein Preis bis zur Haustür. Zustellung Hafen–Haus, Zollabfertigung durch den Zollagenten (</w:t>
            </w:r>
            <w:r>
              <w:rPr>
                <w:rFonts w:eastAsia="Cambria" w:cs="Cambria"/>
                <w:b w:val="false"/>
                <w:bCs w:val="false"/>
                <w:i/>
                <w:iCs/>
                <w:sz w:val="20"/>
                <w:szCs w:val="20"/>
              </w:rPr>
              <w:t>Customs Broker</w:t>
            </w:r>
            <w:r>
              <w:rPr>
                <w:rFonts w:eastAsia="Cambria" w:cs="Cambria"/>
                <w:b w:val="false"/>
                <w:bCs w:val="false"/>
                <w:i w:val="false"/>
                <w:iCs w:val="false"/>
                <w:sz w:val="20"/>
                <w:szCs w:val="20"/>
              </w:rPr>
              <w:t>), Zuschläge für Treppen und lange Tragewege, Auspacken und Lagerung fehlen in Portalangeboten oft. Diese Posten schwanken stark: Lass dir jeden einzeln beziffern und vergleiche nur Tür-zu-Tür-Festpreise.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Versicherung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Standardhaftung der Spedition ist gering und bemisst sich meist nach Gewicht, nicht nach dem Wert deiner Sachen. Schließe deshalb eine Transportversicherung „all risk“ zum Neu- bzw. Wiederbeschaffungswert ab. Als Faustwert gelten 1–3 % des Versicherungswerts (Praxiswert, hole ein konkretes Angebot ein): Bei 30.000 € wären das 300–900 €.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Grundlage ist deine Inventarliste mit Werten; fotografiere wertvolle Stücke vorher, solange sie noch im Regal stehen und nicht schon in Luftpolsterfolie verschwunden sind. Frage nach Ausschlüssen (etwa selbstgepackte Kartons, Wertsachen) und vermerke Schäden bei der Lieferung sofort auf dem Übergabeprotokoll. Ob deine deutsche Hausratversicherung während des Transports leistet, lässt du dir schriftlich bestätigen (Kündigung: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Zoll USA: zollfreie Einfuhr des Umzugsguts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Zoll- und Grenzschutzbehörde </w:t>
      </w:r>
      <w:r>
        <w:rPr>
          <w:rFonts w:eastAsia="Cambria" w:cs="Cambria"/>
          <w:b w:val="false"/>
          <w:bCs w:val="false"/>
          <w:i/>
          <w:iCs/>
          <w:sz w:val="22"/>
          <w:szCs w:val="22"/>
        </w:rPr>
        <w:t>U.S. Customs and Border Protection</w:t>
      </w:r>
      <w:r>
        <w:rPr>
          <w:rFonts w:eastAsia="Cambria" w:cs="Cambria"/>
          <w:b w:val="false"/>
          <w:bCs w:val="false"/>
          <w:i w:val="false"/>
          <w:iCs w:val="false"/>
          <w:sz w:val="22"/>
          <w:szCs w:val="22"/>
        </w:rPr>
        <w:t xml:space="preserve"> (CBP) lässt gebrauchten Hausrat zollfrei ins Land (</w:t>
      </w:r>
      <w:r>
        <w:rPr>
          <w:rFonts w:eastAsia="Cambria" w:cs="Cambria"/>
          <w:b w:val="false"/>
          <w:bCs w:val="false"/>
          <w:i/>
          <w:iCs/>
          <w:sz w:val="22"/>
          <w:szCs w:val="22"/>
        </w:rPr>
        <w:t>Free Entry</w:t>
      </w:r>
      <w:r>
        <w:rPr>
          <w:rFonts w:eastAsia="Cambria" w:cs="Cambria"/>
          <w:b w:val="false"/>
          <w:bCs w:val="false"/>
          <w:i w:val="false"/>
          <w:iCs w:val="false"/>
          <w:sz w:val="22"/>
          <w:szCs w:val="22"/>
        </w:rPr>
        <w:t>), wenn drei Bedingungen erfüllt sind (19 CFR 148.52, die einschlägige Vorschrift der US-Zollregeln):</w:t>
      </w:r>
    </w:p>
    <w:p>
      <w:pPr>
        <w:pStyle w:val="ListParagraph"/>
        <w:numPr>
          <w:ilvl w:val="0"/>
          <w:numId w:val="1"/>
        </w:numPr>
        <w:spacing w:lineRule="exact" w:line="288" w:before="0" w:after="60"/>
        <w:rPr/>
      </w:pPr>
      <w:r>
        <w:rPr>
          <w:rFonts w:eastAsia="Cambria" w:cs="Cambria"/>
          <w:b w:val="false"/>
          <w:bCs w:val="false"/>
          <w:i w:val="false"/>
          <w:iCs w:val="false"/>
          <w:sz w:val="22"/>
          <w:szCs w:val="22"/>
        </w:rPr>
        <w:t>Du oder deine Familie habt die Gegenstände im Ausland mindestens ein Jahr genutzt. Das Jahr muss weder zusammenhängend sein noch unmittelbar vor der Einfuhr liegen.</w:t>
      </w:r>
    </w:p>
    <w:p>
      <w:pPr>
        <w:pStyle w:val="ListParagraph"/>
        <w:numPr>
          <w:ilvl w:val="0"/>
          <w:numId w:val="1"/>
        </w:numPr>
        <w:spacing w:lineRule="exact" w:line="288" w:before="0" w:after="60"/>
        <w:rPr/>
      </w:pPr>
      <w:r>
        <w:rPr>
          <w:rFonts w:eastAsia="Cambria" w:cs="Cambria"/>
          <w:b w:val="false"/>
          <w:bCs w:val="false"/>
          <w:i w:val="false"/>
          <w:iCs w:val="false"/>
          <w:sz w:val="22"/>
          <w:szCs w:val="22"/>
        </w:rPr>
        <w:t>Die Sachen sind für den eigenen Haushalt bestimmt, nicht für Dritte und nicht zum Verkauf.</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Du erklärst sie auf </w:t>
      </w:r>
      <w:r>
        <w:rPr>
          <w:rFonts w:eastAsia="Cambria" w:cs="Cambria"/>
          <w:b w:val="false"/>
          <w:bCs w:val="false"/>
          <w:i/>
          <w:iCs/>
          <w:sz w:val="22"/>
          <w:szCs w:val="22"/>
        </w:rPr>
        <w:t>CBP Form 3299</w:t>
      </w:r>
      <w:r>
        <w:rPr>
          <w:rFonts w:eastAsia="Cambria" w:cs="Cambria"/>
          <w:b w:val="false"/>
          <w:bCs w:val="false"/>
          <w:i w:val="false"/>
          <w:iCs w:val="false"/>
          <w:sz w:val="22"/>
          <w:szCs w:val="22"/>
        </w:rPr>
        <w:t xml:space="preserve"> („Declaration for Free Entry of Unaccompanied Articles“, Zollerklärung für unbegleitetes Umzugsgut) oder in einem elektronischen Äquivalent.</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Was du im Ausland gekauft und weniger als ein Jahr genutzt hast, ist verzollbar; das Formular fragt genau danach. Fahrzeuge zählen nicht zur Freigrenze: Ein Auto einzuführen lohnt fast nie (Verschiffung 1.300–3.000 €, Pkw-Zoll 2,5 %, Nachweise zu Abgas- und Sicherheitsnormen, mögliche Zusatzzölle; Kapitel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Matratze vom Frühjahr, das im Sommer gekaufte Sofa: unter einem Jahr genutzt heißt verzollbar. Deklariere ehrlich, denn das Formular warnt, dass alle Angaben geprüft werden und falsche oder fehlende Angaben Strafen nach sich ziehen können. Neuware gehört nicht in den Container; auf Polstermöbel und Küchenschränke kommt zudem ein Zusatzzoll von etwa 25 % (Section 232, Stand 2026).</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So läuft die Abwicklung:</w:t>
      </w:r>
    </w:p>
    <w:p>
      <w:pPr>
        <w:pStyle w:val="ListParagraph"/>
        <w:numPr>
          <w:ilvl w:val="0"/>
          <w:numId w:val="135"/>
        </w:numPr>
        <w:spacing w:lineRule="exact" w:line="288" w:before="0" w:after="60"/>
        <w:rPr/>
      </w:pPr>
      <w:r>
        <w:rPr>
          <w:rFonts w:eastAsia="Cambria" w:cs="Cambria"/>
          <w:b/>
          <w:bCs/>
          <w:i w:val="false"/>
          <w:iCs w:val="false"/>
          <w:sz w:val="22"/>
          <w:szCs w:val="22"/>
        </w:rPr>
        <w:t>Inventarliste</w:t>
      </w:r>
      <w:r>
        <w:rPr>
          <w:rFonts w:eastAsia="Cambria" w:cs="Cambria"/>
          <w:b w:val="false"/>
          <w:bCs w:val="false"/>
          <w:i w:val="false"/>
          <w:iCs w:val="false"/>
          <w:sz w:val="22"/>
          <w:szCs w:val="22"/>
        </w:rPr>
        <w:t xml:space="preserve"> (Packliste) auf Englisch: Karton für Karton nummeriert, mit Inhalt und Wert. Sie dient Zoll und Versicherung; die Spedition liefert meist eine Vorlage.</w:t>
      </w:r>
    </w:p>
    <w:p>
      <w:pPr>
        <w:pStyle w:val="ListParagraph"/>
        <w:numPr>
          <w:ilvl w:val="0"/>
          <w:numId w:val="136"/>
        </w:numPr>
        <w:spacing w:lineRule="exact" w:line="288" w:before="0" w:after="60"/>
        <w:rPr/>
      </w:pPr>
      <w:r>
        <w:rPr>
          <w:rFonts w:eastAsia="Cambria" w:cs="Cambria"/>
          <w:b/>
          <w:bCs/>
          <w:i w:val="false"/>
          <w:iCs w:val="false"/>
          <w:sz w:val="22"/>
          <w:szCs w:val="22"/>
        </w:rPr>
        <w:t>Zollagent:</w:t>
      </w:r>
      <w:r>
        <w:rPr>
          <w:rFonts w:eastAsia="Cambria" w:cs="Cambria"/>
          <w:b w:val="false"/>
          <w:bCs w:val="false"/>
          <w:i w:val="false"/>
          <w:iCs w:val="false"/>
          <w:sz w:val="22"/>
          <w:szCs w:val="22"/>
        </w:rPr>
        <w:t xml:space="preserve"> Er wird meist über die Spedition gestellt und braucht eine Vollmacht, deinen Reisepass, Visum und I-94 (den elektronischen Einreise- und Aufenthaltsnachweis) oder die Green Card und das Inventar.</w:t>
      </w:r>
    </w:p>
    <w:p>
      <w:pPr>
        <w:pStyle w:val="ListParagraph"/>
        <w:numPr>
          <w:ilvl w:val="0"/>
          <w:numId w:val="137"/>
        </w:numPr>
        <w:spacing w:lineRule="exact" w:line="288" w:before="0" w:after="60"/>
        <w:rPr/>
      </w:pPr>
      <w:r>
        <w:rPr>
          <w:rFonts w:eastAsia="Cambria" w:cs="Cambria"/>
          <w:b/>
          <w:bCs/>
          <w:i w:val="false"/>
          <w:iCs w:val="false"/>
          <w:sz w:val="22"/>
          <w:szCs w:val="22"/>
        </w:rPr>
        <w:t>Form 3299:</w:t>
      </w:r>
      <w:r>
        <w:rPr>
          <w:rFonts w:eastAsia="Cambria" w:cs="Cambria"/>
          <w:b w:val="false"/>
          <w:bCs w:val="false"/>
          <w:i w:val="false"/>
          <w:iCs w:val="false"/>
          <w:sz w:val="22"/>
          <w:szCs w:val="22"/>
        </w:rPr>
        <w:t xml:space="preserve"> Teil I füllen alle aus, Teil II fragt nach deinem Aufenthaltsstatus. Welches Kästchen zu deinem Visum passt, klärt der Zollagent – wer aus Deutschland kommt, dem ist die Freude an exakt ausgefüllten Formularen ohnehin nicht fremd.</w:t>
      </w:r>
    </w:p>
    <w:p>
      <w:pPr>
        <w:pStyle w:val="ListParagraph"/>
        <w:numPr>
          <w:ilvl w:val="0"/>
          <w:numId w:val="138"/>
        </w:numPr>
        <w:spacing w:lineRule="exact" w:line="288" w:before="0" w:after="60"/>
        <w:rPr/>
      </w:pPr>
      <w:r>
        <w:rPr>
          <w:rFonts w:eastAsia="Cambria" w:cs="Cambria"/>
          <w:b/>
          <w:bCs/>
          <w:i w:val="false"/>
          <w:iCs w:val="false"/>
          <w:sz w:val="22"/>
          <w:szCs w:val="22"/>
        </w:rPr>
        <w:t>Fehlende Erklärung:</w:t>
      </w:r>
      <w:r>
        <w:rPr>
          <w:rFonts w:eastAsia="Cambria" w:cs="Cambria"/>
          <w:b w:val="false"/>
          <w:bCs w:val="false"/>
          <w:i w:val="false"/>
          <w:iCs w:val="false"/>
          <w:sz w:val="22"/>
          <w:szCs w:val="22"/>
        </w:rPr>
        <w:t xml:space="preserve"> Liegt sie bei der Ankunft nicht vor, kann eine Zollbürgschaft (</w:t>
      </w:r>
      <w:r>
        <w:rPr>
          <w:rFonts w:eastAsia="Cambria" w:cs="Cambria"/>
          <w:b w:val="false"/>
          <w:bCs w:val="false"/>
          <w:i/>
          <w:iCs/>
          <w:sz w:val="22"/>
          <w:szCs w:val="22"/>
        </w:rPr>
        <w:t>Bond</w:t>
      </w:r>
      <w:r>
        <w:rPr>
          <w:rFonts w:eastAsia="Cambria" w:cs="Cambria"/>
          <w:b w:val="false"/>
          <w:bCs w:val="false"/>
          <w:i w:val="false"/>
          <w:iCs w:val="false"/>
          <w:sz w:val="22"/>
          <w:szCs w:val="22"/>
        </w:rPr>
        <w:t>, CBP Form 301) hinterlegt werden; die Erklärung reichst du binnen sechs Monaten nach.</w:t>
      </w:r>
    </w:p>
    <w:p>
      <w:pPr>
        <w:pStyle w:val="ListParagraph"/>
        <w:numPr>
          <w:ilvl w:val="0"/>
          <w:numId w:val="139"/>
        </w:numPr>
        <w:spacing w:lineRule="exact" w:line="288" w:before="0" w:after="60"/>
        <w:rPr/>
      </w:pPr>
      <w:r>
        <w:rPr>
          <w:rFonts w:eastAsia="Cambria" w:cs="Cambria"/>
          <w:b/>
          <w:bCs/>
          <w:i w:val="false"/>
          <w:iCs w:val="false"/>
          <w:sz w:val="22"/>
          <w:szCs w:val="22"/>
        </w:rPr>
        <w:t>Beschau:</w:t>
      </w:r>
      <w:r>
        <w:rPr>
          <w:rFonts w:eastAsia="Cambria" w:cs="Cambria"/>
          <w:b w:val="false"/>
          <w:bCs w:val="false"/>
          <w:i w:val="false"/>
          <w:iCs w:val="false"/>
          <w:sz w:val="22"/>
          <w:szCs w:val="22"/>
        </w:rPr>
        <w:t xml:space="preserve"> Der Zoll darf den Container öffnen und prüfen. Das kann Zeit und Zusatzkosten bedeuten.</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19 CFR 148.52 ist keine feste kurze Frist zwischen deiner Einreise und dem Eintreffen der Sendung erkennbar; beschränkt wird die sehr späte Einfuhr nach vielen Jahren. Die Praxis im Zielhafen klärst du trotzdem vorab schriftlich mit dem Zollagenten.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Zolllage ist 2026 in Bewegung: Der Supreme Court kippte die auf das Notstandsgesetz IEEPA gestützten Zölle am 20. Februar 2026 (6:3); seit dem 24. Juli 2026 gelten Zölle nach Section 301 (für Waren aus der EU kombiniert 10 %), und die Zölle nach Section 232 auf Möbel, Autos, Stahl, Aluminium und Holz bleiben.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Ob sie zollfreies Umzugsgut treffen, ist offen: Von den früheren IEEPA-Zöllen waren Waren des Kapitels 98 des US-Zolltarifs, unter das Umzugsgut fällt, ausgenommen; für die neuen Zölle liegt keine bestätigte Aussage vor. Lass dir vom Zollagenten schriftlich bestätigen, dass dein Umzugsgut abgabenfrei eingeht.</w:t>
      </w:r>
    </w:p>
    <w:p>
      <w:pPr>
        <w:pStyle w:val="Heading3"/>
        <w:keepNext w:val="true"/>
        <w:spacing w:before="280" w:after="100"/>
        <w:jc w:val="center"/>
        <w:rPr/>
      </w:pPr>
      <w:r>
        <w:rPr>
          <w:rFonts w:eastAsia="Amazon Ember" w:cs="Amazon Ember" w:ascii="Amazon Ember" w:hAnsi="Amazon Ember"/>
          <w:b/>
          <w:bCs/>
          <w:color w:val="0000FF"/>
          <w:sz w:val="36"/>
          <w:szCs w:val="36"/>
        </w:rPr>
        <w:t>Verbotenes und Beschränktes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Manches darfst du nicht oder nur mit Papieren einführen. Die Zollerklärung fragt es ausdrücklich ab.</w:t>
      </w:r>
    </w:p>
    <w:tbl>
      <w:tblPr>
        <w:tblW w:w="6480" w:type="dxa"/>
        <w:jc w:val="left"/>
        <w:tblInd w:w="0" w:type="dxa"/>
        <w:tblLayout w:type="fixed"/>
        <w:tblCellMar>
          <w:top w:w="50" w:type="dxa"/>
          <w:left w:w="80" w:type="dxa"/>
          <w:bottom w:w="50" w:type="dxa"/>
          <w:right w:w="80" w:type="dxa"/>
        </w:tblCellMar>
      </w:tblPr>
      <w:tblGrid>
        <w:gridCol w:w="1159"/>
        <w:gridCol w:w="3126"/>
        <w:gridCol w:w="2195"/>
      </w:tblGrid>
      <w:tr>
        <w:trPr>
          <w:tblHeader w:val="true"/>
          <w:cantSplit w:val="true"/>
        </w:trPr>
        <w:tc>
          <w:tcPr>
            <w:tcW w:w="115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Ware</w:t>
            </w:r>
          </w:p>
        </w:tc>
        <w:tc>
          <w:tcPr>
            <w:tcW w:w="312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Regel (Stand 2026)</w:t>
            </w:r>
          </w:p>
        </w:tc>
        <w:tc>
          <w:tcPr>
            <w:tcW w:w="219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du tust</w:t>
            </w:r>
          </w:p>
        </w:tc>
      </w:tr>
      <w:tr>
        <w:trPr>
          <w:cantSplit w:val="true"/>
        </w:trPr>
        <w:tc>
          <w:tcPr>
            <w:tcW w:w="11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Lebensmittel</w:t>
            </w:r>
          </w:p>
        </w:tc>
        <w:tc>
          <w:tcPr>
            <w:tcW w:w="31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Frisches Obst, Gemüse, Fleisch und Wurst: verboten oder je nach Herkunftsland beschränkt</w:t>
            </w:r>
          </w:p>
        </w:tc>
        <w:tc>
          <w:tcPr>
            <w:tcW w:w="21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Verbrauchen, verschenken, zurücklassen</w:t>
            </w:r>
          </w:p>
        </w:tc>
      </w:tr>
      <w:tr>
        <w:trPr>
          <w:cantSplit w:val="true"/>
        </w:trPr>
        <w:tc>
          <w:tcPr>
            <w:tcW w:w="11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Pflanzen, Samen, Erde</w:t>
            </w:r>
          </w:p>
        </w:tc>
        <w:tc>
          <w:tcPr>
            <w:tcW w:w="31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Genehmigung (</w:t>
            </w:r>
            <w:r>
              <w:rPr>
                <w:rFonts w:eastAsia="Cambria" w:cs="Cambria"/>
                <w:b w:val="false"/>
                <w:bCs w:val="false"/>
                <w:i/>
                <w:iCs/>
                <w:sz w:val="18"/>
                <w:szCs w:val="18"/>
              </w:rPr>
              <w:t>Permit</w:t>
            </w:r>
            <w:r>
              <w:rPr>
                <w:rFonts w:eastAsia="Cambria" w:cs="Cambria"/>
                <w:b w:val="false"/>
                <w:bCs w:val="false"/>
                <w:i w:val="false"/>
                <w:iCs w:val="false"/>
                <w:sz w:val="18"/>
                <w:szCs w:val="18"/>
              </w:rPr>
              <w:t>) des US-Landwirtschaftsministeriums USDA verboten</w:t>
            </w:r>
          </w:p>
        </w:tc>
        <w:tc>
          <w:tcPr>
            <w:tcW w:w="21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mitnehmen, auch keine Kübelerde</w:t>
            </w:r>
          </w:p>
        </w:tc>
      </w:tr>
      <w:tr>
        <w:trPr>
          <w:cantSplit w:val="true"/>
        </w:trPr>
        <w:tc>
          <w:tcPr>
            <w:tcW w:w="11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Holz</w:t>
            </w:r>
          </w:p>
        </w:tc>
        <w:tc>
          <w:tcPr>
            <w:tcW w:w="31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Kisten, Paletten und Holzverpackung nur mit </w:t>
            </w:r>
            <w:r>
              <w:rPr>
                <w:rFonts w:eastAsia="Cambria" w:cs="Cambria"/>
                <w:b w:val="false"/>
                <w:bCs w:val="false"/>
                <w:i/>
                <w:iCs/>
                <w:sz w:val="18"/>
                <w:szCs w:val="18"/>
              </w:rPr>
              <w:t>ISPM-15</w:t>
            </w:r>
            <w:r>
              <w:rPr>
                <w:rFonts w:eastAsia="Cambria" w:cs="Cambria"/>
                <w:b w:val="false"/>
                <w:bCs w:val="false"/>
                <w:i w:val="false"/>
                <w:iCs w:val="false"/>
                <w:sz w:val="18"/>
                <w:szCs w:val="18"/>
              </w:rPr>
              <w:t>-Stempel (Pflanzenschutzstandard, Hitze- oder Begasungsbehandlung), sonst Zurückweisung</w:t>
            </w:r>
          </w:p>
        </w:tc>
        <w:tc>
          <w:tcPr>
            <w:tcW w:w="21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Von der Spedition schriftlich bestätigen lassen</w:t>
            </w:r>
          </w:p>
        </w:tc>
      </w:tr>
      <w:tr>
        <w:trPr>
          <w:cantSplit w:val="true"/>
        </w:trPr>
        <w:tc>
          <w:tcPr>
            <w:tcW w:w="11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Elfenbein, Artenschutzware</w:t>
            </w:r>
          </w:p>
        </w:tc>
        <w:tc>
          <w:tcPr>
            <w:tcW w:w="31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CITES- und USFWS-Papiere verboten</w:t>
            </w:r>
          </w:p>
        </w:tc>
        <w:tc>
          <w:tcPr>
            <w:tcW w:w="21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mitnehmen</w:t>
            </w:r>
          </w:p>
        </w:tc>
      </w:tr>
      <w:tr>
        <w:trPr>
          <w:cantSplit w:val="true"/>
        </w:trPr>
        <w:tc>
          <w:tcPr>
            <w:tcW w:w="11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Waffen, Munition</w:t>
            </w:r>
          </w:p>
        </w:tc>
        <w:tc>
          <w:tcPr>
            <w:tcW w:w="31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mit ATF-Formularen und Einfuhrgenehmigung</w:t>
            </w:r>
          </w:p>
        </w:tc>
        <w:tc>
          <w:tcPr>
            <w:tcW w:w="21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mitschicken (Kapitel </w:t>
            </w:r>
            <w:hyperlink w:anchor="k40">
              <w:r>
                <w:rPr>
                  <w:rStyle w:val="ListLabel112"/>
                  <w:rFonts w:eastAsia="Cambria" w:cs="Cambria"/>
                  <w:b w:val="false"/>
                  <w:bCs w:val="false"/>
                  <w:i w:val="false"/>
                  <w:iCs w:val="false"/>
                  <w:sz w:val="18"/>
                  <w:szCs w:val="18"/>
                </w:rPr>
                <w:t>40</w:t>
              </w:r>
            </w:hyperlink>
            <w:r>
              <w:rPr>
                <w:rFonts w:eastAsia="Cambria" w:cs="Cambria"/>
                <w:b w:val="false"/>
                <w:bCs w:val="false"/>
                <w:i w:val="false"/>
                <w:iCs w:val="false"/>
                <w:sz w:val="18"/>
                <w:szCs w:val="18"/>
              </w:rPr>
              <w:t>)</w:t>
            </w:r>
          </w:p>
        </w:tc>
      </w:tr>
      <w:tr>
        <w:trPr>
          <w:cantSplit w:val="true"/>
        </w:trPr>
        <w:tc>
          <w:tcPr>
            <w:tcW w:w="11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Alkohol, Tabak</w:t>
            </w:r>
          </w:p>
        </w:tc>
        <w:tc>
          <w:tcPr>
            <w:tcW w:w="31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Beschränkt, gesondert zu deklarieren</w:t>
            </w:r>
          </w:p>
        </w:tc>
        <w:tc>
          <w:tcPr>
            <w:tcW w:w="21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mitschicken</w:t>
            </w:r>
          </w:p>
        </w:tc>
      </w:tr>
      <w:tr>
        <w:trPr>
          <w:cantSplit w:val="true"/>
        </w:trPr>
        <w:tc>
          <w:tcPr>
            <w:tcW w:w="11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Medikamente</w:t>
            </w:r>
          </w:p>
        </w:tc>
        <w:tc>
          <w:tcPr>
            <w:tcW w:w="31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Originalverpackung, Rezept, persönliche Menge (Praxisregel etwa 90 Tage); Betäubungsmittel, Cannabis und CBD problematisch</w:t>
            </w:r>
          </w:p>
        </w:tc>
        <w:tc>
          <w:tcPr>
            <w:tcW w:w="21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Ins Handgepäck (Kapitel </w:t>
            </w:r>
            <w:hyperlink w:anchor="k18">
              <w:r>
                <w:rPr>
                  <w:rStyle w:val="ListLabel112"/>
                  <w:rFonts w:eastAsia="Cambria" w:cs="Cambria"/>
                  <w:b w:val="false"/>
                  <w:bCs w:val="false"/>
                  <w:i w:val="false"/>
                  <w:iCs w:val="false"/>
                  <w:sz w:val="18"/>
                  <w:szCs w:val="18"/>
                </w:rPr>
                <w:t>18</w:t>
              </w:r>
            </w:hyperlink>
            <w:r>
              <w:rPr>
                <w:rFonts w:eastAsia="Cambria" w:cs="Cambria"/>
                <w:b w:val="false"/>
                <w:bCs w:val="false"/>
                <w:i w:val="false"/>
                <w:iCs w:val="false"/>
                <w:sz w:val="18"/>
                <w:szCs w:val="18"/>
              </w:rPr>
              <w:t>)</w:t>
            </w:r>
          </w:p>
        </w:tc>
      </w:tr>
      <w:tr>
        <w:trPr>
          <w:cantSplit w:val="true"/>
        </w:trPr>
        <w:tc>
          <w:tcPr>
            <w:tcW w:w="11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Fälschungen</w:t>
            </w:r>
          </w:p>
        </w:tc>
        <w:tc>
          <w:tcPr>
            <w:tcW w:w="31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Verboten</w:t>
            </w:r>
          </w:p>
        </w:tc>
        <w:tc>
          <w:tcPr>
            <w:tcW w:w="21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Aussortieren</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Vorratsschrank und Balkonkübel sind der klassische Anfängerfehler. Räume beides aus, bevor der Packer kommt, und deklariere Zweifelsfälle im Inventar, statt sie zu verschweigen.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Ausfuhr aus Deutschland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Auf deutscher Seite meldet die Spedition den Export im elektronischen Ausfuhrverfahren des Zolls (ATLAS) an; du lieferst dafür die Inventarliste. Genehmigungspflichtig sind unter anderem Kulturgut, Waffen und Artenschutzware, für ein Auto brauchst du Zoll- bzw. Exportkennzeichen.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Bargeld und gleichgestellte Zahlungsmittel ab 10.000 € musst du bei der Ausreise in ein Nicht-EU-Land beim Zoll anmelden (EU-Verordnung 2018/1672). In den USA gilt ab mehr als 10.000 $ die Anmeldung mit </w:t>
      </w:r>
      <w:r>
        <w:rPr>
          <w:rFonts w:eastAsia="Cambria" w:cs="Cambria"/>
          <w:b w:val="false"/>
          <w:bCs w:val="false"/>
          <w:i/>
          <w:iCs/>
          <w:sz w:val="22"/>
          <w:szCs w:val="22"/>
        </w:rPr>
        <w:t>FinCEN Form 105</w:t>
      </w:r>
      <w:r>
        <w:rPr>
          <w:rFonts w:eastAsia="Cambria" w:cs="Cambria"/>
          <w:b w:val="false"/>
          <w:bCs w:val="false"/>
          <w:i w:val="false"/>
          <w:iCs w:val="false"/>
          <w:sz w:val="22"/>
          <w:szCs w:val="22"/>
        </w:rPr>
        <w:t xml:space="preserve"> (Meldung an das Finanzministerium) bei Ein- und Ausreise. Die Anmeldung ist legal, die Nichtanmeldung kann zu Beschlagnahme und Strafe führen. Aktuelle deutsche Regeln stehen auf zoll.de, Abmeldung und Kündigungen in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Das Relocation-Paket: steuerpflichtig und verhandelbar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Arbeitgeber beteiligen sich in drei Formen an den Umzugskosten: die Pauschale (</w:t>
      </w:r>
      <w:r>
        <w:rPr>
          <w:rFonts w:eastAsia="Cambria" w:cs="Cambria"/>
          <w:b w:val="false"/>
          <w:bCs w:val="false"/>
          <w:i/>
          <w:iCs/>
          <w:sz w:val="22"/>
          <w:szCs w:val="22"/>
        </w:rPr>
        <w:t>Lump Sum</w:t>
      </w:r>
      <w:r>
        <w:rPr>
          <w:rFonts w:eastAsia="Cambria" w:cs="Cambria"/>
          <w:b w:val="false"/>
          <w:bCs w:val="false"/>
          <w:i w:val="false"/>
          <w:iCs w:val="false"/>
          <w:sz w:val="22"/>
          <w:szCs w:val="22"/>
        </w:rPr>
        <w:t>), ein fester Bruttobetrag, mit dem du den Umzug selbst organisierst; die Kostenerstattung gegen Belege bis zu einer Obergrenze (</w:t>
      </w:r>
      <w:r>
        <w:rPr>
          <w:rFonts w:eastAsia="Cambria" w:cs="Cambria"/>
          <w:b w:val="false"/>
          <w:bCs w:val="false"/>
          <w:i/>
          <w:iCs/>
          <w:sz w:val="22"/>
          <w:szCs w:val="22"/>
        </w:rPr>
        <w:t>Cap</w:t>
      </w:r>
      <w:r>
        <w:rPr>
          <w:rFonts w:eastAsia="Cambria" w:cs="Cambria"/>
          <w:b w:val="false"/>
          <w:bCs w:val="false"/>
          <w:i w:val="false"/>
          <w:iCs w:val="false"/>
          <w:sz w:val="22"/>
          <w:szCs w:val="22"/>
        </w:rPr>
        <w:t>); und der gemanagte Umzug (</w:t>
      </w:r>
      <w:r>
        <w:rPr>
          <w:rFonts w:eastAsia="Cambria" w:cs="Cambria"/>
          <w:b w:val="false"/>
          <w:bCs w:val="false"/>
          <w:i/>
          <w:iCs/>
          <w:sz w:val="22"/>
          <w:szCs w:val="22"/>
        </w:rPr>
        <w:t>Managed Relocation</w:t>
      </w:r>
      <w:r>
        <w:rPr>
          <w:rFonts w:eastAsia="Cambria" w:cs="Cambria"/>
          <w:b w:val="false"/>
          <w:bCs w:val="false"/>
          <w:i w:val="false"/>
          <w:iCs w:val="false"/>
          <w:sz w:val="22"/>
          <w:szCs w:val="22"/>
        </w:rPr>
        <w:t>), bei dem der Arbeitgeber einen Dienstleister beauftragt und direkt bezahlt.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Verlässliche Spannen für Neueinstellungen aus Deutschland gibt es nicht. Anbieter nennen für Inlandsversetzungen Pauschalen von 2.500–15.000 $ und Kostenobergrenzen von 8.000–45.000 $; bei Auslandsentsendungen rechnen Arbeitgeber intern mit 40.000–90.000 $ (Mid-Level) bis 150.000–250.000 $ (Senior), inklusive Visum, Steuern und Wohnung (Anbieterbenchmarks 2025/26). Frage nach der schriftlichen Relocation Policy des Unternehmens.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entscheidende Punkt: In den USA ist die Umzugskostenerstattung des Arbeitgebers steuerpflichtiger Lohn und erscheint im </w:t>
      </w:r>
      <w:r>
        <w:rPr>
          <w:rFonts w:eastAsia="Cambria" w:cs="Cambria"/>
          <w:b w:val="false"/>
          <w:bCs w:val="false"/>
          <w:i/>
          <w:iCs/>
          <w:sz w:val="22"/>
          <w:szCs w:val="22"/>
        </w:rPr>
        <w:t>Form W-2</w:t>
      </w:r>
      <w:r>
        <w:rPr>
          <w:rFonts w:eastAsia="Cambria" w:cs="Cambria"/>
          <w:b w:val="false"/>
          <w:bCs w:val="false"/>
          <w:i w:val="false"/>
          <w:iCs w:val="false"/>
          <w:sz w:val="22"/>
          <w:szCs w:val="22"/>
        </w:rPr>
        <w:t>, der jährlichen Lohnsteuerbescheinigung. Früher konnten Beschäftigte Umzugskosten unter Bedingungen absetzen, und Arbeitgeberzahlungen blieben steuerfrei; beides ist seit 2018 ausgesetzt. Das Steuergesetz vom 4. Juli 2025 (</w:t>
      </w:r>
      <w:r>
        <w:rPr>
          <w:rFonts w:eastAsia="Cambria" w:cs="Cambria"/>
          <w:b w:val="false"/>
          <w:bCs w:val="false"/>
          <w:i/>
          <w:iCs/>
          <w:sz w:val="22"/>
          <w:szCs w:val="22"/>
        </w:rPr>
        <w:t>One Big Beautiful Bill Act</w:t>
      </w:r>
      <w:r>
        <w:rPr>
          <w:rFonts w:eastAsia="Cambria" w:cs="Cambria"/>
          <w:b w:val="false"/>
          <w:bCs w:val="false"/>
          <w:i w:val="false"/>
          <w:iCs w:val="false"/>
          <w:sz w:val="22"/>
          <w:szCs w:val="22"/>
        </w:rPr>
        <w:t>, OBBBA, Public Law 119-21, § 70113) hat die Aussetzung dauerhaft gemacht. Ausnahmen gelten nur für aktive Militärangehörige mit Versetzungsbefehl und für Beschäftigte der Nachrichtendienste.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bei Direktabrechnung zählt der bezahlte Rechnungsbetrag als Lohn, und eigene Umzugskosten kannst du nicht absetzen. Das ist ein Kontrast zu Deutschland, wo beruflich bedingte Umzugskosten steuerlich berücksichtigt werden können. Ob einzelne Bundesstaaten abweichen, ist nicht geprüft (US-Steuern: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Zahl im Angebotsschreiben ist selten die Zahl auf deinem Konto. Eine Pauschale von 10.000 $ brutto bringt bei angenommenen 30 % Abzügen für Bundessteuer, Landessteuer und Sozialabgaben nur 7.000 $. Zusatzvergütungen werden zudem oft pauschal mit 22 % Bundessteuer einbehalten. Frage schriftlich: Ist der Betrag brutto? Wird ein Gross-up gezahlt?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Beim </w:t>
      </w:r>
      <w:r>
        <w:rPr>
          <w:rFonts w:eastAsia="Cambria" w:cs="Cambria"/>
          <w:b w:val="false"/>
          <w:bCs w:val="false"/>
          <w:i/>
          <w:iCs/>
          <w:sz w:val="22"/>
          <w:szCs w:val="22"/>
        </w:rPr>
        <w:t>Gross-up</w:t>
      </w:r>
      <w:r>
        <w:rPr>
          <w:rFonts w:eastAsia="Cambria" w:cs="Cambria"/>
          <w:b w:val="false"/>
          <w:bCs w:val="false"/>
          <w:i w:val="false"/>
          <w:iCs w:val="false"/>
          <w:sz w:val="22"/>
          <w:szCs w:val="22"/>
        </w:rPr>
        <w:t xml:space="preserve"> erhöht der Arbeitgeber die Zahlung so, dass netto der volle Betrag bei dir ankommt. Die Rechnung: Bruttobetrag = Nettobetrag ÷ (1 − Grenzsteuersatz), wobei der Satz Bundessteuer, Landessteuer und Sozialabgaben zusammenfasst. Anbieter beziffern den Aufschlag auf etwa 30–55 %.</w:t>
      </w:r>
    </w:p>
    <w:tbl>
      <w:tblPr>
        <w:tblW w:w="6480" w:type="dxa"/>
        <w:jc w:val="left"/>
        <w:tblInd w:w="0" w:type="dxa"/>
        <w:tblLayout w:type="fixed"/>
        <w:tblCellMar>
          <w:top w:w="50" w:type="dxa"/>
          <w:left w:w="80" w:type="dxa"/>
          <w:bottom w:w="50" w:type="dxa"/>
          <w:right w:w="80" w:type="dxa"/>
        </w:tblCellMar>
      </w:tblPr>
      <w:tblGrid>
        <w:gridCol w:w="2284"/>
        <w:gridCol w:w="1335"/>
        <w:gridCol w:w="2861"/>
      </w:tblGrid>
      <w:tr>
        <w:trPr>
          <w:tblHeader w:val="true"/>
          <w:cantSplit w:val="true"/>
        </w:trPr>
        <w:tc>
          <w:tcPr>
            <w:tcW w:w="228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Angenommener Grenzsteuersatz</w:t>
            </w:r>
          </w:p>
        </w:tc>
        <w:tc>
          <w:tcPr>
            <w:tcW w:w="133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Aufschlag</w:t>
            </w:r>
          </w:p>
        </w:tc>
        <w:tc>
          <w:tcPr>
            <w:tcW w:w="286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Für 10.000 $ netto nötig</w:t>
            </w:r>
          </w:p>
        </w:tc>
      </w:tr>
      <w:tr>
        <w:trPr>
          <w:cantSplit w:val="true"/>
        </w:trPr>
        <w:tc>
          <w:tcPr>
            <w:tcW w:w="22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25 %</w:t>
            </w:r>
          </w:p>
        </w:tc>
        <w:tc>
          <w:tcPr>
            <w:tcW w:w="13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+33 %</w:t>
            </w:r>
          </w:p>
        </w:tc>
        <w:tc>
          <w:tcPr>
            <w:tcW w:w="28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13.333 $ brutto</w:t>
            </w:r>
          </w:p>
        </w:tc>
      </w:tr>
      <w:tr>
        <w:trPr>
          <w:cantSplit w:val="true"/>
        </w:trPr>
        <w:tc>
          <w:tcPr>
            <w:tcW w:w="22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30 %</w:t>
            </w:r>
          </w:p>
        </w:tc>
        <w:tc>
          <w:tcPr>
            <w:tcW w:w="13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+43 %</w:t>
            </w:r>
          </w:p>
        </w:tc>
        <w:tc>
          <w:tcPr>
            <w:tcW w:w="28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14.286 $ brutto</w:t>
            </w:r>
          </w:p>
        </w:tc>
      </w:tr>
      <w:tr>
        <w:trPr>
          <w:cantSplit w:val="true"/>
        </w:trPr>
        <w:tc>
          <w:tcPr>
            <w:tcW w:w="22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35 %</w:t>
            </w:r>
          </w:p>
        </w:tc>
        <w:tc>
          <w:tcPr>
            <w:tcW w:w="13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+54 %</w:t>
            </w:r>
          </w:p>
        </w:tc>
        <w:tc>
          <w:tcPr>
            <w:tcW w:w="28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15.385 $ brutto</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Sätze sind Rechenbeispiele; dein tatsächlicher Satz hängt von Einkommen, Bundesstaat und Veranlagung ab. Verhandelt wird vor der Unterschrift des Angebotsschreibens (</w:t>
      </w:r>
      <w:r>
        <w:rPr>
          <w:rFonts w:eastAsia="Cambria" w:cs="Cambria"/>
          <w:b w:val="false"/>
          <w:bCs w:val="false"/>
          <w:i/>
          <w:iCs/>
          <w:sz w:val="22"/>
          <w:szCs w:val="22"/>
        </w:rPr>
        <w:t>Offer Letter</w:t>
      </w:r>
      <w:r>
        <w:rPr>
          <w:rFonts w:eastAsia="Cambria" w:cs="Cambria"/>
          <w:b w:val="false"/>
          <w:bCs w:val="false"/>
          <w:i w:val="false"/>
          <w:iCs w:val="false"/>
          <w:sz w:val="22"/>
          <w:szCs w:val="22"/>
        </w:rPr>
        <w:t>), danach ist dein Spielraum klein. Die vollständige Verhandlungsliste steht in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 für den Umzug gehören diese Punkte darauf:</w:t>
      </w:r>
    </w:p>
    <w:p>
      <w:pPr>
        <w:pStyle w:val="ListParagraph"/>
        <w:numPr>
          <w:ilvl w:val="0"/>
          <w:numId w:val="1"/>
        </w:numPr>
        <w:spacing w:lineRule="exact" w:line="288" w:before="0" w:after="60"/>
        <w:rPr/>
      </w:pPr>
      <w:r>
        <w:rPr>
          <w:rFonts w:eastAsia="Cambria" w:cs="Cambria"/>
          <w:b/>
          <w:bCs/>
          <w:i w:val="false"/>
          <w:iCs w:val="false"/>
          <w:sz w:val="22"/>
          <w:szCs w:val="22"/>
        </w:rPr>
        <w:t>Brutto oder netto:</w:t>
      </w:r>
      <w:r>
        <w:rPr>
          <w:rFonts w:eastAsia="Cambria" w:cs="Cambria"/>
          <w:b w:val="false"/>
          <w:bCs w:val="false"/>
          <w:i w:val="false"/>
          <w:iCs w:val="false"/>
          <w:sz w:val="22"/>
          <w:szCs w:val="22"/>
        </w:rPr>
        <w:t xml:space="preserve"> Gibt es ein Gross-up, zumindest für Transport und Übergangswohnen? Rechne im Gespräch immer in Nettobeträgen.</w:t>
      </w:r>
    </w:p>
    <w:p>
      <w:pPr>
        <w:pStyle w:val="ListParagraph"/>
        <w:numPr>
          <w:ilvl w:val="0"/>
          <w:numId w:val="1"/>
        </w:numPr>
        <w:spacing w:lineRule="exact" w:line="288" w:before="0" w:after="60"/>
        <w:rPr/>
      </w:pPr>
      <w:r>
        <w:rPr>
          <w:rFonts w:eastAsia="Cambria" w:cs="Cambria"/>
          <w:b/>
          <w:bCs/>
          <w:i w:val="false"/>
          <w:iCs w:val="false"/>
          <w:sz w:val="22"/>
          <w:szCs w:val="22"/>
        </w:rPr>
        <w:t>Form:</w:t>
      </w:r>
      <w:r>
        <w:rPr>
          <w:rFonts w:eastAsia="Cambria" w:cs="Cambria"/>
          <w:b w:val="false"/>
          <w:bCs w:val="false"/>
          <w:i w:val="false"/>
          <w:iCs w:val="false"/>
          <w:sz w:val="22"/>
          <w:szCs w:val="22"/>
        </w:rPr>
        <w:t xml:space="preserve"> Eine Pauschale lässt dir Spielraum (was du nicht ausgibst, bleibt dir, versteuert), die Direktabrechnung entlastet dein Konto.</w:t>
      </w:r>
    </w:p>
    <w:p>
      <w:pPr>
        <w:pStyle w:val="ListParagraph"/>
        <w:numPr>
          <w:ilvl w:val="0"/>
          <w:numId w:val="1"/>
        </w:numPr>
        <w:spacing w:lineRule="exact" w:line="288" w:before="0" w:after="60"/>
        <w:rPr/>
      </w:pPr>
      <w:r>
        <w:rPr>
          <w:rFonts w:eastAsia="Cambria" w:cs="Cambria"/>
          <w:b/>
          <w:bCs/>
          <w:i w:val="false"/>
          <w:iCs w:val="false"/>
          <w:sz w:val="22"/>
          <w:szCs w:val="22"/>
        </w:rPr>
        <w:t>Umfang:</w:t>
      </w:r>
      <w:r>
        <w:rPr>
          <w:rFonts w:eastAsia="Cambria" w:cs="Cambria"/>
          <w:b w:val="false"/>
          <w:bCs w:val="false"/>
          <w:i w:val="false"/>
          <w:iCs w:val="false"/>
          <w:sz w:val="22"/>
          <w:szCs w:val="22"/>
        </w:rPr>
        <w:t xml:space="preserve"> Sammelladung oder Container, Flüge für die ganze Familie, 30 bis 60 Tage möbliertes Wohnen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 Lagerung, Mietwagen.</w:t>
      </w:r>
    </w:p>
    <w:p>
      <w:pPr>
        <w:pStyle w:val="ListParagraph"/>
        <w:numPr>
          <w:ilvl w:val="0"/>
          <w:numId w:val="1"/>
        </w:numPr>
        <w:spacing w:lineRule="exact" w:line="288" w:before="0" w:after="60"/>
        <w:rPr/>
      </w:pPr>
      <w:r>
        <w:rPr>
          <w:rFonts w:eastAsia="Cambria" w:cs="Cambria"/>
          <w:b/>
          <w:bCs/>
          <w:i w:val="false"/>
          <w:iCs w:val="false"/>
          <w:sz w:val="22"/>
          <w:szCs w:val="22"/>
        </w:rPr>
        <w:t>Zahlungszeitpunkt:</w:t>
      </w:r>
      <w:r>
        <w:rPr>
          <w:rFonts w:eastAsia="Cambria" w:cs="Cambria"/>
          <w:b w:val="false"/>
          <w:bCs w:val="false"/>
          <w:i w:val="false"/>
          <w:iCs w:val="false"/>
          <w:sz w:val="22"/>
          <w:szCs w:val="22"/>
        </w:rPr>
        <w:t xml:space="preserve"> Das Geld fließt oft erst mit der ersten Gehaltsabrechnung, die Spedition will es früher. Verhandle einen Vorschuss oder die Direktabrechnung.</w:t>
      </w:r>
    </w:p>
    <w:p>
      <w:pPr>
        <w:pStyle w:val="ListParagraph"/>
        <w:numPr>
          <w:ilvl w:val="0"/>
          <w:numId w:val="1"/>
        </w:numPr>
        <w:spacing w:lineRule="exact" w:line="288" w:before="0" w:after="60"/>
        <w:rPr/>
      </w:pPr>
      <w:r>
        <w:rPr>
          <w:rFonts w:eastAsia="Cambria" w:cs="Cambria"/>
          <w:b/>
          <w:bCs/>
          <w:i w:val="false"/>
          <w:iCs w:val="false"/>
          <w:sz w:val="22"/>
          <w:szCs w:val="22"/>
        </w:rPr>
        <w:t>Rückzahlungsklausel (</w:t>
      </w:r>
      <w:r>
        <w:rPr>
          <w:rFonts w:eastAsia="Cambria" w:cs="Cambria"/>
          <w:b/>
          <w:bCs/>
          <w:i/>
          <w:iCs/>
          <w:sz w:val="22"/>
          <w:szCs w:val="22"/>
        </w:rPr>
        <w:t>Clawback</w:t>
      </w:r>
      <w:r>
        <w:rPr>
          <w:rFonts w:eastAsia="Cambria" w:cs="Cambria"/>
          <w:b/>
          <w:bCs/>
          <w:i w:val="false"/>
          <w:iCs w:val="false"/>
          <w:sz w:val="22"/>
          <w:szCs w:val="22"/>
        </w:rPr>
        <w:t>):</w:t>
      </w:r>
      <w:r>
        <w:rPr>
          <w:rFonts w:eastAsia="Cambria" w:cs="Cambria"/>
          <w:b w:val="false"/>
          <w:bCs w:val="false"/>
          <w:i w:val="false"/>
          <w:iCs w:val="false"/>
          <w:sz w:val="22"/>
          <w:szCs w:val="22"/>
        </w:rPr>
        <w:t xml:space="preserve"> Häufig ist die Rückzahlung bei eigener Kündigung binnen zwölf bis 24 Monaten. Frage nach anteiliger Rückzahlung, einer Ausnahme bei Kündigung durch den Arbeitgeber (</w:t>
      </w:r>
      <w:r>
        <w:rPr>
          <w:rFonts w:eastAsia="Cambria" w:cs="Cambria"/>
          <w:b w:val="false"/>
          <w:bCs w:val="false"/>
          <w:i/>
          <w:iCs/>
          <w:sz w:val="22"/>
          <w:szCs w:val="22"/>
        </w:rPr>
        <w:t>At-will Employment</w:t>
      </w:r>
      <w:r>
        <w:rPr>
          <w:rFonts w:eastAsia="Cambria" w:cs="Cambria"/>
          <w:b w:val="false"/>
          <w:bCs w:val="false"/>
          <w:i w:val="false"/>
          <w:iCs w:val="false"/>
          <w:sz w:val="22"/>
          <w:szCs w:val="22"/>
        </w:rPr>
        <w:t>,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 und danach, ob brutto oder netto zurückzuzahlen ist.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Vorfinanzierung und Klausel zusammen sind gefährlich. Kündigt der Arbeitgeber oder du selbst binnen der Frist, kann er zurückfordern, was längst ausgegeben ist. Halte einen Puffer auf dem US-Konto bereit, bevor der Container eintrifft (Kapitel </w:t>
            </w:r>
            <w:hyperlink w:anchor="k25">
              <w:r>
                <w:rPr>
                  <w:rStyle w:val="ListLabel114"/>
                  <w:rFonts w:eastAsia="Cambria" w:cs="Cambria"/>
                  <w:b w:val="false"/>
                  <w:bCs w:val="false"/>
                  <w:i w:val="false"/>
                  <w:iCs w:val="false"/>
                  <w:sz w:val="20"/>
                  <w:szCs w:val="20"/>
                </w:rPr>
                <w:t>25</w:t>
              </w:r>
            </w:hyperlink>
            <w:r>
              <w:rPr>
                <w:rFonts w:eastAsia="Cambria" w:cs="Cambria"/>
                <w:b w:val="false"/>
                <w:bCs w:val="false"/>
                <w:i w:val="false"/>
                <w:iCs w:val="false"/>
                <w:sz w:val="20"/>
                <w:szCs w:val="20"/>
              </w:rPr>
              <w: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 sortiert ihren Haushalt für Michigan auf 14 m³ aus: Kleidung, Bücher, Spielzeug, Küchenutensilien, Fahrräder. Drei Festpreise für die Sammelladung: 3.700 € (ohne Zustellung und Zollagent), 4.400 € und 4.900 € (beide bis zur Haustür). Sie nehmen 4.400 €, zum Kurs vom September 2026 rund 5.060 $. Der Arbeitgeber bietet 12.000 $ brutto; bei angenommenen 30 % Abzügen bleiben 8.400 $, nach der Spedition gut 3.300 $ für Flüge, Übergangswohnung und Mietwagen. Im Gespräch mit der Personalabteilung stellt Markus vor der Unterschrift nur eine Frage: „Ist das brutto oder netto?“ – und bittet um ein Gross-up auf 10.000 $ netto. Der Arbeitgeber zahlt dann 14.286 $ brutto, 2.286 $ mehr als zuerst, und die Familie hat 1.600 $ mehr netto. Die Rückzahlungsklausel soll nur anteilig gelten.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Lagerung und die Zeit ohne Möbel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Per Schiff kommt dein Hausrat Wochen nach dir an, und manchmal steht er vor der Tür, bevor die Wohnung bezugsfertig ist. Beides musst du überbrücken.</w:t>
      </w:r>
    </w:p>
    <w:p>
      <w:pPr>
        <w:pStyle w:val="Normal"/>
        <w:keepNext w:val="false"/>
        <w:keepLines w:val="false"/>
        <w:spacing w:lineRule="exact" w:line="288" w:before="0" w:after="140"/>
        <w:jc w:val="left"/>
        <w:rPr/>
      </w:pPr>
      <w:r>
        <w:rPr>
          <w:rFonts w:eastAsia="Cambria" w:cs="Cambria"/>
          <w:b/>
          <w:bCs/>
          <w:i w:val="false"/>
          <w:iCs w:val="false"/>
          <w:sz w:val="22"/>
          <w:szCs w:val="22"/>
        </w:rPr>
        <w:t>Ohne Möbel</w:t>
      </w:r>
      <w:r>
        <w:rPr>
          <w:rFonts w:eastAsia="Cambria" w:cs="Cambria"/>
          <w:b w:val="false"/>
          <w:bCs w:val="false"/>
          <w:i w:val="false"/>
          <w:iCs w:val="false"/>
          <w:sz w:val="22"/>
          <w:szCs w:val="22"/>
        </w:rPr>
        <w:t xml:space="preserve"> hast du drei Wege. Du wohnst möbliert auf Zeit (</w:t>
      </w:r>
      <w:r>
        <w:rPr>
          <w:rFonts w:eastAsia="Cambria" w:cs="Cambria"/>
          <w:b w:val="false"/>
          <w:bCs w:val="false"/>
          <w:i/>
          <w:iCs/>
          <w:sz w:val="22"/>
          <w:szCs w:val="22"/>
        </w:rPr>
        <w:t>Corporate Housing</w:t>
      </w:r>
      <w:r>
        <w:rPr>
          <w:rFonts w:eastAsia="Cambria" w:cs="Cambria"/>
          <w:b w:val="false"/>
          <w:bCs w:val="false"/>
          <w:i w:val="false"/>
          <w:iCs w:val="false"/>
          <w:sz w:val="22"/>
          <w:szCs w:val="22"/>
        </w:rPr>
        <w:t>, Extended-Stay-Hotel, möblierte Monatsmiete); eine 1BR kostet nach Anbieterangaben rund 3.300 $ im Monat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 Oder du mietest unmöbliert und kaufst das Nötigste: Matratze, Bettwäsche, Handtücher und Geschirr bei IKEA, Target, Costco oder Amazon, gebraucht über Facebook Marketplace, Goodwill oder Habitat ReStore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 Oder du kombinierst: das Nötigste als Paket oder Luftfracht, den Rest per Schiff. Was ins Handgepäck gehört, steht in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Lagerung in den USA:</w:t>
      </w:r>
      <w:r>
        <w:rPr>
          <w:rFonts w:eastAsia="Cambria" w:cs="Cambria"/>
          <w:b w:val="false"/>
          <w:bCs w:val="false"/>
          <w:i w:val="false"/>
          <w:iCs w:val="false"/>
          <w:sz w:val="22"/>
          <w:szCs w:val="22"/>
        </w:rPr>
        <w:t xml:space="preserve"> Kommt der Container vor deiner Wohnung, lagert ihn die Spedition, oder du mietest ein Self-Storage. Eine Einheit von 10 × 10 ft (ca. 9 m²) kostet im Landesdurchschnitt nach Anbieterangaben 2026 etwa 120–137 $ im Monat, von rund 90–95 $ (Atlanta, Houston) bis über 200 $ (Los Angeles, San Francisco); klimatisierte Einheiten kosten 15–30 % mehr. Frage im Speditionsangebot, wie viele Lagertage enthalten sind und was danach ein Tag kostet.</w:t>
      </w:r>
    </w:p>
    <w:p>
      <w:pPr>
        <w:pStyle w:val="Normal"/>
        <w:keepNext w:val="false"/>
        <w:keepLines w:val="false"/>
        <w:spacing w:lineRule="exact" w:line="288" w:before="0" w:after="140"/>
        <w:jc w:val="left"/>
        <w:rPr/>
      </w:pPr>
      <w:r>
        <w:rPr>
          <w:rFonts w:eastAsia="Cambria" w:cs="Cambria"/>
          <w:b/>
          <w:bCs/>
          <w:i w:val="false"/>
          <w:iCs w:val="false"/>
          <w:sz w:val="22"/>
          <w:szCs w:val="22"/>
        </w:rPr>
        <w:t>Lagerung in Deutschland:</w:t>
      </w:r>
      <w:r>
        <w:rPr>
          <w:rFonts w:eastAsia="Cambria" w:cs="Cambria"/>
          <w:b w:val="false"/>
          <w:bCs w:val="false"/>
          <w:i w:val="false"/>
          <w:iCs w:val="false"/>
          <w:sz w:val="22"/>
          <w:szCs w:val="22"/>
        </w:rPr>
        <w:t xml:space="preserve"> Wer nur zwei bis drei Jahre bleiben will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 oder Erbstücke behalten möchte, lagert dort ein; die Preise schwanken regional, hole Angebote ein. Zum Rückumzug siehe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So sparst du</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Vier Hebel bringen das meiste.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Volumen senken. Jeder Kubikmeter Sammelladung kostet rund 250–300 €. Wer von 14 auf 10 m³ reduziert, spart grob 1.000–1.200 €. Verkaufe oder verschenke Sperriges und kaufe es in den USA gebraucht.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Saison und Hafen beachten. Von Mai bis September ist der US-Umzugsmarkt ausgelastet; frage bei jedem Angebot nach dem Preisunterschied zu einem Termin außerhalb der Hochsaison. Ist dein Ziel von beiden Küsten aus erreichbar, vergleiche die Häfen: Die Ostküste ist meist günstiger und schneller.</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Selbst packen. Die Portalpreise enthalten das Einpacken. Lass dir ein Angebot mit und ohne Einpacken geben und packe Bücher, Kleidung und Spielzeug selbst. Führe die Inventarliste Karton für Karton und kläre vorab, wie selbstgepackte Kartons versichert sind.</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Konsolidieren. Bei kleinen Mengen reichen Sammelladung oder Beiladung (ein Portal-Partnerbeispiel nennt 4.000–5.000 €) statt eines eigenen Containers, unter etwa 15 m³ ist LCL günstiger. Bündle alles in eine Lieferung: Ab etwa 15 Kartons à 20 kg liegt das Paket (rund 2.145 €) im Bereich eines Liftvans (2.000–3.000 €), der mehr Platz bietet.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Vertraute Möbel, Bücher und Erinnerungsstücke sind nach Wochen da</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20-ft-Container: 4.000–7.500 € plus Zustellung in den USA</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Gebrauchtes ist nach einem Jahr Nutzung zollfrei</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Elektro (120 V), Betten und Küchengeräte passen oft nicht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Koffer und Paket sind schnell und gut kalkulierbar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Paket: 6,60–7,15 € je kg, Koffer sind begrenzt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Neukauf vor Ort passt zu US-Größen und -Normen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Neuausstattung einer 1BR: 7.000–12.000 $</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Relocation-Paket kann die Kosten tragen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Steuerpflichtig, mit Rückzahlungsklausel und Vorfinanzierung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Sammelladung senkt den Preis bei kleinen Mengen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Tür–Tür vier bis zwölf Wochen ohne Möbel</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ListParagraph"/>
        <w:numPr>
          <w:ilvl w:val="0"/>
          <w:numId w:val="140"/>
        </w:numPr>
        <w:spacing w:lineRule="exact" w:line="288" w:before="0" w:after="60"/>
        <w:rPr/>
      </w:pPr>
      <w:r>
        <w:rPr>
          <w:rFonts w:eastAsia="Cambria" w:cs="Cambria"/>
          <w:b w:val="false"/>
          <w:bCs w:val="false"/>
          <w:i w:val="false"/>
          <w:iCs w:val="false"/>
          <w:sz w:val="22"/>
          <w:szCs w:val="22"/>
        </w:rPr>
        <w:t>Miste aus und kläre die Umzugsleistungen des Arbeitgebers brutto und netto, bevor du unterschreibst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 xml:space="preserve"> und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w:t>
      </w:r>
    </w:p>
    <w:p>
      <w:pPr>
        <w:pStyle w:val="ListParagraph"/>
        <w:numPr>
          <w:ilvl w:val="0"/>
          <w:numId w:val="141"/>
        </w:numPr>
        <w:spacing w:lineRule="exact" w:line="288" w:before="0" w:after="60"/>
        <w:rPr/>
      </w:pPr>
      <w:r>
        <w:rPr>
          <w:rFonts w:eastAsia="Cambria" w:cs="Cambria"/>
          <w:b w:val="false"/>
          <w:bCs w:val="false"/>
          <w:i w:val="false"/>
          <w:iCs w:val="false"/>
          <w:sz w:val="22"/>
          <w:szCs w:val="22"/>
        </w:rPr>
        <w:t>Hole drei Festpreisangebote ein, buche aber erst mit dem Visum im Pass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p>
      <w:pPr>
        <w:pStyle w:val="ListParagraph"/>
        <w:numPr>
          <w:ilvl w:val="0"/>
          <w:numId w:val="142"/>
        </w:numPr>
        <w:spacing w:lineRule="exact" w:line="288" w:before="0" w:after="60"/>
        <w:rPr/>
      </w:pPr>
      <w:r>
        <w:rPr>
          <w:rFonts w:eastAsia="Cambria" w:cs="Cambria"/>
          <w:b w:val="false"/>
          <w:bCs w:val="false"/>
          <w:i w:val="false"/>
          <w:iCs w:val="false"/>
          <w:sz w:val="22"/>
          <w:szCs w:val="22"/>
        </w:rPr>
        <w:t>Erstelle die Inventarliste, kläre Form 3299 mit dem Zollagenten und plane Übergangswohnen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 die Zeitleiste steht in Kapitel </w:t>
      </w:r>
      <w:hyperlink w:anchor="k15">
        <w:r>
          <w:rPr>
            <w:rStyle w:val="ListLabel115"/>
            <w:rFonts w:eastAsia="Cambria" w:cs="Cambria"/>
            <w:b w:val="false"/>
            <w:bCs w:val="false"/>
            <w:i w:val="false"/>
            <w:iCs w:val="false"/>
            <w:sz w:val="22"/>
            <w:szCs w:val="22"/>
          </w:rPr>
          <w:t>15</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Volumen in m³ geschätzt und ausgemistet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Relocation-Bedingungen schriftlich geklärt: brutto oder netto, Gross-up, Direktabrechnung, Rückzahlungsklausel</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Drei Tür-zu-Tür-Festpreise nach Besichtigung oder Video-Survey eingeholt; FIDI-FAIM und AMSA ProMover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Verbindlich gebucht erst mit dem Visum im Pass, sechs bis acht Wochen vor der Verladung</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Transportversicherung „all risk“ zum Wiederbeschaffungswert abgeschlossen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Englische Inventarliste mit Werten erstellt; nur Gegenstände eingepackt, die du mindestens ein Jahr genutzt hast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Zollagent, Vollmacht und CBP Form 3299 mit der Spedition abgestimmt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Lebensmittel, Pflanzen, Erde, Holz ohne ISPM-15-Stempel, Alkohol und Waffen aussortiert; Medikamente ins Handgepäck</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Bargeld ab 10.000 € beim deutschen Zoll angemeldet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Übergangswohnen gebucht und Puffer auf dem US-Konto bereitgestellt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U.S. Customs and Border Protection (CBP) — Zollerklärung für Umzugsgut, Form 3299 (</w:t>
      </w:r>
      <w:hyperlink r:id="rId197">
        <w:r>
          <w:rPr>
            <w:rStyle w:val="ListLabel113"/>
            <w:rFonts w:eastAsia="Cambria" w:cs="Cambria"/>
            <w:b w:val="false"/>
            <w:bCs w:val="false"/>
            <w:i w:val="false"/>
            <w:iCs w:val="false"/>
            <w:color w:val="0563C1"/>
            <w:sz w:val="22"/>
            <w:szCs w:val="22"/>
            <w:u w:val="single"/>
          </w:rPr>
          <w:t>cbp.gov/document/forms/form-3299-declaration-free-entry-unaccompanied-articles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Cornell Law School, Legal Information Institute — 19 CFR 148.52, Haushalts- und persönliche Gegenstände (</w:t>
      </w:r>
      <w:hyperlink r:id="rId198">
        <w:r>
          <w:rPr>
            <w:rStyle w:val="ListLabel113"/>
            <w:rFonts w:eastAsia="Cambria" w:cs="Cambria"/>
            <w:b w:val="false"/>
            <w:bCs w:val="false"/>
            <w:i w:val="false"/>
            <w:iCs w:val="false"/>
            <w:color w:val="0563C1"/>
            <w:sz w:val="22"/>
            <w:szCs w:val="22"/>
            <w:u w:val="single"/>
          </w:rPr>
          <w:t>law.cornell.edu/cfr/text/19/148.52</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USDA APHIS — Einfuhrregeln für Pflanzen, Erde und Lebensmittel (</w:t>
      </w:r>
      <w:hyperlink r:id="rId199">
        <w:r>
          <w:rPr>
            <w:rStyle w:val="ListLabel113"/>
            <w:rFonts w:eastAsia="Cambria" w:cs="Cambria"/>
            <w:b w:val="false"/>
            <w:bCs w:val="false"/>
            <w:i w:val="false"/>
            <w:iCs w:val="false"/>
            <w:color w:val="0563C1"/>
            <w:sz w:val="22"/>
            <w:szCs w:val="22"/>
            <w:u w:val="single"/>
          </w:rPr>
          <w:t>aphis.usda.gov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Publication 15-B, steuerliche Behandlung von Leistungen des Arbeitgebers (</w:t>
      </w:r>
      <w:hyperlink r:id="rId200">
        <w:r>
          <w:rPr>
            <w:rStyle w:val="ListLabel113"/>
            <w:rFonts w:eastAsia="Cambria" w:cs="Cambria"/>
            <w:b w:val="false"/>
            <w:bCs w:val="false"/>
            <w:i w:val="false"/>
            <w:iCs w:val="false"/>
            <w:color w:val="0563C1"/>
            <w:sz w:val="22"/>
            <w:szCs w:val="22"/>
            <w:u w:val="single"/>
          </w:rPr>
          <w:t>irs.gov/pub/irs-pdf/p15b.pdf</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FIDI — Mitgliederliste zertifizierter Umzugsunternehmen (</w:t>
      </w:r>
      <w:hyperlink r:id="rId201">
        <w:r>
          <w:rPr>
            <w:rStyle w:val="ListLabel113"/>
            <w:rFonts w:eastAsia="Cambria" w:cs="Cambria"/>
            <w:b w:val="false"/>
            <w:bCs w:val="false"/>
            <w:i w:val="false"/>
            <w:iCs w:val="false"/>
            <w:color w:val="0563C1"/>
            <w:sz w:val="22"/>
            <w:szCs w:val="22"/>
            <w:u w:val="single"/>
          </w:rPr>
          <w:t>fidi.org</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FMCSA — Registrierung von Frachtführern, USDOT- und MC-Nummer (</w:t>
      </w:r>
      <w:hyperlink r:id="rId202">
        <w:r>
          <w:rPr>
            <w:rStyle w:val="ListLabel113"/>
            <w:rFonts w:eastAsia="Cambria" w:cs="Cambria"/>
            <w:b w:val="false"/>
            <w:bCs w:val="false"/>
            <w:i w:val="false"/>
            <w:iCs w:val="false"/>
            <w:color w:val="0563C1"/>
            <w:sz w:val="22"/>
            <w:szCs w:val="22"/>
            <w:u w:val="single"/>
          </w:rPr>
          <w:t>fmcsa.dot.gov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Zoll — Bargeld und Ausfuhr aus Deutschland (</w:t>
      </w:r>
      <w:hyperlink r:id="rId203">
        <w:r>
          <w:rPr>
            <w:rStyle w:val="ListLabel113"/>
            <w:rFonts w:eastAsia="Cambria" w:cs="Cambria"/>
            <w:b w:val="false"/>
            <w:bCs w:val="false"/>
            <w:i w:val="false"/>
            <w:iCs w:val="false"/>
            <w:color w:val="0563C1"/>
            <w:sz w:val="22"/>
            <w:szCs w:val="22"/>
            <w:u w:val="single"/>
          </w:rPr>
          <w:t>zoll.de</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schnell: Speditions- und Paketpreise, Laufzeiten, die Zolllage (Section 301 und 232, laufende Verfahren), die steuerliche Behandlung von Relocation-Leistungen und der Wechselkurs. Prüfe vor jeder Entscheidung die offiziellen Seiten von CBP und IRS und lass dir Festpreise schriftlich geben.</w:t>
            </w:r>
          </w:p>
        </w:tc>
      </w:tr>
    </w:tbl>
    <w:p>
      <w:pPr>
        <w:pStyle w:val="Normal"/>
        <w:spacing w:lineRule="exact" w:line="220" w:before="0" w:after="0"/>
        <w:rPr/>
      </w:pPr>
      <w:r>
        <w:rPr/>
      </w:r>
      <w:r>
        <w:br w:type="page"/>
      </w:r>
    </w:p>
    <w:p>
      <w:pPr>
        <w:pStyle w:val="Heading2"/>
        <w:keepNext w:val="true"/>
        <w:spacing w:before="0" w:after="300"/>
        <w:jc w:val="center"/>
        <w:rPr/>
      </w:pPr>
      <w:bookmarkStart w:id="54" w:name="__RefHeading___Toc56477_3769931028"/>
      <w:bookmarkStart w:id="55" w:name="k21"/>
      <w:bookmarkEnd w:id="54"/>
      <w:r>
        <w:rPr>
          <w:rFonts w:eastAsia="Amazon Ember" w:cs="Amazon Ember" w:ascii="Amazon Ember" w:hAnsi="Amazon Ember"/>
          <w:b/>
          <w:bCs/>
          <w:color w:val="0000FF"/>
          <w:sz w:val="36"/>
          <w:szCs w:val="36"/>
        </w:rPr>
        <w:t>Kapitel 21: Mitnehmen oder neu kaufen? Die Raum-für-Raum-Liste</w:t>
      </w:r>
      <w:bookmarkEnd w:id="55"/>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ersten Abend in der neuen Wohnung ziehst du das deutsche Spannbetttuch über die Queen-Matratze. Es ist acht Zentimeter zu breit und drei zu kurz und rutscht an der Ecke ab. Der Wasserkocher aus Stuttgart braucht am Adapter ein Vielfaches der gewohnten Zeit, und dein Hausrat schwimmt noch irgendwo auf dem Atlantik. Ob ein Gegenstand mitfährt, entscheidest du deshalb nicht aus dem Bauch, sondern raumweise mit drei Fragen: Läuft er in den USA? Was kostet der Ersatz? Und ist er die Fracht wert?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Die US-Steckdose liefert 120 V bei 60 Hz. Geräte mit Netzteil „100–240 V“ laufen mit Adapter; Heiz- und Motorgeräte bleiben zurück.</w:t>
            </w:r>
          </w:p>
          <w:p>
            <w:pPr>
              <w:pStyle w:val="ListParagraph"/>
              <w:numPr>
                <w:ilvl w:val="0"/>
                <w:numId w:val="1"/>
              </w:numPr>
              <w:spacing w:lineRule="exact" w:line="264" w:before="0" w:after="50"/>
              <w:rPr/>
            </w:pPr>
            <w:r>
              <w:rPr>
                <w:rFonts w:eastAsia="Cambria" w:cs="Cambria"/>
                <w:b w:val="false"/>
                <w:bCs w:val="false"/>
                <w:i w:val="false"/>
                <w:iCs w:val="false"/>
                <w:sz w:val="20"/>
                <w:szCs w:val="20"/>
              </w:rPr>
              <w:t>Betten und Bettwäsche sind anders genormt (Queen: 152 × 203 cm). Matratzen, Lattenroste und Spannbetttücher kaufst du in den USA neu.</w:t>
            </w:r>
          </w:p>
          <w:p>
            <w:pPr>
              <w:pStyle w:val="ListParagraph"/>
              <w:numPr>
                <w:ilvl w:val="0"/>
                <w:numId w:val="1"/>
              </w:numPr>
              <w:spacing w:lineRule="exact" w:line="264" w:before="0" w:after="50"/>
              <w:rPr/>
            </w:pPr>
            <w:r>
              <w:rPr>
                <w:rFonts w:eastAsia="Cambria" w:cs="Cambria"/>
                <w:b w:val="false"/>
                <w:bCs w:val="false"/>
                <w:i w:val="false"/>
                <w:iCs w:val="false"/>
                <w:sz w:val="20"/>
                <w:szCs w:val="20"/>
              </w:rPr>
              <w:t>Mitnehmen lohnt sich für Persönliches, Bücher, Kleidung, gutes Küchenzubehör und wenige hochwertige Einzelstücke.</w:t>
            </w:r>
          </w:p>
          <w:p>
            <w:pPr>
              <w:pStyle w:val="ListParagraph"/>
              <w:numPr>
                <w:ilvl w:val="0"/>
                <w:numId w:val="1"/>
              </w:numPr>
              <w:spacing w:lineRule="exact" w:line="264" w:before="0" w:after="50"/>
              <w:rPr/>
            </w:pPr>
            <w:r>
              <w:rPr>
                <w:rFonts w:eastAsia="Cambria" w:cs="Cambria"/>
                <w:b w:val="false"/>
                <w:bCs w:val="false"/>
                <w:i w:val="false"/>
                <w:iCs w:val="false"/>
                <w:sz w:val="20"/>
                <w:szCs w:val="20"/>
              </w:rPr>
              <w:t>Ein 20-ft-Container kostet 4.000–7.500 € plus US-Zustellung. Eine 1BR neu einzurichten kostet 7.000–12.000 $, mit IKEA und Secondhand 40–60 % weniger.</w:t>
            </w:r>
          </w:p>
          <w:p>
            <w:pPr>
              <w:pStyle w:val="ListParagraph"/>
              <w:numPr>
                <w:ilvl w:val="0"/>
                <w:numId w:val="1"/>
              </w:numPr>
              <w:spacing w:lineRule="exact" w:line="264" w:before="0" w:after="50"/>
              <w:rPr/>
            </w:pPr>
            <w:r>
              <w:rPr>
                <w:rFonts w:eastAsia="Cambria" w:cs="Cambria"/>
                <w:b w:val="false"/>
                <w:bCs w:val="false"/>
                <w:i w:val="false"/>
                <w:iCs w:val="false"/>
                <w:sz w:val="20"/>
                <w:szCs w:val="20"/>
              </w:rPr>
              <w:t>Für die ersten zwei Wochen packst du Koffer, den Rest der Erstausstattung kaufst du vor Ort.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Entscheidungsregel: Fracht gegen Ersatz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Jeder Gegenstand muss drei Prüfungen bestehen. Erstens: Funktioniert er in den USA ohne Umbau, also bei Strom, Größe und Norm? Zweitens: Was kostet der Ersatz in den USA, verglichen mit Frachtanteil, Aufwand und Verkaufserlös in Deutschland? Drittens: Hängt Erinnerung oder unersetzbare Qualität daran? Fällt er bei der ersten Prüfung durch, ist die Sache entschieden. Bei der zweiten hilft eine grobe Rechnung.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Portale nennen für einen 20-ft-Container (28–33 m³) 4.000–7.500 € ohne US-Zustellung und für eine Sammelladung von 10–20 m³ 2.500–6.000 €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Auf den Kubikmeter umgerechnet sind das grob 120–300 € (eigene Rechnung). Ein Dreisitzer-Sofa belegt verpackt schätzungsweise 2 m³ und kostet damit 250–600 € Fracht; Zustellung und Zollabwicklung kommen als Festkosten hinzu. Ein neues Mittelklasse-Sofa kostet 800–2.000 $. Ein gutes, gepflegtes Sofa kann sich also lohnen, ein billiges nie. Ein Standard-Umzugskarton mit Büchern (etwa 0,07 m³) kostet nach derselben Rechnung 10–20 € Fracht; als DHL-Paket wären es für 20 kg 142,99 € (Stand September 2026).</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Was zurückbleibt, verkaufst du über Kleinanzeigenportale, Flohmarkt oder Haushaltsauflösung, am besten in den letzten acht bis zwölf Wochen vor dem Abflug (Zeitplan: Kapitel </w:t>
      </w:r>
      <w:hyperlink w:anchor="k15">
        <w:r>
          <w:rPr>
            <w:rStyle w:val="ListLabel115"/>
            <w:rFonts w:eastAsia="Cambria" w:cs="Cambria"/>
            <w:b w:val="false"/>
            <w:bCs w:val="false"/>
            <w:i w:val="false"/>
            <w:iCs w:val="false"/>
            <w:sz w:val="22"/>
            <w:szCs w:val="22"/>
          </w:rPr>
          <w:t>15</w:t>
        </w:r>
      </w:hyperlink>
      <w:r>
        <w:rPr>
          <w:rFonts w:eastAsia="Cambria" w:cs="Cambria"/>
          <w:b w:val="false"/>
          <w:bCs w:val="false"/>
          <w:i w:val="false"/>
          <w:iCs w:val="false"/>
          <w:sz w:val="22"/>
          <w:szCs w:val="22"/>
        </w:rPr>
        <w:t>). Rechne mit einem Bruchteil des Neupreises; was übrig bleibt, verschenkst oder spendest du.</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Kaufe nichts Neues, um es mitzuschicken. Gegenstände, die du im Ausland weniger als ein Jahr genutzt hast, gelten nicht als zollfreies Umzugsgut (Kapitel </w:t>
            </w:r>
            <w:hyperlink w:anchor="k20">
              <w:r>
                <w:rPr>
                  <w:rStyle w:val="ListLabel114"/>
                  <w:rFonts w:eastAsia="Cambria" w:cs="Cambria"/>
                  <w:b w:val="false"/>
                  <w:bCs w:val="false"/>
                  <w:i w:val="false"/>
                  <w:iCs w:val="false"/>
                  <w:sz w:val="20"/>
                  <w:szCs w:val="20"/>
                </w:rPr>
                <w:t>20</w:t>
              </w:r>
            </w:hyperlink>
            <w:r>
              <w:rPr>
                <w:rFonts w:eastAsia="Cambria" w:cs="Cambria"/>
                <w:b w:val="false"/>
                <w:bCs w:val="false"/>
                <w:i w:val="false"/>
                <w:iCs w:val="false"/>
                <w:sz w:val="20"/>
                <w:szCs w:val="20"/>
              </w:rPr>
              <w: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Gegenstand fährt nur mit, wenn er ohne Umbau funktioniert und entweder sein Ersatz mehr kostet als Fracht und Aufwand oder er sich nicht ersetzen lässt.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Zuerst: Strom, Steckdosen und Lampen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Fast jede Entscheidung bei Elektrogeräten fällt an einer Zeile auf dem Typenschild. Die US-Steckdose liefert 120 V bei 60 Hz (nominal; das Netz schwankt zwischen etwa 100 und 127 V), die deutsche 230 V bei 50 Hz. US-Dosen sind vom Typ A (zwei Flachstifte) oder Typ B (mit Erdungsstift); dein Schuko-Stecker (Typ C oder F) passt nur mit Adapter. Eine 240-V-Leitung gibt es im Haushalt meist nur für Großverbraucher wie Herd, Trockner und Klimaanlage.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Ein Adapter aus dem Reisezubehör-Regal macht jedes deutsche Gerät startklar. Tatsächlich ändert er nur die Steckerform, nicht die Spannung. Für die Entscheidung gilt:</w:t>
      </w:r>
    </w:p>
    <w:p>
      <w:pPr>
        <w:pStyle w:val="ListParagraph"/>
        <w:numPr>
          <w:ilvl w:val="0"/>
          <w:numId w:val="1"/>
        </w:numPr>
        <w:spacing w:lineRule="exact" w:line="288" w:before="0" w:after="60"/>
        <w:rPr/>
      </w:pPr>
      <w:r>
        <w:rPr>
          <w:rFonts w:eastAsia="Cambria" w:cs="Cambria"/>
          <w:b/>
          <w:bCs/>
          <w:i w:val="false"/>
          <w:iCs w:val="false"/>
          <w:sz w:val="22"/>
          <w:szCs w:val="22"/>
        </w:rPr>
        <w:t>Netzteil „Input 100–240 V, 50/60 Hz“:</w:t>
      </w:r>
      <w:r>
        <w:rPr>
          <w:rFonts w:eastAsia="Cambria" w:cs="Cambria"/>
          <w:b w:val="false"/>
          <w:bCs w:val="false"/>
          <w:i w:val="false"/>
          <w:iCs w:val="false"/>
          <w:sz w:val="22"/>
          <w:szCs w:val="22"/>
        </w:rPr>
        <w:t xml:space="preserve"> läuft mit Adapter unverändert. Das trifft auf Laptop, Handy, Tablet, Kamera, Konsole, viele Router und LED-Lampen zu, meist auch auf die Ladegeräte von elektrischer Zahnbürste und Rasierer.</w:t>
      </w:r>
    </w:p>
    <w:p>
      <w:pPr>
        <w:pStyle w:val="ListParagraph"/>
        <w:numPr>
          <w:ilvl w:val="0"/>
          <w:numId w:val="1"/>
        </w:numPr>
        <w:spacing w:lineRule="exact" w:line="288" w:before="0" w:after="60"/>
        <w:rPr/>
      </w:pPr>
      <w:r>
        <w:rPr>
          <w:rFonts w:eastAsia="Cambria" w:cs="Cambria"/>
          <w:b/>
          <w:bCs/>
          <w:i w:val="false"/>
          <w:iCs w:val="false"/>
          <w:sz w:val="22"/>
          <w:szCs w:val="22"/>
        </w:rPr>
        <w:t>Heizgeräte</w:t>
      </w:r>
      <w:r>
        <w:rPr>
          <w:rFonts w:eastAsia="Cambria" w:cs="Cambria"/>
          <w:b w:val="false"/>
          <w:bCs w:val="false"/>
          <w:i w:val="false"/>
          <w:iCs w:val="false"/>
          <w:sz w:val="22"/>
          <w:szCs w:val="22"/>
        </w:rPr>
        <w:t xml:space="preserve"> (Wasserkocher, Toaster, Haartrockner, Bügeleisen, Kaffeemaschine): erreichen bei 120 V nur etwa ein Viertel bis die Hälfte ihrer Leistung. Nicht mitnehmen.</w:t>
      </w:r>
    </w:p>
    <w:p>
      <w:pPr>
        <w:pStyle w:val="ListParagraph"/>
        <w:numPr>
          <w:ilvl w:val="0"/>
          <w:numId w:val="1"/>
        </w:numPr>
        <w:spacing w:lineRule="exact" w:line="288" w:before="0" w:after="60"/>
        <w:rPr/>
      </w:pPr>
      <w:r>
        <w:rPr>
          <w:rFonts w:eastAsia="Cambria" w:cs="Cambria"/>
          <w:b/>
          <w:bCs/>
          <w:i w:val="false"/>
          <w:iCs w:val="false"/>
          <w:sz w:val="22"/>
          <w:szCs w:val="22"/>
        </w:rPr>
        <w:t>Geräte mit Synchronmotor</w:t>
      </w:r>
      <w:r>
        <w:rPr>
          <w:rFonts w:eastAsia="Cambria" w:cs="Cambria"/>
          <w:b w:val="false"/>
          <w:bCs w:val="false"/>
          <w:i w:val="false"/>
          <w:iCs w:val="false"/>
          <w:sz w:val="22"/>
          <w:szCs w:val="22"/>
        </w:rPr>
        <w:t xml:space="preserve"> (Plattenspieler, manche Uhren): laufen bei 60 Hz falsch. Nicht mitnehmen.</w:t>
      </w:r>
    </w:p>
    <w:p>
      <w:pPr>
        <w:pStyle w:val="ListParagraph"/>
        <w:numPr>
          <w:ilvl w:val="0"/>
          <w:numId w:val="1"/>
        </w:numPr>
        <w:spacing w:lineRule="exact" w:line="288" w:before="0" w:after="60"/>
        <w:rPr/>
      </w:pPr>
      <w:r>
        <w:rPr>
          <w:rFonts w:eastAsia="Cambria" w:cs="Cambria"/>
          <w:b/>
          <w:bCs/>
          <w:i w:val="false"/>
          <w:iCs w:val="false"/>
          <w:sz w:val="22"/>
          <w:szCs w:val="22"/>
        </w:rPr>
        <w:t>Spannungswandler</w:t>
      </w:r>
      <w:r>
        <w:rPr>
          <w:rFonts w:eastAsia="Cambria" w:cs="Cambria"/>
          <w:b w:val="false"/>
          <w:bCs w:val="false"/>
          <w:i w:val="false"/>
          <w:iCs w:val="false"/>
          <w:sz w:val="22"/>
          <w:szCs w:val="22"/>
        </w:rPr>
        <w:t xml:space="preserve"> (</w:t>
      </w:r>
      <w:r>
        <w:rPr>
          <w:rFonts w:eastAsia="Cambria" w:cs="Cambria"/>
          <w:b w:val="false"/>
          <w:bCs w:val="false"/>
          <w:i/>
          <w:iCs/>
          <w:sz w:val="22"/>
          <w:szCs w:val="22"/>
        </w:rPr>
        <w:t>Transformer</w:t>
      </w:r>
      <w:r>
        <w:rPr>
          <w:rFonts w:eastAsia="Cambria" w:cs="Cambria"/>
          <w:b w:val="false"/>
          <w:bCs w:val="false"/>
          <w:i w:val="false"/>
          <w:iCs w:val="false"/>
          <w:sz w:val="22"/>
          <w:szCs w:val="22"/>
        </w:rPr>
        <w:t>) taugen für kleine Lasten; bei Geräten über 1.000 W lohnen sie sich nicht.</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Leuchten sitzt der Unterschied im Detail: Der US-Sockel E26 (26 mm) und der deutsche E27 (27 mm) sind mechanisch kompatibel, aber Leuchtmittel für 230 V sind an 120 V unbrauchbar – Leuchtmittel kaufst du deshalb vor Ort. Leuchten mit Kabel, Stecker und E27-Fassung laufen mit Adapter und neuen Leuchtmitteln; Leuchten mit fest verbautem 230-V-Leuchtmittel oder Trafo nicht. Bei einfachen Leuchten ist der Neukauf meist die bequemere Lösung.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Adapter schützt kein Gerät. Auch der Gedanke, ein 230-V-Gerät an die 240-V-Dose von Herd oder Trockner zu hängen, führt nicht weiter: Stecker, Absicherung und Frequenz passen nicht, und der Anschluss ist für andere Verbraucher gebaut.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Fotografiere vor dem Verkauf die Typenschilder aller Elektrogeräte und notiere Eingangsspannung und Leistung in Watt. So verkaufst du kein Gerät, das du hättest behalten können, und schleppst keinen Toaster über den Atlantik.</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Schlafzimmer: Betten und Bettwäsche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US-Matratzen haben eigene Maße, und die Unterschiede sind klein genug, um zu täuschen. Die Tabelle zeigt die fünf Größen mit der nächstliegenden deutschen Entsprechung (Näherungswerte).</w:t>
      </w:r>
    </w:p>
    <w:tbl>
      <w:tblPr>
        <w:tblW w:w="6480" w:type="dxa"/>
        <w:jc w:val="left"/>
        <w:tblInd w:w="0" w:type="dxa"/>
        <w:tblLayout w:type="fixed"/>
        <w:tblCellMar>
          <w:top w:w="50" w:type="dxa"/>
          <w:left w:w="80" w:type="dxa"/>
          <w:bottom w:w="50" w:type="dxa"/>
          <w:right w:w="80" w:type="dxa"/>
        </w:tblCellMar>
      </w:tblPr>
      <w:tblGrid>
        <w:gridCol w:w="1310"/>
        <w:gridCol w:w="1287"/>
        <w:gridCol w:w="1517"/>
        <w:gridCol w:w="2365"/>
      </w:tblGrid>
      <w:tr>
        <w:trPr>
          <w:tblHeader w:val="true"/>
          <w:cantSplit w:val="true"/>
        </w:trPr>
        <w:tc>
          <w:tcPr>
            <w:tcW w:w="131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US-Größe</w:t>
            </w:r>
          </w:p>
        </w:tc>
        <w:tc>
          <w:tcPr>
            <w:tcW w:w="128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Zoll</w:t>
            </w:r>
          </w:p>
        </w:tc>
        <w:tc>
          <w:tcPr>
            <w:tcW w:w="151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Zentimeter</w:t>
            </w:r>
          </w:p>
        </w:tc>
        <w:tc>
          <w:tcPr>
            <w:tcW w:w="236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Deutsche Entsprechung</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Twin</w:t>
            </w:r>
          </w:p>
        </w:tc>
        <w:tc>
          <w:tcPr>
            <w:tcW w:w="12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38 × 75</w:t>
            </w:r>
          </w:p>
        </w:tc>
        <w:tc>
          <w:tcPr>
            <w:tcW w:w="15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96,5 × 190,5</w:t>
            </w:r>
          </w:p>
        </w:tc>
        <w:tc>
          <w:tcPr>
            <w:tcW w:w="23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90 × 200</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Full</w:t>
            </w:r>
          </w:p>
        </w:tc>
        <w:tc>
          <w:tcPr>
            <w:tcW w:w="12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54 × 75</w:t>
            </w:r>
          </w:p>
        </w:tc>
        <w:tc>
          <w:tcPr>
            <w:tcW w:w="15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137 × 190,5</w:t>
            </w:r>
          </w:p>
        </w:tc>
        <w:tc>
          <w:tcPr>
            <w:tcW w:w="23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140 × 200</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Queen</w:t>
            </w:r>
          </w:p>
        </w:tc>
        <w:tc>
          <w:tcPr>
            <w:tcW w:w="12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60 × 80</w:t>
            </w:r>
          </w:p>
        </w:tc>
        <w:tc>
          <w:tcPr>
            <w:tcW w:w="15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152 × 203</w:t>
            </w:r>
          </w:p>
        </w:tc>
        <w:tc>
          <w:tcPr>
            <w:tcW w:w="23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160 × 200</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King</w:t>
            </w:r>
          </w:p>
        </w:tc>
        <w:tc>
          <w:tcPr>
            <w:tcW w:w="12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76 × 80</w:t>
            </w:r>
          </w:p>
        </w:tc>
        <w:tc>
          <w:tcPr>
            <w:tcW w:w="15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193 × 203</w:t>
            </w:r>
          </w:p>
        </w:tc>
        <w:tc>
          <w:tcPr>
            <w:tcW w:w="23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180 × 200 oder 200 × 200</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California King</w:t>
            </w:r>
          </w:p>
        </w:tc>
        <w:tc>
          <w:tcPr>
            <w:tcW w:w="12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72 × 84</w:t>
            </w:r>
          </w:p>
        </w:tc>
        <w:tc>
          <w:tcPr>
            <w:tcW w:w="15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183 × 213</w:t>
            </w:r>
          </w:p>
        </w:tc>
        <w:tc>
          <w:tcPr>
            <w:tcW w:w="23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180 × 200</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Zahlen erklären die Fehlkäufe: Eine Queen-Matratze ist mit 203 cm länger als die deutschen 200 cm und passt daher nicht in ein Bettgestell für 160 × 200 cm. Umgekehrt sind deutsche Spannbetttücher für US-Matratzen zu kurz oder zu breit und rutschen. Dazu sind US-Matratzen oft dicker als deutsche; passend sind Tücher mit tiefer Tasche (</w:t>
      </w:r>
      <w:r>
        <w:rPr>
          <w:rFonts w:eastAsia="Cambria" w:cs="Cambria"/>
          <w:b w:val="false"/>
          <w:bCs w:val="false"/>
          <w:i/>
          <w:iCs/>
          <w:sz w:val="22"/>
          <w:szCs w:val="22"/>
        </w:rPr>
        <w:t>Deep Pocket</w:t>
      </w:r>
      <w:r>
        <w:rPr>
          <w:rFonts w:eastAsia="Cambria" w:cs="Cambria"/>
          <w:b w:val="false"/>
          <w:bCs w:val="false"/>
          <w:i w:val="false"/>
          <w:iCs w:val="false"/>
          <w:sz w:val="22"/>
          <w:szCs w:val="22"/>
        </w:rPr>
        <w:t xml:space="preserve">). Als Unterbau dient statt des Lattenrosts oft ein </w:t>
      </w:r>
      <w:r>
        <w:rPr>
          <w:rFonts w:eastAsia="Cambria" w:cs="Cambria"/>
          <w:b w:val="false"/>
          <w:bCs w:val="false"/>
          <w:i/>
          <w:iCs/>
          <w:sz w:val="22"/>
          <w:szCs w:val="22"/>
        </w:rPr>
        <w:t>Box Spring</w:t>
      </w:r>
      <w:r>
        <w:rPr>
          <w:rFonts w:eastAsia="Cambria" w:cs="Cambria"/>
          <w:b w:val="false"/>
          <w:bCs w:val="false"/>
          <w:i w:val="false"/>
          <w:iCs w:val="false"/>
          <w:sz w:val="22"/>
          <w:szCs w:val="22"/>
        </w:rPr>
        <w:t xml:space="preserve"> (flacher Rahmen, mit oder ohne Federn) oder eine Plattform. Das US-Standardkissen (20 × 26 in) misst 51 × 66 cm, deutlich weniger als die gewohnten 80 × 80 cm.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Deine deutschen Bettdecken (135 × 200 cm) kannst du weiter benutzen, sie wirken auf einem Queen- oder King-Bett aber schmal; US-Bezüge passen nur auf US-Decken. Handtücher sind unproblematisch: Nimm die Lieblingsstücke mit, den Rest ersetzt du vor Ort.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Bettgestelle, Lattenroste und Matratzen verkaufst du also, Bettwäsche kaufst du in US-Größe neu. Für eine Queen-Matratze rechnest du mit 400–1.200 $ (Markt-Durchschnitt 600–800 $, Stand 2026).</w:t>
      </w:r>
    </w:p>
    <w:p>
      <w:pPr>
        <w:pStyle w:val="Heading3"/>
        <w:keepNext w:val="true"/>
        <w:spacing w:before="280" w:after="100"/>
        <w:jc w:val="center"/>
        <w:rPr/>
      </w:pPr>
      <w:r>
        <w:rPr>
          <w:rFonts w:eastAsia="Amazon Ember" w:cs="Amazon Ember" w:ascii="Amazon Ember" w:hAnsi="Amazon Ember"/>
          <w:b/>
          <w:bCs/>
          <w:color w:val="0000FF"/>
          <w:sz w:val="36"/>
          <w:szCs w:val="36"/>
        </w:rPr>
        <w:t>Wohn- und Esszimmer: Möbel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Wohnung bestimmt, was hineinpasst. Innentüren sind meist 80 in (203 cm) hoch und 24–36 in (61–91 cm) breit, Decken in der Regel 8 ft (244 cm) hoch. Miss hohe Schränke, breite Sofas und lange Tische vorab aus und vergleiche sie mit dem Grundriss. Einen Kleiderschrank brauchst du oft nicht: Die meisten US-Schlafzimmer haben eingebaute Wandschränke (</w:t>
      </w:r>
      <w:r>
        <w:rPr>
          <w:rFonts w:eastAsia="Cambria" w:cs="Cambria"/>
          <w:b w:val="false"/>
          <w:bCs w:val="false"/>
          <w:i/>
          <w:iCs/>
          <w:sz w:val="22"/>
          <w:szCs w:val="22"/>
        </w:rPr>
        <w:t>Closets</w:t>
      </w:r>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Neuware sind Möbel zurzeit ein Preistreiber. Auf importierte Polstermöbel, Küchenschränke und Waschtischunterschränke (</w:t>
      </w:r>
      <w:r>
        <w:rPr>
          <w:rFonts w:eastAsia="Cambria" w:cs="Cambria"/>
          <w:b w:val="false"/>
          <w:bCs w:val="false"/>
          <w:i/>
          <w:iCs/>
          <w:sz w:val="22"/>
          <w:szCs w:val="22"/>
        </w:rPr>
        <w:t>Vanities</w:t>
      </w:r>
      <w:r>
        <w:rPr>
          <w:rFonts w:eastAsia="Cambria" w:cs="Cambria"/>
          <w:b w:val="false"/>
          <w:bCs w:val="false"/>
          <w:i w:val="false"/>
          <w:iCs w:val="false"/>
          <w:sz w:val="22"/>
          <w:szCs w:val="22"/>
        </w:rPr>
        <w:t>) liegt seit Herbst 2025 ein Zoll von 25 % (Section 232). Die geplanten Erhöhungen, auf 30 % bei Polstermöbeln und 50 % bei Schränken und Vanities, wurden auf den 1. Januar 2027 verschoben. Wie stark sich das in den Ladenpreisen niederschlägt, ist offen. Gebrauchtes Umzugsgut, das du seit mindestens einem Jahr nutzt, ist nach den Regeln für Umzugsgut meist zollfrei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Praktisch heißt das: Massive, hochwertige Einzelstücke, deren Ersatz in den USA viel kostet, nimmst du mit, sofern Maße und Zustand stimmen. Standardmöbel auf IKEA-Niveau verkaufst du, denn Fracht und Ersatz liegen dort nahe beieinander. Zum Vergleich kosten in den USA ein Mittelklasse-Sofa 800–2.000 $ (Premium 2.000–5.000 $ und mehr) und ein Esstisch 500–2.000 $ (Budget 150–500 $).</w:t>
      </w:r>
    </w:p>
    <w:p>
      <w:pPr>
        <w:pStyle w:val="Heading3"/>
        <w:keepNext w:val="true"/>
        <w:spacing w:before="280" w:after="100"/>
        <w:jc w:val="center"/>
        <w:rPr/>
      </w:pPr>
      <w:r>
        <w:rPr>
          <w:rFonts w:eastAsia="Amazon Ember" w:cs="Amazon Ember" w:ascii="Amazon Ember" w:hAnsi="Amazon Ember"/>
          <w:b/>
          <w:bCs/>
          <w:color w:val="0000FF"/>
          <w:sz w:val="36"/>
          <w:szCs w:val="36"/>
        </w:rPr>
        <w:t>Küche: Geräte, Töpfe, Herdtypen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Anders als in vielen deutschen Mietwohnungen, in denen du die Küche selbst mitbringst, gehört die US-Küche zur Wohnung: Kühlschrank, Herd mit Backofen und meist auch ein Geschirrspüler sind da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 Die Geräte sind in Zoll genormt: Kühlschränke sind 30–36 in (76–91 cm) breit, Herde 30 in (76 cm), Geschirrspüler 24 in (61 cm). Deine Einbau- und Großgeräte bleiben daher zurück. Für Waschmaschine und Trockner gilt dasselbe: Deutsche 230-V-Geräte sind unbrauchbar, US-Trockner laufen mit 240 V, elektrisch oder mit Gas. Ob Maschinen zur Wohnung gehören, klärst du vor der Unterschrift; als Paar kosten sie neu 1.000–2.300 $.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Gas- und Elektroherde sind üblich, Induktion ist selten, aber im Kommen. Deine Töpfe und Pfannen laufen auf Gas und Elektro; für Induktion brauchen sie einen Magnetboden, Aluminium und Kupfer ohne diese Schicht funktionieren dort nicht. Der Backofen zeigt °F: 350 °F sind etwa 175 °C (Tassenmaße und Rezepte: Kapitel </w:t>
      </w:r>
      <w:hyperlink w:anchor="k35">
        <w:r>
          <w:rPr>
            <w:rStyle w:val="ListLabel115"/>
            <w:rFonts w:eastAsia="Cambria" w:cs="Cambria"/>
            <w:b w:val="false"/>
            <w:bCs w:val="false"/>
            <w:i w:val="false"/>
            <w:iCs w:val="false"/>
            <w:sz w:val="22"/>
            <w:szCs w:val="22"/>
          </w:rPr>
          <w:t>35</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Mitnehmen:</w:t>
      </w:r>
      <w:r>
        <w:rPr>
          <w:rFonts w:eastAsia="Cambria" w:cs="Cambria"/>
          <w:b w:val="false"/>
          <w:bCs w:val="false"/>
          <w:i w:val="false"/>
          <w:iCs w:val="false"/>
          <w:sz w:val="22"/>
          <w:szCs w:val="22"/>
        </w:rPr>
        <w:t xml:space="preserve"> gute Messer, Pfannen, Töpfe und Bräter, Backformen, Lieblingsgeschirr, Besteck, Küchenwaage, Mokkakanne.</w:t>
      </w:r>
    </w:p>
    <w:p>
      <w:pPr>
        <w:pStyle w:val="ListParagraph"/>
        <w:numPr>
          <w:ilvl w:val="0"/>
          <w:numId w:val="1"/>
        </w:numPr>
        <w:spacing w:lineRule="exact" w:line="288" w:before="0" w:after="60"/>
        <w:rPr/>
      </w:pPr>
      <w:r>
        <w:rPr>
          <w:rFonts w:eastAsia="Cambria" w:cs="Cambria"/>
          <w:b/>
          <w:bCs/>
          <w:i w:val="false"/>
          <w:iCs w:val="false"/>
          <w:sz w:val="22"/>
          <w:szCs w:val="22"/>
        </w:rPr>
        <w:t>Verkaufen:</w:t>
      </w:r>
      <w:r>
        <w:rPr>
          <w:rFonts w:eastAsia="Cambria" w:cs="Cambria"/>
          <w:b w:val="false"/>
          <w:bCs w:val="false"/>
          <w:i w:val="false"/>
          <w:iCs w:val="false"/>
          <w:sz w:val="22"/>
          <w:szCs w:val="22"/>
        </w:rPr>
        <w:t xml:space="preserve"> Wasserkocher, Toaster, Kaffeemaschine, Mixer, Küchenmaschine (Heizung oder Motor für 230 V).</w:t>
      </w:r>
    </w:p>
    <w:p>
      <w:pPr>
        <w:pStyle w:val="ListParagraph"/>
        <w:numPr>
          <w:ilvl w:val="0"/>
          <w:numId w:val="1"/>
        </w:numPr>
        <w:spacing w:lineRule="exact" w:line="288" w:before="0" w:after="60"/>
        <w:rPr/>
      </w:pPr>
      <w:r>
        <w:rPr>
          <w:rFonts w:eastAsia="Cambria" w:cs="Cambria"/>
          <w:b/>
          <w:bCs/>
          <w:i w:val="false"/>
          <w:iCs w:val="false"/>
          <w:sz w:val="22"/>
          <w:szCs w:val="22"/>
        </w:rPr>
        <w:t>Neu kaufen:</w:t>
      </w:r>
      <w:r>
        <w:rPr>
          <w:rFonts w:eastAsia="Cambria" w:cs="Cambria"/>
          <w:b w:val="false"/>
          <w:bCs w:val="false"/>
          <w:i w:val="false"/>
          <w:iCs w:val="false"/>
          <w:sz w:val="22"/>
          <w:szCs w:val="22"/>
        </w:rPr>
        <w:t xml:space="preserve"> Ratgeber nennen für eine funktionale Grundausstattung 150–400 $ und für 30 Basisteile 345–580 $ (2026).</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Töpfe, Geschirr und Besteck gibt es bei Goodwill und auf Estate Sales für einen Bruchteil des Neupreises. Kaufe dort, was dir nicht persönlich wichtig ist, und spare Container-Volumen für die guten Stücke.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Arbeitszimmer und Technik: Elektronik, Fernseher, Handy</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Laptops, Tablets, Kameras, Konsolen, Kopfhörer, E-Reader und Ladegeräte nimmst du mit; ihre Netzteile decken 100–240 V ab. Bei Monitor, Drucker und Desktop-PC prüfst du Netzteil und Spannungsschalter. Fernseher verkaufst du: Ein 4K-Smart-TV mit 55 Zoll kostet im Budgetsegment nach Ratgeberangaben etwa 200–300 $ (2026, mit Aktionen). Deutsche Geräte haben Tuner für DVB-T2, -C und -S, die in den USA nichts empfangen, und Mediatheken deutscher Sender sind häufig nur in Deutschland abrufbar; die Lieblingsserie bleibt so mitten in der letzten Staffel hinter der Ländersperre stecken.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Funktechnik kennt Regionsgrenzen: Manche DECT-Telefone, Babyphone und Funkuhren nutzen europäische Frequenzen und Zeitsignale. DVDs (Regionalcode 2) und Blu-rays (Code B) laufen in US-Playern meist nicht. Router und Modem stellen die Internetanbieter meist selbst oder verkaufen sie; deutsche Geräte sind auf europäische Anschlüsse ausgelegt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 Papier hat das Format Letter (8,5 × 11 in, 21,6 × 27,9 cm) statt DIN A4, und Ordner haben eine andere Lochung; Ordner und Locher kaufst du vor Ort.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Beim Handy hilft ein Blick in die technischen Daten. Neuere Smartphones aus dem europäischen Handel (iPhone, Galaxy, Pixel) unterstützen die meisten US-Netzbänder; bei älteren Modellen prüfst du die Bänder 12, 13, 17 und 71. Lass einen SIM-Lock vor dem Abflug aufheben. eSIM-Tarife sind nutzbar. Prepaid-Tarife kommen ohne Bonitätsprüfung aus, Vertragstarife verlangen SSN und Bonität oder eine Kaution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 xml:space="preserve"> und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Keller und Garage: Werkzeug, Fahrräder, Sport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US-Bauwesen misst in Zoll. Schrauben, Muttern und Schlüssel folgen dem imperialen System (SAE) und passen nicht zu metrischem Werkzeug; ein Kantholz „2 × 4“ misst 1,5 × 3,5 in (3,8 × 8,9 cm). Wer als Deutscher gern auf DIN-Normen pocht, muss hier einfach loslassen: In der US-Werkstatt zählt Zoll, basta. Metrisches Werkzeug bleibt trotzdem nützlich für IKEA-Möbel und Fahrzeuge. Handwerkzeug wie Inbusschlüssel, Schraubendreher, Zange und Wasserwaage nimmst du mit, ein Maßband mit Zoll-Skala kaufst du vor Ort. Kabelgebundene 230-V-Elektrowerkzeuge verkaufst du. Bei Akkuwerkzeug muss das Ladegerät 100–240 V abdecken. Ersatz gibt es in Baumärkten wie Home Depot und Lowe’s.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Lithium-Akkus (Akkuschrauber, E-Bike) gelten als Gefahrgut, und viele Umzugsfirmen schließen sie aus oder verlangen Sonderverpackung. Frage im Angebot ausdrücklich danach, bevor du Akkugeräte einplanst (mehr zu Verbotenem und Beschränktem im Umzugsgut: Kapitel </w:t>
            </w:r>
            <w:hyperlink w:anchor="k20">
              <w:r>
                <w:rPr>
                  <w:rStyle w:val="ListLabel114"/>
                  <w:rFonts w:eastAsia="Cambria" w:cs="Cambria"/>
                  <w:b w:val="false"/>
                  <w:bCs w:val="false"/>
                  <w:i w:val="false"/>
                  <w:iCs w:val="false"/>
                  <w:sz w:val="20"/>
                  <w:szCs w:val="20"/>
                </w:rPr>
                <w:t>20</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Fahrrädern lohnt sich das Mitnehmen für hochwertige Rennräder, Mountainbikes und Reiseräder, die du verpackt transportieren lässt; ein eingefahrenes Rad ersetzt du schwer. Alltags- und Kinderräder verkaufst du, denn Kinder wachsen schnell heraus. Ski, Snowboard, Kletter- und Campingausrüstung sowie der Schlafsack sind gut aufgehoben im Umzugsgut (Outdoor-Ausrüstung auch in Kapitel </w:t>
      </w:r>
      <w:hyperlink w:anchor="k34">
        <w:r>
          <w:rPr>
            <w:rStyle w:val="ListLabel115"/>
            <w:rFonts w:eastAsia="Cambria" w:cs="Cambria"/>
            <w:b w:val="false"/>
            <w:bCs w:val="false"/>
            <w:i w:val="false"/>
            <w:iCs w:val="false"/>
            <w:sz w:val="22"/>
            <w:szCs w:val="22"/>
          </w:rPr>
          <w:t>34</w:t>
        </w:r>
      </w:hyperlink>
      <w:r>
        <w:rPr>
          <w:rFonts w:eastAsia="Cambria" w:cs="Cambria"/>
          <w:b w:val="false"/>
          <w:bCs w:val="false"/>
          <w:i w:val="false"/>
          <w:iCs w:val="false"/>
          <w:sz w:val="22"/>
          <w:szCs w:val="22"/>
        </w:rPr>
        <w:t>). Fitnessgeräte sind schwer und in den USA gebraucht leicht zu bekommen: verkaufen. Das Auto bleibt ebenfalls zurück; es lohnt sich fast nie (Kapitel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Kinderzimmer, Regale, Kleiderschrank: Bücher, Kleidung, Spielzeug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Bücher wiegen viel, sind im Sammelcontainer aber vergleichsweise günstig (Rechnung oben). Nimm deine Lieblingsbücher und die deutschen Kinderbücher mit; wie du Deutsch im Alltag der Kinder bewahrst, steht in Kapitel </w:t>
      </w:r>
      <w:hyperlink w:anchor="k37">
        <w:r>
          <w:rPr>
            <w:rStyle w:val="ListLabel115"/>
            <w:rFonts w:eastAsia="Cambria" w:cs="Cambria"/>
            <w:b w:val="false"/>
            <w:bCs w:val="false"/>
            <w:i w:val="false"/>
            <w:iCs w:val="false"/>
            <w:sz w:val="22"/>
            <w:szCs w:val="22"/>
          </w:rPr>
          <w:t>37</w:t>
        </w:r>
      </w:hyperlink>
      <w:r>
        <w:rPr>
          <w:rFonts w:eastAsia="Cambria" w:cs="Cambria"/>
          <w:b w:val="false"/>
          <w:bCs w:val="false"/>
          <w:i w:val="false"/>
          <w:iCs w:val="false"/>
          <w:sz w:val="22"/>
          <w:szCs w:val="22"/>
        </w:rPr>
        <w:t>. Den Rest verkaufst du oder spendest ihn, ein E-Reader spart Platz. Zur Kleidung siehe Kapitel </w:t>
      </w:r>
      <w:hyperlink w:anchor="k34">
        <w:r>
          <w:rPr>
            <w:rStyle w:val="ListLabel115"/>
            <w:rFonts w:eastAsia="Cambria" w:cs="Cambria"/>
            <w:b w:val="false"/>
            <w:bCs w:val="false"/>
            <w:i w:val="false"/>
            <w:iCs w:val="false"/>
            <w:sz w:val="22"/>
            <w:szCs w:val="22"/>
          </w:rPr>
          <w:t>34</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Spielzeug zählt, woran die Kinder hängen. Lieblingsstücke, Kuscheltiere, Lego und Puzzles nimmst du mit, alles Übrige kaufst du gebraucht: In Vorstädten gibt es am Wochenende Garagenverkäufe (</w:t>
      </w:r>
      <w:r>
        <w:rPr>
          <w:rFonts w:eastAsia="Cambria" w:cs="Cambria"/>
          <w:b w:val="false"/>
          <w:bCs w:val="false"/>
          <w:i/>
          <w:iCs/>
          <w:sz w:val="22"/>
          <w:szCs w:val="22"/>
        </w:rPr>
        <w:t>Garage Sales</w:t>
      </w:r>
      <w:r>
        <w:rPr>
          <w:rFonts w:eastAsia="Cambria" w:cs="Cambria"/>
          <w:b w:val="false"/>
          <w:bCs w:val="false"/>
          <w:i w:val="false"/>
          <w:iCs w:val="false"/>
          <w:sz w:val="22"/>
          <w:szCs w:val="22"/>
        </w:rPr>
        <w:t xml:space="preserve"> oder </w:t>
      </w:r>
      <w:r>
        <w:rPr>
          <w:rFonts w:eastAsia="Cambria" w:cs="Cambria"/>
          <w:b w:val="false"/>
          <w:bCs w:val="false"/>
          <w:i/>
          <w:iCs/>
          <w:sz w:val="22"/>
          <w:szCs w:val="22"/>
        </w:rPr>
        <w:t>Yard Sales</w:t>
      </w:r>
      <w:r>
        <w:rPr>
          <w:rFonts w:eastAsia="Cambria" w:cs="Cambria"/>
          <w:b w:val="false"/>
          <w:bCs w:val="false"/>
          <w:i w:val="false"/>
          <w:iCs w:val="false"/>
          <w:sz w:val="22"/>
          <w:szCs w:val="22"/>
        </w:rPr>
        <w:t>), bei denen Spielzeug und Kinderkleidung oft für kleine Beträge den Besitzer wechseln.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Kindersitze aus Deutschland folgen der europäischen ECE-Norm, nicht der US-Norm FMVSS 213, und gelten in den USA als nicht zugelassen. Kaufe Kindersitze vor Ort und prüfe die Vorgaben deines Bundesstaats (Kapitel </w:t>
            </w:r>
            <w:hyperlink w:anchor="k38">
              <w:r>
                <w:rPr>
                  <w:rStyle w:val="ListLabel114"/>
                  <w:rFonts w:eastAsia="Cambria" w:cs="Cambria"/>
                  <w:b w:val="false"/>
                  <w:bCs w:val="false"/>
                  <w:i w:val="false"/>
                  <w:iCs w:val="false"/>
                  <w:sz w:val="20"/>
                  <w:szCs w:val="20"/>
                </w:rPr>
                <w:t>38</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Kunst und Erinnerungsstücke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Bilder, Familienfotos, Instrumente, Erbstücke und alles, was sich nicht neu kaufen lässt, gehören in die Fracht, das Wertvollste sogar ins Handgepäck. Erfasse jedes Stück in der Inventarliste mit Wiederbeschaffungswert und Foto: Die Versicherung zahlt nach dem hinterlegten Wert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Lass Bilder und Spiegel in Kisten mit Kantenschutz packen. Schmuck, Uhren, Datenträger und Originaldokumente reisen bei dir.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Kritisch sind Artenschutz und Kulturgut: Elfenbein ohne Genehmigung ist in den USA verboten, und für wertvolles Kulturgut brauchst du bei der Ausfuhr aus Deutschland unter Umständen eine Genehmigung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Digitalisiere Fotos und Dokumente vorab. Ein paar vertraute Dinge an der Wand helfen außerdem gegen Heimweh (Kapitel </w:t>
      </w:r>
      <w:hyperlink w:anchor="k33">
        <w:r>
          <w:rPr>
            <w:rStyle w:val="ListLabel115"/>
            <w:rFonts w:eastAsia="Cambria" w:cs="Cambria"/>
            <w:b w:val="false"/>
            <w:bCs w:val="false"/>
            <w:i w:val="false"/>
            <w:iCs w:val="false"/>
            <w:sz w:val="22"/>
            <w:szCs w:val="22"/>
          </w:rPr>
          <w:t>33</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Die Übersicht: Mitnehmen, verkaufen oder neu kaufen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Tabelle fasst die Empfehlungen zusammen. Die Ersatzkosten sind Spannen aus Ratgeber- und Anbietertexten (Stand 2026) und zeigen die Größenordnung, keine Festpreise.</w:t>
      </w:r>
    </w:p>
    <w:tbl>
      <w:tblPr>
        <w:tblW w:w="6480" w:type="dxa"/>
        <w:jc w:val="left"/>
        <w:tblInd w:w="0" w:type="dxa"/>
        <w:tblLayout w:type="fixed"/>
        <w:tblCellMar>
          <w:top w:w="50" w:type="dxa"/>
          <w:left w:w="80" w:type="dxa"/>
          <w:bottom w:w="50" w:type="dxa"/>
          <w:right w:w="80" w:type="dxa"/>
        </w:tblCellMar>
      </w:tblPr>
      <w:tblGrid>
        <w:gridCol w:w="1424"/>
        <w:gridCol w:w="1201"/>
        <w:gridCol w:w="1853"/>
        <w:gridCol w:w="2001"/>
      </w:tblGrid>
      <w:tr>
        <w:trPr>
          <w:tblHeader w:val="true"/>
          <w:cantSplit w:val="true"/>
        </w:trPr>
        <w:tc>
          <w:tcPr>
            <w:tcW w:w="142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Kategorie</w:t>
            </w:r>
          </w:p>
        </w:tc>
        <w:tc>
          <w:tcPr>
            <w:tcW w:w="120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Empfehlung</w:t>
            </w:r>
          </w:p>
        </w:tc>
        <w:tc>
          <w:tcPr>
            <w:tcW w:w="185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Warum</w:t>
            </w:r>
          </w:p>
        </w:tc>
        <w:tc>
          <w:tcPr>
            <w:tcW w:w="200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Ersatzkosten in den USA</w:t>
            </w:r>
          </w:p>
        </w:tc>
      </w:tr>
      <w:tr>
        <w:trPr>
          <w:cantSplit w:val="true"/>
        </w:trPr>
        <w:tc>
          <w:tcPr>
            <w:tcW w:w="14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Standardmöbel, Sofa</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Verkaufen</w:t>
            </w:r>
          </w:p>
        </w:tc>
        <w:tc>
          <w:tcPr>
            <w:tcW w:w="1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Fracht (250–600 € je Sofa) liegt nahe am Ersatz</w:t>
            </w:r>
          </w:p>
        </w:tc>
        <w:tc>
          <w:tcPr>
            <w:tcW w:w="2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Sofa 800–2.000 $, Esstisch 500–2.000 $</w:t>
            </w:r>
          </w:p>
        </w:tc>
      </w:tr>
      <w:tr>
        <w:trPr>
          <w:cantSplit w:val="true"/>
        </w:trPr>
        <w:tc>
          <w:tcPr>
            <w:tcW w:w="14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Hochwertige Einzelstücke</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Mitnehmen</w:t>
            </w:r>
          </w:p>
        </w:tc>
        <w:tc>
          <w:tcPr>
            <w:tcW w:w="1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Ersatz teuer, Maße vorher prüfen</w:t>
            </w:r>
          </w:p>
        </w:tc>
        <w:tc>
          <w:tcPr>
            <w:tcW w:w="2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Premium-Sofa 2.000–5.000 $ und mehr</w:t>
            </w:r>
          </w:p>
        </w:tc>
      </w:tr>
      <w:tr>
        <w:trPr>
          <w:cantSplit w:val="true"/>
        </w:trPr>
        <w:tc>
          <w:tcPr>
            <w:tcW w:w="14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Betten, Matratzen, Lattenroste</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Verkaufen</w:t>
            </w:r>
          </w:p>
        </w:tc>
        <w:tc>
          <w:tcPr>
            <w:tcW w:w="1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Andere Größen und Unterbauten</w:t>
            </w:r>
          </w:p>
        </w:tc>
        <w:tc>
          <w:tcPr>
            <w:tcW w:w="2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Queen-Matratze 400–1.200 $</w:t>
            </w:r>
          </w:p>
        </w:tc>
      </w:tr>
      <w:tr>
        <w:trPr>
          <w:cantSplit w:val="true"/>
        </w:trPr>
        <w:tc>
          <w:tcPr>
            <w:tcW w:w="14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Bettwäsche</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 kaufen</w:t>
            </w:r>
          </w:p>
        </w:tc>
        <w:tc>
          <w:tcPr>
            <w:tcW w:w="1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Größen passen nicht</w:t>
            </w:r>
          </w:p>
        </w:tc>
        <w:tc>
          <w:tcPr>
            <w:tcW w:w="2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Sets ab niedrigen zweistelligen Beträgen</w:t>
            </w:r>
          </w:p>
        </w:tc>
      </w:tr>
      <w:tr>
        <w:trPr>
          <w:cantSplit w:val="true"/>
        </w:trPr>
        <w:tc>
          <w:tcPr>
            <w:tcW w:w="14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Waschmaschine, Trockner</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Verkaufen</w:t>
            </w:r>
          </w:p>
        </w:tc>
        <w:tc>
          <w:tcPr>
            <w:tcW w:w="1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230 V, oft in Wohnung vorhanden</w:t>
            </w:r>
          </w:p>
        </w:tc>
        <w:tc>
          <w:tcPr>
            <w:tcW w:w="2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Paar 1.000–2.300 $</w:t>
            </w:r>
          </w:p>
        </w:tc>
      </w:tr>
      <w:tr>
        <w:trPr>
          <w:cantSplit w:val="true"/>
        </w:trPr>
        <w:tc>
          <w:tcPr>
            <w:tcW w:w="14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Kühlschrank, Herd</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Verkaufen</w:t>
            </w:r>
          </w:p>
        </w:tc>
        <w:tc>
          <w:tcPr>
            <w:tcW w:w="1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Zoll-Normen, Mietwohnung hat beides</w:t>
            </w:r>
          </w:p>
        </w:tc>
        <w:tc>
          <w:tcPr>
            <w:tcW w:w="2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Kühlschrank 600–2.300 $, Herd 600–1.300 $</w:t>
            </w:r>
          </w:p>
        </w:tc>
      </w:tr>
      <w:tr>
        <w:trPr>
          <w:cantSplit w:val="true"/>
        </w:trPr>
        <w:tc>
          <w:tcPr>
            <w:tcW w:w="14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Wasserkocher, Toaster, Kaffeemaschine</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Verkaufen</w:t>
            </w:r>
          </w:p>
        </w:tc>
        <w:tc>
          <w:tcPr>
            <w:tcW w:w="1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Leistung bei 120 V nur ¼–½</w:t>
            </w:r>
          </w:p>
        </w:tc>
        <w:tc>
          <w:tcPr>
            <w:tcW w:w="2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Küchen-Grundausstattung 150–400 $</w:t>
            </w:r>
          </w:p>
        </w:tc>
      </w:tr>
      <w:tr>
        <w:trPr>
          <w:cantSplit w:val="true"/>
        </w:trPr>
        <w:tc>
          <w:tcPr>
            <w:tcW w:w="14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Töpfe, Messer, Geschirr</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Mitnehmen</w:t>
            </w:r>
          </w:p>
        </w:tc>
        <w:tc>
          <w:tcPr>
            <w:tcW w:w="1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Passen auf alle Herde, Qualität</w:t>
            </w:r>
          </w:p>
        </w:tc>
        <w:tc>
          <w:tcPr>
            <w:tcW w:w="2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 Basisteile 345–580 $</w:t>
            </w:r>
          </w:p>
        </w:tc>
      </w:tr>
      <w:tr>
        <w:trPr>
          <w:cantSplit w:val="true"/>
        </w:trPr>
        <w:tc>
          <w:tcPr>
            <w:tcW w:w="14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Fernseher</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Verkaufen</w:t>
            </w:r>
          </w:p>
        </w:tc>
        <w:tc>
          <w:tcPr>
            <w:tcW w:w="1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Tuner nutzlos, US-Geräte günstig</w:t>
            </w:r>
          </w:p>
        </w:tc>
        <w:tc>
          <w:tcPr>
            <w:tcW w:w="2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55 Zoll, 4K: etwa 200–300 $</w:t>
            </w:r>
          </w:p>
        </w:tc>
      </w:tr>
      <w:tr>
        <w:trPr>
          <w:cantSplit w:val="true"/>
        </w:trPr>
        <w:tc>
          <w:tcPr>
            <w:tcW w:w="14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Laptop, Handy, Tablet, Konsole</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Mitnehmen</w:t>
            </w:r>
          </w:p>
        </w:tc>
        <w:tc>
          <w:tcPr>
            <w:tcW w:w="1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Netzteile 100–240 V</w:t>
            </w:r>
          </w:p>
        </w:tc>
        <w:tc>
          <w:tcPr>
            <w:tcW w:w="2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Entfällt, Adapter genügt</w:t>
            </w:r>
          </w:p>
        </w:tc>
      </w:tr>
      <w:tr>
        <w:trPr>
          <w:cantSplit w:val="true"/>
        </w:trPr>
        <w:tc>
          <w:tcPr>
            <w:tcW w:w="14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Werkzeug</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Handwerkzeug mit, 230-V-Geräte verkaufen</w:t>
            </w:r>
          </w:p>
        </w:tc>
        <w:tc>
          <w:tcPr>
            <w:tcW w:w="1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Zoll statt metrisch</w:t>
            </w:r>
          </w:p>
        </w:tc>
        <w:tc>
          <w:tcPr>
            <w:tcW w:w="2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Baumarkt vor Ort</w:t>
            </w:r>
          </w:p>
        </w:tc>
      </w:tr>
      <w:tr>
        <w:trPr>
          <w:cantSplit w:val="true"/>
        </w:trPr>
        <w:tc>
          <w:tcPr>
            <w:tcW w:w="14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Fahrräder, Sport</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Hochwertiges mitnehmen</w:t>
            </w:r>
          </w:p>
        </w:tc>
        <w:tc>
          <w:tcPr>
            <w:tcW w:w="1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Eingefahren, schwer ersetzbar</w:t>
            </w:r>
          </w:p>
        </w:tc>
        <w:tc>
          <w:tcPr>
            <w:tcW w:w="2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Alltagsräder gebraucht über Marketplace</w:t>
            </w:r>
          </w:p>
        </w:tc>
      </w:tr>
      <w:tr>
        <w:trPr>
          <w:cantSplit w:val="true"/>
        </w:trPr>
        <w:tc>
          <w:tcPr>
            <w:tcW w:w="14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Bücher, Spielzeug</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Auswahl mitnehmen</w:t>
            </w:r>
          </w:p>
        </w:tc>
        <w:tc>
          <w:tcPr>
            <w:tcW w:w="1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Fracht 10–20 € je Karton</w:t>
            </w:r>
          </w:p>
        </w:tc>
        <w:tc>
          <w:tcPr>
            <w:tcW w:w="2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Bücher kaum ersetzbar</w:t>
            </w:r>
          </w:p>
        </w:tc>
      </w:tr>
      <w:tr>
        <w:trPr>
          <w:cantSplit w:val="true"/>
        </w:trPr>
        <w:tc>
          <w:tcPr>
            <w:tcW w:w="14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Kindersitze</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 kaufen</w:t>
            </w:r>
          </w:p>
        </w:tc>
        <w:tc>
          <w:tcPr>
            <w:tcW w:w="1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US-Norm FMVSS 213</w:t>
            </w:r>
          </w:p>
        </w:tc>
        <w:tc>
          <w:tcPr>
            <w:tcW w:w="2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 Ort im Fachhandel</w:t>
            </w:r>
          </w:p>
        </w:tc>
      </w:tr>
      <w:tr>
        <w:trPr>
          <w:cantSplit w:val="true"/>
        </w:trPr>
        <w:tc>
          <w:tcPr>
            <w:tcW w:w="14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Kunst, Erinnerungsstücke</w:t>
            </w:r>
          </w:p>
        </w:tc>
        <w:tc>
          <w:tcPr>
            <w:tcW w:w="12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Mitnehmen</w:t>
            </w:r>
          </w:p>
        </w:tc>
        <w:tc>
          <w:tcPr>
            <w:tcW w:w="18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Unersetzlich</w:t>
            </w:r>
          </w:p>
        </w:tc>
        <w:tc>
          <w:tcPr>
            <w:tcW w:w="2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ersetzbar, Versicherungswert festhalten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Erstausstattung: Budget und Kaufquellen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eine komplett neue Ausstattung nennen Ratgeber in mittlerer Qualität (Stand 2026) 5.000–8.000 $ für ein Studio, 7.000–12.000 $ für eine 1BR und 12.000–22.000 $ für eine 2BR (Zimmerzählung: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 Mit IKEA und Secondhand liegen die Kosten 40–60 % darunter. Die Spalte rechts ist daraus gerechnet:</w:t>
      </w:r>
    </w:p>
    <w:tbl>
      <w:tblPr>
        <w:tblW w:w="6480" w:type="dxa"/>
        <w:jc w:val="left"/>
        <w:tblInd w:w="0" w:type="dxa"/>
        <w:tblLayout w:type="fixed"/>
        <w:tblCellMar>
          <w:top w:w="50" w:type="dxa"/>
          <w:left w:w="80" w:type="dxa"/>
          <w:bottom w:w="50" w:type="dxa"/>
          <w:right w:w="80" w:type="dxa"/>
        </w:tblCellMar>
      </w:tblPr>
      <w:tblGrid>
        <w:gridCol w:w="1491"/>
        <w:gridCol w:w="2503"/>
        <w:gridCol w:w="2486"/>
      </w:tblGrid>
      <w:tr>
        <w:trPr>
          <w:tblHeader w:val="true"/>
          <w:cantSplit w:val="true"/>
        </w:trPr>
        <w:tc>
          <w:tcPr>
            <w:tcW w:w="149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Wohnung</w:t>
            </w:r>
          </w:p>
        </w:tc>
        <w:tc>
          <w:tcPr>
            <w:tcW w:w="250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Neumöbel, mittlere Qualität</w:t>
            </w:r>
          </w:p>
        </w:tc>
        <w:tc>
          <w:tcPr>
            <w:tcW w:w="248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Mit IKEA und Secondhand</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Studio</w:t>
            </w:r>
          </w:p>
        </w:tc>
        <w:tc>
          <w:tcPr>
            <w:tcW w:w="25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5.000–8.000 $</w:t>
            </w:r>
          </w:p>
        </w:tc>
        <w:tc>
          <w:tcPr>
            <w:tcW w:w="24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2.000–4.800 $</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Wohnung mit 1BR</w:t>
            </w:r>
          </w:p>
        </w:tc>
        <w:tc>
          <w:tcPr>
            <w:tcW w:w="25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7.000–12.000 $</w:t>
            </w:r>
          </w:p>
        </w:tc>
        <w:tc>
          <w:tcPr>
            <w:tcW w:w="24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2.800–7.200 $</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Wohnung mit 2BR</w:t>
            </w:r>
          </w:p>
        </w:tc>
        <w:tc>
          <w:tcPr>
            <w:tcW w:w="25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12.000–22.000 $</w:t>
            </w:r>
          </w:p>
        </w:tc>
        <w:tc>
          <w:tcPr>
            <w:tcW w:w="24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4.800–13.200 $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Je Raum (mittlere Qualität) rechnest du mit 3.800–5.700 $ fürs Wohnzimmer, 1.900–2.600 $ fürs Esszimmer und 2.700–4.100 $ fürs Schlafzimmer. Eine abgespeckte Variante mit reinen Essentials für eine 1BR kostet neu 2.500–5.000 $. Die Zahlen stammen aus Ratgebertexten mit uneinheitlicher Methode; nimm sie als Spanne. Geräte sind wegen der Zölle um 15–19 % teurer geworden. Preisschilder zeigen den Preis ohne Verkaufssteuer (</w:t>
      </w:r>
      <w:r>
        <w:rPr>
          <w:rFonts w:eastAsia="Cambria" w:cs="Cambria"/>
          <w:b w:val="false"/>
          <w:bCs w:val="false"/>
          <w:i/>
          <w:iCs/>
          <w:sz w:val="22"/>
          <w:szCs w:val="22"/>
        </w:rPr>
        <w:t>Sales Tax</w:t>
      </w:r>
      <w:r>
        <w:rPr>
          <w:rFonts w:eastAsia="Cambria" w:cs="Cambria"/>
          <w:b w:val="false"/>
          <w:bCs w:val="false"/>
          <w:i w:val="false"/>
          <w:iCs w:val="false"/>
          <w:sz w:val="22"/>
          <w:szCs w:val="22"/>
        </w:rPr>
        <w:t>), die erst an der Kasse dazukommt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In den ersten Wochen zahlst du meist sofort: Ratenkauf und Händlerkarten setzen oft einen Credit Score voraus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 also plane das Budget als Guthaben auf Konto und Karte ein.</w:t>
      </w:r>
    </w:p>
    <w:tbl>
      <w:tblPr>
        <w:tblW w:w="6480" w:type="dxa"/>
        <w:jc w:val="left"/>
        <w:tblInd w:w="0" w:type="dxa"/>
        <w:tblLayout w:type="fixed"/>
        <w:tblCellMar>
          <w:top w:w="50" w:type="dxa"/>
          <w:left w:w="80" w:type="dxa"/>
          <w:bottom w:w="50" w:type="dxa"/>
          <w:right w:w="80" w:type="dxa"/>
        </w:tblCellMar>
      </w:tblPr>
      <w:tblGrid>
        <w:gridCol w:w="1218"/>
        <w:gridCol w:w="2294"/>
        <w:gridCol w:w="2968"/>
      </w:tblGrid>
      <w:tr>
        <w:trPr>
          <w:tblHeader w:val="true"/>
          <w:cantSplit w:val="true"/>
        </w:trPr>
        <w:tc>
          <w:tcPr>
            <w:tcW w:w="121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Quelle</w:t>
            </w:r>
          </w:p>
        </w:tc>
        <w:tc>
          <w:tcPr>
            <w:tcW w:w="229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Wofür</w:t>
            </w:r>
          </w:p>
        </w:tc>
        <w:tc>
          <w:tcPr>
            <w:tcW w:w="296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Hinweis</w:t>
            </w:r>
          </w:p>
        </w:tc>
      </w:tr>
      <w:tr>
        <w:trPr>
          <w:cantSplit w:val="true"/>
        </w:trPr>
        <w:tc>
          <w:tcPr>
            <w:tcW w:w="12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IKEA</w:t>
            </w:r>
          </w:p>
        </w:tc>
        <w:tc>
          <w:tcPr>
            <w:tcW w:w="22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Betten, Regale, Kommoden, Küchenzubehör</w:t>
            </w:r>
          </w:p>
        </w:tc>
        <w:tc>
          <w:tcPr>
            <w:tcW w:w="29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Lieferung ab 5 $ (klein) bzw. 49 $ (groß), Montage über Taskrabbit ab 52 $ (IKEA-Angaben)</w:t>
            </w:r>
          </w:p>
        </w:tc>
      </w:tr>
      <w:tr>
        <w:trPr>
          <w:cantSplit w:val="true"/>
        </w:trPr>
        <w:tc>
          <w:tcPr>
            <w:tcW w:w="12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Costco</w:t>
            </w:r>
          </w:p>
        </w:tc>
        <w:tc>
          <w:tcPr>
            <w:tcW w:w="22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Sofas, Matratzen, Geräte, Großpackungen</w:t>
            </w:r>
          </w:p>
        </w:tc>
        <w:tc>
          <w:tcPr>
            <w:tcW w:w="29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Mitgliedschaft 65 $ (Gold Star) oder 130 $ (Executive) im Jahr; kulante Rückgabe</w:t>
            </w:r>
          </w:p>
        </w:tc>
      </w:tr>
      <w:tr>
        <w:trPr>
          <w:cantSplit w:val="true"/>
        </w:trPr>
        <w:tc>
          <w:tcPr>
            <w:tcW w:w="12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Target, Wayfair</w:t>
            </w:r>
          </w:p>
        </w:tc>
        <w:tc>
          <w:tcPr>
            <w:tcW w:w="22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Bettwäsche, Küche, Kleinmöbel; Online-Möbel</w:t>
            </w:r>
          </w:p>
        </w:tc>
        <w:tc>
          <w:tcPr>
            <w:tcW w:w="29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Lieferzeit und Rückgabe vorher prüfen</w:t>
            </w:r>
          </w:p>
        </w:tc>
      </w:tr>
      <w:tr>
        <w:trPr>
          <w:cantSplit w:val="true"/>
        </w:trPr>
        <w:tc>
          <w:tcPr>
            <w:tcW w:w="12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Amazon</w:t>
            </w:r>
          </w:p>
        </w:tc>
        <w:tc>
          <w:tcPr>
            <w:tcW w:w="22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Adapter, Leuchtmittel, Steckdosenleisten</w:t>
            </w:r>
          </w:p>
        </w:tc>
        <w:tc>
          <w:tcPr>
            <w:tcW w:w="29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Preise vergleichen</w:t>
            </w:r>
          </w:p>
        </w:tc>
      </w:tr>
      <w:tr>
        <w:trPr>
          <w:cantSplit w:val="true"/>
        </w:trPr>
        <w:tc>
          <w:tcPr>
            <w:tcW w:w="12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Facebook Marketplace, Craigslist</w:t>
            </w:r>
          </w:p>
        </w:tc>
        <w:tc>
          <w:tcPr>
            <w:tcW w:w="22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Möbel, Geräte, Sportartikel gebraucht</w:t>
            </w:r>
          </w:p>
        </w:tc>
        <w:tc>
          <w:tcPr>
            <w:tcW w:w="29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Selbst abholen; öffentlicher Treffpunkt</w:t>
            </w:r>
          </w:p>
        </w:tc>
      </w:tr>
      <w:tr>
        <w:trPr>
          <w:cantSplit w:val="true"/>
        </w:trPr>
        <w:tc>
          <w:tcPr>
            <w:tcW w:w="12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Goodwill, Habitat ReStore</w:t>
            </w:r>
          </w:p>
        </w:tc>
        <w:tc>
          <w:tcPr>
            <w:tcW w:w="22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Geschirr, Töpfe, Möbel, Baumaterial</w:t>
            </w:r>
          </w:p>
        </w:tc>
        <w:tc>
          <w:tcPr>
            <w:tcW w:w="29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Läden gemeinnütziger Organisationen; Bestand wechselt</w:t>
            </w:r>
          </w:p>
        </w:tc>
      </w:tr>
      <w:tr>
        <w:trPr>
          <w:cantSplit w:val="true"/>
        </w:trPr>
        <w:tc>
          <w:tcPr>
            <w:tcW w:w="12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Estate Sales</w:t>
            </w:r>
          </w:p>
        </w:tc>
        <w:tc>
          <w:tcPr>
            <w:tcW w:w="22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Möbel, Hausrat, Kunst</w:t>
            </w:r>
          </w:p>
        </w:tc>
        <w:tc>
          <w:tcPr>
            <w:tcW w:w="29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Haushaltsauflösungen; Rabatte steigen im Verlauf</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Gebrauchtmöbel aus den USA gelten hierzulande oft als Resterampe. Auf Estate Sales wechseln tatsächlich häufig hochwertige, kaum genutzte Stücke den Besitzer – weil ganze Haushalte auf einen Schlag aufgelöst werden, nicht weil jemand ausgemustert hat, was nichts mehr taugte.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Auf Estate Sales gilt: Am ersten Tag zahlst du volle Preise, häufig folgen 25 % Rabatt am zweiten und 50 % am letzten Tag (Ablauf je Veranstalter). Möbel gehen dort nach Ratgeberangaben oft für 20–40 % des Neupreises weg; auf Marketplace gilt ein Preis von mehr als der Hälfte unter Neupreis als gutes Angebot. Beides schwankt stark nach Zustand und Marke.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Verteile große Anschaffungen. Ratgeber empfehlen Sales im Januar und September; Matratzen und Möbel sind an US-Feiertagswochenenden (Presidents’ Day, Memorial Day, Labor Day, Black Friday) häufig reduziert. Kaufe in den ersten Wochen nur, was du täglich brauchst, und beobachte vier bis sechs Wochen, was fehlt.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Prüfe gebrauchte Kinderprodukte (Betten, Hochstühle, Laufställe) vor dem Kauf auf Rückrufe bei der Verbraucherschutzbehörde CPSC (cpsc.gov/recalls). Bei Marketplace-Käufen triffst du Verkäufer an öffentlichen Orten und zahlst erst bei der Übergabe.</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 zieht in ein Reihenhaus bei Detroit. Der ganze Hausrat würde einen 20-ft-Container füllen: 4.000–7.500 € plus US-Zustellung. Betten, Lattenroste, Waschmaschine und Wasserkocher wären in den USA ohnehin unbrauchbar. Also bucht Anna eine Sammelladung von etwa 10 m³ für rund 2.800 €: 60 Kartons mit Büchern, deutschen Kinderbüchern, Küchenmessern, Gusspfannen, Winterjacken, Lego und Erinnerungskisten, dazu vier Fahrräder und die Kommode von Annas Großmutter. Sofa, Esstisch, Betten und Geräte gehen über Kleinanzeigen weg. Vor Ort kaufen sie für rund 8.200 $ ein: Sofa bei Costco 1.300 $, Esstisch 700 $, Betten und Matratzen für vier Personen 2.000 $, Waschmaschine und Trockner 1.300 $, Regale, Kommoden, Fernseher und Kleinkram 2.900 $. Am ersten Samstag steht die ganze Familie eine Stunde vor der Sofa-Wand bei Costco, bis die Entscheidung fällt. Die Betten bestellen sie in der ersten Woche, den Rest in Etappen.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Packliste für die ersten zwei Wochen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Bis die Sammelladung ankommt, vergehen nach Portalangaben vier bis zwölf Wochen Tür zu Tür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Die Handgepäckliste für den Landetag steht in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 Hier geht es um die Zeit danach.</w:t>
      </w:r>
    </w:p>
    <w:p>
      <w:pPr>
        <w:pStyle w:val="Normal"/>
        <w:keepNext w:val="false"/>
        <w:keepLines w:val="false"/>
        <w:spacing w:lineRule="exact" w:line="288" w:before="0" w:after="140"/>
        <w:jc w:val="left"/>
        <w:rPr/>
      </w:pPr>
      <w:r>
        <w:rPr>
          <w:rFonts w:eastAsia="Cambria" w:cs="Cambria"/>
          <w:b/>
          <w:bCs/>
          <w:i w:val="false"/>
          <w:iCs w:val="false"/>
          <w:sz w:val="22"/>
          <w:szCs w:val="22"/>
        </w:rPr>
        <w:t>Im Koffer, pro Person:</w:t>
      </w:r>
    </w:p>
    <w:p>
      <w:pPr>
        <w:pStyle w:val="ListParagraph"/>
        <w:numPr>
          <w:ilvl w:val="0"/>
          <w:numId w:val="1"/>
        </w:numPr>
        <w:spacing w:lineRule="exact" w:line="288" w:before="0" w:after="60"/>
        <w:rPr/>
      </w:pPr>
      <w:r>
        <w:rPr>
          <w:rFonts w:eastAsia="Cambria" w:cs="Cambria"/>
          <w:b w:val="false"/>
          <w:bCs w:val="false"/>
          <w:i w:val="false"/>
          <w:iCs w:val="false"/>
          <w:sz w:val="22"/>
          <w:szCs w:val="22"/>
        </w:rPr>
        <w:t>Kleidung für 10 bis 14 Tage im Schichtenprinzip, passend zum Wetter am Zielort (Kapitel </w:t>
      </w:r>
      <w:hyperlink w:anchor="k34">
        <w:r>
          <w:rPr>
            <w:rStyle w:val="ListLabel115"/>
            <w:rFonts w:eastAsia="Cambria" w:cs="Cambria"/>
            <w:b w:val="false"/>
            <w:bCs w:val="false"/>
            <w:i w:val="false"/>
            <w:iCs w:val="false"/>
            <w:sz w:val="22"/>
            <w:szCs w:val="22"/>
          </w:rPr>
          <w:t>34</w:t>
        </w:r>
      </w:hyperlink>
      <w:r>
        <w:rPr>
          <w:rFonts w:eastAsia="Cambria" w:cs="Cambria"/>
          <w:b w:val="false"/>
          <w:bCs w:val="false"/>
          <w:i w:val="false"/>
          <w:iCs w:val="false"/>
          <w:sz w:val="22"/>
          <w:szCs w:val="22"/>
        </w:rPr>
        <w:t>), dazu ein bis zwei Business-Outfits für den Start</w:t>
      </w:r>
    </w:p>
    <w:p>
      <w:pPr>
        <w:pStyle w:val="ListParagraph"/>
        <w:numPr>
          <w:ilvl w:val="0"/>
          <w:numId w:val="1"/>
        </w:numPr>
        <w:spacing w:lineRule="exact" w:line="288" w:before="0" w:after="60"/>
        <w:rPr/>
      </w:pPr>
      <w:r>
        <w:rPr>
          <w:rFonts w:eastAsia="Cambria" w:cs="Cambria"/>
          <w:b w:val="false"/>
          <w:bCs w:val="false"/>
          <w:i w:val="false"/>
          <w:iCs w:val="false"/>
          <w:sz w:val="22"/>
          <w:szCs w:val="22"/>
        </w:rPr>
        <w:t>ein bequemes und ein gutes Paar Schuhe</w:t>
      </w:r>
    </w:p>
    <w:p>
      <w:pPr>
        <w:pStyle w:val="ListParagraph"/>
        <w:numPr>
          <w:ilvl w:val="0"/>
          <w:numId w:val="1"/>
        </w:numPr>
        <w:spacing w:lineRule="exact" w:line="288" w:before="0" w:after="60"/>
        <w:rPr/>
      </w:pPr>
      <w:r>
        <w:rPr>
          <w:rFonts w:eastAsia="Cambria" w:cs="Cambria"/>
          <w:b w:val="false"/>
          <w:bCs w:val="false"/>
          <w:i w:val="false"/>
          <w:iCs w:val="false"/>
          <w:sz w:val="22"/>
          <w:szCs w:val="22"/>
        </w:rPr>
        <w:t>Reiseapotheke und Dauermedikamente in Originalverpackung mit Rezept</w:t>
      </w:r>
    </w:p>
    <w:p>
      <w:pPr>
        <w:pStyle w:val="ListParagraph"/>
        <w:numPr>
          <w:ilvl w:val="0"/>
          <w:numId w:val="1"/>
        </w:numPr>
        <w:spacing w:lineRule="exact" w:line="288" w:before="0" w:after="60"/>
        <w:rPr/>
      </w:pPr>
      <w:r>
        <w:rPr>
          <w:rFonts w:eastAsia="Cambria" w:cs="Cambria"/>
          <w:b w:val="false"/>
          <w:bCs w:val="false"/>
          <w:i w:val="false"/>
          <w:iCs w:val="false"/>
          <w:sz w:val="22"/>
          <w:szCs w:val="22"/>
        </w:rPr>
        <w:t>Ladegeräte und zwei bis drei Adapter für US-Steckdosen (Typ A/B)</w:t>
      </w:r>
    </w:p>
    <w:p>
      <w:pPr>
        <w:pStyle w:val="ListParagraph"/>
        <w:numPr>
          <w:ilvl w:val="0"/>
          <w:numId w:val="1"/>
        </w:numPr>
        <w:spacing w:lineRule="exact" w:line="288" w:before="0" w:after="60"/>
        <w:rPr/>
      </w:pPr>
      <w:r>
        <w:rPr>
          <w:rFonts w:eastAsia="Cambria" w:cs="Cambria"/>
          <w:b w:val="false"/>
          <w:bCs w:val="false"/>
          <w:i w:val="false"/>
          <w:iCs w:val="false"/>
          <w:sz w:val="22"/>
          <w:szCs w:val="22"/>
        </w:rPr>
        <w:t>ein Handtuch, bei Kindern Kuscheltier, Bücher und Spiele</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Für eine noch leere Wohnung:</w:t>
      </w:r>
    </w:p>
    <w:p>
      <w:pPr>
        <w:pStyle w:val="ListParagraph"/>
        <w:numPr>
          <w:ilvl w:val="0"/>
          <w:numId w:val="1"/>
        </w:numPr>
        <w:spacing w:lineRule="exact" w:line="288" w:before="0" w:after="60"/>
        <w:rPr/>
      </w:pPr>
      <w:r>
        <w:rPr>
          <w:rFonts w:eastAsia="Cambria" w:cs="Cambria"/>
          <w:b w:val="false"/>
          <w:bCs w:val="false"/>
          <w:i w:val="false"/>
          <w:iCs w:val="false"/>
          <w:sz w:val="22"/>
          <w:szCs w:val="22"/>
        </w:rPr>
        <w:t>Schlafsack und Isomatte aus dem Outdoor-Bestand oder eine Luftmatratze, die du vor Ort kaufst</w:t>
      </w:r>
    </w:p>
    <w:p>
      <w:pPr>
        <w:pStyle w:val="ListParagraph"/>
        <w:numPr>
          <w:ilvl w:val="0"/>
          <w:numId w:val="1"/>
        </w:numPr>
        <w:spacing w:lineRule="exact" w:line="288" w:before="0" w:after="60"/>
        <w:rPr/>
      </w:pPr>
      <w:r>
        <w:rPr>
          <w:rFonts w:eastAsia="Cambria" w:cs="Cambria"/>
          <w:b w:val="false"/>
          <w:bCs w:val="false"/>
          <w:i w:val="false"/>
          <w:iCs w:val="false"/>
          <w:sz w:val="22"/>
          <w:szCs w:val="22"/>
        </w:rPr>
        <w:t>ein Basisset für die Küche: Topf, Pfanne, Messer, Teller, Besteck für jede Person</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Beim möblierten Wohnen auf Zeit fragst du vorab nach Bettwäsche und Geschirr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In den ersten Tagen vor Ort kaufen:</w:t>
      </w:r>
    </w:p>
    <w:p>
      <w:pPr>
        <w:pStyle w:val="ListParagraph"/>
        <w:numPr>
          <w:ilvl w:val="0"/>
          <w:numId w:val="1"/>
        </w:numPr>
        <w:spacing w:lineRule="exact" w:line="288" w:before="0" w:after="60"/>
        <w:rPr/>
      </w:pPr>
      <w:r>
        <w:rPr>
          <w:rFonts w:eastAsia="Cambria" w:cs="Cambria"/>
          <w:b w:val="false"/>
          <w:bCs w:val="false"/>
          <w:i w:val="false"/>
          <w:iCs w:val="false"/>
          <w:sz w:val="22"/>
          <w:szCs w:val="22"/>
        </w:rPr>
        <w:t>Bettwäsche in US-Größe, Kissen, Decken, Handtücher</w:t>
      </w:r>
    </w:p>
    <w:p>
      <w:pPr>
        <w:pStyle w:val="ListParagraph"/>
        <w:numPr>
          <w:ilvl w:val="0"/>
          <w:numId w:val="1"/>
        </w:numPr>
        <w:spacing w:lineRule="exact" w:line="288" w:before="0" w:after="60"/>
        <w:rPr/>
      </w:pPr>
      <w:r>
        <w:rPr>
          <w:rFonts w:eastAsia="Cambria" w:cs="Cambria"/>
          <w:b w:val="false"/>
          <w:bCs w:val="false"/>
          <w:i w:val="false"/>
          <w:iCs w:val="false"/>
          <w:sz w:val="22"/>
          <w:szCs w:val="22"/>
        </w:rPr>
        <w:t>Toilettenpapier, Müllbeutel, Spülmittel, Putzzeug, Leuchtmittel</w:t>
      </w:r>
    </w:p>
    <w:p>
      <w:pPr>
        <w:pStyle w:val="ListParagraph"/>
        <w:numPr>
          <w:ilvl w:val="0"/>
          <w:numId w:val="1"/>
        </w:numPr>
        <w:spacing w:lineRule="exact" w:line="288" w:before="0" w:after="60"/>
        <w:rPr/>
      </w:pPr>
      <w:r>
        <w:rPr>
          <w:rFonts w:eastAsia="Cambria" w:cs="Cambria"/>
          <w:b w:val="false"/>
          <w:bCs w:val="false"/>
          <w:i w:val="false"/>
          <w:iCs w:val="false"/>
          <w:sz w:val="22"/>
          <w:szCs w:val="22"/>
        </w:rPr>
        <w:t>Steckdosenleiste mit Überspannungsschutz</w:t>
      </w:r>
    </w:p>
    <w:p>
      <w:pPr>
        <w:pStyle w:val="ListParagraph"/>
        <w:numPr>
          <w:ilvl w:val="0"/>
          <w:numId w:val="1"/>
        </w:numPr>
        <w:spacing w:lineRule="exact" w:line="288" w:before="0" w:after="60"/>
        <w:rPr/>
      </w:pPr>
      <w:r>
        <w:rPr>
          <w:rFonts w:eastAsia="Cambria" w:cs="Cambria"/>
          <w:b w:val="false"/>
          <w:bCs w:val="false"/>
          <w:i w:val="false"/>
          <w:iCs w:val="false"/>
          <w:sz w:val="22"/>
          <w:szCs w:val="22"/>
        </w:rPr>
        <w:t>Wasserkocher oder Kaffeemaschine für 120 V</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Was dir nach zwei Wochen fehlt, bestellst du besser vor Ort als aus Deutschland: Ein 20-kg-Paket per DHL kostet 142,99 € bei 6–12 Werktagen Laufzeit (Stand September 2026,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Es ist die Notlösung, nicht der Plan.</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Bilanz gilt für den schlanken Umzug: wenig mitnehmen, vieles vor Ort neu kaufen.</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Weniger Fracht und weniger Zollpapier (Kapitel </w:t>
            </w:r>
            <w:hyperlink w:anchor="k20">
              <w:r>
                <w:rPr>
                  <w:rStyle w:val="ListLabel112"/>
                  <w:rFonts w:eastAsia="Cambria" w:cs="Cambria"/>
                  <w:b w:val="false"/>
                  <w:bCs w:val="false"/>
                  <w:i w:val="false"/>
                  <w:iCs w:val="false"/>
                  <w:sz w:val="18"/>
                  <w:szCs w:val="18"/>
                </w:rPr>
                <w:t>20</w:t>
              </w:r>
            </w:hyperlink>
            <w:r>
              <w:rPr>
                <w:rFonts w:eastAsia="Cambria" w:cs="Cambria"/>
                <w:b w:val="false"/>
                <w:bCs w:val="false"/>
                <w:i w:val="false"/>
                <w:iCs w:val="false"/>
                <w:sz w:val="18"/>
                <w:szCs w:val="18"/>
              </w:rPr>
              <w: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Hohe Ausgaben in den ersten Wochen, oft mehrere tausend Dollar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Alles passt zu Strom, Normen und Grundriss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Zeit und Nerven für Einkauf, Lieferung und Aufbau</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 Verkauf entrümpelt und bringt etwas Geld</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 Erlös liegt meist weit unter dem Neupreis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Ausstattung passt zur US-Wohnung mit Closets und Geräten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Vertrautes fehlt am Anfang und kann das Ankommen erschweren (Kapitel </w:t>
            </w:r>
            <w:hyperlink w:anchor="k33">
              <w:r>
                <w:rPr>
                  <w:rStyle w:val="ListLabel112"/>
                  <w:rFonts w:eastAsia="Cambria" w:cs="Cambria"/>
                  <w:b w:val="false"/>
                  <w:bCs w:val="false"/>
                  <w:i w:val="false"/>
                  <w:iCs w:val="false"/>
                  <w:sz w:val="18"/>
                  <w:szCs w:val="18"/>
                </w:rPr>
                <w:t>33</w:t>
              </w:r>
            </w:hyperlink>
            <w:r>
              <w:rPr>
                <w:rFonts w:eastAsia="Cambria" w:cs="Cambria"/>
                <w:b w:val="false"/>
                <w:bCs w:val="false"/>
                <w:i w:val="false"/>
                <w:iCs w:val="false"/>
                <w:sz w:val="18"/>
                <w:szCs w:val="18"/>
              </w:rPr>
              <w: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späterer Umzug im Land bleibt leicht (Kapitel </w:t>
            </w:r>
            <w:hyperlink w:anchor="k30">
              <w:r>
                <w:rPr>
                  <w:rStyle w:val="ListLabel112"/>
                  <w:rFonts w:eastAsia="Cambria" w:cs="Cambria"/>
                  <w:b w:val="false"/>
                  <w:bCs w:val="false"/>
                  <w:i w:val="false"/>
                  <w:iCs w:val="false"/>
                  <w:sz w:val="18"/>
                  <w:szCs w:val="18"/>
                </w:rPr>
                <w:t>30</w:t>
              </w:r>
            </w:hyperlink>
            <w:r>
              <w:rPr>
                <w:rFonts w:eastAsia="Cambria" w:cs="Cambria"/>
                <w:b w:val="false"/>
                <w:bCs w:val="false"/>
                <w:i w:val="false"/>
                <w:iCs w:val="false"/>
                <w:sz w:val="18"/>
                <w:szCs w:val="18"/>
              </w:rPr>
              <w: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Geräte und Möbel sind durch Zölle teurer geworden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Lege ein Inventar an (Gegenstand, Maße, Eingangsspannung, Wert, Entscheidung) und sortiere in drei Stapel: mitnehmen, verkaufen, in den USA kaufen. Hole für das Mitnahmevolumen Angebote ein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lege den Verkaufszeitraum in deinen Zeitplan (Kapitel </w:t>
      </w:r>
      <w:hyperlink w:anchor="k15">
        <w:r>
          <w:rPr>
            <w:rStyle w:val="ListLabel115"/>
            <w:rFonts w:eastAsia="Cambria" w:cs="Cambria"/>
            <w:b w:val="false"/>
            <w:bCs w:val="false"/>
            <w:i w:val="false"/>
            <w:iCs w:val="false"/>
            <w:sz w:val="22"/>
            <w:szCs w:val="22"/>
          </w:rPr>
          <w:t>15</w:t>
        </w:r>
      </w:hyperlink>
      <w:r>
        <w:rPr>
          <w:rFonts w:eastAsia="Cambria" w:cs="Cambria"/>
          <w:b w:val="false"/>
          <w:bCs w:val="false"/>
          <w:i w:val="false"/>
          <w:iCs w:val="false"/>
          <w:sz w:val="22"/>
          <w:szCs w:val="22"/>
        </w:rPr>
        <w:t>) und setze ein Budget für die Erstausstattung fest. Frage außerdem deinen Arbeitgeber, ob er dafür im Relocation-Paket etwas übernimmt.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Inventar aller Räume anlegen: Gegenstand, Maße, Eingangsspannung laut Typenschild, Wert, Entscheidung</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Jeden Gegenstand einsortieren: mitnehmen, verkaufen oder in den USA neu kaufen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Nur mitnehmen, was ohne Umbau funktioniert und seit mindestens einem Jahr in Gebrauch ist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Türen, Deckenhöhe und Grundriss der US-Wohnung mit den Möbelmaßen vergleichen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Betten, Matratzen, Lattenroste und Spannbetttücher nicht mitnehmen (US-Größen)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Verkaufen, Verschenken und Spenden acht bis zwölf Wochen vor dem Abflug starten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Erstausstattungsbudget festlegen und Zahlungsmittel für die ersten Käufe klären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Kindersitze nach US-Norm vor Ort einplanen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älteren Handys die US-Netzbänder prüfen und den SIM-Lock aufheben lassen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Koffer für die ersten zwei Wochen packen und Wertsachen ins Handgepäck legen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CBP (Zoll- und Grenzschutzbehörde) — Umzugsgut und Formular 3299: </w:t>
      </w:r>
      <w:hyperlink r:id="rId204">
        <w:r>
          <w:rPr>
            <w:rStyle w:val="ListLabel113"/>
            <w:rFonts w:eastAsia="Cambria" w:cs="Cambria"/>
            <w:b w:val="false"/>
            <w:bCs w:val="false"/>
            <w:i w:val="false"/>
            <w:iCs w:val="false"/>
            <w:color w:val="0563C1"/>
            <w:sz w:val="22"/>
            <w:szCs w:val="22"/>
            <w:u w:val="single"/>
          </w:rPr>
          <w:t>cbp.gov</w:t>
        </w:r>
      </w:hyperlink>
      <w:r>
        <w:rPr>
          <w:rFonts w:eastAsia="Cambria" w:cs="Cambria"/>
          <w:b w:val="false"/>
          <w:bCs w:val="false"/>
          <w:i w:val="false"/>
          <w:iCs w:val="false"/>
          <w:sz w:val="22"/>
          <w:szCs w:val="22"/>
        </w:rPr>
        <w:t xml:space="preserve"> (Suche „household effects“)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Bundesvorschrift zum zollfreien Umzugsgut, 19 CFR § 148.52: </w:t>
      </w:r>
      <w:hyperlink r:id="rId205">
        <w:r>
          <w:rPr>
            <w:rStyle w:val="ListLabel113"/>
            <w:rFonts w:eastAsia="Cambria" w:cs="Cambria"/>
            <w:b w:val="false"/>
            <w:bCs w:val="false"/>
            <w:i w:val="false"/>
            <w:iCs w:val="false"/>
            <w:color w:val="0563C1"/>
            <w:sz w:val="22"/>
            <w:szCs w:val="22"/>
            <w:u w:val="single"/>
          </w:rPr>
          <w:t>ecfr.gov</w:t>
        </w:r>
      </w:hyperlink>
      <w:r>
        <w:rPr>
          <w:rFonts w:eastAsia="Cambria" w:cs="Cambria"/>
          <w:b w:val="false"/>
          <w:bCs w:val="false"/>
          <w:i w:val="false"/>
          <w:iCs w:val="false"/>
          <w:sz w:val="22"/>
          <w:szCs w:val="22"/>
        </w:rPr>
        <w:t xml:space="preserve"> (Suche „19 CFR 148.52“)</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Federal Register — Section-232-Zölle auf Holzprodukte, Polstermöbel und Schränke: </w:t>
      </w:r>
      <w:hyperlink r:id="rId206">
        <w:r>
          <w:rPr>
            <w:rStyle w:val="ListLabel113"/>
            <w:rFonts w:eastAsia="Cambria" w:cs="Cambria"/>
            <w:b w:val="false"/>
            <w:bCs w:val="false"/>
            <w:i w:val="false"/>
            <w:iCs w:val="false"/>
            <w:color w:val="0563C1"/>
            <w:sz w:val="22"/>
            <w:szCs w:val="22"/>
            <w:u w:val="single"/>
          </w:rPr>
          <w:t>federalregister.gov</w:t>
        </w:r>
      </w:hyperlink>
      <w:r>
        <w:rPr>
          <w:rFonts w:eastAsia="Cambria" w:cs="Cambria"/>
          <w:b w:val="false"/>
          <w:bCs w:val="false"/>
          <w:i w:val="false"/>
          <w:iCs w:val="false"/>
          <w:sz w:val="22"/>
          <w:szCs w:val="22"/>
        </w:rPr>
        <w:t xml:space="preserve"> (Suche „Timber, Lumber, and Their Derivative Products“)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NHTSA (Verkehrssicherheitsbehörde) — Kindersitze in den USA: </w:t>
      </w:r>
      <w:hyperlink r:id="rId207">
        <w:r>
          <w:rPr>
            <w:rStyle w:val="ListLabel113"/>
            <w:rFonts w:eastAsia="Cambria" w:cs="Cambria"/>
            <w:b w:val="false"/>
            <w:bCs w:val="false"/>
            <w:i w:val="false"/>
            <w:iCs w:val="false"/>
            <w:color w:val="0563C1"/>
            <w:sz w:val="22"/>
            <w:szCs w:val="22"/>
            <w:u w:val="single"/>
          </w:rPr>
          <w:t>nhtsa.gov/vehicle-safety/car-seats-and-booster-seats</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CPSC (Verbraucherschutzbehörde für Produktsicherheit) — Rückrufe: </w:t>
      </w:r>
      <w:hyperlink r:id="rId208">
        <w:r>
          <w:rPr>
            <w:rStyle w:val="ListLabel113"/>
            <w:rFonts w:eastAsia="Cambria" w:cs="Cambria"/>
            <w:b w:val="false"/>
            <w:bCs w:val="false"/>
            <w:i w:val="false"/>
            <w:iCs w:val="false"/>
            <w:color w:val="0563C1"/>
            <w:sz w:val="22"/>
            <w:szCs w:val="22"/>
            <w:u w:val="single"/>
          </w:rPr>
          <w:t>cpsc.gov/recalls</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IEC — Steckertypen und Netzspannung nach Land: </w:t>
      </w:r>
      <w:hyperlink r:id="rId209">
        <w:r>
          <w:rPr>
            <w:rStyle w:val="ListLabel113"/>
            <w:rFonts w:eastAsia="Cambria" w:cs="Cambria"/>
            <w:b w:val="false"/>
            <w:bCs w:val="false"/>
            <w:i w:val="false"/>
            <w:iCs w:val="false"/>
            <w:color w:val="0563C1"/>
            <w:sz w:val="22"/>
            <w:szCs w:val="22"/>
            <w:u w:val="single"/>
          </w:rPr>
          <w:t>iec.ch/world-plugs</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Deutscher Zoll — Umzug und Ausfuhr: </w:t>
      </w:r>
      <w:hyperlink r:id="rId210">
        <w:r>
          <w:rPr>
            <w:rStyle w:val="ListLabel113"/>
            <w:rFonts w:eastAsia="Cambria" w:cs="Cambria"/>
            <w:b w:val="false"/>
            <w:bCs w:val="false"/>
            <w:i w:val="false"/>
            <w:iCs w:val="false"/>
            <w:color w:val="0563C1"/>
            <w:sz w:val="22"/>
            <w:szCs w:val="22"/>
            <w:u w:val="single"/>
          </w:rPr>
          <w:t>zoll.de</w:t>
        </w:r>
      </w:hyperlink>
      <w:r>
        <w:rPr>
          <w:rFonts w:eastAsia="Cambria" w:cs="Cambria"/>
          <w:b w:val="false"/>
          <w:bCs w:val="false"/>
          <w:i w:val="false"/>
          <w:iCs w:val="false"/>
          <w:sz w:val="22"/>
          <w:szCs w:val="22"/>
        </w:rPr>
        <w:t xml:space="preserve"> (Suche „Umzugsgut“)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schnell: Zölle (Section 232 und 301; die Erhöhung für Möbel ist auf den 1. Januar 2027 verschoben), Preise für Möbel, Geräte und Fracht, IKEA-Liefer- und Montagepreise, Costco-Mitgliedsbeiträge und DHL-Paketpreise. Die Preisspannen stammen aus Ratgeber- und Anbietertexten und dienen der Orientierung. Prüfe vor jeder Entscheidung die Preise an deinem Zielort und die offiziellen Seiten zu Zoll und Kindersitzen.</w:t>
            </w:r>
          </w:p>
        </w:tc>
      </w:tr>
    </w:tbl>
    <w:p>
      <w:pPr>
        <w:pStyle w:val="Normal"/>
        <w:spacing w:lineRule="exact" w:line="220" w:before="0" w:after="0"/>
        <w:rPr/>
      </w:pPr>
      <w:r>
        <w:rPr/>
      </w:r>
      <w:r>
        <w:br w:type="page"/>
      </w:r>
    </w:p>
    <w:p>
      <w:pPr>
        <w:pStyle w:val="Heading2"/>
        <w:keepNext w:val="true"/>
        <w:spacing w:before="0" w:after="300"/>
        <w:jc w:val="center"/>
        <w:rPr/>
      </w:pPr>
      <w:bookmarkStart w:id="56" w:name="__RefHeading___Toc56479_3769931028"/>
      <w:bookmarkStart w:id="57" w:name="k22"/>
      <w:bookmarkEnd w:id="56"/>
      <w:r>
        <w:rPr>
          <w:rFonts w:eastAsia="Amazon Ember" w:cs="Amazon Ember" w:ascii="Amazon Ember" w:hAnsi="Amazon Ember"/>
          <w:b/>
          <w:bCs/>
          <w:color w:val="0000FF"/>
          <w:sz w:val="36"/>
          <w:szCs w:val="36"/>
        </w:rPr>
        <w:t>Kapitel 22: Haustiere: Einreise, Kosten, Alltag</w:t>
      </w:r>
      <w:bookmarkEnd w:id="57"/>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Container ist gebucht, das Visum steckt im Pass, die Wohnung ist so gut wie sicher. Nur der Hund liegt im Flur und schaut, als ahne er, dass er in der bisherigen Planung nicht vorkam. Für viele Familien hängt am Tier die Frage, ob sich der Umzug richtig anfühlt. Die Bundesregeln der USA sind für Hunde aus Deutschland erfreulich schlank. Airline, Vermieter und Wetter machen daraus trotzdem ein Projekt.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Für Hunde aus Deutschland verlangt die US-Seuchenschutzbehörde CDC (</w:t>
            </w:r>
            <w:r>
              <w:rPr>
                <w:rFonts w:eastAsia="Cambria" w:cs="Cambria"/>
                <w:b w:val="false"/>
                <w:bCs w:val="false"/>
                <w:i/>
                <w:iCs/>
                <w:sz w:val="20"/>
                <w:szCs w:val="20"/>
              </w:rPr>
              <w:t>Centers for Disease Control and Prevention</w:t>
            </w:r>
            <w:r>
              <w:rPr>
                <w:rFonts w:eastAsia="Cambria" w:cs="Cambria"/>
                <w:b w:val="false"/>
                <w:bCs w:val="false"/>
                <w:i w:val="false"/>
                <w:iCs w:val="false"/>
                <w:sz w:val="20"/>
                <w:szCs w:val="20"/>
              </w:rPr>
              <w:t xml:space="preserve">, Stand September 2026) die kostenlose </w:t>
            </w:r>
            <w:r>
              <w:rPr>
                <w:rFonts w:eastAsia="Cambria" w:cs="Cambria"/>
                <w:b w:val="false"/>
                <w:bCs w:val="false"/>
                <w:i/>
                <w:iCs/>
                <w:sz w:val="20"/>
                <w:szCs w:val="20"/>
              </w:rPr>
              <w:t>Dog Import Form</w:t>
            </w:r>
            <w:r>
              <w:rPr>
                <w:rFonts w:eastAsia="Cambria" w:cs="Cambria"/>
                <w:b w:val="false"/>
                <w:bCs w:val="false"/>
                <w:i w:val="false"/>
                <w:iCs w:val="false"/>
                <w:sz w:val="20"/>
                <w:szCs w:val="20"/>
              </w:rPr>
              <w:t>, ein Mindestalter von sechs Monaten, einen lesbaren Mikrochip und gesundes Aussehen. Katzen müssen nur gesund wirken.</w:t>
            </w:r>
          </w:p>
          <w:p>
            <w:pPr>
              <w:pStyle w:val="ListParagraph"/>
              <w:numPr>
                <w:ilvl w:val="0"/>
                <w:numId w:val="1"/>
              </w:numPr>
              <w:spacing w:lineRule="exact" w:line="264" w:before="0" w:after="50"/>
              <w:rPr/>
            </w:pPr>
            <w:r>
              <w:rPr>
                <w:rFonts w:eastAsia="Cambria" w:cs="Cambria"/>
                <w:b w:val="false"/>
                <w:bCs w:val="false"/>
                <w:i w:val="false"/>
                <w:iCs w:val="false"/>
                <w:sz w:val="20"/>
                <w:szCs w:val="20"/>
              </w:rPr>
              <w:t>Eine Tollwutimpfung schreibt die CDC nicht vor. Bundesstaaten, Kommunen und Airlines verlangen sie in aller Regel trotzdem.</w:t>
            </w:r>
          </w:p>
          <w:p>
            <w:pPr>
              <w:pStyle w:val="ListParagraph"/>
              <w:numPr>
                <w:ilvl w:val="0"/>
                <w:numId w:val="1"/>
              </w:numPr>
              <w:spacing w:lineRule="exact" w:line="264" w:before="0" w:after="50"/>
              <w:rPr/>
            </w:pPr>
            <w:r>
              <w:rPr>
                <w:rFonts w:eastAsia="Cambria" w:cs="Cambria"/>
                <w:b w:val="false"/>
                <w:bCs w:val="false"/>
                <w:i w:val="false"/>
                <w:iCs w:val="false"/>
                <w:sz w:val="20"/>
                <w:szCs w:val="20"/>
              </w:rPr>
              <w:t>Die Reise kostet pro Tier 95–200 $ je Strecke in der Kabine oder 500–2.500 $ und mehr im Frachtraum. Hitzesperren und Rassenregeln entscheiden oft mehr als die CDC.</w:t>
            </w:r>
          </w:p>
          <w:p>
            <w:pPr>
              <w:pStyle w:val="ListParagraph"/>
              <w:numPr>
                <w:ilvl w:val="0"/>
                <w:numId w:val="1"/>
              </w:numPr>
              <w:spacing w:lineRule="exact" w:line="264" w:before="0" w:after="50"/>
              <w:rPr/>
            </w:pPr>
            <w:r>
              <w:rPr>
                <w:rFonts w:eastAsia="Cambria" w:cs="Cambria"/>
                <w:b w:val="false"/>
                <w:bCs w:val="false"/>
                <w:i w:val="false"/>
                <w:iCs w:val="false"/>
                <w:sz w:val="20"/>
                <w:szCs w:val="20"/>
              </w:rPr>
              <w:t>Laufende Kosten: 1.200–4.300 $ pro Jahr für einen Hund, dazu in Mietwohnungen meist Haustiermiete und Kaution.</w:t>
            </w:r>
          </w:p>
          <w:p>
            <w:pPr>
              <w:pStyle w:val="ListParagraph"/>
              <w:numPr>
                <w:ilvl w:val="0"/>
                <w:numId w:val="1"/>
              </w:numPr>
              <w:spacing w:lineRule="exact" w:line="264" w:before="0" w:after="50"/>
              <w:rPr/>
            </w:pPr>
            <w:r>
              <w:rPr>
                <w:rFonts w:eastAsia="Cambria" w:cs="Cambria"/>
                <w:b w:val="false"/>
                <w:bCs w:val="false"/>
                <w:i w:val="false"/>
                <w:iCs w:val="false"/>
                <w:sz w:val="20"/>
                <w:szCs w:val="20"/>
              </w:rPr>
              <w:t>Plane drei bis vier Monate Vorlauf, für Hawaii mindestens vier.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die USA bei der Einreise verlangen</w:t>
      </w:r>
    </w:p>
    <w:p>
      <w:pPr>
        <w:pStyle w:val="Normal"/>
        <w:keepNext w:val="false"/>
        <w:keepLines w:val="false"/>
        <w:spacing w:lineRule="exact" w:line="288" w:before="0" w:after="140"/>
        <w:jc w:val="left"/>
        <w:rPr/>
      </w:pPr>
      <w:r>
        <w:rPr>
          <w:rFonts w:eastAsia="Cambria" w:cs="Cambria"/>
          <w:b/>
          <w:bCs/>
          <w:i w:val="false"/>
          <w:iCs w:val="false"/>
          <w:sz w:val="22"/>
          <w:szCs w:val="22"/>
        </w:rPr>
        <w:t>Hunde.</w:t>
      </w:r>
      <w:r>
        <w:rPr>
          <w:rFonts w:eastAsia="Cambria" w:cs="Cambria"/>
          <w:b w:val="false"/>
          <w:bCs w:val="false"/>
          <w:i w:val="false"/>
          <w:iCs w:val="false"/>
          <w:sz w:val="22"/>
          <w:szCs w:val="22"/>
        </w:rPr>
        <w:t xml:space="preserve"> Jeder Hund braucht die </w:t>
      </w:r>
      <w:r>
        <w:rPr>
          <w:rFonts w:eastAsia="Cambria" w:cs="Cambria"/>
          <w:b w:val="false"/>
          <w:bCs w:val="false"/>
          <w:i/>
          <w:iCs/>
          <w:sz w:val="22"/>
          <w:szCs w:val="22"/>
        </w:rPr>
        <w:t>CDC Dog Import Form</w:t>
      </w:r>
      <w:r>
        <w:rPr>
          <w:rFonts w:eastAsia="Cambria" w:cs="Cambria"/>
          <w:b w:val="false"/>
          <w:bCs w:val="false"/>
          <w:i w:val="false"/>
          <w:iCs w:val="false"/>
          <w:sz w:val="22"/>
          <w:szCs w:val="22"/>
        </w:rPr>
        <w:t>: online auszufüllen, kostenlos, ein Formular pro Tier. Du kannst sie bis zu sechs Monate vor der Reise oder am Reisetag ausfüllen. Die Quittung gilt sechs Monate, sofern der Hund in dieser Zeit in keinem Hochrisikoland war. Für Hunde aus Ländern ohne Hochrisiko-Einstufung gilt zusätzlich: mindestens sechs Monate alt, ein Mikrochip, den ein Universalscanner liest, gesundes Aussehen. Impf- oder Antikörpernachweise verlangt die CDC dann nicht. Deutschland steht nicht auf der Hochrisikoliste (CDC, Abruf 20. September 2026; die Regeln gelten unverändert seit 1. August 2024, die Liste wurde zuletzt am 15. April 2026 aktualisiert). Wer kurz vor dem Umzug einen Welpen anschafft, muss bis zum sechsten Lebensmonat warten.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Ohne Tollwutimpfung geht bei der Einreise angeblich gar nichts. Bundesrechtlich verlangt allein die CDC sie für Hunde aus Deutschland gar nicht – Mikrochip und ein ausgefülltes Formular reichen. Erst der Bundesstaat, die Fluggesellschaft oder die Kommune am Zielort macht die Spritze in der Praxis zur Pflicht.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War dein Hund in den letzten sechs Monaten in einem Hochrisikoland, auch nur im Urlaub, gilt die einfache Regel nicht mehr. Dann verlangt die CDC unter anderem Tollwutimpfung, Antikörpernachweis und Gesundheitszeugnis. Prüfe die Liste auf cdc.gov/importation, bevor du einen Urlaub mit Hund buchst.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Katzen.</w:t>
      </w:r>
      <w:r>
        <w:rPr>
          <w:rFonts w:eastAsia="Cambria" w:cs="Cambria"/>
          <w:b w:val="false"/>
          <w:bCs w:val="false"/>
          <w:i w:val="false"/>
          <w:iCs w:val="false"/>
          <w:sz w:val="22"/>
          <w:szCs w:val="22"/>
        </w:rPr>
        <w:t xml:space="preserve"> Bundesweit gibt es keine Impfpflicht; die Katze muss bei der Ankunft gesund wirken (CDC, Seite vom 22. August 2025). Die CDC empfiehlt die Tollwutimpfung, und einzelne Staaten schreiben sie vor, laut Ratgebern etwa New York ab drei Monaten. Wirkt ein Tier krank, kann vor der Einreise eine tierärztliche Untersuchung auf deine Kosten verlangt werden.</w:t>
      </w:r>
    </w:p>
    <w:p>
      <w:pPr>
        <w:pStyle w:val="Normal"/>
        <w:keepNext w:val="false"/>
        <w:keepLines w:val="false"/>
        <w:spacing w:lineRule="exact" w:line="288" w:before="0" w:after="140"/>
        <w:jc w:val="left"/>
        <w:rPr/>
      </w:pPr>
      <w:r>
        <w:rPr>
          <w:rFonts w:eastAsia="Cambria" w:cs="Cambria"/>
          <w:b/>
          <w:bCs/>
          <w:i w:val="false"/>
          <w:iCs w:val="false"/>
          <w:sz w:val="22"/>
          <w:szCs w:val="22"/>
        </w:rPr>
        <w:t>Hawaii und Guam</w:t>
      </w:r>
      <w:r>
        <w:rPr>
          <w:rFonts w:eastAsia="Cambria" w:cs="Cambria"/>
          <w:b w:val="false"/>
          <w:bCs w:val="false"/>
          <w:i w:val="false"/>
          <w:iCs w:val="false"/>
          <w:sz w:val="22"/>
          <w:szCs w:val="22"/>
        </w:rPr>
        <w:t xml:space="preserve"> haben eigene Quarantäneregeln, auch für Tiere vom US-Festland. In Hawaii begrenzt das Programm „5 Day or Less“ die Quarantäne bei vollständigen Unterlagen auf höchstens fünf Tage, im Idealfall entfällt sie ganz. Es kostet 244 $ pro Tier (jeder weitere Tag 17,80 $) und verlangt mindestens zwei Tollwutimpfungen im Abstand von 30 Tagen sowie einen FAVN-Antikörpertest (Labor rund 115 $ pro Probe, Stand 2026). Fehlt etwas, drohen bis zu 120 Tage Quarantäne. Rechne mit mehreren Monaten Vorlauf.</w:t>
      </w:r>
    </w:p>
    <w:p>
      <w:pPr>
        <w:pStyle w:val="Normal"/>
        <w:keepNext w:val="false"/>
        <w:keepLines w:val="false"/>
        <w:spacing w:lineRule="exact" w:line="288" w:before="0" w:after="140"/>
        <w:jc w:val="left"/>
        <w:rPr/>
      </w:pPr>
      <w:r>
        <w:rPr>
          <w:rFonts w:eastAsia="Cambria" w:cs="Cambria"/>
          <w:b/>
          <w:bCs/>
          <w:i w:val="false"/>
          <w:iCs w:val="false"/>
          <w:sz w:val="22"/>
          <w:szCs w:val="22"/>
        </w:rPr>
        <w:t>Andere Tiere.</w:t>
      </w:r>
      <w:r>
        <w:rPr>
          <w:rFonts w:eastAsia="Cambria" w:cs="Cambria"/>
          <w:b w:val="false"/>
          <w:bCs w:val="false"/>
          <w:i w:val="false"/>
          <w:iCs w:val="false"/>
          <w:sz w:val="22"/>
          <w:szCs w:val="22"/>
        </w:rPr>
        <w:t xml:space="preserve"> Für Vögel, Reptilien, Nager, Pferde und geschützte Arten gelten eigene Vorgaben des Landwirtschaftsministeriums (USDA, Behörde APHIS) und der Wildtierbehörde USFWS, teils mit Genehmigung oder Quarantäne. Kläre das Monate vorher.</w:t>
      </w:r>
    </w:p>
    <w:p>
      <w:pPr>
        <w:pStyle w:val="Heading3"/>
        <w:keepNext w:val="true"/>
        <w:spacing w:before="280" w:after="100"/>
        <w:jc w:val="center"/>
        <w:rPr/>
      </w:pPr>
      <w:r>
        <w:rPr>
          <w:rFonts w:eastAsia="Amazon Ember" w:cs="Amazon Ember" w:ascii="Amazon Ember" w:hAnsi="Amazon Ember"/>
          <w:b/>
          <w:bCs/>
          <w:color w:val="0000FF"/>
          <w:sz w:val="36"/>
          <w:szCs w:val="36"/>
        </w:rPr>
        <w:t>Vorbereitung: Chip, Impfung, Papiere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Beginne drei bis vier Monate vor dem Abflug:</w:t>
      </w:r>
    </w:p>
    <w:p>
      <w:pPr>
        <w:pStyle w:val="ListParagraph"/>
        <w:numPr>
          <w:ilvl w:val="0"/>
          <w:numId w:val="143"/>
        </w:numPr>
        <w:spacing w:lineRule="exact" w:line="288" w:before="0" w:after="60"/>
        <w:rPr/>
      </w:pPr>
      <w:r>
        <w:rPr>
          <w:rFonts w:eastAsia="Cambria" w:cs="Cambria"/>
          <w:b/>
          <w:bCs/>
          <w:i w:val="false"/>
          <w:iCs w:val="false"/>
          <w:sz w:val="22"/>
          <w:szCs w:val="22"/>
        </w:rPr>
        <w:t>Chip prüfen.</w:t>
      </w:r>
      <w:r>
        <w:rPr>
          <w:rFonts w:eastAsia="Cambria" w:cs="Cambria"/>
          <w:b w:val="false"/>
          <w:bCs w:val="false"/>
          <w:i w:val="false"/>
          <w:iCs w:val="false"/>
          <w:sz w:val="22"/>
          <w:szCs w:val="22"/>
        </w:rPr>
        <w:t xml:space="preserve"> Der ISO-Chip (15-stellig) muss lesbar sein und in Heimtierausweis und Register stehen. Fehlt er, lass ihn zuerst setzen: Für die spätere Rückreise in die EU muss der Chip vor der Tollwutimpfung im Tier sein.</w:t>
      </w:r>
    </w:p>
    <w:p>
      <w:pPr>
        <w:pStyle w:val="ListParagraph"/>
        <w:numPr>
          <w:ilvl w:val="0"/>
          <w:numId w:val="144"/>
        </w:numPr>
        <w:spacing w:lineRule="exact" w:line="288" w:before="0" w:after="60"/>
        <w:rPr/>
      </w:pPr>
      <w:r>
        <w:rPr>
          <w:rFonts w:eastAsia="Cambria" w:cs="Cambria"/>
          <w:b/>
          <w:bCs/>
          <w:i w:val="false"/>
          <w:iCs w:val="false"/>
          <w:sz w:val="22"/>
          <w:szCs w:val="22"/>
        </w:rPr>
        <w:t>Airline und Route klären.</w:t>
      </w:r>
      <w:r>
        <w:rPr>
          <w:rFonts w:eastAsia="Cambria" w:cs="Cambria"/>
          <w:b w:val="false"/>
          <w:bCs w:val="false"/>
          <w:i w:val="false"/>
          <w:iCs w:val="false"/>
          <w:sz w:val="22"/>
          <w:szCs w:val="22"/>
        </w:rPr>
        <w:t xml:space="preserve"> Kabine oder Frachtraum, Gewichtsgrenzen, Hitze- und Rassenregeln, Anmeldefrist (siehe nächster Abschnitt).</w:t>
      </w:r>
    </w:p>
    <w:p>
      <w:pPr>
        <w:pStyle w:val="ListParagraph"/>
        <w:numPr>
          <w:ilvl w:val="0"/>
          <w:numId w:val="145"/>
        </w:numPr>
        <w:spacing w:lineRule="exact" w:line="288" w:before="0" w:after="60"/>
        <w:rPr/>
      </w:pPr>
      <w:r>
        <w:rPr>
          <w:rFonts w:eastAsia="Cambria" w:cs="Cambria"/>
          <w:b/>
          <w:bCs/>
          <w:i w:val="false"/>
          <w:iCs w:val="false"/>
          <w:sz w:val="22"/>
          <w:szCs w:val="22"/>
        </w:rPr>
        <w:t>Tierarzt-Check.</w:t>
      </w:r>
      <w:r>
        <w:rPr>
          <w:rFonts w:eastAsia="Cambria" w:cs="Cambria"/>
          <w:b w:val="false"/>
          <w:bCs w:val="false"/>
          <w:i w:val="false"/>
          <w:iCs w:val="false"/>
          <w:sz w:val="22"/>
          <w:szCs w:val="22"/>
        </w:rPr>
        <w:t xml:space="preserve"> Gesundheit, Flugtauglichkeit (bei älteren Tieren und bei Herz- oder Atemproblemen ausdrücklich fragen) und aktuelle Tollwutimpfung im EU-Heimtierausweis.</w:t>
      </w:r>
    </w:p>
    <w:p>
      <w:pPr>
        <w:pStyle w:val="ListParagraph"/>
        <w:numPr>
          <w:ilvl w:val="0"/>
          <w:numId w:val="146"/>
        </w:numPr>
        <w:spacing w:lineRule="exact" w:line="288" w:before="0" w:after="60"/>
        <w:rPr/>
      </w:pPr>
      <w:r>
        <w:rPr>
          <w:rFonts w:eastAsia="Cambria" w:cs="Cambria"/>
          <w:b/>
          <w:bCs/>
          <w:i w:val="false"/>
          <w:iCs w:val="false"/>
          <w:sz w:val="22"/>
          <w:szCs w:val="22"/>
        </w:rPr>
        <w:t>CDC-Formular.</w:t>
      </w:r>
      <w:r>
        <w:rPr>
          <w:rFonts w:eastAsia="Cambria" w:cs="Cambria"/>
          <w:b w:val="false"/>
          <w:bCs w:val="false"/>
          <w:i w:val="false"/>
          <w:iCs w:val="false"/>
          <w:sz w:val="22"/>
          <w:szCs w:val="22"/>
        </w:rPr>
        <w:t xml:space="preserve"> Dog Import Form ausfüllen, Quittung ausdrucken und digital speichern.</w:t>
      </w:r>
    </w:p>
    <w:p>
      <w:pPr>
        <w:pStyle w:val="ListParagraph"/>
        <w:numPr>
          <w:ilvl w:val="0"/>
          <w:numId w:val="147"/>
        </w:numPr>
        <w:spacing w:lineRule="exact" w:line="288" w:before="0" w:after="60"/>
        <w:rPr/>
      </w:pPr>
      <w:r>
        <w:rPr>
          <w:rFonts w:eastAsia="Cambria" w:cs="Cambria"/>
          <w:b/>
          <w:bCs/>
          <w:i w:val="false"/>
          <w:iCs w:val="false"/>
          <w:sz w:val="22"/>
          <w:szCs w:val="22"/>
        </w:rPr>
        <w:t>Gesundheitszeugnis.</w:t>
      </w:r>
      <w:r>
        <w:rPr>
          <w:rFonts w:eastAsia="Cambria" w:cs="Cambria"/>
          <w:b w:val="false"/>
          <w:bCs w:val="false"/>
          <w:i w:val="false"/>
          <w:iCs w:val="false"/>
          <w:sz w:val="22"/>
          <w:szCs w:val="22"/>
        </w:rPr>
        <w:t xml:space="preserve"> Viele Airlines verlangen ein tierärztliches Zeugnis, das beim Abflug höchstens zehn Tage alt ist (laut Ratgebern etwa bei Lufthansa). Lass dir den Bedarf schriftlich bestätigen.</w:t>
      </w:r>
    </w:p>
    <w:p>
      <w:pPr>
        <w:pStyle w:val="ListParagraph"/>
        <w:numPr>
          <w:ilvl w:val="0"/>
          <w:numId w:val="148"/>
        </w:numPr>
        <w:spacing w:lineRule="exact" w:line="288" w:before="0" w:after="60"/>
        <w:rPr/>
      </w:pPr>
      <w:r>
        <w:rPr>
          <w:rFonts w:eastAsia="Cambria" w:cs="Cambria"/>
          <w:b/>
          <w:bCs/>
          <w:i w:val="false"/>
          <w:iCs w:val="false"/>
          <w:sz w:val="22"/>
          <w:szCs w:val="22"/>
        </w:rPr>
        <w:t>Papiermappe</w:t>
      </w:r>
      <w:r>
        <w:rPr>
          <w:rFonts w:eastAsia="Cambria" w:cs="Cambria"/>
          <w:b w:val="false"/>
          <w:bCs w:val="false"/>
          <w:i w:val="false"/>
          <w:iCs w:val="false"/>
          <w:sz w:val="22"/>
          <w:szCs w:val="22"/>
        </w:rPr>
        <w:t xml:space="preserve"> ins Handgepäck: Heimtierausweis, CDC-Quittung, Zeugnis, Chipnummer.</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CDC ist die kleinste Hürde. Ob dein Tier mitkommt, wo es wohnen darf und was es kostet, entscheiden Airline, Vermieter, Kommune und Jahreszeit.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Flug: Kabine oder Frachtraum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In der </w:t>
      </w:r>
      <w:r>
        <w:rPr>
          <w:rFonts w:eastAsia="Cambria" w:cs="Cambria"/>
          <w:b/>
          <w:bCs/>
          <w:i w:val="false"/>
          <w:iCs w:val="false"/>
          <w:sz w:val="22"/>
          <w:szCs w:val="22"/>
        </w:rPr>
        <w:t>Kabine</w:t>
      </w:r>
      <w:r>
        <w:rPr>
          <w:rFonts w:eastAsia="Cambria" w:cs="Cambria"/>
          <w:b w:val="false"/>
          <w:bCs w:val="false"/>
          <w:i w:val="false"/>
          <w:iCs w:val="false"/>
          <w:sz w:val="22"/>
          <w:szCs w:val="22"/>
        </w:rPr>
        <w:t xml:space="preserve"> reist das Tier samt weicher Box unter dem Vordersitz. Die Gewichtsgrenze liegt laut Ratgebern bei Lufthansa bei etwa 8 kg, bei vielen US-Airlines bei etwa 20 lb (9 kg) für Tier und Box zusammen; lass dir die Regel deiner Airline schriftlich bestätigen. Pro Flug sind nur wenige Tiere zugelassen, melde deins also sofort nach der Ticketbuchung an. Die Gebühr beträgt 95–200 $ je Strecke: rund 150 $ bei den großen US-Airlines, 125 $ bei Southwest und JetBlue, 100 $ bei Alaska (Ratgeberangaben, bitte prüfen).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Alles Größere reist im </w:t>
      </w:r>
      <w:r>
        <w:rPr>
          <w:rFonts w:eastAsia="Cambria" w:cs="Cambria"/>
          <w:b/>
          <w:bCs/>
          <w:i w:val="false"/>
          <w:iCs w:val="false"/>
          <w:sz w:val="22"/>
          <w:szCs w:val="22"/>
        </w:rPr>
        <w:t>Frachtraum</w:t>
      </w:r>
      <w:r>
        <w:rPr>
          <w:rFonts w:eastAsia="Cambria" w:cs="Cambria"/>
          <w:b w:val="false"/>
          <w:bCs w:val="false"/>
          <w:i w:val="false"/>
          <w:iCs w:val="false"/>
          <w:sz w:val="22"/>
          <w:szCs w:val="22"/>
        </w:rPr>
        <w:t>, dem klimatisierten Bereich des Flugzeugs, je nach Airline als aufgegebenes Tier oder als Fracht. Du brauchst eine stabile, belüftete Box, in der das Tier stehen, sich umdrehen und liegen kann; gewöhne es wochenlang vorher daran. Bevorzuge Direktflüge, denn jeder Umstieg erhöht das Risiko für Verspätung, Hitze oder Kälte.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Hitze ist die häufigste Sperre. Der Frachtraum hält laut Lufthansa 45–85 °F (7–29 °C). Kurzköpfige Rassen wie Mops, Bulldogge, Boxer oder Shih Tzu reisen dort nicht, wenn es am Abflug-, Umstiegs- oder Zielflughafen wärmer als 80 °F (27 °C) ist. Eine andere Quelle nennt ein Sommerverbot vom 1. Mai bis 30. September; die Angaben widersprechen sich. US-Airlines setzen ihre Hitzegrenze häufig bei etwa 85 °F (29 °C). Wer im Sommer nach Arizona, Texas oder Florida fliegt, fragt die Airline vor der Buchung schriftlich.</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die Reise kostet</w:t>
      </w:r>
    </w:p>
    <w:tbl>
      <w:tblPr>
        <w:tblW w:w="6480" w:type="dxa"/>
        <w:jc w:val="left"/>
        <w:tblInd w:w="0" w:type="dxa"/>
        <w:tblLayout w:type="fixed"/>
        <w:tblCellMar>
          <w:top w:w="50" w:type="dxa"/>
          <w:left w:w="80" w:type="dxa"/>
          <w:bottom w:w="50" w:type="dxa"/>
          <w:right w:w="80" w:type="dxa"/>
        </w:tblCellMar>
      </w:tblPr>
      <w:tblGrid>
        <w:gridCol w:w="3280"/>
        <w:gridCol w:w="3199"/>
      </w:tblGrid>
      <w:tr>
        <w:trPr>
          <w:tblHeader w:val="true"/>
          <w:cantSplit w:val="true"/>
        </w:trPr>
        <w:tc>
          <w:tcPr>
            <w:tcW w:w="328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Posten</w:t>
            </w:r>
          </w:p>
        </w:tc>
        <w:tc>
          <w:tcPr>
            <w:tcW w:w="319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Spanne pro Tier (Stand 2026)</w:t>
            </w:r>
          </w:p>
        </w:tc>
      </w:tr>
      <w:tr>
        <w:trPr>
          <w:cantSplit w:val="true"/>
        </w:trPr>
        <w:tc>
          <w:tcPr>
            <w:tcW w:w="32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Tierarzt, Tests, Formalitäten</w:t>
            </w:r>
          </w:p>
        </w:tc>
        <w:tc>
          <w:tcPr>
            <w:tcW w:w="31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250–800 $</w:t>
            </w:r>
          </w:p>
        </w:tc>
      </w:tr>
      <w:tr>
        <w:trPr>
          <w:cantSplit w:val="true"/>
        </w:trPr>
        <w:tc>
          <w:tcPr>
            <w:tcW w:w="32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Transportbox</w:t>
            </w:r>
          </w:p>
        </w:tc>
        <w:tc>
          <w:tcPr>
            <w:tcW w:w="31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50–400 $</w:t>
            </w:r>
          </w:p>
        </w:tc>
      </w:tr>
      <w:tr>
        <w:trPr>
          <w:cantSplit w:val="true"/>
        </w:trPr>
        <w:tc>
          <w:tcPr>
            <w:tcW w:w="32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Flug in der Kabine</w:t>
            </w:r>
          </w:p>
        </w:tc>
        <w:tc>
          <w:tcPr>
            <w:tcW w:w="31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95–200 $ je Strecke</w:t>
            </w:r>
          </w:p>
        </w:tc>
      </w:tr>
      <w:tr>
        <w:trPr>
          <w:cantSplit w:val="true"/>
        </w:trPr>
        <w:tc>
          <w:tcPr>
            <w:tcW w:w="32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Flug im Frachtraum</w:t>
            </w:r>
          </w:p>
        </w:tc>
        <w:tc>
          <w:tcPr>
            <w:tcW w:w="31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500–2.500 $ und mehr</w:t>
            </w:r>
          </w:p>
        </w:tc>
      </w:tr>
      <w:tr>
        <w:trPr>
          <w:cantSplit w:val="true"/>
        </w:trPr>
        <w:tc>
          <w:tcPr>
            <w:tcW w:w="32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Full-Service-Tiertransport</w:t>
            </w:r>
          </w:p>
        </w:tc>
        <w:tc>
          <w:tcPr>
            <w:tcW w:w="31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4.000–12.000 $ und mehr</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Zahlen stammen überwiegend von Anbietern und Ratgebern mit Eigeninteresse; nimm sie als Größenordnung. Beim Tierarztposten liegst du für Hunde aus Deutschland eher unten, weil die CDC keinen Antikörpertest verlangt (eigene Einschätzung). Ein Full-Service-Dienst, der Papiere, Buchung und Übergabe übernimmt, lohnt vor allem bei großen oder kurzköpfigen Hunden, mehreren Tieren und Hawaii.</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Passt dein Tier in die Kabine, spart das gegenüber Fracht oder Dienstleister oft mehrere Tausend Dollar. Bei größeren Hunden buche den Frachtflug selbst bei der Airline, wenn die Route einfach ist (Direktflug, kein Hochsommer, ein Tier). Frage außerdem deinen Arbeitgeber, ob der Tiertransport ins Relocation-Paket passt; Erstattungen sind in den USA steuerpflichtig (Kapitel </w:t>
            </w:r>
            <w:hyperlink w:anchor="k20">
              <w:r>
                <w:rPr>
                  <w:rStyle w:val="ListLabel114"/>
                  <w:rFonts w:eastAsia="Cambria" w:cs="Cambria"/>
                  <w:b w:val="false"/>
                  <w:bCs w:val="false"/>
                  <w:i w:val="false"/>
                  <w:iCs w:val="false"/>
                  <w:sz w:val="20"/>
                  <w:szCs w:val="20"/>
                </w:rPr>
                <w:t>20</w:t>
              </w:r>
            </w:hyperlink>
            <w:r>
              <w:rPr>
                <w:rFonts w:eastAsia="Cambria" w:cs="Cambria"/>
                <w:b w:val="false"/>
                <w:bCs w:val="false"/>
                <w:i w:val="false"/>
                <w:iCs w:val="false"/>
                <w:sz w:val="20"/>
                <w:szCs w:val="20"/>
              </w:rPr>
              <w: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Hoffmann (fiktiv) zieht von Dresden nach Phoenix und nimmt Bruno mit, einen Labrador-Mischling mit 27 kg. Die Kabine scheidet aus, also bleibt der Frachtraum. Die Airline nennt für den Zielflughafen eine Hitzegrenze, und Phoenix liegt im Sommer regelmäßig darüber; die Hoffmanns planen die Ankunft deshalb außerhalb der Sommermonate. Wochen vorher übt Bruno in der Transportbox schlafen, bis er sie freiwillig als Rückzugsort ansteuert. Am Cargo-Terminal in Phoenix bellt er schon durch die Wand, bevor die Box auf dem Rollwagen erscheint – die Hoffmanns hören ihn, bevor sie ihn sehen. Kosten pro Tier: Tierarzt und Zeugnis 400 $, Box 250 $, Frachtflug 1.600 $, zusammen 2.250 $. In der Wohnanlage kommen 50 $ Haustiermiete im Monat, 300 $ Kaution und 250 $ Einmalgebühr dazu, im ersten Jahr also 1.150 $. Die deutsche Hundesteuer entfällt, dafür fällt die Lizenz des Countys an.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Ankunft: Kontrolle, Abholung, erste Tage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der Ankunft prüfen die Beamten die CDC-Quittung, können den Chip auslesen und sehen sich das Tier an. Halte die Mappe griffbereit. Frachttiere holst du je nach Buchung am Sperrgepäckschalter oder im Cargo-Terminal der Airline ab, oft eine fensterlose Halle, in der das Bellen aufgeregter Reisender von der Decke hallt; frage vorab nach dem Ort und plane einige Stunden Puffer ein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Kläre vor dem Abflug, ob deine Übergangsunterkunft (Hotel, </w:t>
      </w:r>
      <w:r>
        <w:rPr>
          <w:rFonts w:eastAsia="Cambria" w:cs="Cambria"/>
          <w:b w:val="false"/>
          <w:bCs w:val="false"/>
          <w:i/>
          <w:iCs/>
          <w:sz w:val="22"/>
          <w:szCs w:val="22"/>
        </w:rPr>
        <w:t>Corporate Housing</w:t>
      </w:r>
      <w:r>
        <w:rPr>
          <w:rFonts w:eastAsia="Cambria" w:cs="Cambria"/>
          <w:b w:val="false"/>
          <w:bCs w:val="false"/>
          <w:i w:val="false"/>
          <w:iCs w:val="false"/>
          <w:sz w:val="22"/>
          <w:szCs w:val="22"/>
        </w:rPr>
        <w:t>, möbliertes Wohnen auf Zeit) Tiere erlaubt und was das kostet; oft fallen Zuschläge an. Tierfutter mit Fleisch- oder Milchbestandteilen kann bei der Einfuhr beschränkt sein, kaufe es lieber vor Ort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In der ersten Woche suchst du einen Tierarzt, änderst Adresse und Telefonnummer beim Chipregister und beantragst die Lizenz.</w:t>
      </w:r>
    </w:p>
    <w:p>
      <w:pPr>
        <w:pStyle w:val="Heading3"/>
        <w:keepNext w:val="true"/>
        <w:spacing w:before="280" w:after="100"/>
        <w:jc w:val="center"/>
        <w:rPr/>
      </w:pPr>
      <w:r>
        <w:rPr>
          <w:rFonts w:eastAsia="Amazon Ember" w:cs="Amazon Ember" w:ascii="Amazon Ember" w:hAnsi="Amazon Ember"/>
          <w:b/>
          <w:bCs/>
          <w:color w:val="0000FF"/>
          <w:sz w:val="36"/>
          <w:szCs w:val="36"/>
        </w:rPr>
        <w:t>Wohnen mit Tier: Miete, Rassenlisten, HOA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Rund 80 % der Mietwohnungen erlauben Tiere (Branchenangabe), doch für die meisten kostet das extra: 72 % der tierfreundlichen Objekte verlangen Haustiermiete (Branchenverband NAA). Typische Posten:</w:t>
      </w:r>
    </w:p>
    <w:tbl>
      <w:tblPr>
        <w:tblW w:w="6480" w:type="dxa"/>
        <w:jc w:val="left"/>
        <w:tblInd w:w="0" w:type="dxa"/>
        <w:tblLayout w:type="fixed"/>
        <w:tblCellMar>
          <w:top w:w="50" w:type="dxa"/>
          <w:left w:w="80" w:type="dxa"/>
          <w:bottom w:w="50" w:type="dxa"/>
          <w:right w:w="80" w:type="dxa"/>
        </w:tblCellMar>
      </w:tblPr>
      <w:tblGrid>
        <w:gridCol w:w="2240"/>
        <w:gridCol w:w="4239"/>
      </w:tblGrid>
      <w:tr>
        <w:trPr>
          <w:tblHeader w:val="true"/>
          <w:cantSplit w:val="true"/>
        </w:trPr>
        <w:tc>
          <w:tcPr>
            <w:tcW w:w="2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Posten</w:t>
            </w:r>
          </w:p>
        </w:tc>
        <w:tc>
          <w:tcPr>
            <w:tcW w:w="4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Spanne</w:t>
            </w:r>
          </w:p>
        </w:tc>
      </w:tr>
      <w:tr>
        <w:trPr>
          <w:cantSplit w:val="true"/>
        </w:trPr>
        <w:tc>
          <w:tcPr>
            <w:tcW w:w="2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Haustiermiete (</w:t>
            </w:r>
            <w:r>
              <w:rPr>
                <w:rFonts w:eastAsia="Cambria" w:cs="Cambria"/>
                <w:b w:val="false"/>
                <w:bCs w:val="false"/>
                <w:i/>
                <w:iCs/>
                <w:sz w:val="18"/>
                <w:szCs w:val="18"/>
              </w:rPr>
              <w:t>Pet Rent</w:t>
            </w:r>
            <w:r>
              <w:rPr>
                <w:rFonts w:eastAsia="Cambria" w:cs="Cambria"/>
                <w:b w:val="false"/>
                <w:bCs w:val="false"/>
                <w:i w:val="false"/>
                <w:iCs w:val="false"/>
                <w:sz w:val="18"/>
                <w:szCs w:val="18"/>
              </w:rPr>
              <w:t>)</w:t>
            </w:r>
          </w:p>
        </w:tc>
        <w:tc>
          <w:tcPr>
            <w:tcW w:w="4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Ø 50 $/Monat (Hund), 35 $ (Katze); Großstädte 50–75 $</w:t>
            </w:r>
          </w:p>
        </w:tc>
      </w:tr>
      <w:tr>
        <w:trPr>
          <w:cantSplit w:val="true"/>
        </w:trPr>
        <w:tc>
          <w:tcPr>
            <w:tcW w:w="2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Tierkaution (</w:t>
            </w:r>
            <w:r>
              <w:rPr>
                <w:rFonts w:eastAsia="Cambria" w:cs="Cambria"/>
                <w:b w:val="false"/>
                <w:bCs w:val="false"/>
                <w:i/>
                <w:iCs/>
                <w:sz w:val="18"/>
                <w:szCs w:val="18"/>
              </w:rPr>
              <w:t>Pet Deposit</w:t>
            </w:r>
            <w:r>
              <w:rPr>
                <w:rFonts w:eastAsia="Cambria" w:cs="Cambria"/>
                <w:b w:val="false"/>
                <w:bCs w:val="false"/>
                <w:i w:val="false"/>
                <w:iCs w:val="false"/>
                <w:sz w:val="18"/>
                <w:szCs w:val="18"/>
              </w:rPr>
              <w:t>)</w:t>
            </w:r>
          </w:p>
        </w:tc>
        <w:tc>
          <w:tcPr>
            <w:tcW w:w="4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200–500 $; San Francisco, New York 400–600 $</w:t>
            </w:r>
          </w:p>
        </w:tc>
      </w:tr>
      <w:tr>
        <w:trPr>
          <w:cantSplit w:val="true"/>
        </w:trPr>
        <w:tc>
          <w:tcPr>
            <w:tcW w:w="2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Einmalgebühr (</w:t>
            </w:r>
            <w:r>
              <w:rPr>
                <w:rFonts w:eastAsia="Cambria" w:cs="Cambria"/>
                <w:b w:val="false"/>
                <w:bCs w:val="false"/>
                <w:i/>
                <w:iCs/>
                <w:sz w:val="18"/>
                <w:szCs w:val="18"/>
              </w:rPr>
              <w:t>Pet Fee</w:t>
            </w:r>
            <w:r>
              <w:rPr>
                <w:rFonts w:eastAsia="Cambria" w:cs="Cambria"/>
                <w:b w:val="false"/>
                <w:bCs w:val="false"/>
                <w:i w:val="false"/>
                <w:iCs w:val="false"/>
                <w:sz w:val="18"/>
                <w:szCs w:val="18"/>
              </w:rPr>
              <w:t>)</w:t>
            </w:r>
          </w:p>
        </w:tc>
        <w:tc>
          <w:tcPr>
            <w:tcW w:w="4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150–300 $, meist nicht erstattbar</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Häufiger Stolperstein sind Rassenlisten: Vermieter und ihre Versicherer schließen bestimmte Rassen aus, meist Pitbull-Typen, Rottweiler, Dobermann, Deutscher Schäferhund und Chow-Chow, dazu Gewichtsgrenzen. Ausgerechnet der Deutsche Schäferhund steht also auf mancher Liste, und auch Mischlinge können betroffen sein.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Kläre Rasse, Gewicht und Zahl der Tiere, bevor du dich bewirbst, denn die Bewerbungsgebühr ist bei Ablehnung meist verloren (Kapitel </w:t>
            </w:r>
            <w:hyperlink w:anchor="k13">
              <w:r>
                <w:rPr>
                  <w:rStyle w:val="ListLabel114"/>
                  <w:rFonts w:eastAsia="Cambria" w:cs="Cambria"/>
                  <w:b w:val="false"/>
                  <w:bCs w:val="false"/>
                  <w:i w:val="false"/>
                  <w:iCs w:val="false"/>
                  <w:sz w:val="20"/>
                  <w:szCs w:val="20"/>
                </w:rPr>
                <w:t>13</w:t>
              </w:r>
            </w:hyperlink>
            <w:r>
              <w:rPr>
                <w:rFonts w:eastAsia="Cambria" w:cs="Cambria"/>
                <w:b w:val="false"/>
                <w:bCs w:val="false"/>
                <w:i w:val="false"/>
                <w:iCs w:val="false"/>
                <w:sz w:val="20"/>
                <w:szCs w:val="20"/>
              </w:rPr>
              <w:t>). Verschweige das Tier nie: Ein nicht gemeldetes Tier ist ein Vertragsverstoß und kann Nachzahlung oder Kündigung bedeuten.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später kauft, begegnet der Eigentümergemeinschaft (</w:t>
      </w:r>
      <w:r>
        <w:rPr>
          <w:rFonts w:eastAsia="Cambria" w:cs="Cambria"/>
          <w:b w:val="false"/>
          <w:bCs w:val="false"/>
          <w:i/>
          <w:iCs/>
          <w:sz w:val="22"/>
          <w:szCs w:val="22"/>
        </w:rPr>
        <w:t>Homeowners Association</w:t>
      </w:r>
      <w:r>
        <w:rPr>
          <w:rFonts w:eastAsia="Cambria" w:cs="Cambria"/>
          <w:b w:val="false"/>
          <w:bCs w:val="false"/>
          <w:i w:val="false"/>
          <w:iCs w:val="false"/>
          <w:sz w:val="22"/>
          <w:szCs w:val="22"/>
        </w:rPr>
        <w:t>, HOA). Ihre Satzung kann Zahl, Gewicht und Rassen begrenzen; lies sie vor dem Kauf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xml:space="preserve">). Assistenzhunde für Menschen mit Behinderung unterliegen Sonderregeln des </w:t>
      </w:r>
      <w:r>
        <w:rPr>
          <w:rFonts w:eastAsia="Cambria" w:cs="Cambria"/>
          <w:b w:val="false"/>
          <w:bCs w:val="false"/>
          <w:i/>
          <w:iCs/>
          <w:sz w:val="22"/>
          <w:szCs w:val="22"/>
        </w:rPr>
        <w:t>Fair Housing Act</w:t>
      </w:r>
      <w:r>
        <w:rPr>
          <w:rFonts w:eastAsia="Cambria" w:cs="Cambria"/>
          <w:b w:val="false"/>
          <w:bCs w:val="false"/>
          <w:i w:val="false"/>
          <w:iCs w:val="false"/>
          <w:sz w:val="22"/>
          <w:szCs w:val="22"/>
        </w:rPr>
        <w:t>, des Bundesgesetzes gegen Diskriminierung beim Wohnen; ihre Halter zahlen in der Regel keine Haustiergebühren. Ein Schlupfloch für gewöhnliche Haustiere ist das nicht.</w:t>
      </w:r>
    </w:p>
    <w:p>
      <w:pPr>
        <w:pStyle w:val="Heading3"/>
        <w:keepNext w:val="true"/>
        <w:spacing w:before="280" w:after="100"/>
        <w:jc w:val="center"/>
        <w:rPr/>
      </w:pPr>
      <w:r>
        <w:rPr>
          <w:rFonts w:eastAsia="Amazon Ember" w:cs="Amazon Ember" w:ascii="Amazon Ember" w:hAnsi="Amazon Ember"/>
          <w:b/>
          <w:bCs/>
          <w:color w:val="0000FF"/>
          <w:sz w:val="36"/>
          <w:szCs w:val="36"/>
        </w:rPr>
        <w:t>Alltag: Tierarzt, Versicherung, Lizenz, Leine</w:t>
      </w:r>
    </w:p>
    <w:p>
      <w:pPr>
        <w:pStyle w:val="Normal"/>
        <w:keepNext w:val="false"/>
        <w:keepLines w:val="false"/>
        <w:spacing w:lineRule="exact" w:line="288" w:before="0" w:after="140"/>
        <w:jc w:val="left"/>
        <w:rPr/>
      </w:pPr>
      <w:r>
        <w:rPr>
          <w:rFonts w:eastAsia="Cambria" w:cs="Cambria"/>
          <w:b/>
          <w:bCs/>
          <w:i w:val="false"/>
          <w:iCs w:val="false"/>
          <w:sz w:val="22"/>
          <w:szCs w:val="22"/>
        </w:rPr>
        <w:t>Kosten.</w:t>
      </w:r>
      <w:r>
        <w:rPr>
          <w:rFonts w:eastAsia="Cambria" w:cs="Cambria"/>
          <w:b w:val="false"/>
          <w:bCs w:val="false"/>
          <w:i w:val="false"/>
          <w:iCs w:val="false"/>
          <w:sz w:val="22"/>
          <w:szCs w:val="22"/>
        </w:rPr>
        <w:t xml:space="preserve"> Ein Hund kostet in den USA laut Ratgebern 1.200–4.300 $ pro Jahr: kleine Hunde 1.400–1.800 $, mittlere 1.800–2.400 $, große 2.400–3.200 $. Auf Routine beim Tierarzt (Impfungen, Vorsorge, Parasitenschutz) entfallen 530–1.500 $. Eine bundesweite Gebührenordnung wie die deutsche Gebührenordnung für Tierärzte (GOT) gibt es nicht; wer feste Sätze gewohnt ist, muss hier freundlich, aber bestimmt verhandeln lernen. Verlange deshalb vor jeder Behandlung einen Kostenvoranschlag (</w:t>
      </w:r>
      <w:r>
        <w:rPr>
          <w:rFonts w:eastAsia="Cambria" w:cs="Cambria"/>
          <w:b w:val="false"/>
          <w:bCs w:val="false"/>
          <w:i/>
          <w:iCs/>
          <w:sz w:val="22"/>
          <w:szCs w:val="22"/>
        </w:rPr>
        <w:t>Estimate</w:t>
      </w:r>
      <w:r>
        <w:rPr>
          <w:rFonts w:eastAsia="Cambria" w:cs="Cambria"/>
          <w:b w:val="false"/>
          <w:bCs w:val="false"/>
          <w:i w:val="false"/>
          <w:iCs w:val="false"/>
          <w:sz w:val="22"/>
          <w:szCs w:val="22"/>
        </w:rPr>
        <w:t>). Notfallkliniken sind deutlich teurer, ein verschluckter Fremdkörper oder ein Kreuzbandriss kostet schnell mehrere Tausend Dollar. In vielen Regionen gehört eine monatliche Herzwurm-Vorsorge (</w:t>
      </w:r>
      <w:r>
        <w:rPr>
          <w:rFonts w:eastAsia="Cambria" w:cs="Cambria"/>
          <w:b w:val="false"/>
          <w:bCs w:val="false"/>
          <w:i/>
          <w:iCs/>
          <w:sz w:val="22"/>
          <w:szCs w:val="22"/>
        </w:rPr>
        <w:t>Heartworm Prevention</w:t>
      </w:r>
      <w:r>
        <w:rPr>
          <w:rFonts w:eastAsia="Cambria" w:cs="Cambria"/>
          <w:b w:val="false"/>
          <w:bCs w:val="false"/>
          <w:i w:val="false"/>
          <w:iCs w:val="false"/>
          <w:sz w:val="22"/>
          <w:szCs w:val="22"/>
        </w:rPr>
        <w:t>) zum Standard; frage den Tierarzt.</w:t>
      </w:r>
    </w:p>
    <w:p>
      <w:pPr>
        <w:pStyle w:val="Normal"/>
        <w:keepNext w:val="false"/>
        <w:keepLines w:val="false"/>
        <w:spacing w:lineRule="exact" w:line="288" w:before="0" w:after="140"/>
        <w:jc w:val="left"/>
        <w:rPr/>
      </w:pPr>
      <w:r>
        <w:rPr>
          <w:rFonts w:eastAsia="Cambria" w:cs="Cambria"/>
          <w:b/>
          <w:bCs/>
          <w:i w:val="false"/>
          <w:iCs w:val="false"/>
          <w:sz w:val="22"/>
          <w:szCs w:val="22"/>
        </w:rPr>
        <w:t>Tierversicherung.</w:t>
      </w:r>
      <w:r>
        <w:rPr>
          <w:rFonts w:eastAsia="Cambria" w:cs="Cambria"/>
          <w:b w:val="false"/>
          <w:bCs w:val="false"/>
          <w:i w:val="false"/>
          <w:iCs w:val="false"/>
          <w:sz w:val="22"/>
          <w:szCs w:val="22"/>
        </w:rPr>
        <w:t xml:space="preserve"> Eine Krankenversicherung für Hunde kostet etwa 52–70 $ im Monat (rund 620–840 $ im Jahr). Sie erstattet meist erst nach der Behandlung, du legst also aus; Vorerkrankungen sind in der Regel ausgeschlossen. Schließe sie früh ab, solange das Tier gesund ist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Lizenz und Leine.</w:t>
      </w:r>
      <w:r>
        <w:rPr>
          <w:rFonts w:eastAsia="Cambria" w:cs="Cambria"/>
          <w:b w:val="false"/>
          <w:bCs w:val="false"/>
          <w:i w:val="false"/>
          <w:iCs w:val="false"/>
          <w:sz w:val="22"/>
          <w:szCs w:val="22"/>
        </w:rPr>
        <w:t xml:space="preserve"> Eine Hundesteuer wie in Deutschland gibt es nicht; stattdessen kostet die jährliche Hundelizenz (</w:t>
      </w:r>
      <w:r>
        <w:rPr>
          <w:rFonts w:eastAsia="Cambria" w:cs="Cambria"/>
          <w:b w:val="false"/>
          <w:bCs w:val="false"/>
          <w:i/>
          <w:iCs/>
          <w:sz w:val="22"/>
          <w:szCs w:val="22"/>
        </w:rPr>
        <w:t>Dog License</w:t>
      </w:r>
      <w:r>
        <w:rPr>
          <w:rFonts w:eastAsia="Cambria" w:cs="Cambria"/>
          <w:b w:val="false"/>
          <w:bCs w:val="false"/>
          <w:i w:val="false"/>
          <w:iCs w:val="false"/>
          <w:sz w:val="22"/>
          <w:szCs w:val="22"/>
        </w:rPr>
        <w:t>) meist einen niedrigen zweistelligen Betrag, für kastrierte Hunde weniger. Voraussetzung ist fast überall ein gültiger Tollwutimpfnachweis; in Maricopa County (Phoenix) bringt ein Kastrationsnachweis den ermäßigten Tarif. Frage bei der Kommune, ob dein deutscher Impfnachweis genügt, sonst impft der US-Tierarzt nach. Lizenz, Leinenpflicht und Haftung regeln Bundesstaaten, Countys und Städte selbst. Meist gilt: Leine außerhalb des eigenen Grundstücks, Freilauf nur in ausgewiesenen Hundeparks (</w:t>
      </w:r>
      <w:r>
        <w:rPr>
          <w:rFonts w:eastAsia="Cambria" w:cs="Cambria"/>
          <w:b w:val="false"/>
          <w:bCs w:val="false"/>
          <w:i/>
          <w:iCs/>
          <w:sz w:val="22"/>
          <w:szCs w:val="22"/>
        </w:rPr>
        <w:t>Dog Parks</w:t>
      </w:r>
      <w:r>
        <w:rPr>
          <w:rFonts w:eastAsia="Cambria" w:cs="Cambria"/>
          <w:b w:val="false"/>
          <w:bCs w:val="false"/>
          <w:i w:val="false"/>
          <w:iCs w:val="false"/>
          <w:sz w:val="22"/>
          <w:szCs w:val="22"/>
        </w:rPr>
        <w:t>), Kotbeutel Pflicht, in vielen Nationalparks kein Hund auf Wanderwegen.</w:t>
      </w:r>
    </w:p>
    <w:p>
      <w:pPr>
        <w:pStyle w:val="Normal"/>
        <w:keepNext w:val="false"/>
        <w:keepLines w:val="false"/>
        <w:spacing w:lineRule="exact" w:line="288" w:before="0" w:after="140"/>
        <w:jc w:val="left"/>
        <w:rPr/>
      </w:pPr>
      <w:r>
        <w:rPr>
          <w:rFonts w:eastAsia="Cambria" w:cs="Cambria"/>
          <w:b/>
          <w:bCs/>
          <w:i w:val="false"/>
          <w:iCs w:val="false"/>
          <w:sz w:val="22"/>
          <w:szCs w:val="22"/>
        </w:rPr>
        <w:t>Hitze.</w:t>
      </w:r>
      <w:r>
        <w:rPr>
          <w:rFonts w:eastAsia="Cambria" w:cs="Cambria"/>
          <w:b w:val="false"/>
          <w:bCs w:val="false"/>
          <w:i w:val="false"/>
          <w:iCs w:val="false"/>
          <w:sz w:val="22"/>
          <w:szCs w:val="22"/>
        </w:rPr>
        <w:t xml:space="preserve"> Lass ein Tier nie im geparkten Auto: Zahlreiche Bundesstaaten stellen das unter Strafe, und der Innenraum erreicht binnen Minuten lebensgefährliche Temperaturen. Asphalt kann sich im Sommer auf 60 °C und mehr aufheizen; geh früh oder spät Gassi und prüfe den Boden mit dem Handrücken.</w:t>
      </w:r>
    </w:p>
    <w:p>
      <w:pPr>
        <w:pStyle w:val="Heading3"/>
        <w:keepNext w:val="true"/>
        <w:spacing w:before="280" w:after="100"/>
        <w:jc w:val="center"/>
        <w:rPr/>
      </w:pPr>
      <w:r>
        <w:rPr>
          <w:rFonts w:eastAsia="Amazon Ember" w:cs="Amazon Ember" w:ascii="Amazon Ember" w:hAnsi="Amazon Ember"/>
          <w:b/>
          <w:bCs/>
          <w:color w:val="0000FF"/>
          <w:sz w:val="36"/>
          <w:szCs w:val="36"/>
        </w:rPr>
        <w:t>Rückreise nach Europa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der Weg zurück will geplant sein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 Laut APHIS (Seite vom 2. September 2026) gilt für Hunde und Katzen bei nicht gewerblicher Reise mit höchstens fünf Tieren:</w:t>
      </w:r>
    </w:p>
    <w:p>
      <w:pPr>
        <w:pStyle w:val="ListParagraph"/>
        <w:numPr>
          <w:ilvl w:val="0"/>
          <w:numId w:val="1"/>
        </w:numPr>
        <w:spacing w:lineRule="exact" w:line="288" w:before="0" w:after="60"/>
        <w:rPr/>
      </w:pPr>
      <w:r>
        <w:rPr>
          <w:rFonts w:eastAsia="Cambria" w:cs="Cambria"/>
          <w:b w:val="false"/>
          <w:bCs w:val="false"/>
          <w:i w:val="false"/>
          <w:iCs w:val="false"/>
          <w:sz w:val="22"/>
          <w:szCs w:val="22"/>
        </w:rPr>
        <w:t>Ein USDA-akkreditierter Tierarzt stellt das EU-Gesundheitszertifikat aus, das über das Online-System VEHCS eingereicht und von APHIS beglaubigt wird. Die Beglaubigung muss innerhalb von zehn Tagen vor der Ankunft in der EU erfolgen; das Zeugnis gilt 30 Tage ab Ausstellung.</w:t>
      </w:r>
    </w:p>
    <w:p>
      <w:pPr>
        <w:pStyle w:val="ListParagraph"/>
        <w:numPr>
          <w:ilvl w:val="0"/>
          <w:numId w:val="1"/>
        </w:numPr>
        <w:spacing w:lineRule="exact" w:line="288" w:before="0" w:after="60"/>
        <w:rPr/>
      </w:pPr>
      <w:r>
        <w:rPr>
          <w:rFonts w:eastAsia="Cambria" w:cs="Cambria"/>
          <w:b w:val="false"/>
          <w:bCs w:val="false"/>
          <w:i w:val="false"/>
          <w:iCs w:val="false"/>
          <w:sz w:val="22"/>
          <w:szCs w:val="22"/>
        </w:rPr>
        <w:t>Der ISO-Chip muss vor der Tollwutimpfung sitzen. Nach der Erstimpfung gilt eine Wartezeit von mindestens 21 Tagen (oder die vom Impfstoffhersteller genannte Zeit); für rechtzeitige Auffrischungen gibt es keine neue Wartezeit. Einen Titertest nennt APHIS für Hunde und Katzen nicht.</w:t>
      </w:r>
    </w:p>
    <w:p>
      <w:pPr>
        <w:pStyle w:val="ListParagraph"/>
        <w:numPr>
          <w:ilvl w:val="0"/>
          <w:numId w:val="1"/>
        </w:numPr>
        <w:spacing w:lineRule="exact" w:line="288" w:before="0" w:after="60"/>
        <w:rPr/>
      </w:pPr>
      <w:r>
        <w:rPr>
          <w:rFonts w:eastAsia="Cambria" w:cs="Cambria"/>
          <w:b w:val="false"/>
          <w:bCs w:val="false"/>
          <w:i w:val="false"/>
          <w:iCs w:val="false"/>
          <w:sz w:val="22"/>
          <w:szCs w:val="22"/>
        </w:rPr>
        <w:t>Ob ein in Deutschland ausgestellter EU-Heimtierausweis das Zeugnis ersetzt, klärst du vorab mit APHIS und deinem Tierarzt.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in den USA einen Hund adoptiert, sollte die Rückreise mitdenken. Deutsches Bundesrecht untersagt die Einfuhr bestimmter Rassen und ihrer Kreuzungen, darunter Pitbull Terrier, American Staffordshire Terrier, Staffordshire Bullterrier und Bullterrier; mehrere Bundesländer führen eigene Listen. Prüfe das vor der Adoption beim Zoll und bei der Landesbehörde.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 Hund bleibt in der Familie, das erleichtert vor allem Kindern das Ankommen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Reisekosten von 500 $ bis mehrere Tausend Dollar pro Tier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Für Hunde aus Deutschland genügt bundesweit ein kostenloses Online-Formular, kein Bluttest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Hitzesperren und Kurzkopf-Regeln können Termin und Route bestimmen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Rund 80 % der Mietwohnungen erlauben Tiere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Haustiermiete, Kaution und Gebühren verteuern das Wohnen, Rassenlisten schließen manche Hunde aus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Hundeparks gehören in vielen Städten zum Standard</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Tierarztpreise sind nicht gedeckelt, Notfälle werden schnell vierstellig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Tierversicherungen federn hohe Rechnungen ab</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Rückreise verlangt ein neues Zeugnis mit APHIS-Beglaubigung und straffe Fristen</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Chip prüfen: 15-stellige ISO-Nummer lesbar, in Heimtierausweis und Register eingetragen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Airline schriftlich fragen: Kabine oder Frachtraum, Gewicht, Kurzkopf- und Hitzeregeln, Anmeldefrist, Zeugnis</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Drei bis vier Monate vor Abflug zum Tierarzt: Flugtauglichkeit, Tollwutimpfung aktuell</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Prüfen, ob der Hund in den letzten sechs Monaten in einem Hochrisikoland war</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Transportbox kaufen und mehrere Wochen vorher gewöhnen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CDC Dog Import Form pro Hund ausfüllen, Quittung ausdrucken und digital speichern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Gesundheitszeugnis nach Airline-Vorgabe besorgen (beim Abflug höchstens zehn Tage alt)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Tierregeln, Rassenliste, Haustiermiete und Kaution klären, bevor du dich für Wohnung oder Übergangsunterkunft bewirbst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Papiermappe ins Handgepäck legen und den Abholort am Zielflughafen erfragen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Nach der Ankunft Tierarzt suchen, Lizenz beantragen, Chipregister aktualisieren, Versicherung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Für die Rückreise Impfstatus und Chip dokumentieren und die APHIS-Regeln früh ansehen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CDC — Einfuhr von Hunden und Katzen, Hochrisikoländer, Dog Import Form (</w:t>
      </w:r>
      <w:hyperlink r:id="rId211">
        <w:r>
          <w:rPr>
            <w:rStyle w:val="ListLabel113"/>
            <w:rFonts w:eastAsia="Cambria" w:cs="Cambria"/>
            <w:b w:val="false"/>
            <w:bCs w:val="false"/>
            <w:i w:val="false"/>
            <w:iCs w:val="false"/>
            <w:color w:val="0563C1"/>
            <w:sz w:val="22"/>
            <w:szCs w:val="22"/>
            <w:u w:val="single"/>
          </w:rPr>
          <w:t>cdc.gov/importation</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USDA APHIS — Reisen mit Haustieren, Rückreise in die EU (</w:t>
      </w:r>
      <w:hyperlink r:id="rId212">
        <w:r>
          <w:rPr>
            <w:rStyle w:val="ListLabel113"/>
            <w:rFonts w:eastAsia="Cambria" w:cs="Cambria"/>
            <w:b w:val="false"/>
            <w:bCs w:val="false"/>
            <w:i w:val="false"/>
            <w:iCs w:val="false"/>
            <w:color w:val="0563C1"/>
            <w:sz w:val="22"/>
            <w:szCs w:val="22"/>
            <w:u w:val="single"/>
          </w:rPr>
          <w:t>aphis.usda.gov/pet-travel</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Hawaii Department of Agriculture — Quarantäneprogramm für Tiere (</w:t>
      </w:r>
      <w:hyperlink r:id="rId213">
        <w:r>
          <w:rPr>
            <w:rStyle w:val="ListLabel113"/>
            <w:rFonts w:eastAsia="Cambria" w:cs="Cambria"/>
            <w:b w:val="false"/>
            <w:bCs w:val="false"/>
            <w:i w:val="false"/>
            <w:iCs w:val="false"/>
            <w:color w:val="0563C1"/>
            <w:sz w:val="22"/>
            <w:szCs w:val="22"/>
            <w:u w:val="single"/>
          </w:rPr>
          <w:t>dab.hawaii.gov/ai</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Maricopa County — Hundelizenz als Beispiel (</w:t>
      </w:r>
      <w:hyperlink r:id="rId214">
        <w:r>
          <w:rPr>
            <w:rStyle w:val="ListLabel113"/>
            <w:rFonts w:eastAsia="Cambria" w:cs="Cambria"/>
            <w:b w:val="false"/>
            <w:bCs w:val="false"/>
            <w:i w:val="false"/>
            <w:iCs w:val="false"/>
            <w:color w:val="0563C1"/>
            <w:sz w:val="22"/>
            <w:szCs w:val="22"/>
            <w:u w:val="single"/>
          </w:rPr>
          <w:t>maricopa.gov/226/Dog-License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 Fish and Wildlife Service — Einfuhr geschützter Arten (</w:t>
      </w:r>
      <w:hyperlink r:id="rId215">
        <w:r>
          <w:rPr>
            <w:rStyle w:val="ListLabel113"/>
            <w:rFonts w:eastAsia="Cambria" w:cs="Cambria"/>
            <w:b w:val="false"/>
            <w:bCs w:val="false"/>
            <w:i w:val="false"/>
            <w:iCs w:val="false"/>
            <w:color w:val="0563C1"/>
            <w:sz w:val="22"/>
            <w:szCs w:val="22"/>
            <w:u w:val="single"/>
          </w:rPr>
          <w:t>fws.gov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Zoll — Einreise mit Heimtieren nach Deutschland (</w:t>
      </w:r>
      <w:hyperlink r:id="rId216">
        <w:r>
          <w:rPr>
            <w:rStyle w:val="ListLabel113"/>
            <w:rFonts w:eastAsia="Cambria" w:cs="Cambria"/>
            <w:b w:val="false"/>
            <w:bCs w:val="false"/>
            <w:i w:val="false"/>
            <w:iCs w:val="false"/>
            <w:color w:val="0563C1"/>
            <w:sz w:val="22"/>
            <w:szCs w:val="22"/>
            <w:u w:val="single"/>
          </w:rPr>
          <w:t>zoll.de</w:t>
        </w:r>
      </w:hyperlink>
      <w:r>
        <w:rPr>
          <w:rFonts w:eastAsia="Cambria" w:cs="Cambria"/>
          <w:b w:val="false"/>
          <w:bCs w:val="false"/>
          <w:i w:val="false"/>
          <w:iCs w:val="false"/>
          <w:sz w:val="22"/>
          <w:szCs w:val="22"/>
        </w:rPr>
        <w:t>, Suchbegriff „Heimtiere“)</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ListParagraph"/>
              <w:numPr>
                <w:ilvl w:val="0"/>
                <w:numId w:val="149"/>
              </w:numPr>
              <w:spacing w:lineRule="exact" w:line="264" w:before="0" w:after="50"/>
              <w:rPr/>
            </w:pPr>
            <w:r>
              <w:rPr>
                <w:rFonts w:eastAsia="Cambria" w:cs="Cambria"/>
                <w:b w:val="false"/>
                <w:bCs w:val="false"/>
                <w:i w:val="false"/>
                <w:iCs w:val="false"/>
                <w:sz w:val="20"/>
                <w:szCs w:val="20"/>
              </w:rPr>
              <w:t>September 2026. Die CDC-Seite zu Hunden aus Ländern ohne Hochrisiko-Einstufung trägt das Datum 22. Juli 2024, die Hochrisikoliste den 15. April 2026. Schnell ändern sich Airline-Regeln (Gewicht, Hitze, Kurzkopf-Rassen, Gebühren), die Preise für Fracht und Tiertransport, Haustiermiete und Rassenlisten der Vermieter, kommunale Lizenzgebühren sowie Fristen der Hawaii- und APHIS-Verfahren. Prüfe vor jeder Buchung CDC, APHIS und deine Airline.</w:t>
            </w:r>
          </w:p>
        </w:tc>
      </w:tr>
    </w:tbl>
    <w:p>
      <w:pPr>
        <w:sectPr>
          <w:footerReference w:type="even" r:id="rId217"/>
          <w:footerReference w:type="default" r:id="rId218"/>
          <w:footerReference w:type="first" r:id="rId219"/>
          <w:type w:val="nextPage"/>
          <w:pgSz w:w="8640" w:h="12983"/>
          <w:pgMar w:left="1080" w:right="1080" w:gutter="0" w:header="0" w:top="1080" w:footer="708" w:bottom="1100"/>
          <w:pgNumType w:fmt="decimal"/>
          <w:formProt w:val="false"/>
          <w:textDirection w:val="lrTb"/>
          <w:docGrid w:type="default" w:linePitch="360" w:charSpace="4096"/>
        </w:sectPr>
        <w:pStyle w:val="Normal"/>
        <w:spacing w:lineRule="exact" w:line="220" w:before="0" w:after="0"/>
        <w:rPr/>
      </w:pPr>
      <w:r>
        <w:rPr/>
      </w:r>
    </w:p>
    <w:p>
      <w:pPr>
        <w:pStyle w:val="Heading1"/>
        <w:spacing w:before="0" w:after="360"/>
        <w:jc w:val="center"/>
        <w:rPr/>
      </w:pPr>
      <w:bookmarkStart w:id="58" w:name="__RefHeading___Toc56481_3769931028"/>
      <w:bookmarkEnd w:id="58"/>
      <w:r>
        <w:rPr>
          <w:rFonts w:eastAsia="Amazon Ember" w:cs="Amazon Ember" w:ascii="Amazon Ember" w:hAnsi="Amazon Ember"/>
          <w:b/>
          <w:bCs/>
          <w:color w:val="0000FF"/>
        </w:rPr>
        <w:t>TEIL VI — Ankommen</w:t>
      </w:r>
    </w:p>
    <w:p>
      <w:pPr>
        <w:sectPr>
          <w:footerReference w:type="even" r:id="rId220"/>
          <w:footerReference w:type="default" r:id="rId221"/>
          <w:footerReference w:type="first" r:id="rId222"/>
          <w:type w:val="nextPage"/>
          <w:pgSz w:w="8640" w:h="12983"/>
          <w:pgMar w:left="1080" w:right="1080" w:gutter="0" w:header="0" w:top="1080" w:footer="708" w:bottom="1100"/>
          <w:pgNumType w:fmt="decimal"/>
          <w:formProt w:val="false"/>
          <w:vAlign w:val="center"/>
          <w:textDirection w:val="lrTb"/>
          <w:docGrid w:type="default" w:linePitch="360" w:charSpace="4096"/>
        </w:sectPr>
        <w:pStyle w:val="Normal"/>
        <w:spacing w:lineRule="exact" w:line="300" w:before="0" w:after="160"/>
        <w:ind w:left="400" w:right="400"/>
        <w:jc w:val="center"/>
        <w:rPr/>
      </w:pPr>
      <w:r>
        <w:rPr>
          <w:rFonts w:eastAsia="Cambria" w:cs="Cambria"/>
          <w:b w:val="false"/>
          <w:bCs w:val="false"/>
          <w:i/>
          <w:iCs/>
          <w:sz w:val="24"/>
          <w:szCs w:val="24"/>
        </w:rPr>
        <w:t>Die ersten Tage und Wochen: Einreise, Sozialversicherungsnummer, Bank, Krankenversicherung, Führerschein und Steuern.</w:t>
      </w:r>
      <w:r>
        <w:br w:type="page"/>
      </w:r>
    </w:p>
    <w:p>
      <w:pPr>
        <w:pStyle w:val="Heading2"/>
        <w:keepNext w:val="true"/>
        <w:spacing w:before="0" w:after="300"/>
        <w:jc w:val="center"/>
        <w:rPr/>
      </w:pPr>
      <w:bookmarkStart w:id="59" w:name="__RefHeading___Toc56483_3769931028"/>
      <w:bookmarkStart w:id="60" w:name="k23"/>
      <w:bookmarkEnd w:id="59"/>
      <w:r>
        <w:rPr>
          <w:rFonts w:eastAsia="Amazon Ember" w:cs="Amazon Ember" w:ascii="Amazon Ember" w:hAnsi="Amazon Ember"/>
          <w:b/>
          <w:bCs/>
          <w:color w:val="0000FF"/>
          <w:sz w:val="36"/>
          <w:szCs w:val="36"/>
        </w:rPr>
        <w:t>Kapitel 23: Landung, Einreise und die ersten 72 Stunden</w:t>
      </w:r>
      <w:bookmarkEnd w:id="60"/>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Augen brennen vom Nachtflug, im Rollkoffer klappert irgendetwas Loses, und die Schlange vor dir rückt nur im Minutentakt vor – dann stehst du vor einer Glaskabine. Der Beamte prüft dein Visum, macht ein Foto und stellt ein paar Fragen. Was er dabei erfasst, legt fest, welchen Status du bekommst und bis wann er gilt. Danach beginnen die ersten 72 Stunden mit Jetlag, Unterkunft, Handy, Geld und Papierkram. Dieses Kapitel gibt dir die Reihenfolge.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Das Visum bringt dich an die Grenze; Status und Ablaufdatum legt der Grenzschutz (CBP) fest, beides im elektronischen </w:t>
            </w:r>
            <w:r>
              <w:rPr>
                <w:rFonts w:eastAsia="Cambria" w:cs="Cambria"/>
                <w:b w:val="false"/>
                <w:bCs w:val="false"/>
                <w:i/>
                <w:iCs/>
                <w:sz w:val="20"/>
                <w:szCs w:val="20"/>
              </w:rPr>
              <w:t>Form I-94</w:t>
            </w:r>
            <w:r>
              <w:rPr>
                <w:rFonts w:eastAsia="Cambria" w:cs="Cambria"/>
                <w:b w:val="false"/>
                <w:bCs w:val="false"/>
                <w:i w:val="false"/>
                <w:iCs w:val="false"/>
                <w:sz w:val="20"/>
                <w:szCs w:val="20"/>
              </w:rPr>
              <w:t>, dem Einreisenachweis.</w:t>
            </w:r>
          </w:p>
          <w:p>
            <w:pPr>
              <w:pStyle w:val="ListParagraph"/>
              <w:numPr>
                <w:ilvl w:val="0"/>
                <w:numId w:val="1"/>
              </w:numPr>
              <w:spacing w:lineRule="exact" w:line="264" w:before="0" w:after="50"/>
              <w:rPr/>
            </w:pPr>
            <w:r>
              <w:rPr>
                <w:rFonts w:eastAsia="Cambria" w:cs="Cambria"/>
                <w:b w:val="false"/>
                <w:bCs w:val="false"/>
                <w:i w:val="false"/>
                <w:iCs w:val="false"/>
                <w:sz w:val="20"/>
                <w:szCs w:val="20"/>
              </w:rPr>
              <w:t>Für H-1B darfst du frühestens 10 Tage vor Petitionsbeginn landen; arbeiten darfst du erst ab dem Startdatum.</w:t>
            </w:r>
          </w:p>
          <w:p>
            <w:pPr>
              <w:pStyle w:val="ListParagraph"/>
              <w:numPr>
                <w:ilvl w:val="0"/>
                <w:numId w:val="1"/>
              </w:numPr>
              <w:spacing w:lineRule="exact" w:line="264" w:before="0" w:after="50"/>
              <w:rPr/>
            </w:pPr>
            <w:r>
              <w:rPr>
                <w:rFonts w:eastAsia="Cambria" w:cs="Cambria"/>
                <w:b w:val="false"/>
                <w:bCs w:val="false"/>
                <w:i w:val="false"/>
                <w:iCs w:val="false"/>
                <w:sz w:val="20"/>
                <w:szCs w:val="20"/>
              </w:rPr>
              <w:t>Alle Papiere gehören ins Handgepäck; den I-94 rufst du noch am Ankunftstag online ab.</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Am ersten Arbeitstag brauchst du Originale für die </w:t>
            </w:r>
            <w:r>
              <w:rPr>
                <w:rFonts w:eastAsia="Cambria" w:cs="Cambria"/>
                <w:b w:val="false"/>
                <w:bCs w:val="false"/>
                <w:i/>
                <w:iCs/>
                <w:sz w:val="20"/>
                <w:szCs w:val="20"/>
              </w:rPr>
              <w:t>Form I-9</w:t>
            </w:r>
            <w:r>
              <w:rPr>
                <w:rFonts w:eastAsia="Cambria" w:cs="Cambria"/>
                <w:b w:val="false"/>
                <w:bCs w:val="false"/>
                <w:i w:val="false"/>
                <w:iCs w:val="false"/>
                <w:sz w:val="20"/>
                <w:szCs w:val="20"/>
              </w:rPr>
              <w:t xml:space="preserve"> (Nachweis der Arbeitserlaubnis), ein W-4 und Bankdaten.</w:t>
            </w:r>
          </w:p>
          <w:p>
            <w:pPr>
              <w:pStyle w:val="ListParagraph"/>
              <w:numPr>
                <w:ilvl w:val="0"/>
                <w:numId w:val="1"/>
              </w:numPr>
              <w:spacing w:lineRule="exact" w:line="264" w:before="0" w:after="50"/>
              <w:rPr/>
            </w:pPr>
            <w:r>
              <w:rPr>
                <w:rFonts w:eastAsia="Cambria" w:cs="Cambria"/>
                <w:b w:val="false"/>
                <w:bCs w:val="false"/>
                <w:i w:val="false"/>
                <w:iCs w:val="false"/>
                <w:sz w:val="20"/>
                <w:szCs w:val="20"/>
              </w:rPr>
              <w:t>Der Notruf lautet 911. Betrüger suchen gezielt Neuankömmlinge.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Frühester Einreisetag und Flugbuchung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H-1B gilt: frühestens 10 Tage vor Beginn des Gültigkeitszeitraums deiner Petition einreisen. Das Von-Datum steht im Genehmigungsbescheid (</w:t>
      </w:r>
      <w:r>
        <w:rPr>
          <w:rFonts w:eastAsia="Cambria" w:cs="Cambria"/>
          <w:b w:val="false"/>
          <w:bCs w:val="false"/>
          <w:i/>
          <w:iCs/>
          <w:sz w:val="22"/>
          <w:szCs w:val="22"/>
        </w:rPr>
        <w:t>Form I-797</w:t>
      </w:r>
      <w:r>
        <w:rPr>
          <w:rFonts w:eastAsia="Cambria" w:cs="Cambria"/>
          <w:b w:val="false"/>
          <w:bCs w:val="false"/>
          <w:i w:val="false"/>
          <w:iCs w:val="false"/>
          <w:sz w:val="22"/>
          <w:szCs w:val="22"/>
        </w:rPr>
        <w:t xml:space="preserve">, </w:t>
      </w:r>
      <w:r>
        <w:rPr>
          <w:rFonts w:eastAsia="Cambria" w:cs="Cambria"/>
          <w:b w:val="false"/>
          <w:bCs w:val="false"/>
          <w:i/>
          <w:iCs/>
          <w:sz w:val="22"/>
          <w:szCs w:val="22"/>
        </w:rPr>
        <w:t>Approval Notice</w:t>
      </w:r>
      <w:r>
        <w:rPr>
          <w:rFonts w:eastAsia="Cambria" w:cs="Cambria"/>
          <w:b w:val="false"/>
          <w:bCs w:val="false"/>
          <w:i w:val="false"/>
          <w:iCs w:val="false"/>
          <w:sz w:val="22"/>
          <w:szCs w:val="22"/>
        </w:rPr>
        <w:t>, USCIS). Beginnt der Zeitraum am 1. Oktober, ist der 21. September der früheste Landetag; früher kommt niemand im H-1B-Status durch. Nach dem Ende bleiben 10 Tage Puffer zum Ausreisen, nicht zum Weiterarbeiten. H-4-Familienmitglieder reisen meist im selben Zeitraum ein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Buche den Flug erst nach dem Visum im Pass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 mit ein bis zwei Tagen Puffer vor dem Startdatum: So kostet ein gestrichener Anschlussflug nicht den ersten Arbeitstag. Das Zehn-Tage-Fenster auszunutzen ist Abwägungssache (siehe Plus und Minus).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Arbeite nicht vor dem Startdatum der Petition, auch nicht unbezahlt oder aus dem Hotel — das kann als unerlaubte Beschäftigung gelten und deinen Status gefährden. Lege Onboarding-Termine auf das Startdatum oder danach.</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ins Handgepäck gehört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Koffer kann Stunden oder Tage nach dir ankommen, die Papiere dürfen es nicht: Packe alles Folgende in eine Handgepäck-Mappe und fotografiere jede Seite für eine Cloud.</w:t>
      </w:r>
    </w:p>
    <w:tbl>
      <w:tblPr>
        <w:tblW w:w="6480" w:type="dxa"/>
        <w:jc w:val="left"/>
        <w:tblInd w:w="0" w:type="dxa"/>
        <w:tblLayout w:type="fixed"/>
        <w:tblCellMar>
          <w:top w:w="50" w:type="dxa"/>
          <w:left w:w="80" w:type="dxa"/>
          <w:bottom w:w="50" w:type="dxa"/>
          <w:right w:w="80" w:type="dxa"/>
        </w:tblCellMar>
      </w:tblPr>
      <w:tblGrid>
        <w:gridCol w:w="3902"/>
        <w:gridCol w:w="2577"/>
      </w:tblGrid>
      <w:tr>
        <w:trPr>
          <w:tblHeader w:val="true"/>
          <w:cantSplit w:val="true"/>
        </w:trPr>
        <w:tc>
          <w:tcPr>
            <w:tcW w:w="390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Dokument</w:t>
            </w:r>
          </w:p>
        </w:tc>
        <w:tc>
          <w:tcPr>
            <w:tcW w:w="257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Wozu</w:t>
            </w:r>
          </w:p>
        </w:tc>
      </w:tr>
      <w:tr>
        <w:trPr>
          <w:cantSplit w:val="true"/>
        </w:trPr>
        <w:tc>
          <w:tcPr>
            <w:tcW w:w="39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Reisepass mit Visum, für jedes Familienmitglied</w:t>
            </w:r>
          </w:p>
        </w:tc>
        <w:tc>
          <w:tcPr>
            <w:tcW w:w="25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Einreise</w:t>
            </w:r>
          </w:p>
        </w:tc>
      </w:tr>
      <w:tr>
        <w:trPr>
          <w:cantSplit w:val="true"/>
        </w:trPr>
        <w:tc>
          <w:tcPr>
            <w:tcW w:w="39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Genehmigungsbescheid Form I-797, Original</w:t>
            </w:r>
          </w:p>
        </w:tc>
        <w:tc>
          <w:tcPr>
            <w:tcW w:w="25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Belegt Arbeitgeber, Zeitraum, Kategorie</w:t>
            </w:r>
          </w:p>
        </w:tc>
      </w:tr>
      <w:tr>
        <w:trPr>
          <w:cantSplit w:val="true"/>
        </w:trPr>
        <w:tc>
          <w:tcPr>
            <w:tcW w:w="39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Arbeitgeberbrief mit Startdatum und Ansprechpartner in der Personalabteilung</w:t>
            </w:r>
          </w:p>
        </w:tc>
        <w:tc>
          <w:tcPr>
            <w:tcW w:w="25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Rückfragen zu Job und Start</w:t>
            </w:r>
          </w:p>
        </w:tc>
      </w:tr>
      <w:tr>
        <w:trPr>
          <w:cantSplit w:val="true"/>
        </w:trPr>
        <w:tc>
          <w:tcPr>
            <w:tcW w:w="39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Buchung der ersten Unterkunft</w:t>
            </w:r>
          </w:p>
        </w:tc>
        <w:tc>
          <w:tcPr>
            <w:tcW w:w="25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CBP fragt nach der Adresse</w:t>
            </w:r>
          </w:p>
        </w:tc>
      </w:tr>
      <w:tr>
        <w:trPr>
          <w:cantSplit w:val="true"/>
        </w:trPr>
        <w:tc>
          <w:tcPr>
            <w:tcW w:w="39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Heirats- und Geburtsurkunden, Originale (Kapitel </w:t>
            </w:r>
            <w:hyperlink w:anchor="k19">
              <w:r>
                <w:rPr>
                  <w:rStyle w:val="ListLabel112"/>
                  <w:rFonts w:eastAsia="Cambria" w:cs="Cambria"/>
                  <w:b w:val="false"/>
                  <w:bCs w:val="false"/>
                  <w:i w:val="false"/>
                  <w:iCs w:val="false"/>
                  <w:sz w:val="18"/>
                  <w:szCs w:val="18"/>
                </w:rPr>
                <w:t>19</w:t>
              </w:r>
            </w:hyperlink>
            <w:r>
              <w:rPr>
                <w:rFonts w:eastAsia="Cambria" w:cs="Cambria"/>
                <w:b w:val="false"/>
                <w:bCs w:val="false"/>
                <w:i w:val="false"/>
                <w:iCs w:val="false"/>
                <w:sz w:val="18"/>
                <w:szCs w:val="18"/>
              </w:rPr>
              <w:t>)</w:t>
            </w:r>
          </w:p>
        </w:tc>
        <w:tc>
          <w:tcPr>
            <w:tcW w:w="25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Familiennachweis für H-4, später Behörden</w:t>
            </w:r>
          </w:p>
        </w:tc>
      </w:tr>
      <w:tr>
        <w:trPr>
          <w:cantSplit w:val="true"/>
        </w:trPr>
        <w:tc>
          <w:tcPr>
            <w:tcW w:w="39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Impfausweise und Zeugnisse der Kinder</w:t>
            </w:r>
          </w:p>
        </w:tc>
        <w:tc>
          <w:tcPr>
            <w:tcW w:w="25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Schulanmeldung (Kapitel </w:t>
            </w:r>
            <w:hyperlink w:anchor="k36">
              <w:r>
                <w:rPr>
                  <w:rStyle w:val="ListLabel112"/>
                  <w:rFonts w:eastAsia="Cambria" w:cs="Cambria"/>
                  <w:b w:val="false"/>
                  <w:bCs w:val="false"/>
                  <w:i w:val="false"/>
                  <w:iCs w:val="false"/>
                  <w:sz w:val="18"/>
                  <w:szCs w:val="18"/>
                </w:rPr>
                <w:t>36</w:t>
              </w:r>
            </w:hyperlink>
            <w:r>
              <w:rPr>
                <w:rFonts w:eastAsia="Cambria" w:cs="Cambria"/>
                <w:b w:val="false"/>
                <w:bCs w:val="false"/>
                <w:i w:val="false"/>
                <w:iCs w:val="false"/>
                <w:sz w:val="18"/>
                <w:szCs w:val="18"/>
              </w:rPr>
              <w:t>)</w:t>
            </w:r>
          </w:p>
        </w:tc>
      </w:tr>
      <w:tr>
        <w:trPr>
          <w:cantSplit w:val="true"/>
        </w:trPr>
        <w:tc>
          <w:tcPr>
            <w:tcW w:w="39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Führerschein und Internationaler Führerschein</w:t>
            </w:r>
          </w:p>
        </w:tc>
        <w:tc>
          <w:tcPr>
            <w:tcW w:w="25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Mietwagen (Kapitel </w:t>
            </w:r>
            <w:hyperlink w:anchor="k27">
              <w:r>
                <w:rPr>
                  <w:rStyle w:val="ListLabel112"/>
                  <w:rFonts w:eastAsia="Cambria" w:cs="Cambria"/>
                  <w:b w:val="false"/>
                  <w:bCs w:val="false"/>
                  <w:i w:val="false"/>
                  <w:iCs w:val="false"/>
                  <w:sz w:val="18"/>
                  <w:szCs w:val="18"/>
                </w:rPr>
                <w:t>27</w:t>
              </w:r>
            </w:hyperlink>
            <w:r>
              <w:rPr>
                <w:rFonts w:eastAsia="Cambria" w:cs="Cambria"/>
                <w:b w:val="false"/>
                <w:bCs w:val="false"/>
                <w:i w:val="false"/>
                <w:iCs w:val="false"/>
                <w:sz w:val="18"/>
                <w:szCs w:val="18"/>
              </w:rPr>
              <w:t>)</w:t>
            </w:r>
          </w:p>
        </w:tc>
      </w:tr>
      <w:tr>
        <w:trPr>
          <w:cantSplit w:val="true"/>
        </w:trPr>
        <w:tc>
          <w:tcPr>
            <w:tcW w:w="39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Medikamente in Originalverpackung, Arztbrief</w:t>
            </w:r>
          </w:p>
        </w:tc>
        <w:tc>
          <w:tcPr>
            <w:tcW w:w="25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Vorrat bis zur Versicherung</w:t>
            </w:r>
          </w:p>
        </w:tc>
      </w:tr>
      <w:tr>
        <w:trPr>
          <w:cantSplit w:val="true"/>
        </w:trPr>
        <w:tc>
          <w:tcPr>
            <w:tcW w:w="39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Nummern von Personalabteilung und Einwanderungsanwalt auf Papier</w:t>
            </w:r>
          </w:p>
        </w:tc>
        <w:tc>
          <w:tcPr>
            <w:tcW w:w="25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Falls das Handy ausfällt</w:t>
            </w:r>
          </w:p>
        </w:tc>
      </w:tr>
      <w:tr>
        <w:trPr>
          <w:cantSplit w:val="true"/>
        </w:trPr>
        <w:tc>
          <w:tcPr>
            <w:tcW w:w="39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 Hund: Quittung des CDC Dog Import Form</w:t>
            </w:r>
          </w:p>
        </w:tc>
        <w:tc>
          <w:tcPr>
            <w:tcW w:w="25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Kontrolle bei der Einreise (Kapitel </w:t>
            </w:r>
            <w:hyperlink w:anchor="k22">
              <w:r>
                <w:rPr>
                  <w:rStyle w:val="ListLabel112"/>
                  <w:rFonts w:eastAsia="Cambria" w:cs="Cambria"/>
                  <w:b w:val="false"/>
                  <w:bCs w:val="false"/>
                  <w:i w:val="false"/>
                  <w:iCs w:val="false"/>
                  <w:sz w:val="18"/>
                  <w:szCs w:val="18"/>
                </w:rPr>
                <w:t>22</w:t>
              </w:r>
            </w:hyperlink>
            <w:r>
              <w:rPr>
                <w:rFonts w:eastAsia="Cambria" w:cs="Cambria"/>
                <w:b w:val="false"/>
                <w:bCs w:val="false"/>
                <w:i w:val="false"/>
                <w:iCs w:val="false"/>
                <w:sz w:val="18"/>
                <w:szCs w:val="18"/>
              </w:rPr>
              <w:t>)</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Kein Original gehört in den aufgegebenen Koffer: Ein verspäteter Koffer wird nachgeliefert, ein verlorener Genehmigungsbescheid ist mühsam zu ersetzen.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Einreisekontrolle bei CBP</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der Landung folgst du den Schildern zur Einreisekontrolle (</w:t>
      </w:r>
      <w:r>
        <w:rPr>
          <w:rFonts w:eastAsia="Cambria" w:cs="Cambria"/>
          <w:b w:val="false"/>
          <w:bCs w:val="false"/>
          <w:i/>
          <w:iCs/>
          <w:sz w:val="22"/>
          <w:szCs w:val="22"/>
        </w:rPr>
        <w:t>Immigration</w:t>
      </w:r>
      <w:r>
        <w:rPr>
          <w:rFonts w:eastAsia="Cambria" w:cs="Cambria"/>
          <w:b w:val="false"/>
          <w:bCs w:val="false"/>
          <w:i w:val="false"/>
          <w:iCs w:val="false"/>
          <w:sz w:val="22"/>
          <w:szCs w:val="22"/>
        </w:rPr>
        <w:t xml:space="preserve">), hinein in die Schlange für ausländische Reisepässe, wo Koffergriffe quietschen und ein Dutzend Sprachen durcheinander murmeln. Am Schalter prüft ein Beamter der </w:t>
      </w:r>
      <w:r>
        <w:rPr>
          <w:rFonts w:eastAsia="Cambria" w:cs="Cambria"/>
          <w:b w:val="false"/>
          <w:bCs w:val="false"/>
          <w:i/>
          <w:iCs/>
          <w:sz w:val="22"/>
          <w:szCs w:val="22"/>
        </w:rPr>
        <w:t>Customs and Border Protection</w:t>
      </w:r>
      <w:r>
        <w:rPr>
          <w:rFonts w:eastAsia="Cambria" w:cs="Cambria"/>
          <w:b w:val="false"/>
          <w:bCs w:val="false"/>
          <w:i w:val="false"/>
          <w:iCs w:val="false"/>
          <w:sz w:val="22"/>
          <w:szCs w:val="22"/>
        </w:rPr>
        <w:t xml:space="preserve"> (CBP, dem Grenzschutz) Pass und Visum, nimmt ein Foto auf und fragt nach Zweck, Arbeitgeber, Adresse und Dauer. Er kann weitere biometrische Daten wie Fingerabdrücke verlangen.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Seit dem 26. Dezember 2025 darf CBP alle Nicht-US-Bürger bei Ein- und Ausreise fotografieren (Federal Register, 27. Oktober 2025): Das Foto ist Routine, kein Verdachtsmoment.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Antworte kurz, ruhig und wahrheitsgemäß auf Englisch, etwa: </w:t>
      </w:r>
      <w:r>
        <w:rPr>
          <w:rFonts w:eastAsia="Cambria" w:cs="Cambria"/>
          <w:b w:val="false"/>
          <w:bCs w:val="false"/>
          <w:i/>
          <w:iCs/>
          <w:sz w:val="22"/>
          <w:szCs w:val="22"/>
        </w:rPr>
        <w:t>„I am starting a job as a software engineer at [company name] in Seattle. My H-1B status begins on October 1.“</w:t>
      </w:r>
      <w:r>
        <w:rPr>
          <w:rFonts w:eastAsia="Cambria" w:cs="Cambria"/>
          <w:b w:val="false"/>
          <w:bCs w:val="false"/>
          <w:i w:val="false"/>
          <w:iCs w:val="false"/>
          <w:sz w:val="22"/>
          <w:szCs w:val="22"/>
        </w:rPr>
        <w:t xml:space="preserve"> Falsche Angaben gelten als Täuschung und können eine dauerhafte Einreisesperre nach sich ziehen; ‚Das weiß ich nicht genau‘ ist besser als eine Vermutung. Telefonieren und Fotografieren sind in der Kontrollzone untersagt.</w:t>
      </w:r>
    </w:p>
    <w:p>
      <w:pPr>
        <w:pStyle w:val="Heading3"/>
        <w:keepNext w:val="true"/>
        <w:spacing w:before="280" w:after="100"/>
        <w:jc w:val="center"/>
        <w:rPr/>
      </w:pPr>
      <w:r>
        <w:rPr>
          <w:rFonts w:eastAsia="Amazon Ember" w:cs="Amazon Ember" w:ascii="Amazon Ember" w:hAnsi="Amazon Ember"/>
          <w:b/>
          <w:bCs/>
          <w:color w:val="0000FF"/>
          <w:sz w:val="36"/>
          <w:szCs w:val="36"/>
        </w:rPr>
        <w:t>Die zweite Kontrolle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Manchmal schickt dich der Beamte zur </w:t>
      </w:r>
      <w:r>
        <w:rPr>
          <w:rFonts w:eastAsia="Cambria" w:cs="Cambria"/>
          <w:b w:val="false"/>
          <w:bCs w:val="false"/>
          <w:i/>
          <w:iCs/>
          <w:sz w:val="22"/>
          <w:szCs w:val="22"/>
        </w:rPr>
        <w:t>Secondary Inspection</w:t>
      </w:r>
      <w:r>
        <w:rPr>
          <w:rFonts w:eastAsia="Cambria" w:cs="Cambria"/>
          <w:b w:val="false"/>
          <w:bCs w:val="false"/>
          <w:i w:val="false"/>
          <w:iCs w:val="false"/>
          <w:sz w:val="22"/>
          <w:szCs w:val="22"/>
        </w:rPr>
        <w:t>, einer ausführlicheren Befragung im Nebenraum – kein Vorwurf, Gründe sind Stichproben, Namensähnlichkeiten in Datenbanken, unklare Jobangaben oder fehlende Unterlagen. Sie dauert Minuten bis Stunden; sage der abholenden Person Bescheid und plane keinen knappen Anschluss.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Bleibe höflich, antworte wahrheitsgemäß, zeige Genehmigungsbescheid und Arbeitgeberbrief. Der Beamte kann beim Arbeitgeber nachfragen — kündige deine Ankunft an. Nummern von Personalabteilung und Anwalt gehören auf Papier, dein Handy ist in der Kontrolle vielleicht nicht nutzbar.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CBP darf Handys und Laptops bei der Einreise durchsehen, geregelt in einer im Januar 2026 neu gefassten Richtlinie (CBP Directive 3340-049B). Verweigert ein Nicht-US-Bürger die Mitwirkung, riskiert er, dass CBP das Gerät einbehält oder die Einreise verweigert. Kläre vorab mit dem Arbeitgeber den Umgang mit vertraulichen Firmendaten auf dem Gerät.</w:t>
      </w:r>
    </w:p>
    <w:p>
      <w:pPr>
        <w:pStyle w:val="Heading3"/>
        <w:keepNext w:val="true"/>
        <w:spacing w:before="280" w:after="100"/>
        <w:jc w:val="center"/>
        <w:rPr/>
      </w:pPr>
      <w:r>
        <w:rPr>
          <w:rFonts w:eastAsia="Amazon Ember" w:cs="Amazon Ember" w:ascii="Amazon Ember" w:hAnsi="Amazon Ember"/>
          <w:b/>
          <w:bCs/>
          <w:color w:val="0000FF"/>
          <w:sz w:val="36"/>
          <w:szCs w:val="36"/>
        </w:rPr>
        <w:t>Der I-94: Nachweis deines Status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Das Visum im Pass ist nur die Eintrittskarte. Status und Ablaufdatum legt CBP bei der Zulassung fest; sie stehen im I-94, nicht im Visum.</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Flughafen bekommst du meist keinen Papier-I-94: CBP erfasst die Einreise elektronisch, du rufst den Nachweis selbst ab, auf i94.cbp.dhs.gov unter „Get Most Recent I-94“, mit Name, Geburtsdatum und Passdaten. Speichere das PDF, gib es der Personalabteilung; jedes Familienmitglied hat einen eigenen I-94. Fehlt der Datensatz noch, versuche es nach einigen Stunden erneut.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Prüfe vier Angaben: Name und Geburtsdatum wie im Pass, Zulassungskategorie (H-1B: H1B, H-4: H4) und Ablaufdatum (</w:t>
      </w:r>
      <w:r>
        <w:rPr>
          <w:rFonts w:eastAsia="Cambria" w:cs="Cambria"/>
          <w:b w:val="false"/>
          <w:bCs w:val="false"/>
          <w:i/>
          <w:iCs/>
          <w:sz w:val="22"/>
          <w:szCs w:val="22"/>
        </w:rPr>
        <w:t>Admit Until Date</w:t>
      </w:r>
      <w:r>
        <w:rPr>
          <w:rFonts w:eastAsia="Cambria" w:cs="Cambria"/>
          <w:b w:val="false"/>
          <w:bCs w:val="false"/>
          <w:i w:val="false"/>
          <w:iCs w:val="false"/>
          <w:sz w:val="22"/>
          <w:szCs w:val="22"/>
        </w:rPr>
        <w:t>), passend zum Ende des Zeitraums im Bescheid. Namen mit Umlaut oder ß erscheinen in der maschinenlesbaren Passzeile als AE, OE, UE und SS; achte darauf, dass Sozialversicherungskarte, Führerschein und Bankkonto später dieselbe Schreibweise nutzen.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Fehler im I-94 fällt sonst erst bei SSN, Führerschein oder Verlängerung auf. CBP kann ihn in einer Nachprüfungsstelle (</w:t>
            </w:r>
            <w:r>
              <w:rPr>
                <w:rFonts w:eastAsia="Cambria" w:cs="Cambria"/>
                <w:b w:val="false"/>
                <w:bCs w:val="false"/>
                <w:i/>
                <w:iCs/>
                <w:sz w:val="20"/>
                <w:szCs w:val="20"/>
              </w:rPr>
              <w:t>Deferred Inspection</w:t>
            </w:r>
            <w:r>
              <w:rPr>
                <w:rFonts w:eastAsia="Cambria" w:cs="Cambria"/>
                <w:b w:val="false"/>
                <w:bCs w:val="false"/>
                <w:i w:val="false"/>
                <w:iCs w:val="false"/>
                <w:sz w:val="20"/>
                <w:szCs w:val="20"/>
              </w:rPr>
              <w:t>) am Flughafen korrigieren, in der Regel gebührenfrei. Melde ihn sofort Arbeitgeber und Anwalt.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Sabine Keller (fiktiv, 33, Softwareentwicklerin) landet am Samstag, dem 26. September, um 16 Uhr in Seattle. Ihre H-1B-Petition beginnt am 1. Oktober; einreisen durfte sie ab dem 21. September. Der Beamte fragt nach Arbeitgeber und Adresse, macht ein Foto und lässt sie durch – „Welcome to the United States“, mehr Zeremonie ist nicht vorgesehen, und erst im Taxi merkt sie, wie lange sie die Luft angehalten hatte. Im Aparthotel (950 $ für fünf Nächte) ruft sie den I-94 ab: Kategorie H1B, gültig bis 30. September 2029, Name korrekt. Das PDF geht an die Personalabteilung. Um 21 Uhr Ortszeit schläft sie ein, um 3 Uhr ist sie hellwach: Seattle liegt 9 Stunden hinter München. Die fünf Tage Puffer nutzt sie für SIM, Bank und Wohnungsbesichtigungen.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Zoll und Bargeld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Danach folgt die Zollkontrolle; Fragen am Kiosk oder im Formular beantwortest du ehrlich. Frisches Obst und Gemüse, Pflanzen, Erde sowie Fleisch- und Wurstwaren darfst du nicht oder nur mit Genehmigung einführen; im Zweifel gib sie an. Ein Agrar-Spürhund am Gepäckband interessiert sich mitunter mehr für die vergessene Mandarine in deiner Jackentasche als du für den gesamten Rückflug – nimm es ihm nicht übel, er tut nur seinen Job. Bargeld, Reiseschecks und Inhaberpapiere von zusammen mehr als 10.000 $ meldest du mit dem Formular FinCEN 105 — die Anmeldung ist legal, Verschweigen führt zu Beschlagnahme und Strafe.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Gebrauchte persönliche Sachen, mindestens ein Jahr im Ausland genutzt, kommen zollfrei ins Land, Neuware im Koffer kann zollpflichtig sein. Den Container behandelt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Die erste Nacht: Unterkunft, Transport, Mietwagen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Buche die ersten Nächte im Voraus, mit kostenloser Stornierung. Eine Wohnung mietest du besser vor Ort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 xml:space="preserve">); für die Übergangszeit eignen sich Hotel, Extended-Stay-Hotel mit Küche oder </w:t>
      </w:r>
      <w:r>
        <w:rPr>
          <w:rFonts w:eastAsia="Cambria" w:cs="Cambria"/>
          <w:b w:val="false"/>
          <w:bCs w:val="false"/>
          <w:i/>
          <w:iCs/>
          <w:sz w:val="22"/>
          <w:szCs w:val="22"/>
        </w:rPr>
        <w:t>Corporate Housing</w:t>
      </w:r>
      <w:r>
        <w:rPr>
          <w:rFonts w:eastAsia="Cambria" w:cs="Cambria"/>
          <w:b w:val="false"/>
          <w:bCs w:val="false"/>
          <w:i w:val="false"/>
          <w:iCs w:val="false"/>
          <w:sz w:val="22"/>
          <w:szCs w:val="22"/>
        </w:rPr>
        <w:t xml:space="preserve"> (möblierte Wohnungen auf Zeit) — eine 1BR (Zweizimmerwohnung) kostet dort laut Anbietern 2026 rund 3.300 $ im Monat. Manche Arbeitgeber übernehmen die ersten Wochen im Relocation-Paket, frage danach vor der Unterschrift; wie andere Umzugsleistungen ist das meist steuerpflichtiger Lohn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Vom Flughafen fährst du mit Taxi, Fahrdienst (</w:t>
      </w:r>
      <w:r>
        <w:rPr>
          <w:rFonts w:eastAsia="Cambria" w:cs="Cambria"/>
          <w:b w:val="false"/>
          <w:bCs w:val="false"/>
          <w:i/>
          <w:iCs/>
          <w:sz w:val="22"/>
          <w:szCs w:val="22"/>
        </w:rPr>
        <w:t>Rideshare</w:t>
      </w:r>
      <w:r>
        <w:rPr>
          <w:rFonts w:eastAsia="Cambria" w:cs="Cambria"/>
          <w:b w:val="false"/>
          <w:bCs w:val="false"/>
          <w:i w:val="false"/>
          <w:iCs w:val="false"/>
          <w:sz w:val="22"/>
          <w:szCs w:val="22"/>
        </w:rPr>
        <w:t>, etwa Uber oder Lyft) oder Nahverkehr. Nutze nur ausgeschilderte Taxistände oder die App am offiziellen Abholpunkt, nie Angebote in der Ankunftshalle.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Detroit, Phoenix oder Houston brauchst du bald ein Auto, in Seattle, Boston oder New York oft nicht (Kapitel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 Mietwagenfirmen verlangen eine Kreditkarte auf den Namen des Fahrers, blockieren eine Kaution und verlangen unter 25 Jahren meist Zuschläge. Dein deutscher Führerschein genügt laut Auswärtigem Amt für Mietwagen bis zu einem Jahr; den Internationalen Führerschein führst du trotzdem mit, in einigen Staaten Pflicht. Kläre vor der Unterschrift Haftpflicht- und Kaskodeckung; Kindersitze sind vorgeschrieben, die Regeln setzt jeder Bundesstaat.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Fahre nach dem Nachtflug nicht sofort selbst: Ein ausgeruhter zweiter Tag ist sicherer.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Mietwagen in der Stadt statt am Flughafen sparen oft Flughafenzuschläge. In Städten mit gutem Nahverkehr mietest du nur für die Wochenenden der Wohnungssuche.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Handy und Geld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Deutsche Tarife haben in den USA kein EU-Roaming; prüfe vor dem Abflug die Datenkosten. Besser: eine eSIM (digitale SIM) mit US-Datenpaket, schon vor dem Flug eingerichtet, oder eine Prepaid-SIM vom Flughafen. Neuere europäische Smartphones unterstützen die meisten US-Netze; bei älteren prüfst du Frequenzbänder und SIM-Lock. Ein Laufzeitvertrag verlangt meist SSN und Bonitätsprüfung oder Kaution, Prepaid nicht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 Behalte deine deutsche Nummer als Zweit-SIM für SMS-Codes der Bank.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klassische Girocard funktioniert in den USA meist nicht; für Hotelkaution und Mietwagen brauchst du ohnehin eine Visa- oder Mastercard-Kreditkarte. Bezahle am Terminal in Dollar, nicht in Euro — die Terminal-Umrechnung ist meist teurer. Etwa 200–300 $ in kleinen Scheinen decken Trinkgeld und Kleinigkeiten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ein Konto eröffnest du in den ersten Tagen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Kinder und Jetlag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Zeitverschiebung beträgt nach Detroit, Boston oder Raleigh 6 Stunden, nach Texas 7, nach Seattle 9 — in der Woche zwischen den Zeitumstellungen Ende Oktober und Anfang November eine Stunde weniger. Nach Westen fällt der Jetlag meist leichter, der Tag wird länger; Kinder wachen in den ersten Nächten trotzdem oft hungrig um 3 Uhr auf. Was hilft: sofort auf Ortszeit umstellen, nachmittags an die frische Luft, bis zum lokalen Abend wach bleiben, Snacks und Wasser am Bett.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Plane für den zweiten Vormittag keine festen Termine; Schulanmeldung und Kita gehören nicht in die ersten 72 Stunden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 Sprich vor dem Abflug mit dem Kinderarzt, bevor du Schlafmittel oder Melatonin gibst. Reist ein Elternteil allein mit den Kindern, hilft eine englische Einverständniserklärung des anderen.</w:t>
      </w:r>
    </w:p>
    <w:p>
      <w:pPr>
        <w:pStyle w:val="Heading3"/>
        <w:keepNext w:val="true"/>
        <w:spacing w:before="280" w:after="100"/>
        <w:jc w:val="center"/>
        <w:rPr/>
      </w:pPr>
      <w:r>
        <w:rPr>
          <w:rFonts w:eastAsia="Amazon Ember" w:cs="Amazon Ember" w:ascii="Amazon Ember" w:hAnsi="Amazon Ember"/>
          <w:b/>
          <w:bCs/>
          <w:color w:val="0000FF"/>
          <w:sz w:val="36"/>
          <w:szCs w:val="36"/>
        </w:rPr>
        <w:t>Notruf 911</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Notruf für Polizei, Feuerwehr und Rettungsdienst lautet in den USA 911, eine Nummer statt 110 und 112, und funktioniert von jedem Handy, auch ohne SIM-Karte und Guthaben. Die Leitstelle fragt zuerst nach dem Ort: Speichere die Adresse deiner Unterkunft im Handy. Brauchst du einen Dolmetscher, sage „German, please“; viele Leitstellen schalten einen zu. Textnachrichten an 911 sind nicht überall möglich, im Zweifel rufe an. Ohne Lebensgefahr: in vielen Städten die 311, bei Vergiftungen die Poison Help unter 1-800-222-1222.</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Fieber, Verstauchung oder Infekt ist meist eine Walk-in-Klinik (</w:t>
      </w:r>
      <w:r>
        <w:rPr>
          <w:rFonts w:eastAsia="Cambria" w:cs="Cambria"/>
          <w:b w:val="false"/>
          <w:bCs w:val="false"/>
          <w:i/>
          <w:iCs/>
          <w:sz w:val="22"/>
          <w:szCs w:val="22"/>
        </w:rPr>
        <w:t>Urgent Care</w:t>
      </w:r>
      <w:r>
        <w:rPr>
          <w:rFonts w:eastAsia="Cambria" w:cs="Cambria"/>
          <w:b w:val="false"/>
          <w:bCs w:val="false"/>
          <w:i w:val="false"/>
          <w:iCs w:val="false"/>
          <w:sz w:val="22"/>
          <w:szCs w:val="22"/>
        </w:rPr>
        <w:t>) richtig, nicht der Rettungswagen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Deine Auslandskrankenversicherung sollte ab der Landung gelten, bis die Versicherung des Arbeitgebers beginnt (Kapitel </w:t>
      </w:r>
      <w:hyperlink w:anchor="k18">
        <w:r>
          <w:rPr>
            <w:rStyle w:val="ListLabel115"/>
            <w:rFonts w:eastAsia="Cambria" w:cs="Cambria"/>
            <w:b w:val="false"/>
            <w:bCs w:val="false"/>
            <w:i w:val="false"/>
            <w:iCs w:val="false"/>
            <w:sz w:val="22"/>
            <w:szCs w:val="22"/>
          </w:rPr>
          <w:t>18</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Erste Besorgungen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ersten Tage reicht ein Einkauf im Supermarkt oder Drogeriemarkt: Wasser, Frühstück, Snacks, Toilettenartikel. Ladegeräte mit dem Aufdruck 100–240 V laufen mit Adapter an der US-Steckdose (120 V, Typ A/B); Föhn, Wasserkocher und Toaster aus Deutschland nicht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 Preisschilder nennen den Preis ohne Verkaufssteuer (</w:t>
      </w:r>
      <w:r>
        <w:rPr>
          <w:rFonts w:eastAsia="Cambria" w:cs="Cambria"/>
          <w:b w:val="false"/>
          <w:bCs w:val="false"/>
          <w:i/>
          <w:iCs/>
          <w:sz w:val="22"/>
          <w:szCs w:val="22"/>
        </w:rPr>
        <w:t>Sales Tax</w:t>
      </w:r>
      <w:r>
        <w:rPr>
          <w:rFonts w:eastAsia="Cambria" w:cs="Cambria"/>
          <w:b w:val="false"/>
          <w:bCs w:val="false"/>
          <w:i w:val="false"/>
          <w:iCs w:val="false"/>
          <w:sz w:val="22"/>
          <w:szCs w:val="22"/>
        </w:rPr>
        <w:t>), die erst an der Kasse dazukommt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In der Apotheke heißt Paracetamol </w:t>
      </w:r>
      <w:r>
        <w:rPr>
          <w:rFonts w:eastAsia="Cambria" w:cs="Cambria"/>
          <w:b w:val="false"/>
          <w:bCs w:val="false"/>
          <w:i/>
          <w:iCs/>
          <w:sz w:val="22"/>
          <w:szCs w:val="22"/>
        </w:rPr>
        <w:t>Acetaminophen</w:t>
      </w:r>
      <w:r>
        <w:rPr>
          <w:rFonts w:eastAsia="Cambria" w:cs="Cambria"/>
          <w:b w:val="false"/>
          <w:bCs w:val="false"/>
          <w:i w:val="false"/>
          <w:iCs w:val="false"/>
          <w:sz w:val="22"/>
          <w:szCs w:val="22"/>
        </w:rPr>
        <w:t xml:space="preserve"> (Marke Tylenol), Ibuprofen gibt es als Advil oder Motrin; für Kinder gibt es eigene Präparate mit Dosierung nach Gewicht — lass dich beraten. Betten und Möbel: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Viele suchen in den ersten Tagen reflexhaft nach dem amerikanischen Pendant zum Einwohnermeldeamt – es gibt keins. Ziehst du aus der Übergangsunterkunft in die Wohnung, meldest du die neue Adresse stattdessen binnen 10 Tagen mit dem Formular AR-11 an USCIS (uscis.gov/ar-11).</w:t>
      </w:r>
    </w:p>
    <w:p>
      <w:pPr>
        <w:pStyle w:val="Heading3"/>
        <w:keepNext w:val="true"/>
        <w:spacing w:before="280" w:after="100"/>
        <w:jc w:val="center"/>
        <w:rPr/>
      </w:pPr>
      <w:r>
        <w:rPr>
          <w:rFonts w:eastAsia="Amazon Ember" w:cs="Amazon Ember" w:ascii="Amazon Ember" w:hAnsi="Amazon Ember"/>
          <w:b/>
          <w:bCs/>
          <w:color w:val="0000FF"/>
          <w:sz w:val="36"/>
          <w:szCs w:val="36"/>
        </w:rPr>
        <w:t>Onboarding beim Arbeitgeber: I-9, W-4, Direktüberweisung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ersten Arbeitstag unterschreibst du einen Stapel Papiere; drei Formulare sind entscheidend.</w:t>
      </w:r>
    </w:p>
    <w:p>
      <w:pPr>
        <w:pStyle w:val="Normal"/>
        <w:keepNext w:val="false"/>
        <w:keepLines w:val="false"/>
        <w:spacing w:lineRule="exact" w:line="288" w:before="0" w:after="140"/>
        <w:jc w:val="left"/>
        <w:rPr/>
      </w:pPr>
      <w:r>
        <w:rPr>
          <w:rFonts w:eastAsia="Cambria" w:cs="Cambria"/>
          <w:b/>
          <w:bCs/>
          <w:i w:val="false"/>
          <w:iCs w:val="false"/>
          <w:sz w:val="22"/>
          <w:szCs w:val="22"/>
        </w:rPr>
        <w:t>Form I-9.</w:t>
      </w:r>
      <w:r>
        <w:rPr>
          <w:rFonts w:eastAsia="Cambria" w:cs="Cambria"/>
          <w:b w:val="false"/>
          <w:bCs w:val="false"/>
          <w:i w:val="false"/>
          <w:iCs w:val="false"/>
          <w:sz w:val="22"/>
          <w:szCs w:val="22"/>
        </w:rPr>
        <w:t xml:space="preserve"> Mit ihr bestätigt der Arbeitgeber, dass du arbeiten darfst. Du füllst Abschnitt 1 spätestens am ersten Arbeitstag aus, der Arbeitgeber prüft in Abschnitt 2 innerhalb von drei Werktagen deine Originaldokumente. Als H-1B-Inhaber legst du meist Reisepass und I-94 vor.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Welches zulässige Dokument du zeigst, entscheidest du; der Arbeitgeber darf keins vorschreiben. Die aktuelle Ausgabe trägt das Datum 01/20/25, zugelassen bis 31. Mai 2027 (USCIS). Bringe Originale, keine Kopien.</w:t>
      </w:r>
    </w:p>
    <w:p>
      <w:pPr>
        <w:pStyle w:val="Normal"/>
        <w:keepNext w:val="false"/>
        <w:keepLines w:val="false"/>
        <w:spacing w:lineRule="exact" w:line="288" w:before="0" w:after="140"/>
        <w:jc w:val="left"/>
        <w:rPr/>
      </w:pPr>
      <w:r>
        <w:rPr>
          <w:rFonts w:eastAsia="Cambria" w:cs="Cambria"/>
          <w:b/>
          <w:bCs/>
          <w:i w:val="false"/>
          <w:iCs w:val="false"/>
          <w:sz w:val="22"/>
          <w:szCs w:val="22"/>
        </w:rPr>
        <w:t>Form W-4.</w:t>
      </w:r>
      <w:r>
        <w:rPr>
          <w:rFonts w:eastAsia="Cambria" w:cs="Cambria"/>
          <w:b w:val="false"/>
          <w:bCs w:val="false"/>
          <w:i w:val="false"/>
          <w:iCs w:val="false"/>
          <w:sz w:val="22"/>
          <w:szCs w:val="22"/>
        </w:rPr>
        <w:t xml:space="preserve"> Mit der </w:t>
      </w:r>
      <w:r>
        <w:rPr>
          <w:rFonts w:eastAsia="Cambria" w:cs="Cambria"/>
          <w:b w:val="false"/>
          <w:bCs w:val="false"/>
          <w:i/>
          <w:iCs/>
          <w:sz w:val="22"/>
          <w:szCs w:val="22"/>
        </w:rPr>
        <w:t>Form W-4</w:t>
      </w:r>
      <w:r>
        <w:rPr>
          <w:rFonts w:eastAsia="Cambria" w:cs="Cambria"/>
          <w:b w:val="false"/>
          <w:bCs w:val="false"/>
          <w:i w:val="false"/>
          <w:iCs w:val="false"/>
          <w:sz w:val="22"/>
          <w:szCs w:val="22"/>
        </w:rPr>
        <w:t xml:space="preserve"> (Employee’s Withholding Certificate) legst du fest, wie viel Bundeseinkommensteuer der Arbeitgeber einbehält. Für Neuankömmlinge heikel: Steuerlicher Status als Ansässiger oder Nichtansässiger verändert das Ausfüllen. Frage die Lohnbuchhaltung (</w:t>
      </w:r>
      <w:r>
        <w:rPr>
          <w:rFonts w:eastAsia="Cambria" w:cs="Cambria"/>
          <w:b w:val="false"/>
          <w:bCs w:val="false"/>
          <w:i/>
          <w:iCs/>
          <w:sz w:val="22"/>
          <w:szCs w:val="22"/>
        </w:rPr>
        <w:t>Payroll</w:t>
      </w:r>
      <w:r>
        <w:rPr>
          <w:rFonts w:eastAsia="Cambria" w:cs="Cambria"/>
          <w:b w:val="false"/>
          <w:bCs w:val="false"/>
          <w:i w:val="false"/>
          <w:iCs w:val="false"/>
          <w:sz w:val="22"/>
          <w:szCs w:val="22"/>
        </w:rPr>
        <w:t>) und lies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xml:space="preserve"> vor der Unterschrift. Fehlt die SSN noch, ist das am ersten Tag normal; sage der Personalabteilung, dass du sie beantragst (Kapitel </w:t>
      </w:r>
      <w:hyperlink w:anchor="k24">
        <w:r>
          <w:rPr>
            <w:rStyle w:val="ListLabel115"/>
            <w:rFonts w:eastAsia="Cambria" w:cs="Cambria"/>
            <w:b w:val="false"/>
            <w:bCs w:val="false"/>
            <w:i w:val="false"/>
            <w:iCs w:val="false"/>
            <w:sz w:val="22"/>
            <w:szCs w:val="22"/>
          </w:rPr>
          <w:t>24</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Direktüberweisung.</w:t>
      </w:r>
      <w:r>
        <w:rPr>
          <w:rFonts w:eastAsia="Cambria" w:cs="Cambria"/>
          <w:b w:val="false"/>
          <w:bCs w:val="false"/>
          <w:i w:val="false"/>
          <w:iCs w:val="false"/>
          <w:sz w:val="22"/>
          <w:szCs w:val="22"/>
        </w:rPr>
        <w:t xml:space="preserve"> Die meisten Arbeitgeber zahlen per </w:t>
      </w:r>
      <w:r>
        <w:rPr>
          <w:rFonts w:eastAsia="Cambria" w:cs="Cambria"/>
          <w:b w:val="false"/>
          <w:bCs w:val="false"/>
          <w:i/>
          <w:iCs/>
          <w:sz w:val="22"/>
          <w:szCs w:val="22"/>
        </w:rPr>
        <w:t>Direct Deposit</w:t>
      </w:r>
      <w:r>
        <w:rPr>
          <w:rFonts w:eastAsia="Cambria" w:cs="Cambria"/>
          <w:b w:val="false"/>
          <w:bCs w:val="false"/>
          <w:i w:val="false"/>
          <w:iCs w:val="false"/>
          <w:sz w:val="22"/>
          <w:szCs w:val="22"/>
        </w:rPr>
        <w:t>: Du nennst Bank, Routing Number (neunstellige Bankkennung) und Account Number (Kontonummer); ohne Konto frage nach Scheck oder Lohnkarte. Das erste Gehalt kommt je nach Rhythmus oft erst zwei bis vier Wochen nach Start; plane Rücklagen ein. Für die Krankenversicherung gilt meist eine Anmeldefrist von rund 30 Tagen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Betrugsmaschen für Neuankömmlinge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neu ist, kennt weder Behörden noch Abläufe, und das nutzen Betrüger. Vier Muster kehren immer wieder:</w:t>
      </w:r>
    </w:p>
    <w:p>
      <w:pPr>
        <w:pStyle w:val="ListParagraph"/>
        <w:numPr>
          <w:ilvl w:val="0"/>
          <w:numId w:val="1"/>
        </w:numPr>
        <w:spacing w:lineRule="exact" w:line="288" w:before="0" w:after="60"/>
        <w:rPr/>
      </w:pPr>
      <w:r>
        <w:rPr>
          <w:rFonts w:eastAsia="Cambria" w:cs="Cambria"/>
          <w:b/>
          <w:bCs/>
          <w:i w:val="false"/>
          <w:iCs w:val="false"/>
          <w:sz w:val="22"/>
          <w:szCs w:val="22"/>
        </w:rPr>
        <w:t>Traumwohnung aus der Ferne:</w:t>
      </w:r>
      <w:r>
        <w:rPr>
          <w:rFonts w:eastAsia="Cambria" w:cs="Cambria"/>
          <w:b w:val="false"/>
          <w:bCs w:val="false"/>
          <w:i w:val="false"/>
          <w:iCs w:val="false"/>
          <w:sz w:val="22"/>
          <w:szCs w:val="22"/>
        </w:rPr>
        <w:t xml:space="preserve"> günstig, Vermieter angeblich im Ausland, Kaution vorab per Überweisung, Zelle oder Geschenkkarte, keine Besichtigung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Anruf einer Behörde:</w:t>
      </w:r>
      <w:r>
        <w:rPr>
          <w:rFonts w:eastAsia="Cambria" w:cs="Cambria"/>
          <w:b w:val="false"/>
          <w:bCs w:val="false"/>
          <w:i w:val="false"/>
          <w:iCs w:val="false"/>
          <w:sz w:val="22"/>
          <w:szCs w:val="22"/>
        </w:rPr>
        <w:t xml:space="preserve"> Angebliche IRS-, SSA- oder USCIS-Beamte drohen mit Festnahme, Abschiebung oder gesperrter SSN und verlangen sofortige Zahlung. Diese Behörden fordern nie Zahlung per Geschenkkarte, Kryptowährung oder an Privatpersonen. Lege auf, suche die Nummer selbst auf der offiziellen Website.</w:t>
      </w:r>
    </w:p>
    <w:p>
      <w:pPr>
        <w:pStyle w:val="ListParagraph"/>
        <w:numPr>
          <w:ilvl w:val="0"/>
          <w:numId w:val="1"/>
        </w:numPr>
        <w:spacing w:lineRule="exact" w:line="288" w:before="0" w:after="60"/>
        <w:rPr/>
      </w:pPr>
      <w:r>
        <w:rPr>
          <w:rFonts w:eastAsia="Cambria" w:cs="Cambria"/>
          <w:b/>
          <w:bCs/>
          <w:i w:val="false"/>
          <w:iCs w:val="false"/>
          <w:sz w:val="22"/>
          <w:szCs w:val="22"/>
        </w:rPr>
        <w:t>Fake-Jobmail:</w:t>
      </w:r>
      <w:r>
        <w:rPr>
          <w:rFonts w:eastAsia="Cambria" w:cs="Cambria"/>
          <w:b w:val="false"/>
          <w:bCs w:val="false"/>
          <w:i w:val="false"/>
          <w:iCs w:val="false"/>
          <w:sz w:val="22"/>
          <w:szCs w:val="22"/>
        </w:rPr>
        <w:t xml:space="preserve"> Ein „Arbeitgeber“ schickt einen Scheck für Büroausstattung, du überweist den Überschuss zurück, der Scheck platzt. Mails „der Personalabteilung“, die vorab Passkopie und Bankdaten wollen, prüfst du über eine bekannte Telefonnummer.</w:t>
      </w:r>
    </w:p>
    <w:p>
      <w:pPr>
        <w:pStyle w:val="ListParagraph"/>
        <w:numPr>
          <w:ilvl w:val="0"/>
          <w:numId w:val="1"/>
        </w:numPr>
        <w:spacing w:lineRule="exact" w:line="288" w:before="0" w:after="60"/>
        <w:rPr/>
      </w:pPr>
      <w:r>
        <w:rPr>
          <w:rFonts w:eastAsia="Cambria" w:cs="Cambria"/>
          <w:b/>
          <w:bCs/>
          <w:i w:val="false"/>
          <w:iCs w:val="false"/>
          <w:sz w:val="22"/>
          <w:szCs w:val="22"/>
        </w:rPr>
        <w:t>Visa-Berater und Zoll-SMS:</w:t>
      </w:r>
      <w:r>
        <w:rPr>
          <w:rFonts w:eastAsia="Cambria" w:cs="Cambria"/>
          <w:b w:val="false"/>
          <w:bCs w:val="false"/>
          <w:i w:val="false"/>
          <w:iCs w:val="false"/>
          <w:sz w:val="22"/>
          <w:szCs w:val="22"/>
        </w:rPr>
        <w:t xml:space="preserve"> Rechtsrat zum Einwanderungsrecht dürfen nur zugelassene Anwälte oder akkreditierte Vertreter geben; Formulare gibt es kostenlos bei uscis.gov. Auch „Dein Container hängt im Zoll, zahle jetzt“ ist Betrug.</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Betrüger arbeiten mit Zeitdruck. Zahle nie sofort und nie per Geschenkkarte, Zelle oder Kryptowährung an Fremde; solche Zahlungen lassen sich meist nicht zurückholen (Kapitel </w:t>
            </w:r>
            <w:hyperlink w:anchor="k25">
              <w:r>
                <w:rPr>
                  <w:rStyle w:val="ListLabel114"/>
                  <w:rFonts w:eastAsia="Cambria" w:cs="Cambria"/>
                  <w:b w:val="false"/>
                  <w:bCs w:val="false"/>
                  <w:i w:val="false"/>
                  <w:iCs w:val="false"/>
                  <w:sz w:val="20"/>
                  <w:szCs w:val="20"/>
                </w:rPr>
                <w:t>25</w:t>
              </w:r>
            </w:hyperlink>
            <w:r>
              <w:rPr>
                <w:rFonts w:eastAsia="Cambria" w:cs="Cambria"/>
                <w:b w:val="false"/>
                <w:bCs w:val="false"/>
                <w:i w:val="false"/>
                <w:iCs w:val="false"/>
                <w:sz w:val="20"/>
                <w:szCs w:val="20"/>
              </w:rPr>
              <w:t>). Melde Betrugsversuche auf reportfraud.ftc.gov.</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ersten 72 Stunden als Stundenplan</w:t>
      </w:r>
    </w:p>
    <w:tbl>
      <w:tblPr>
        <w:tblW w:w="6480" w:type="dxa"/>
        <w:jc w:val="left"/>
        <w:tblInd w:w="0" w:type="dxa"/>
        <w:tblLayout w:type="fixed"/>
        <w:tblCellMar>
          <w:top w:w="50" w:type="dxa"/>
          <w:left w:w="80" w:type="dxa"/>
          <w:bottom w:w="50" w:type="dxa"/>
          <w:right w:w="80" w:type="dxa"/>
        </w:tblCellMar>
      </w:tblPr>
      <w:tblGrid>
        <w:gridCol w:w="949"/>
        <w:gridCol w:w="2449"/>
        <w:gridCol w:w="2132"/>
        <w:gridCol w:w="949"/>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Zeit nach Landung</w:t>
            </w:r>
          </w:p>
        </w:tc>
        <w:tc>
          <w:tcPr>
            <w:tcW w:w="24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Aufgabe</w:t>
            </w:r>
          </w:p>
        </w:tc>
        <w:tc>
          <w:tcPr>
            <w:tcW w:w="213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Worauf du achtest</w:t>
            </w:r>
          </w:p>
        </w:tc>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Mehr dazu</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0–2 Stunden</w:t>
            </w:r>
          </w:p>
        </w:tc>
        <w:tc>
          <w:tcPr>
            <w:tcW w:w="24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Passkontrolle, Gepäck, Zoll</w:t>
            </w:r>
          </w:p>
        </w:tc>
        <w:tc>
          <w:tcPr>
            <w:tcW w:w="21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Papiere griffbereit, kurze wahre Antworten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2–4 Stunden</w:t>
            </w:r>
          </w:p>
        </w:tc>
        <w:tc>
          <w:tcPr>
            <w:tcW w:w="24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Fahrt zur Unterkunft, eSIM aktivieren, Familie und Personalabteilung informieren</w:t>
            </w:r>
          </w:p>
        </w:tc>
        <w:tc>
          <w:tcPr>
            <w:tcW w:w="21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Offizielles Taxi oder App</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5">
              <w:r>
                <w:rPr>
                  <w:rStyle w:val="ListLabel112"/>
                  <w:rFonts w:eastAsia="Cambria" w:cs="Cambria"/>
                  <w:b w:val="false"/>
                  <w:bCs w:val="false"/>
                  <w:i w:val="false"/>
                  <w:iCs w:val="false"/>
                  <w:sz w:val="18"/>
                  <w:szCs w:val="18"/>
                </w:rPr>
                <w:t>25</w:t>
              </w:r>
            </w:hyperlink>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4–8 Stunden</w:t>
            </w:r>
          </w:p>
        </w:tc>
        <w:tc>
          <w:tcPr>
            <w:tcW w:w="24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I-94 abrufen und prüfen, leichtes Abendessen, bis etwa 21 Uhr Ortszeit wach bleiben</w:t>
            </w:r>
          </w:p>
        </w:tc>
        <w:tc>
          <w:tcPr>
            <w:tcW w:w="21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Fehler sofort melden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8–24 Stunden</w:t>
            </w:r>
          </w:p>
        </w:tc>
        <w:tc>
          <w:tcPr>
            <w:tcW w:w="24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Schlafen, Frühstück, Basiseinkauf</w:t>
            </w:r>
          </w:p>
        </w:tc>
        <w:tc>
          <w:tcPr>
            <w:tcW w:w="21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großen Entscheidungen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5">
              <w:r>
                <w:rPr>
                  <w:rStyle w:val="ListLabel112"/>
                  <w:rFonts w:eastAsia="Cambria" w:cs="Cambria"/>
                  <w:b w:val="false"/>
                  <w:bCs w:val="false"/>
                  <w:i w:val="false"/>
                  <w:iCs w:val="false"/>
                  <w:sz w:val="18"/>
                  <w:szCs w:val="18"/>
                </w:rPr>
                <w:t>35</w:t>
              </w:r>
            </w:hyperlink>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24–36 Stunden</w:t>
            </w:r>
          </w:p>
        </w:tc>
        <w:tc>
          <w:tcPr>
            <w:tcW w:w="24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Bank, SSN-Termin planen, Mietwagen abholen</w:t>
            </w:r>
          </w:p>
        </w:tc>
        <w:tc>
          <w:tcPr>
            <w:tcW w:w="21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Originale und I-94 mitnehmen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4">
              <w:r>
                <w:rPr>
                  <w:rStyle w:val="ListLabel112"/>
                  <w:rFonts w:eastAsia="Cambria" w:cs="Cambria"/>
                  <w:b w:val="false"/>
                  <w:bCs w:val="false"/>
                  <w:i w:val="false"/>
                  <w:iCs w:val="false"/>
                  <w:sz w:val="18"/>
                  <w:szCs w:val="18"/>
                </w:rPr>
                <w:t>24</w:t>
              </w:r>
            </w:hyperlink>
            <w:r>
              <w:rPr>
                <w:rFonts w:eastAsia="Cambria" w:cs="Cambria"/>
                <w:b w:val="false"/>
                <w:bCs w:val="false"/>
                <w:i w:val="false"/>
                <w:iCs w:val="false"/>
                <w:sz w:val="18"/>
                <w:szCs w:val="18"/>
              </w:rPr>
              <w:t xml:space="preserve">, </w:t>
            </w:r>
            <w:hyperlink w:anchor="k25">
              <w:r>
                <w:rPr>
                  <w:rStyle w:val="ListLabel112"/>
                  <w:rFonts w:eastAsia="Cambria" w:cs="Cambria"/>
                  <w:b w:val="false"/>
                  <w:bCs w:val="false"/>
                  <w:i w:val="false"/>
                  <w:iCs w:val="false"/>
                  <w:sz w:val="18"/>
                  <w:szCs w:val="18"/>
                </w:rPr>
                <w:t>25</w:t>
              </w:r>
            </w:hyperlink>
            <w:r>
              <w:rPr>
                <w:rFonts w:eastAsia="Cambria" w:cs="Cambria"/>
                <w:b w:val="false"/>
                <w:bCs w:val="false"/>
                <w:i w:val="false"/>
                <w:iCs w:val="false"/>
                <w:sz w:val="18"/>
                <w:szCs w:val="18"/>
              </w:rPr>
              <w:t xml:space="preserve">, </w:t>
            </w:r>
            <w:hyperlink w:anchor="k27">
              <w:r>
                <w:rPr>
                  <w:rStyle w:val="ListLabel112"/>
                  <w:rFonts w:eastAsia="Cambria" w:cs="Cambria"/>
                  <w:b w:val="false"/>
                  <w:bCs w:val="false"/>
                  <w:i w:val="false"/>
                  <w:iCs w:val="false"/>
                  <w:sz w:val="18"/>
                  <w:szCs w:val="18"/>
                </w:rPr>
                <w:t>27</w:t>
              </w:r>
            </w:hyperlink>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36–48 Stunden</w:t>
            </w:r>
          </w:p>
        </w:tc>
        <w:tc>
          <w:tcPr>
            <w:tcW w:w="24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Wohnungen und Arbeitsweg ansehen</w:t>
            </w:r>
          </w:p>
        </w:tc>
        <w:tc>
          <w:tcPr>
            <w:tcW w:w="21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Nichts anzahlen vor Besichtigung und Vertrag</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3">
              <w:r>
                <w:rPr>
                  <w:rStyle w:val="ListLabel112"/>
                  <w:rFonts w:eastAsia="Cambria" w:cs="Cambria"/>
                  <w:b w:val="false"/>
                  <w:bCs w:val="false"/>
                  <w:i w:val="false"/>
                  <w:iCs w:val="false"/>
                  <w:sz w:val="18"/>
                  <w:szCs w:val="18"/>
                </w:rPr>
                <w:t>13</w:t>
              </w:r>
            </w:hyperlink>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48–60 Stunden</w:t>
            </w:r>
          </w:p>
        </w:tc>
        <w:tc>
          <w:tcPr>
            <w:tcW w:w="24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Onboarding vorbereiten: I-9-Originale, Bankdaten, W-4-Fragen</w:t>
            </w:r>
          </w:p>
        </w:tc>
        <w:tc>
          <w:tcPr>
            <w:tcW w:w="21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Startdatum und ersten Termin bestätigen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8">
              <w:r>
                <w:rPr>
                  <w:rStyle w:val="ListLabel112"/>
                  <w:rFonts w:eastAsia="Cambria" w:cs="Cambria"/>
                  <w:b w:val="false"/>
                  <w:bCs w:val="false"/>
                  <w:i w:val="false"/>
                  <w:iCs w:val="false"/>
                  <w:sz w:val="18"/>
                  <w:szCs w:val="18"/>
                </w:rPr>
                <w:t>28</w:t>
              </w:r>
            </w:hyperlink>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60–72 Stunden</w:t>
            </w:r>
          </w:p>
        </w:tc>
        <w:tc>
          <w:tcPr>
            <w:tcW w:w="24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Urgent Care, Kinderarzt, Apotheke heraussuchen; Wochenplan</w:t>
            </w:r>
          </w:p>
        </w:tc>
        <w:tc>
          <w:tcPr>
            <w:tcW w:w="21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Versicherung womöglich noch nicht aktiv</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6">
              <w:r>
                <w:rPr>
                  <w:rStyle w:val="ListLabel112"/>
                  <w:rFonts w:eastAsia="Cambria" w:cs="Cambria"/>
                  <w:b w:val="false"/>
                  <w:bCs w:val="false"/>
                  <w:i w:val="false"/>
                  <w:iCs w:val="false"/>
                  <w:sz w:val="18"/>
                  <w:szCs w:val="18"/>
                </w:rPr>
                <w:t>26</w:t>
              </w:r>
            </w:hyperlink>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Bewertet wird, so früh wie erlaubt zu landen – bis zu 10 Tage vor dem Startdatum.</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Zeit für Jetlag, Bank und Besichtigungen ohne Arbeitsdruck</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Gehalt vor dem Startdatum, arbeiten darfst du noch nicht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Puffer bei Flugausfall oder zweiter Kontrolle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Mehr Tage für Unterkunft und Mietwagen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Zeit, den I-94 zu prüfen und Fehler zu korrigieren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Doppelte Kosten, solange Wohnung und Job in Deutschland laufen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Wohnung persönlich statt nach Fotos besichtigen (Kapitel </w:t>
            </w:r>
            <w:hyperlink w:anchor="k13">
              <w:r>
                <w:rPr>
                  <w:rStyle w:val="ListLabel112"/>
                  <w:rFonts w:eastAsia="Cambria" w:cs="Cambria"/>
                  <w:b w:val="false"/>
                  <w:bCs w:val="false"/>
                  <w:i w:val="false"/>
                  <w:iCs w:val="false"/>
                  <w:sz w:val="18"/>
                  <w:szCs w:val="18"/>
                </w:rPr>
                <w:t>13</w:t>
              </w:r>
            </w:hyperlink>
            <w:r>
              <w:rPr>
                <w:rFonts w:eastAsia="Cambria" w:cs="Cambria"/>
                <w:b w:val="false"/>
                <w:bCs w:val="false"/>
                <w:i w:val="false"/>
                <w:iCs w:val="false"/>
                <w:sz w:val="18"/>
                <w:szCs w:val="18"/>
              </w:rPr>
              <w: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Wer den frühesten Landetag verrechnet, riskiert die Zurückweisung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 erholen sich vor dem Start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Leerlauf, wenn die Familie noch getrennt ist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Lege den Landetag anhand des Von-Datums im Genehmigungsbescheid fest, packe die Handgepäckmappe und richte vor dem Abflug die eSIM ein. Am Ankunftstag zählen nur drei Dinge: Einreise, I-94 abrufen, schlafen.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Landetag festgelegt (frühestens 10 Tage vor dem Von-Datum im Bescheid)</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Handgepäckmappe gepackt: Pässe mit Visum, Bescheid im Original, Arbeitgeberbrief, Urkunden, Impfausweise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Digitale Kopien in der Cloud, Nummern von Personalabteilung und Anwalt auf Papier</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Erste Unterkunft für mindestens fünf Nächte mit Stornierungsoption gebucht, Transfer 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eSIM oder Prepaid-SIM eingerichtet, deutsche Nummer als Zweit-SIM behalten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Kreditkarte dabei, 200–300 $ Bargeld, insgesamt unter 10.000 $</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Am Ankunftstag den I-94 jedes Familienmitglieds abgerufen, geprüft und gesichert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911 und Adresse der Unterkunft im Handy, Auslandskrankenversicherung gilt ab Landung</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Originale für die Form I-9 und Bankdaten für das Gehalt bereitgelegt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Erste Termine gebucht: Bank, SSN-Antrag, Wohnungsbesichtigungen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CBP — Einreise und Einreisenachweis I-94 (</w:t>
      </w:r>
      <w:hyperlink r:id="rId223">
        <w:r>
          <w:rPr>
            <w:rStyle w:val="ListLabel113"/>
            <w:rFonts w:eastAsia="Cambria" w:cs="Cambria"/>
            <w:b w:val="false"/>
            <w:bCs w:val="false"/>
            <w:i w:val="false"/>
            <w:iCs w:val="false"/>
            <w:color w:val="0563C1"/>
            <w:sz w:val="22"/>
            <w:szCs w:val="22"/>
            <w:u w:val="single"/>
          </w:rPr>
          <w:t>cbp.gov/travel/international-visitors/i-94</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CBP — Abruf des elektronischen I-94 (</w:t>
      </w:r>
      <w:hyperlink r:id="rId224">
        <w:r>
          <w:rPr>
            <w:rStyle w:val="ListLabel113"/>
            <w:rFonts w:eastAsia="Cambria" w:cs="Cambria"/>
            <w:b w:val="false"/>
            <w:bCs w:val="false"/>
            <w:i w:val="false"/>
            <w:iCs w:val="false"/>
            <w:color w:val="0563C1"/>
            <w:sz w:val="22"/>
            <w:szCs w:val="22"/>
            <w:u w:val="single"/>
          </w:rPr>
          <w:t>i94.cbp.dhs.gov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Federal Register — Biometrieregel bei Ein- und Ausreise, 27. Oktober 2025 (</w:t>
      </w:r>
      <w:hyperlink r:id="rId225">
        <w:r>
          <w:rPr>
            <w:rStyle w:val="ListLabel113"/>
            <w:rFonts w:eastAsia="Cambria" w:cs="Cambria"/>
            <w:b w:val="false"/>
            <w:bCs w:val="false"/>
            <w:i w:val="false"/>
            <w:iCs w:val="false"/>
            <w:color w:val="0563C1"/>
            <w:sz w:val="22"/>
            <w:szCs w:val="22"/>
            <w:u w:val="single"/>
          </w:rPr>
          <w:t>federalregister.gov/d/2025-19655</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Form I-9 (</w:t>
      </w:r>
      <w:hyperlink r:id="rId226">
        <w:r>
          <w:rPr>
            <w:rStyle w:val="ListLabel113"/>
            <w:rFonts w:eastAsia="Cambria" w:cs="Cambria"/>
            <w:b w:val="false"/>
            <w:bCs w:val="false"/>
            <w:i w:val="false"/>
            <w:iCs w:val="false"/>
            <w:color w:val="0563C1"/>
            <w:sz w:val="22"/>
            <w:szCs w:val="22"/>
            <w:u w:val="single"/>
          </w:rPr>
          <w:t>uscis.gov/i-9</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Form W-4 (</w:t>
      </w:r>
      <w:hyperlink r:id="rId227">
        <w:r>
          <w:rPr>
            <w:rStyle w:val="ListLabel113"/>
            <w:rFonts w:eastAsia="Cambria" w:cs="Cambria"/>
            <w:b w:val="false"/>
            <w:bCs w:val="false"/>
            <w:i w:val="false"/>
            <w:iCs w:val="false"/>
            <w:color w:val="0563C1"/>
            <w:sz w:val="22"/>
            <w:szCs w:val="22"/>
            <w:u w:val="single"/>
          </w:rPr>
          <w:t>irs.gov/forms-pubs/about-form-w-4</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Federal Trade Commission — Betrug melden (</w:t>
      </w:r>
      <w:hyperlink r:id="rId228">
        <w:r>
          <w:rPr>
            <w:rStyle w:val="ListLabel113"/>
            <w:rFonts w:eastAsia="Cambria" w:cs="Cambria"/>
            <w:b w:val="false"/>
            <w:bCs w:val="false"/>
            <w:i w:val="false"/>
            <w:iCs w:val="false"/>
            <w:color w:val="0563C1"/>
            <w:sz w:val="22"/>
            <w:szCs w:val="22"/>
            <w:u w:val="single"/>
          </w:rPr>
          <w:t>reportfraud.ftc.gov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Deutsche Botschaft und Konsulate in den USA — Hilfe im Notfall (</w:t>
      </w:r>
      <w:hyperlink r:id="rId229">
        <w:r>
          <w:rPr>
            <w:rStyle w:val="ListLabel113"/>
            <w:rFonts w:eastAsia="Cambria" w:cs="Cambria"/>
            <w:b w:val="false"/>
            <w:bCs w:val="false"/>
            <w:i w:val="false"/>
            <w:iCs w:val="false"/>
            <w:color w:val="0563C1"/>
            <w:sz w:val="22"/>
            <w:szCs w:val="22"/>
            <w:u w:val="single"/>
          </w:rPr>
          <w:t>germany.info</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schnell: Kontroll- und Biometriepraxis von CBP (Regel seit 26. Dezember 2025, Geräterichtlinie seit Januar 2026), Ausgabe der Form I-9 (aktuell 01/20/25, zugelassen bis 31. Mai 2027), Preise für Unterkunft, Mietwagen und Mobilfunk sowie die H-1B-Regeln (Kapitel </w:t>
            </w:r>
            <w:hyperlink w:anchor="k5">
              <w:r>
                <w:rPr>
                  <w:rStyle w:val="ListLabel114"/>
                  <w:rFonts w:eastAsia="Cambria" w:cs="Cambria"/>
                  <w:b w:val="false"/>
                  <w:bCs w:val="false"/>
                  <w:i w:val="false"/>
                  <w:iCs w:val="false"/>
                  <w:sz w:val="20"/>
                  <w:szCs w:val="20"/>
                </w:rPr>
                <w:t>5</w:t>
              </w:r>
            </w:hyperlink>
            <w:r>
              <w:rPr>
                <w:rFonts w:eastAsia="Cambria" w:cs="Cambria"/>
                <w:b w:val="false"/>
                <w:bCs w:val="false"/>
                <w:i w:val="false"/>
                <w:iCs w:val="false"/>
                <w:sz w:val="20"/>
                <w:szCs w:val="20"/>
              </w:rPr>
              <w:t xml:space="preserve"> und </w:t>
            </w:r>
            <w:hyperlink w:anchor="k11">
              <w:r>
                <w:rPr>
                  <w:rStyle w:val="ListLabel114"/>
                  <w:rFonts w:eastAsia="Cambria" w:cs="Cambria"/>
                  <w:b w:val="false"/>
                  <w:bCs w:val="false"/>
                  <w:i w:val="false"/>
                  <w:iCs w:val="false"/>
                  <w:sz w:val="20"/>
                  <w:szCs w:val="20"/>
                </w:rPr>
                <w:t>11</w:t>
              </w:r>
            </w:hyperlink>
            <w:r>
              <w:rPr>
                <w:rFonts w:eastAsia="Cambria" w:cs="Cambria"/>
                <w:b w:val="false"/>
                <w:bCs w:val="false"/>
                <w:i w:val="false"/>
                <w:iCs w:val="false"/>
                <w:sz w:val="20"/>
                <w:szCs w:val="20"/>
              </w:rPr>
              <w:t>). Prüfe vor dem Abflug cbp.gov und die Reisehinweise des Auswärtigen Amts.</w:t>
            </w:r>
          </w:p>
        </w:tc>
      </w:tr>
    </w:tbl>
    <w:p>
      <w:pPr>
        <w:pStyle w:val="Normal"/>
        <w:spacing w:lineRule="exact" w:line="220" w:before="0" w:after="0"/>
        <w:rPr/>
      </w:pPr>
      <w:r>
        <w:rPr/>
      </w:r>
      <w:r>
        <w:br w:type="page"/>
      </w:r>
    </w:p>
    <w:p>
      <w:pPr>
        <w:pStyle w:val="Heading2"/>
        <w:keepNext w:val="true"/>
        <w:spacing w:before="0" w:after="300"/>
        <w:jc w:val="center"/>
        <w:rPr/>
      </w:pPr>
      <w:bookmarkStart w:id="61" w:name="__RefHeading___Toc56485_3769931028"/>
      <w:bookmarkStart w:id="62" w:name="k24"/>
      <w:bookmarkEnd w:id="61"/>
      <w:r>
        <w:rPr>
          <w:rFonts w:eastAsia="Amazon Ember" w:cs="Amazon Ember" w:ascii="Amazon Ember" w:hAnsi="Amazon Ember"/>
          <w:b/>
          <w:bCs/>
          <w:color w:val="0000FF"/>
          <w:sz w:val="36"/>
          <w:szCs w:val="36"/>
        </w:rPr>
        <w:t>Kapitel 24: Die Social Security Number (SSN) und die ITIN</w:t>
      </w:r>
      <w:bookmarkEnd w:id="62"/>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Am ersten Arbeitstag schiebt dir die Personalabteilung ein Formular hin und fragt nach einer neunstelligen Zahl, die du vielleicht noch gar nicht hast: der </w:t>
      </w:r>
      <w:r>
        <w:rPr>
          <w:rFonts w:eastAsia="Cambria" w:cs="Cambria"/>
          <w:b w:val="false"/>
          <w:bCs w:val="false"/>
          <w:i/>
          <w:iCs/>
          <w:sz w:val="22"/>
          <w:szCs w:val="22"/>
        </w:rPr>
        <w:t>Social Security Number</w:t>
      </w:r>
      <w:r>
        <w:rPr>
          <w:rFonts w:eastAsia="Cambria" w:cs="Cambria"/>
          <w:b w:val="false"/>
          <w:bCs w:val="false"/>
          <w:i w:val="false"/>
          <w:iCs w:val="false"/>
          <w:sz w:val="22"/>
          <w:szCs w:val="22"/>
        </w:rPr>
        <w:t xml:space="preserve"> (SSN), der Sozialversicherungsnummer. Ohne sie läuft trotzdem schon vieles an – Job, Wohnungssuche, Handyvertrag –, nur eben mit Umwegen. Dieses Kapitel zeigt, wer eine SSN bekommt, wie du sie beantragst, wie du die ersten Wochen ohne sie überstehst und wann stattdessen eine ITIN reicht.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Die SSN beantragst du mit Formular SS-5, meist persönlich im Büro der Sozialversicherungsbehörde SSA, frühestens 10 Tage nach der Einreise.</w:t>
            </w:r>
          </w:p>
          <w:p>
            <w:pPr>
              <w:pStyle w:val="ListParagraph"/>
              <w:numPr>
                <w:ilvl w:val="0"/>
                <w:numId w:val="1"/>
              </w:numPr>
              <w:spacing w:lineRule="exact" w:line="264" w:before="0" w:after="50"/>
              <w:rPr/>
            </w:pPr>
            <w:r>
              <w:rPr>
                <w:rFonts w:eastAsia="Cambria" w:cs="Cambria"/>
                <w:b w:val="false"/>
                <w:bCs w:val="false"/>
                <w:i w:val="false"/>
                <w:iCs w:val="false"/>
                <w:sz w:val="20"/>
                <w:szCs w:val="20"/>
              </w:rPr>
              <w:t>Ob du eine SSN bekommst, hängt vom Visumstatus ab: Hauptantragsteller bei H-1B, L-1, E-2, O-1 und J-1 ja, mitreisende Familienmitglieder oft nur mit eigener Arbeitserlaubnis.</w:t>
            </w:r>
          </w:p>
          <w:p>
            <w:pPr>
              <w:pStyle w:val="ListParagraph"/>
              <w:numPr>
                <w:ilvl w:val="0"/>
                <w:numId w:val="1"/>
              </w:numPr>
              <w:spacing w:lineRule="exact" w:line="264" w:before="0" w:after="50"/>
              <w:rPr/>
            </w:pPr>
            <w:r>
              <w:rPr>
                <w:rFonts w:eastAsia="Cambria" w:cs="Cambria"/>
                <w:b w:val="false"/>
                <w:bCs w:val="false"/>
                <w:i w:val="false"/>
                <w:iCs w:val="false"/>
                <w:sz w:val="20"/>
                <w:szCs w:val="20"/>
              </w:rPr>
              <w:t>Bank, Handy, Wohnung und Strom funktionieren auch ohne SSN – mit anderen Nachweisen.</w:t>
            </w:r>
          </w:p>
          <w:p>
            <w:pPr>
              <w:pStyle w:val="ListParagraph"/>
              <w:numPr>
                <w:ilvl w:val="0"/>
                <w:numId w:val="1"/>
              </w:numPr>
              <w:spacing w:lineRule="exact" w:line="264" w:before="0" w:after="50"/>
              <w:rPr/>
            </w:pPr>
            <w:r>
              <w:rPr>
                <w:rFonts w:eastAsia="Cambria" w:cs="Cambria"/>
                <w:b w:val="false"/>
                <w:bCs w:val="false"/>
                <w:i w:val="false"/>
                <w:iCs w:val="false"/>
                <w:sz w:val="20"/>
                <w:szCs w:val="20"/>
              </w:rPr>
              <w:t>Wer keine SSN bekommt, etwa ein Ehepartner mit H-4 ohne Arbeitserlaubnis, braucht für die Steuererklärung eine ITIN (Formular W-7).</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Schütze die SSN wie ein Passwort: </w:t>
            </w:r>
            <w:r>
              <w:rPr>
                <w:rFonts w:eastAsia="Cambria" w:cs="Cambria"/>
                <w:b w:val="false"/>
                <w:bCs w:val="false"/>
                <w:i/>
                <w:iCs/>
                <w:sz w:val="20"/>
                <w:szCs w:val="20"/>
              </w:rPr>
              <w:t>Credit Freeze</w:t>
            </w:r>
            <w:r>
              <w:rPr>
                <w:rFonts w:eastAsia="Cambria" w:cs="Cambria"/>
                <w:b w:val="false"/>
                <w:bCs w:val="false"/>
                <w:i w:val="false"/>
                <w:iCs w:val="false"/>
                <w:sz w:val="20"/>
                <w:szCs w:val="20"/>
              </w:rPr>
              <w:t xml:space="preserve"> und IRS-Identitätsschutz-PIN verhindern, dass Fremde sie missbrauchen.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die SSN ist und wofür du sie brauchst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SSN wurde 1936 eingeführt, um Beiträge zur gesetzlichen Rente zu verfolgen. Heute ist sie weit mehr: Arbeitgeber brauchen sie für Lohnsteuer und Meldung an die Sozialversicherung, Banken und Kreditkartenfirmen für die Bonitätsprüfung, Vermieter oft für den </w:t>
      </w:r>
      <w:r>
        <w:rPr>
          <w:rFonts w:eastAsia="Cambria" w:cs="Cambria"/>
          <w:b w:val="false"/>
          <w:bCs w:val="false"/>
          <w:i/>
          <w:iCs/>
          <w:sz w:val="22"/>
          <w:szCs w:val="22"/>
        </w:rPr>
        <w:t>Credit Report</w:t>
      </w:r>
      <w:r>
        <w:rPr>
          <w:rFonts w:eastAsia="Cambria" w:cs="Cambria"/>
          <w:b w:val="false"/>
          <w:bCs w:val="false"/>
          <w:i w:val="false"/>
          <w:iCs w:val="false"/>
          <w:sz w:val="22"/>
          <w:szCs w:val="22"/>
        </w:rPr>
        <w:t xml:space="preserve"> (die US-Schufa-Auskunft), und ohne sie öffnet keine Behörde ein Konto bei my Social Security. Kaum ein Formular in den ersten Monaten kommt ohne diese eine Zahl aus. Die Nummer besteht aus neun Ziffern (Format XXX-XX-XXXX), ausgegeben von der SSA.</w:t>
      </w:r>
    </w:p>
    <w:p>
      <w:pPr>
        <w:pStyle w:val="Heading3"/>
        <w:keepNext w:val="true"/>
        <w:spacing w:before="280" w:after="100"/>
        <w:jc w:val="center"/>
        <w:rPr/>
      </w:pPr>
      <w:r>
        <w:rPr>
          <w:rFonts w:eastAsia="Amazon Ember" w:cs="Amazon Ember" w:ascii="Amazon Ember" w:hAnsi="Amazon Ember"/>
          <w:b/>
          <w:bCs/>
          <w:color w:val="0000FF"/>
          <w:sz w:val="36"/>
          <w:szCs w:val="36"/>
        </w:rPr>
        <w:t>Vergleich: SSN, Steuer-ID und Rentenversicherungsnummer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Die SSN sei so etwas wie die amerikanische Steuer-ID, nur mit anderem Namen. Tatsächlich steckt mehr dahinter – für deutsche Neuankömmlinge ist die SSN gewöhnungsbedürftig, weil Deutschland aus Datenschutzgründen bewusst kein einheitliches Personenkennzeichen hat. Die elfstellige </w:t>
      </w:r>
      <w:r>
        <w:rPr>
          <w:rFonts w:eastAsia="Cambria" w:cs="Cambria"/>
          <w:b w:val="false"/>
          <w:bCs w:val="false"/>
          <w:i/>
          <w:iCs/>
          <w:sz w:val="22"/>
          <w:szCs w:val="22"/>
        </w:rPr>
        <w:t>Steuerliche Identifikationsnummer</w:t>
      </w:r>
      <w:r>
        <w:rPr>
          <w:rFonts w:eastAsia="Cambria" w:cs="Cambria"/>
          <w:b w:val="false"/>
          <w:bCs w:val="false"/>
          <w:i w:val="false"/>
          <w:iCs w:val="false"/>
          <w:sz w:val="22"/>
          <w:szCs w:val="22"/>
        </w:rPr>
        <w:t xml:space="preserve"> (Steuer-ID) und die zwölfstellige Rentenversicherungsnummer sind getrennte Systeme mit getrenntem Zweck. Die SSN vereint beide Rollen – und wird zusätzlich als praktischer Generalausweis für Kredit, Miete und Handy genutzt. Genau das macht sie in den USA so nützlich und ihren Missbrauch so folgenreich.</w:t>
      </w:r>
    </w:p>
    <w:tbl>
      <w:tblPr>
        <w:tblW w:w="6480" w:type="dxa"/>
        <w:jc w:val="left"/>
        <w:tblInd w:w="0" w:type="dxa"/>
        <w:tblLayout w:type="fixed"/>
        <w:tblCellMar>
          <w:top w:w="50" w:type="dxa"/>
          <w:left w:w="80" w:type="dxa"/>
          <w:bottom w:w="50" w:type="dxa"/>
          <w:right w:w="80" w:type="dxa"/>
        </w:tblCellMar>
      </w:tblPr>
      <w:tblGrid>
        <w:gridCol w:w="949"/>
        <w:gridCol w:w="2141"/>
        <w:gridCol w:w="1434"/>
        <w:gridCol w:w="1955"/>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Merkmal</w:t>
            </w:r>
          </w:p>
        </w:tc>
        <w:tc>
          <w:tcPr>
            <w:tcW w:w="214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SSN (USA)</w:t>
            </w:r>
          </w:p>
        </w:tc>
        <w:tc>
          <w:tcPr>
            <w:tcW w:w="143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Steuer-ID (Deutschland)</w:t>
            </w:r>
          </w:p>
        </w:tc>
        <w:tc>
          <w:tcPr>
            <w:tcW w:w="195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Rentenversicherungsnummer (Deutschland)</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Vergeben von</w:t>
            </w:r>
          </w:p>
        </w:tc>
        <w:tc>
          <w:tcPr>
            <w:tcW w:w="21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Sozialversicherungsbehörde SSA</w:t>
            </w:r>
          </w:p>
        </w:tc>
        <w:tc>
          <w:tcPr>
            <w:tcW w:w="14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Bundeszentralamt für Steuern</w:t>
            </w:r>
          </w:p>
        </w:tc>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Rentenversicherung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Zweck</w:t>
            </w:r>
          </w:p>
        </w:tc>
        <w:tc>
          <w:tcPr>
            <w:tcW w:w="21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Sozialversicherung, Steuer, Arbeitsnachweis, faktisch auch Bonität</w:t>
            </w:r>
          </w:p>
        </w:tc>
        <w:tc>
          <w:tcPr>
            <w:tcW w:w="14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Steuerverfahren</w:t>
            </w:r>
          </w:p>
        </w:tc>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gesetzliche Rentenversicherung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Format</w:t>
            </w:r>
          </w:p>
        </w:tc>
        <w:tc>
          <w:tcPr>
            <w:tcW w:w="21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neun Ziffern</w:t>
            </w:r>
          </w:p>
        </w:tc>
        <w:tc>
          <w:tcPr>
            <w:tcW w:w="14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elf Ziffern</w:t>
            </w:r>
          </w:p>
        </w:tc>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zwölf Zeichen (Bereich, Geburtsdatum, Buchstabe, Prüfziffern)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Wird verlangt bei</w:t>
            </w:r>
          </w:p>
        </w:tc>
        <w:tc>
          <w:tcPr>
            <w:tcW w:w="21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Job, Bank, Kredit, Miete, Handy, Versicherung</w:t>
            </w:r>
          </w:p>
        </w:tc>
        <w:tc>
          <w:tcPr>
            <w:tcW w:w="14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Finanzamt, Arbeitgeber, Kindergeldkasse</w:t>
            </w:r>
          </w:p>
        </w:tc>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beim Arbeitgeber für die Rentenversicherung</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Gleiche Behörde bedeutet nicht gleiche Nummer, gleiche Nummer bedeutet nicht gleicher Schutz. Weil die SSN so vielseitig verlangt wird, ist ein Datenleck in den USA folgenreicher als der Verlust der deutschen Steuer-ID.</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Wer bekommt eine SSN – nach Visumtyp</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SSA vergibt eine SSN „mit Arbeitserlaubnis“ nur, wenn der Status das Arbeiten in den USA erlaubt und du das mit einem passenden Dokument belegst (SSA-Regelwerk POMS RM 10211.420, Stand April 2026). Für Familienmitglieder ohne eigene Arbeitserlaubnis bearbeitet die SSA den Antrag grundsätzlich nicht.</w:t>
      </w:r>
    </w:p>
    <w:tbl>
      <w:tblPr>
        <w:tblW w:w="6480" w:type="dxa"/>
        <w:jc w:val="left"/>
        <w:tblInd w:w="0" w:type="dxa"/>
        <w:tblLayout w:type="fixed"/>
        <w:tblCellMar>
          <w:top w:w="50" w:type="dxa"/>
          <w:left w:w="80" w:type="dxa"/>
          <w:bottom w:w="50" w:type="dxa"/>
          <w:right w:w="80" w:type="dxa"/>
        </w:tblCellMar>
      </w:tblPr>
      <w:tblGrid>
        <w:gridCol w:w="1621"/>
        <w:gridCol w:w="2357"/>
        <w:gridCol w:w="2502"/>
      </w:tblGrid>
      <w:tr>
        <w:trPr>
          <w:tblHeader w:val="true"/>
          <w:cantSplit w:val="true"/>
        </w:trPr>
        <w:tc>
          <w:tcPr>
            <w:tcW w:w="162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Status</w:t>
            </w:r>
          </w:p>
        </w:tc>
        <w:tc>
          <w:tcPr>
            <w:tcW w:w="235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SSN mit Arbeitserlaubnis?</w:t>
            </w:r>
          </w:p>
        </w:tc>
        <w:tc>
          <w:tcPr>
            <w:tcW w:w="250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Nachweis</w:t>
            </w:r>
          </w:p>
        </w:tc>
      </w:tr>
      <w:tr>
        <w:trPr>
          <w:cantSplit w:val="true"/>
        </w:trPr>
        <w:tc>
          <w:tcPr>
            <w:tcW w:w="16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H-1B, L-1, E-2, O-1 (Hauptantragsteller)</w:t>
            </w:r>
          </w:p>
        </w:tc>
        <w:tc>
          <w:tcPr>
            <w:tcW w:w="23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automatisch mit dem Status</w:t>
            </w:r>
          </w:p>
        </w:tc>
        <w:tc>
          <w:tcPr>
            <w:tcW w:w="25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I-94 mit passender Klasse</w:t>
            </w:r>
          </w:p>
        </w:tc>
      </w:tr>
      <w:tr>
        <w:trPr>
          <w:cantSplit w:val="true"/>
        </w:trPr>
        <w:tc>
          <w:tcPr>
            <w:tcW w:w="16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H-4 (Ehepartner/Kinder)</w:t>
            </w:r>
          </w:p>
        </w:tc>
        <w:tc>
          <w:tcPr>
            <w:tcW w:w="23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mit eigener Arbeitserlaubnis (EAD, Kategorie C-26)</w:t>
            </w:r>
          </w:p>
        </w:tc>
        <w:tc>
          <w:tcPr>
            <w:tcW w:w="25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sonst keine SSN</w:t>
            </w:r>
          </w:p>
        </w:tc>
      </w:tr>
      <w:tr>
        <w:trPr>
          <w:cantSplit w:val="true"/>
        </w:trPr>
        <w:tc>
          <w:tcPr>
            <w:tcW w:w="16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L-2/L-2S, E-2S (Ehepartner)</w:t>
            </w:r>
          </w:p>
        </w:tc>
        <w:tc>
          <w:tcPr>
            <w:tcW w:w="23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automatisch mit dem Status</w:t>
            </w:r>
          </w:p>
        </w:tc>
        <w:tc>
          <w:tcPr>
            <w:tcW w:w="25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I-94 mit L-2/L-2S bzw. E-2S</w:t>
            </w:r>
          </w:p>
        </w:tc>
      </w:tr>
      <w:tr>
        <w:trPr>
          <w:cantSplit w:val="true"/>
        </w:trPr>
        <w:tc>
          <w:tcPr>
            <w:tcW w:w="16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J-1</w:t>
            </w:r>
          </w:p>
        </w:tc>
        <w:tc>
          <w:tcPr>
            <w:tcW w:w="23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als Teil des Austauschprogramms</w:t>
            </w:r>
          </w:p>
        </w:tc>
        <w:tc>
          <w:tcPr>
            <w:tcW w:w="25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DS-2019/I-94, bei Studierenden meist Sponsorbrief</w:t>
            </w:r>
          </w:p>
        </w:tc>
      </w:tr>
      <w:tr>
        <w:trPr>
          <w:cantSplit w:val="true"/>
        </w:trPr>
        <w:tc>
          <w:tcPr>
            <w:tcW w:w="16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J-2 (Ehepartner/Kinder)</w:t>
            </w:r>
          </w:p>
        </w:tc>
        <w:tc>
          <w:tcPr>
            <w:tcW w:w="23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mit eigener Arbeitserlaubnis (EAD)</w:t>
            </w:r>
          </w:p>
        </w:tc>
        <w:tc>
          <w:tcPr>
            <w:tcW w:w="25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sonst keine SSN</w:t>
            </w:r>
          </w:p>
        </w:tc>
      </w:tr>
      <w:tr>
        <w:trPr>
          <w:cantSplit w:val="true"/>
        </w:trPr>
        <w:tc>
          <w:tcPr>
            <w:tcW w:w="16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F-1</w:t>
            </w:r>
          </w:p>
        </w:tc>
        <w:tc>
          <w:tcPr>
            <w:tcW w:w="23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mit Arbeitsnachweis</w:t>
            </w:r>
          </w:p>
        </w:tc>
        <w:tc>
          <w:tcPr>
            <w:tcW w:w="25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on-campus: I-20 + Jobnachweis; CPT: I-20; OPT: EAD (Kategorie C-3)</w:t>
            </w:r>
          </w:p>
        </w:tc>
      </w:tr>
      <w:tr>
        <w:trPr>
          <w:cantSplit w:val="true"/>
        </w:trPr>
        <w:tc>
          <w:tcPr>
            <w:tcW w:w="16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Card (Immigrant Visa, Einreise)</w:t>
            </w:r>
          </w:p>
        </w:tc>
        <w:tc>
          <w:tcPr>
            <w:tcW w:w="23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automatisch</w:t>
            </w:r>
          </w:p>
        </w:tc>
        <w:tc>
          <w:tcPr>
            <w:tcW w:w="25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Antrag im DS-260 (siehe unten)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Kind mit L-2 oder E-2S ist selbst arbeitsberechtigt und bekommt daher eine SSN; ein H-4- oder J-2-Kind unter 21 ohne eigene EAD in der Regel nicht (dazu unten mehr). Für Green-Card-Inhaber über </w:t>
      </w:r>
      <w:r>
        <w:rPr>
          <w:rFonts w:eastAsia="Cambria" w:cs="Cambria"/>
          <w:b w:val="false"/>
          <w:bCs w:val="false"/>
          <w:i/>
          <w:iCs/>
          <w:sz w:val="22"/>
          <w:szCs w:val="22"/>
        </w:rPr>
        <w:t>Adjustment of Status</w:t>
      </w:r>
      <w:r>
        <w:rPr>
          <w:rFonts w:eastAsia="Cambria" w:cs="Cambria"/>
          <w:b w:val="false"/>
          <w:bCs w:val="false"/>
          <w:i w:val="false"/>
          <w:iCs w:val="false"/>
          <w:sz w:val="22"/>
          <w:szCs w:val="22"/>
        </w:rPr>
        <w:t xml:space="preserve"> (Statuswechsel im Land, Formular I-485,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läuft die SSN-Vergabe weiterhin automatisch über USCIS und SSA.</w:t>
      </w:r>
    </w:p>
    <w:p>
      <w:pPr>
        <w:pStyle w:val="Heading3"/>
        <w:keepNext w:val="true"/>
        <w:spacing w:before="280" w:after="100"/>
        <w:jc w:val="center"/>
        <w:rPr/>
      </w:pPr>
      <w:r>
        <w:rPr>
          <w:rFonts w:eastAsia="Amazon Ember" w:cs="Amazon Ember" w:ascii="Amazon Ember" w:hAnsi="Amazon Ember"/>
          <w:b/>
          <w:bCs/>
          <w:color w:val="0000FF"/>
          <w:sz w:val="36"/>
          <w:szCs w:val="36"/>
        </w:rPr>
        <w:t>Der Antrag: SS-5 Schritt für Schritt</w:t>
      </w:r>
    </w:p>
    <w:p>
      <w:pPr>
        <w:pStyle w:val="ListParagraph"/>
        <w:numPr>
          <w:ilvl w:val="0"/>
          <w:numId w:val="150"/>
        </w:numPr>
        <w:spacing w:lineRule="exact" w:line="288" w:before="0" w:after="60"/>
        <w:rPr/>
      </w:pPr>
      <w:r>
        <w:rPr>
          <w:rFonts w:eastAsia="Cambria" w:cs="Cambria"/>
          <w:b/>
          <w:bCs/>
          <w:i w:val="false"/>
          <w:iCs w:val="false"/>
          <w:sz w:val="22"/>
          <w:szCs w:val="22"/>
        </w:rPr>
        <w:t>Warten.</w:t>
      </w:r>
      <w:r>
        <w:rPr>
          <w:rFonts w:eastAsia="Cambria" w:cs="Cambria"/>
          <w:b w:val="false"/>
          <w:bCs w:val="false"/>
          <w:i w:val="false"/>
          <w:iCs w:val="false"/>
          <w:sz w:val="22"/>
          <w:szCs w:val="22"/>
        </w:rPr>
        <w:t xml:space="preserve"> Beantrage die SSN frühestens 10 Tage nach der Einreise. CBP übermittelt deine Einreisedaten erst mit Verzögerung an die SSA; ohne diesen Eintrag im System lehnt die SSA den Antrag ab oder verzögert ihn. Studierende brauchen zusätzlich einen aktiven SEVIS-Datensatz.</w:t>
      </w:r>
    </w:p>
    <w:p>
      <w:pPr>
        <w:pStyle w:val="ListParagraph"/>
        <w:numPr>
          <w:ilvl w:val="0"/>
          <w:numId w:val="151"/>
        </w:numPr>
        <w:spacing w:lineRule="exact" w:line="288" w:before="0" w:after="60"/>
        <w:rPr/>
      </w:pPr>
      <w:r>
        <w:rPr>
          <w:rFonts w:eastAsia="Cambria" w:cs="Cambria"/>
          <w:b/>
          <w:bCs/>
          <w:i w:val="false"/>
          <w:iCs w:val="false"/>
          <w:sz w:val="22"/>
          <w:szCs w:val="22"/>
        </w:rPr>
        <w:t>Unterlagen zusammenstellen.</w:t>
      </w:r>
      <w:r>
        <w:rPr>
          <w:rFonts w:eastAsia="Cambria" w:cs="Cambria"/>
          <w:b w:val="false"/>
          <w:bCs w:val="false"/>
          <w:i w:val="false"/>
          <w:iCs w:val="false"/>
          <w:sz w:val="22"/>
          <w:szCs w:val="22"/>
        </w:rPr>
        <w:t xml:space="preserve"> Reisepass im Original, Visum, ausgedruckter I-94 (i94.cbp.dhs.gov, siehe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 Genehmigungsbescheid I-797, ausgefülltes Formular SS-5 (Ausgabe 12-2024), bei Studierenden ergänzend I-20 oder DS-2019 mit Bestätigung der Hochschule. Ein Arbeitgeberbrief mit Startdatum ist nicht immer Pflicht, wird aber empfohlen und von manchen Büros trotzdem verlangt.</w:t>
      </w:r>
    </w:p>
    <w:p>
      <w:pPr>
        <w:pStyle w:val="ListParagraph"/>
        <w:numPr>
          <w:ilvl w:val="0"/>
          <w:numId w:val="152"/>
        </w:numPr>
        <w:spacing w:lineRule="exact" w:line="288" w:before="0" w:after="60"/>
        <w:rPr/>
      </w:pPr>
      <w:r>
        <w:rPr>
          <w:rFonts w:eastAsia="Cambria" w:cs="Cambria"/>
          <w:b/>
          <w:bCs/>
          <w:i w:val="false"/>
          <w:iCs w:val="false"/>
          <w:sz w:val="22"/>
          <w:szCs w:val="22"/>
        </w:rPr>
        <w:t>Termin im SSA-Büro.</w:t>
      </w:r>
      <w:r>
        <w:rPr>
          <w:rFonts w:eastAsia="Cambria" w:cs="Cambria"/>
          <w:b w:val="false"/>
          <w:bCs w:val="false"/>
          <w:i w:val="false"/>
          <w:iCs w:val="false"/>
          <w:sz w:val="22"/>
          <w:szCs w:val="22"/>
        </w:rPr>
        <w:t xml:space="preserve"> Die meisten Büros arbeiten mit Termin; Wartezeiten schwanken stark je nach Standort. Für Nichtbürger läuft der Antrag 2026 weiterhin über den persönlichen Termin oder den Postweg – die seit Februar 2026 angebotene vollständig digitale Beantragung gilt bislang nur für bestimmte Ersatzkarten- und Namensänderungsfälle von US-Bürgern mit US-Adresse.</w:t>
      </w:r>
    </w:p>
    <w:p>
      <w:pPr>
        <w:pStyle w:val="ListParagraph"/>
        <w:numPr>
          <w:ilvl w:val="0"/>
          <w:numId w:val="153"/>
        </w:numPr>
        <w:spacing w:lineRule="exact" w:line="288" w:before="0" w:after="60"/>
        <w:rPr/>
      </w:pPr>
      <w:r>
        <w:rPr>
          <w:rFonts w:eastAsia="Cambria" w:cs="Cambria"/>
          <w:b/>
          <w:bCs/>
          <w:i w:val="false"/>
          <w:iCs w:val="false"/>
          <w:sz w:val="22"/>
          <w:szCs w:val="22"/>
        </w:rPr>
        <w:t>Bearbeitung abwarten.</w:t>
      </w:r>
      <w:r>
        <w:rPr>
          <w:rFonts w:eastAsia="Cambria" w:cs="Cambria"/>
          <w:b w:val="false"/>
          <w:bCs w:val="false"/>
          <w:i w:val="false"/>
          <w:iCs w:val="false"/>
          <w:sz w:val="22"/>
          <w:szCs w:val="22"/>
        </w:rPr>
        <w:t xml:space="preserve"> Nach dem Termin dauert es meist 10 bis 14 Tage, bei H-1B-Fällen laut Kanzleien eher 2 bis 3 Wochen, bei zusätzlicher Prüfung 1 bis 3 Monate. Die Karte kommt per Post an deine US-Adresse, nicht sofort am Schalter.</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einer Green Card über das Konsulat (</w:t>
      </w:r>
      <w:r>
        <w:rPr>
          <w:rFonts w:eastAsia="Cambria" w:cs="Cambria"/>
          <w:b w:val="false"/>
          <w:bCs w:val="false"/>
          <w:i/>
          <w:iCs/>
          <w:sz w:val="22"/>
          <w:szCs w:val="22"/>
        </w:rPr>
        <w:t>Immigrant Visa</w:t>
      </w:r>
      <w:r>
        <w:rPr>
          <w:rFonts w:eastAsia="Cambria" w:cs="Cambria"/>
          <w:b w:val="false"/>
          <w:bCs w:val="false"/>
          <w:i w:val="false"/>
          <w:iCs w:val="false"/>
          <w:sz w:val="22"/>
          <w:szCs w:val="22"/>
        </w:rPr>
        <w:t>) läuft es anders: Der SSN-Antrag steckt bereits im Formular DS-260 (</w:t>
      </w:r>
      <w:r>
        <w:rPr>
          <w:rFonts w:eastAsia="Cambria" w:cs="Cambria"/>
          <w:b w:val="false"/>
          <w:bCs w:val="false"/>
          <w:i/>
          <w:iCs/>
          <w:sz w:val="22"/>
          <w:szCs w:val="22"/>
        </w:rPr>
        <w:t>Enumeration at Entry</w:t>
      </w:r>
      <w:r>
        <w:rPr>
          <w:rFonts w:eastAsia="Cambria" w:cs="Cambria"/>
          <w:b w:val="false"/>
          <w:bCs w:val="false"/>
          <w:i w:val="false"/>
          <w:iCs w:val="false"/>
          <w:sz w:val="22"/>
          <w:szCs w:val="22"/>
        </w:rPr>
        <w:t>), du musst dafür die SSN-Option ankreuzen und eine gültige US-Adresse angeben. Nach der Einreise übermittelt das Heimatschutzministerium (DHS) die Daten automatisch an die SSA; die Karte kommt 7 bis 10 Werktage nach der Ankunft, ohne Büro-Besuch.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automatische SSN-Vergabe über USCIS-Anträge (</w:t>
      </w:r>
      <w:r>
        <w:rPr>
          <w:rFonts w:eastAsia="Cambria" w:cs="Cambria"/>
          <w:b w:val="false"/>
          <w:bCs w:val="false"/>
          <w:i/>
          <w:iCs/>
          <w:sz w:val="22"/>
          <w:szCs w:val="22"/>
        </w:rPr>
        <w:t>Enumeration Beyond Entry</w:t>
      </w:r>
      <w:r>
        <w:rPr>
          <w:rFonts w:eastAsia="Cambria" w:cs="Cambria"/>
          <w:b w:val="false"/>
          <w:bCs w:val="false"/>
          <w:i w:val="false"/>
          <w:iCs w:val="false"/>
          <w:sz w:val="22"/>
          <w:szCs w:val="22"/>
        </w:rPr>
        <w:t>, EBE, etwa bei I-765-Arbeitserlaubnissen oder der Einbürgerung) ist seit dem 19. März 2025 ausgesetzt; wer betroffen ist, muss weiterhin persönlich zur SSA. Eine Wiederaufnahme war bis zum Stand dieses Kapitels nicht bestätigt – prüfe den aktuellen Stand vor dem Termin.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zu früher Antrag scheitert. Ohne den I-94-Eintrag im SSA-System wird der Antrag abgelehnt oder verschleppt; warte die 10 Tage ab, auch wenn Arbeitgeber oder Bank drängen.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SSA verlangt für SS-5 und Ersatzkarte keine Gebühr. Websites, die Geld für „schnellere Bearbeitung“ oder das Ausfüllen des Formulars verlangen, sind überteuerte Drittanbieter oder Betrug.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Leben ohne SSN in der Übergangszeit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SSN kommt selten am ersten Tag – plane die Übergangszeit ein, statt auf sie zu warten.</w:t>
      </w:r>
    </w:p>
    <w:p>
      <w:pPr>
        <w:pStyle w:val="ListParagraph"/>
        <w:numPr>
          <w:ilvl w:val="0"/>
          <w:numId w:val="1"/>
        </w:numPr>
        <w:spacing w:lineRule="exact" w:line="288" w:before="0" w:after="60"/>
        <w:rPr/>
      </w:pPr>
      <w:r>
        <w:rPr>
          <w:rFonts w:eastAsia="Cambria" w:cs="Cambria"/>
          <w:b/>
          <w:bCs/>
          <w:i w:val="false"/>
          <w:iCs w:val="false"/>
          <w:sz w:val="22"/>
          <w:szCs w:val="22"/>
        </w:rPr>
        <w:t>Arbeitgeber:</w:t>
      </w:r>
      <w:r>
        <w:rPr>
          <w:rFonts w:eastAsia="Cambria" w:cs="Cambria"/>
          <w:b w:val="false"/>
          <w:bCs w:val="false"/>
          <w:i w:val="false"/>
          <w:iCs w:val="false"/>
          <w:sz w:val="22"/>
          <w:szCs w:val="22"/>
        </w:rPr>
        <w:t xml:space="preserve"> Er darf dich ohne SSN beschäftigen; für die Form I-9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 ist keine SSN nötig, außer bei bestimmten E-Verify-Feldern. Die Lohnbuchhaltung trägt „Applied For“ ein und korrigiert es, sobald die Karte da ist.</w:t>
      </w:r>
    </w:p>
    <w:p>
      <w:pPr>
        <w:pStyle w:val="ListParagraph"/>
        <w:numPr>
          <w:ilvl w:val="0"/>
          <w:numId w:val="1"/>
        </w:numPr>
        <w:spacing w:lineRule="exact" w:line="288" w:before="0" w:after="60"/>
        <w:rPr/>
      </w:pPr>
      <w:r>
        <w:rPr>
          <w:rFonts w:eastAsia="Cambria" w:cs="Cambria"/>
          <w:b/>
          <w:bCs/>
          <w:i w:val="false"/>
          <w:iCs w:val="false"/>
          <w:sz w:val="22"/>
          <w:szCs w:val="22"/>
        </w:rPr>
        <w:t>Bank:</w:t>
      </w:r>
      <w:r>
        <w:rPr>
          <w:rFonts w:eastAsia="Cambria" w:cs="Cambria"/>
          <w:b w:val="false"/>
          <w:bCs w:val="false"/>
          <w:i w:val="false"/>
          <w:iCs w:val="false"/>
          <w:sz w:val="22"/>
          <w:szCs w:val="22"/>
        </w:rPr>
        <w:t xml:space="preserve"> Viele Banken eröffnen ein Konto mit Pass, Visum, I-94 und einer US-Adresse, auch ohne SSN; Details in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Handy:</w:t>
      </w:r>
      <w:r>
        <w:rPr>
          <w:rFonts w:eastAsia="Cambria" w:cs="Cambria"/>
          <w:b w:val="false"/>
          <w:bCs w:val="false"/>
          <w:i w:val="false"/>
          <w:iCs w:val="false"/>
          <w:sz w:val="22"/>
          <w:szCs w:val="22"/>
        </w:rPr>
        <w:t xml:space="preserve"> Prepaid-Tarife verlangen keine SSN; ein Laufzeitvertrag (</w:t>
      </w:r>
      <w:r>
        <w:rPr>
          <w:rFonts w:eastAsia="Cambria" w:cs="Cambria"/>
          <w:b w:val="false"/>
          <w:bCs w:val="false"/>
          <w:i/>
          <w:iCs/>
          <w:sz w:val="22"/>
          <w:szCs w:val="22"/>
        </w:rPr>
        <w:t>Postpaid</w:t>
      </w:r>
      <w:r>
        <w:rPr>
          <w:rFonts w:eastAsia="Cambria" w:cs="Cambria"/>
          <w:b w:val="false"/>
          <w:bCs w:val="false"/>
          <w:i w:val="false"/>
          <w:iCs w:val="false"/>
          <w:sz w:val="22"/>
          <w:szCs w:val="22"/>
        </w:rPr>
        <w:t>) verlangt meist SSN und Bonitätsprüfung oder eine Kaution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Wohnung:</w:t>
      </w:r>
      <w:r>
        <w:rPr>
          <w:rFonts w:eastAsia="Cambria" w:cs="Cambria"/>
          <w:b w:val="false"/>
          <w:bCs w:val="false"/>
          <w:i w:val="false"/>
          <w:iCs w:val="false"/>
          <w:sz w:val="22"/>
          <w:szCs w:val="22"/>
        </w:rPr>
        <w:t xml:space="preserve"> Vermieter akzeptieren oft Arbeitsvertrag, Gehaltsnachweis, eine höhere Kaution oder einen Bürgen anstelle der SSN-gestützten Bonitätsprüfung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Strom und Gas:</w:t>
      </w:r>
      <w:r>
        <w:rPr>
          <w:rFonts w:eastAsia="Cambria" w:cs="Cambria"/>
          <w:b w:val="false"/>
          <w:bCs w:val="false"/>
          <w:i w:val="false"/>
          <w:iCs w:val="false"/>
          <w:sz w:val="22"/>
          <w:szCs w:val="22"/>
        </w:rPr>
        <w:t xml:space="preserve"> Der Versorger verlangt ohne SSN meist eine Kaution oder akzeptiert ein </w:t>
      </w:r>
      <w:r>
        <w:rPr>
          <w:rFonts w:eastAsia="Cambria" w:cs="Cambria"/>
          <w:b w:val="false"/>
          <w:bCs w:val="false"/>
          <w:i/>
          <w:iCs/>
          <w:sz w:val="22"/>
          <w:szCs w:val="22"/>
        </w:rPr>
        <w:t>Letter of Credit</w:t>
      </w:r>
      <w:r>
        <w:rPr>
          <w:rFonts w:eastAsia="Cambria" w:cs="Cambria"/>
          <w:b w:val="false"/>
          <w:bCs w:val="false"/>
          <w:i w:val="false"/>
          <w:iCs w:val="false"/>
          <w:sz w:val="22"/>
          <w:szCs w:val="22"/>
        </w:rPr>
        <w:t xml:space="preserve"> (Bonitätsnachweis) des vorherigen Versorgers.</w:t>
      </w:r>
    </w:p>
    <w:p>
      <w:pPr>
        <w:pStyle w:val="ListParagraph"/>
        <w:numPr>
          <w:ilvl w:val="0"/>
          <w:numId w:val="1"/>
        </w:numPr>
        <w:spacing w:lineRule="exact" w:line="288" w:before="0" w:after="60"/>
        <w:rPr/>
      </w:pPr>
      <w:r>
        <w:rPr>
          <w:rFonts w:eastAsia="Cambria" w:cs="Cambria"/>
          <w:b/>
          <w:bCs/>
          <w:i w:val="false"/>
          <w:iCs w:val="false"/>
          <w:sz w:val="22"/>
          <w:szCs w:val="22"/>
        </w:rPr>
        <w:t>Führerschein (DMV):</w:t>
      </w:r>
      <w:r>
        <w:rPr>
          <w:rFonts w:eastAsia="Cambria" w:cs="Cambria"/>
          <w:b w:val="false"/>
          <w:bCs w:val="false"/>
          <w:i w:val="false"/>
          <w:iCs w:val="false"/>
          <w:sz w:val="22"/>
          <w:szCs w:val="22"/>
        </w:rPr>
        <w:t xml:space="preserve"> Manche Bundesstaaten verlangen für den Führerschein entweder eine SSN oder ein SSA-Ablehnungsschreiben (</w:t>
      </w:r>
      <w:r>
        <w:rPr>
          <w:rFonts w:eastAsia="Cambria" w:cs="Cambria"/>
          <w:b w:val="false"/>
          <w:bCs w:val="false"/>
          <w:i/>
          <w:iCs/>
          <w:sz w:val="22"/>
          <w:szCs w:val="22"/>
        </w:rPr>
        <w:t>Letter of Ineligibility</w:t>
      </w:r>
      <w:r>
        <w:rPr>
          <w:rFonts w:eastAsia="Cambria" w:cs="Cambria"/>
          <w:b w:val="false"/>
          <w:bCs w:val="false"/>
          <w:i w:val="false"/>
          <w:iCs w:val="false"/>
          <w:sz w:val="22"/>
          <w:szCs w:val="22"/>
        </w:rPr>
        <w:t>, Formular SSA-L676). Die SSA stellt es kostenlos aus, oft noch am selben Tag – aber nur, wenn du tatsächlich keinen Anspruch auf eine SSN hast (Kapitel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Eine SSN „ohne Arbeitserlaubnis“ (</w:t>
            </w:r>
            <w:r>
              <w:rPr>
                <w:rFonts w:eastAsia="Cambria" w:cs="Cambria"/>
                <w:b w:val="false"/>
                <w:bCs w:val="false"/>
                <w:i/>
                <w:iCs/>
                <w:sz w:val="20"/>
                <w:szCs w:val="20"/>
              </w:rPr>
              <w:t>Non-work-SSN</w:t>
            </w:r>
            <w:r>
              <w:rPr>
                <w:rFonts w:eastAsia="Cambria" w:cs="Cambria"/>
                <w:b w:val="false"/>
                <w:bCs w:val="false"/>
                <w:i w:val="false"/>
                <w:iCs w:val="false"/>
                <w:sz w:val="20"/>
                <w:szCs w:val="20"/>
              </w:rPr>
              <w:t xml:space="preserve">) gibt es nur in engen Ausnahmefällen: wenn ein Bundes- oder Landesgesetz sie ausdrücklich für eine Sozialleistung verlangt, belegt durch ein Behördenschreiben mit Original-Unterschrift. Bankkonto, Handyvertrag, Miete, Kredit und Führerschein zählen ausdrücklich </w:t>
            </w:r>
            <w:r>
              <w:rPr>
                <w:rFonts w:eastAsia="Cambria" w:cs="Cambria"/>
                <w:b/>
                <w:bCs/>
                <w:i w:val="false"/>
                <w:iCs w:val="false"/>
                <w:sz w:val="20"/>
                <w:szCs w:val="20"/>
              </w:rPr>
              <w:t>nicht</w:t>
            </w:r>
            <w:r>
              <w:rPr>
                <w:rFonts w:eastAsia="Cambria" w:cs="Cambria"/>
                <w:b w:val="false"/>
                <w:bCs w:val="false"/>
                <w:i w:val="false"/>
                <w:iCs w:val="false"/>
                <w:sz w:val="20"/>
                <w:szCs w:val="20"/>
              </w:rPr>
              <w:t xml:space="preserve"> dazu (SSA-Regelwerk POMS RM 10211.600). Verlass dich stattdessen auf die Übergangslösungen oben.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Schutz vor Missbrauch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darf deine SSN legal verlangen? Arbeitgeber für I-9 und W-4, Banken und Kreditkartenfirmen zur Identitätsprüfung, Vermieter und Versorger für die Bonitätsprüfung, Behörden wie IRS und SSA. Ein Callcenter, ein Laden an der Kasse oder eine unaufgeforderte SMS gehören nicht dazu.</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Weil die SSN so oft verlangt wird, ist sie ein beliebtes Ziel für Identitätsdiebstahl: Die Bundesverbraucherschutzbehörde FTC zählte 2025 rund 3,0 Millionen Betrugsmeldungen mit 15,9 Milliarden Dollar gemeldetem Schaden, gegenüber 2,6 Millionen Meldungen und über 12 Milliarden Dollar im Jahr davor. Zwei kostenlose Werkzeuge schützen dich:</w:t>
      </w:r>
    </w:p>
    <w:p>
      <w:pPr>
        <w:pStyle w:val="ListParagraph"/>
        <w:numPr>
          <w:ilvl w:val="0"/>
          <w:numId w:val="1"/>
        </w:numPr>
        <w:spacing w:lineRule="exact" w:line="288" w:before="0" w:after="60"/>
        <w:rPr/>
      </w:pPr>
      <w:r>
        <w:rPr>
          <w:rFonts w:eastAsia="Cambria" w:cs="Cambria"/>
          <w:b/>
          <w:bCs/>
          <w:i w:val="false"/>
          <w:iCs w:val="false"/>
          <w:sz w:val="22"/>
          <w:szCs w:val="22"/>
        </w:rPr>
        <w:t>Credit Freeze</w:t>
      </w:r>
      <w:r>
        <w:rPr>
          <w:rFonts w:eastAsia="Cambria" w:cs="Cambria"/>
          <w:b w:val="false"/>
          <w:bCs w:val="false"/>
          <w:i w:val="false"/>
          <w:iCs w:val="false"/>
          <w:sz w:val="22"/>
          <w:szCs w:val="22"/>
        </w:rPr>
        <w:t xml:space="preserve"> (Kontosperre bei den drei großen Auskunfteien Equifax, Experian und TransUnion): kostenlos, gilt bis zur eigenen Aufhebung, hat keinen Einfluss auf den Score. Beantrage ihn bei allen drei Stellen einzeln und hebe ihn nur kurz auf, wenn du selbst einen Kredit oder Vertrag beantragst. Ein </w:t>
      </w:r>
      <w:r>
        <w:rPr>
          <w:rFonts w:eastAsia="Cambria" w:cs="Cambria"/>
          <w:b w:val="false"/>
          <w:bCs w:val="false"/>
          <w:i/>
          <w:iCs/>
          <w:sz w:val="22"/>
          <w:szCs w:val="22"/>
        </w:rPr>
        <w:t>Fraud Alert</w:t>
      </w:r>
      <w:r>
        <w:rPr>
          <w:rFonts w:eastAsia="Cambria" w:cs="Cambria"/>
          <w:b w:val="false"/>
          <w:bCs w:val="false"/>
          <w:i w:val="false"/>
          <w:iCs w:val="false"/>
          <w:sz w:val="22"/>
          <w:szCs w:val="22"/>
        </w:rPr>
        <w:t xml:space="preserve"> (Betrugswarnung) reicht kürzer: ein Jahr, in der erweiterten Form sieben Jahre.</w:t>
      </w:r>
    </w:p>
    <w:p>
      <w:pPr>
        <w:pStyle w:val="ListParagraph"/>
        <w:numPr>
          <w:ilvl w:val="0"/>
          <w:numId w:val="1"/>
        </w:numPr>
        <w:spacing w:lineRule="exact" w:line="288" w:before="0" w:after="60"/>
        <w:rPr/>
      </w:pPr>
      <w:r>
        <w:rPr>
          <w:rFonts w:eastAsia="Cambria" w:cs="Cambria"/>
          <w:b/>
          <w:bCs/>
          <w:i w:val="false"/>
          <w:iCs w:val="false"/>
          <w:sz w:val="22"/>
          <w:szCs w:val="22"/>
        </w:rPr>
        <w:t>IRS Identity Protection PIN (IP PIN):</w:t>
      </w:r>
      <w:r>
        <w:rPr>
          <w:rFonts w:eastAsia="Cambria" w:cs="Cambria"/>
          <w:b w:val="false"/>
          <w:bCs w:val="false"/>
          <w:i w:val="false"/>
          <w:iCs w:val="false"/>
          <w:sz w:val="22"/>
          <w:szCs w:val="22"/>
        </w:rPr>
        <w:t xml:space="preserve"> eine jährlich neue, sechsstellige Nummer, die verhindert, dass jemand mit deiner SSN oder ITIN eine falsche Steuererklärung einreicht. Am schnellsten beantragst du sie über das IRS Online Account; ohne Online-Zugang hilft Formular 15227 (nur bei einem Jahreseinkommen unter 84.000 $ als Einzelperson beziehungsweise 168.000 $ bei gemeinsamer Veranlagung) oder ein Termin im Taxpayer Assistance Center.</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Telefonanrufe angeblicher SSA- oder IRS-Mitarbeiter, die mit Verhaftung, Abschiebung oder einer „gesperrten SSN“ drohen und sofortige Zahlung per Geschenkkarte oder Überweisung verlangen, sind Betrug. Beide Behörden rufen nicht so an. Lege auf, und melde den Anruf auf reportfraud.ftc.gov.</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Kinder, Partner und Neugeborene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in den USA geborene Kinder läuft die SSN meist automatisch über das Krankenhaus (</w:t>
      </w:r>
      <w:r>
        <w:rPr>
          <w:rFonts w:eastAsia="Cambria" w:cs="Cambria"/>
          <w:b w:val="false"/>
          <w:bCs w:val="false"/>
          <w:i/>
          <w:iCs/>
          <w:sz w:val="22"/>
          <w:szCs w:val="22"/>
        </w:rPr>
        <w:t>Enumeration at Birth</w:t>
      </w:r>
      <w:r>
        <w:rPr>
          <w:rFonts w:eastAsia="Cambria" w:cs="Cambria"/>
          <w:b w:val="false"/>
          <w:bCs w:val="false"/>
          <w:i w:val="false"/>
          <w:iCs w:val="false"/>
          <w:sz w:val="22"/>
          <w:szCs w:val="22"/>
        </w:rPr>
        <w:t>): Du füllst dort ein Formular zusammen mit der Geburtsurkunde aus, die Karte kommt einige Wochen später per Post. Für ein im Ausland geborenes Kind US-amerikanischer Eltern beantragst du die SSN zusammen mit dem Staatsangehörigkeitsnachweis (</w:t>
      </w:r>
      <w:r>
        <w:rPr>
          <w:rFonts w:eastAsia="Cambria" w:cs="Cambria"/>
          <w:b w:val="false"/>
          <w:bCs w:val="false"/>
          <w:i/>
          <w:iCs/>
          <w:sz w:val="22"/>
          <w:szCs w:val="22"/>
        </w:rPr>
        <w:t>Consular Report of Birth Abroad</w:t>
      </w:r>
      <w:r>
        <w:rPr>
          <w:rFonts w:eastAsia="Cambria" w:cs="Cambria"/>
          <w:b w:val="false"/>
          <w:bCs w:val="false"/>
          <w:i w:val="false"/>
          <w:iCs w:val="false"/>
          <w:sz w:val="22"/>
          <w:szCs w:val="22"/>
        </w:rPr>
        <w:t>, Formular DS-2029) beim Konsulat.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Kinder von Visuminhabern ohne eigene Arbeitserlaubnis – etwa H-4- oder J-2-Kinder – gibt es meist keine SSN. In der Praxis beantragen Eltern für solche Kinder stattdessen eine ITIN, sobald sie in der Steuererklärung als Angehörige auftauchen (siehe unten und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Für Ehepartner gilt dieselbe Logik: Wer mit H-4 oder J-2 keine EAD hat, bleibt ohne SSN, bis die Arbeitserlaubnis kommt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Sabine Keller (fiktiv, 33, Softwareentwicklerin) landet am 26. September in Seattle, ihr H-1B-Status beginnt am 1. Oktober. Am 6. Oktober – 10 Tage nach der Einreise – geht sie mit Pass, I-94-Ausdruck und I-797 zum SSA-Termin, den sie schon aus Deutschland online gebucht hatte. Das Formular SS-5 hatte sie vorher zu Hause ausgefüllt. Im Wartezimmer sitzen Neuankömmlinge aus einem Dutzend Ländern, alle mit demselben dünnen Aktenordner unterm Arm. Der Sachbearbeiter prüft die Originale, ein Arbeitgeberbrief wird nicht verlangt. Zwei Wochen später liegt die Karte im Briefkasten; bis dahin lief ihr erstes Gehalt mit dem Vermerk „Applied For“.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Ersatzkarte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Geht die Karte verloren oder ändert sich dein Name, bekommst du eine Ersatzkarte – begrenzt auf drei pro Kalenderjahr und zehn im gesamten Leben (seit Dezember 2005) – die Behörde traut offenbar niemandem zu, öfter als zehnmal im Leben etwas Wichtiges zu verlieren. Namensänderungen und die Korrektur der Arbeitsberechtigungs-Angabe auf der Karte zählen nicht gegen dieses Limit. Der Online-Ersatz über ein my-Social-Security-Konto steht 2026 nur US-Bürgern mit Führerschein aus einem teilnehmenden Bundesstaat offen; als Neuankömmling beantragst du die Ersatzkarte im SSA-Büro, wieder mit Formular SS-5.</w:t>
      </w:r>
    </w:p>
    <w:p>
      <w:pPr>
        <w:pStyle w:val="Heading3"/>
        <w:keepNext w:val="true"/>
        <w:spacing w:before="280" w:after="100"/>
        <w:jc w:val="center"/>
        <w:rPr/>
      </w:pPr>
      <w:r>
        <w:rPr>
          <w:rFonts w:eastAsia="Amazon Ember" w:cs="Amazon Ember" w:ascii="Amazon Ember" w:hAnsi="Amazon Ember"/>
          <w:b/>
          <w:bCs/>
          <w:color w:val="0000FF"/>
          <w:sz w:val="36"/>
          <w:szCs w:val="36"/>
        </w:rPr>
        <w:t>Die ITIN kurz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keinen Anspruch auf eine SSN hat, aber steuerpflichtig ist, braucht eine </w:t>
      </w:r>
      <w:r>
        <w:rPr>
          <w:rFonts w:eastAsia="Cambria" w:cs="Cambria"/>
          <w:b w:val="false"/>
          <w:bCs w:val="false"/>
          <w:i/>
          <w:iCs/>
          <w:sz w:val="22"/>
          <w:szCs w:val="22"/>
        </w:rPr>
        <w:t>Individual Taxpayer Identification Number</w:t>
      </w:r>
      <w:r>
        <w:rPr>
          <w:rFonts w:eastAsia="Cambria" w:cs="Cambria"/>
          <w:b w:val="false"/>
          <w:bCs w:val="false"/>
          <w:i w:val="false"/>
          <w:iCs w:val="false"/>
          <w:sz w:val="22"/>
          <w:szCs w:val="22"/>
        </w:rPr>
        <w:t xml:space="preserve"> (ITIN), eine neunstellige Steuernummer für Ausländer. Das betrifft vor allem Ehepartner ohne Arbeitserlaubnis, Kinder ohne SSN und Investoren oder Ruheständler mit US-Einkünften.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ITIN gibt keinen Aufenthaltsstatus, keine Arbeitserlaubnis und keinen Anspruch auf Sozialleistungen; sie berechtigt auch nicht zum </w:t>
      </w:r>
      <w:r>
        <w:rPr>
          <w:rFonts w:eastAsia="Cambria" w:cs="Cambria"/>
          <w:b w:val="false"/>
          <w:bCs w:val="false"/>
          <w:i/>
          <w:iCs/>
          <w:sz w:val="22"/>
          <w:szCs w:val="22"/>
        </w:rPr>
        <w:t>Earned Income Tax Credit</w:t>
      </w:r>
      <w:r>
        <w:rPr>
          <w:rFonts w:eastAsia="Cambria" w:cs="Cambria"/>
          <w:b w:val="false"/>
          <w:bCs w:val="false"/>
          <w:i w:val="false"/>
          <w:iCs w:val="false"/>
          <w:sz w:val="22"/>
          <w:szCs w:val="22"/>
        </w:rPr>
        <w:t xml:space="preserve"> oder zum vollen </w:t>
      </w:r>
      <w:r>
        <w:rPr>
          <w:rFonts w:eastAsia="Cambria" w:cs="Cambria"/>
          <w:b w:val="false"/>
          <w:bCs w:val="false"/>
          <w:i/>
          <w:iCs/>
          <w:sz w:val="22"/>
          <w:szCs w:val="22"/>
        </w:rPr>
        <w:t>Child Tax Credit</w:t>
      </w:r>
      <w:r>
        <w:rPr>
          <w:rFonts w:eastAsia="Cambria" w:cs="Cambria"/>
          <w:b w:val="false"/>
          <w:bCs w:val="false"/>
          <w:i w:val="false"/>
          <w:iCs w:val="false"/>
          <w:sz w:val="22"/>
          <w:szCs w:val="22"/>
        </w:rPr>
        <w:t xml:space="preserve">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xml:space="preserve">). Sie öffnet aber andere Steuervergünstigungen wie den </w:t>
      </w:r>
      <w:r>
        <w:rPr>
          <w:rFonts w:eastAsia="Cambria" w:cs="Cambria"/>
          <w:b w:val="false"/>
          <w:bCs w:val="false"/>
          <w:i/>
          <w:iCs/>
          <w:sz w:val="22"/>
          <w:szCs w:val="22"/>
        </w:rPr>
        <w:t>American Opportunity Tax Credit</w:t>
      </w:r>
      <w:r>
        <w:rPr>
          <w:rFonts w:eastAsia="Cambria" w:cs="Cambria"/>
          <w:b w:val="false"/>
          <w:bCs w:val="false"/>
          <w:i w:val="false"/>
          <w:iCs w:val="false"/>
          <w:sz w:val="22"/>
          <w:szCs w:val="22"/>
        </w:rPr>
        <w:t xml:space="preserve">, den </w:t>
      </w:r>
      <w:r>
        <w:rPr>
          <w:rFonts w:eastAsia="Cambria" w:cs="Cambria"/>
          <w:b w:val="false"/>
          <w:bCs w:val="false"/>
          <w:i/>
          <w:iCs/>
          <w:sz w:val="22"/>
          <w:szCs w:val="22"/>
        </w:rPr>
        <w:t>Premium Tax Credit</w:t>
      </w:r>
      <w:r>
        <w:rPr>
          <w:rFonts w:eastAsia="Cambria" w:cs="Cambria"/>
          <w:b w:val="false"/>
          <w:bCs w:val="false"/>
          <w:i w:val="false"/>
          <w:iCs w:val="false"/>
          <w:sz w:val="22"/>
          <w:szCs w:val="22"/>
        </w:rPr>
        <w:t xml:space="preserve"> und den </w:t>
      </w:r>
      <w:r>
        <w:rPr>
          <w:rFonts w:eastAsia="Cambria" w:cs="Cambria"/>
          <w:b w:val="false"/>
          <w:bCs w:val="false"/>
          <w:i/>
          <w:iCs/>
          <w:sz w:val="22"/>
          <w:szCs w:val="22"/>
        </w:rPr>
        <w:t>Credit for Other Dependents</w:t>
      </w:r>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Du beantragst die ITIN mit Formular W-7 zusammen mit der fristgerechten Steuererklärung, nicht separat. Die Bearbeitung dauert etwa 7 Wochen, zwischen dem 15. Januar und dem 30. April oder bei Anträgen aus dem Ausland eher 9 bis 11 Wochen; die Bestätigung kommt als Mitteilung CP565. Einreichen kannst du per Post an das IRS-Servicecenter in Austin, über ein Taxpayer Assistance Center, eine VITA-Beratungsstelle oder einen zugelassenen </w:t>
      </w:r>
      <w:r>
        <w:rPr>
          <w:rFonts w:eastAsia="Cambria" w:cs="Cambria"/>
          <w:b w:val="false"/>
          <w:bCs w:val="false"/>
          <w:i/>
          <w:iCs/>
          <w:sz w:val="22"/>
          <w:szCs w:val="22"/>
        </w:rPr>
        <w:t>Acceptance Agent</w:t>
      </w:r>
      <w:r>
        <w:rPr>
          <w:rFonts w:eastAsia="Cambria" w:cs="Cambria"/>
          <w:b w:val="false"/>
          <w:bCs w:val="false"/>
          <w:i w:val="false"/>
          <w:iCs w:val="false"/>
          <w:sz w:val="22"/>
          <w:szCs w:val="22"/>
        </w:rPr>
        <w:t xml:space="preserve"> (gegen Gebühr, die je nach Anbieter stark schwankt). In der Praxis verfällt eine ITIN, wenn sie drei Steuerjahre in Folge nicht in einer Erklärung auftaucht; die Erneuerung läuft wieder über Formular W-7.</w:t>
      </w:r>
    </w:p>
    <w:p>
      <w:pPr>
        <w:pStyle w:val="Heading3"/>
        <w:keepNext w:val="true"/>
        <w:spacing w:before="280" w:after="100"/>
        <w:jc w:val="center"/>
        <w:rPr/>
      </w:pPr>
      <w:r>
        <w:rPr>
          <w:rFonts w:eastAsia="Amazon Ember" w:cs="Amazon Ember" w:ascii="Amazon Ember" w:hAnsi="Amazon Ember"/>
          <w:b/>
          <w:bCs/>
          <w:color w:val="0000FF"/>
          <w:sz w:val="36"/>
          <w:szCs w:val="36"/>
        </w:rPr>
        <w:t>SSN und Sozialversicherungsansprüche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die reguläre US-Rente brauchst du in aller Regel 40 </w:t>
      </w:r>
      <w:r>
        <w:rPr>
          <w:rFonts w:eastAsia="Cambria" w:cs="Cambria"/>
          <w:b w:val="false"/>
          <w:bCs w:val="false"/>
          <w:i/>
          <w:iCs/>
          <w:sz w:val="22"/>
          <w:szCs w:val="22"/>
        </w:rPr>
        <w:t>Credits</w:t>
      </w:r>
      <w:r>
        <w:rPr>
          <w:rFonts w:eastAsia="Cambria" w:cs="Cambria"/>
          <w:b w:val="false"/>
          <w:bCs w:val="false"/>
          <w:i w:val="false"/>
          <w:iCs w:val="false"/>
          <w:sz w:val="22"/>
          <w:szCs w:val="22"/>
        </w:rPr>
        <w:t xml:space="preserve"> (auch </w:t>
      </w:r>
      <w:r>
        <w:rPr>
          <w:rFonts w:eastAsia="Cambria" w:cs="Cambria"/>
          <w:b w:val="false"/>
          <w:bCs w:val="false"/>
          <w:i/>
          <w:iCs/>
          <w:sz w:val="22"/>
          <w:szCs w:val="22"/>
        </w:rPr>
        <w:t>Quarters of Coverage</w:t>
      </w:r>
      <w:r>
        <w:rPr>
          <w:rFonts w:eastAsia="Cambria" w:cs="Cambria"/>
          <w:b w:val="false"/>
          <w:bCs w:val="false"/>
          <w:i w:val="false"/>
          <w:iCs w:val="false"/>
          <w:sz w:val="22"/>
          <w:szCs w:val="22"/>
        </w:rPr>
        <w:t xml:space="preserve"> genannt) – vereinfacht: ein Mindesteinkommen in jedem der 40 Kalendervierteljahre, höchstens vier pro Jahr, also rechnerisch etwa 10 Jahre versicherungspflichtige Arbeit. Wer nach wenigen Jahren zurück nach Deutschland geht, erreicht diese Grenze oft nicht allein aus US-Beiträgen.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Hier greift das deutsch-amerikanische Sozialversicherungsabkommen (in Kraft seit 1979): Es rechnet deutsche und amerikanische Versicherungszeiten zusammen, um die Mindestzeit für eine (dann anteilige) US-Rente zu erreichen – vorausgesetzt, du hast mindestens sechs eigene US-Credits, etwa eineinhalb Jahre Arbeit, gesammelt. Das Abkommen verhindert außerdem, dass du bei einer befristeten Entsendung in beide Systeme gleichzeitig einzahlst. Was das für deine gesetzliche Rente in Deutschland bedeutet, behandelt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SSN sichert nicht automatisch eine US-Rente. Erst 40 Credits oder das Zusammenrechnen über das Sozialversicherungsabkommen begründen einen Anspruch – kurze Aufenthalte zählen trotzdem für die spätere Zusammenrechnung.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Öffnet Bank, Kreditkarte und Handyvertrag zu normalen Konditionen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SSN dauern viele Alltagsdinge länger oder brauchen Umwege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Baut eine US-Kreditgeschichte auf, die später bei Miete und Hypothek zählt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Als Generalschlüssel betrifft ein Datenleck gleich mehrere Lebensbereiche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Sichert Ansprüche aus dem Sozialversicherungsabkommen (40 Credits, Zusammenrechnung)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Antrag nur persönlich mit Termin, Wartezeiten schwanken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ITIN überbrückt die Steuerpflicht auch ohne SSN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ITIN bringt weder Kreditwürdigkeit noch Sozialleistungen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Buche den SSA-Termin, sobald 10 Tage seit der Einreise vergangen sind, und nimm alle Originale mit. Kläre parallel, ob dein Ehepartner oder deine Kinder eine SSN oder eine ITIN brauchen, und richte für die Übergangszeit Bank, Handy und Wohnung mit den Alternativnachweisen ein. Sobald die Karte da ist, sichere sie sofort mit Credit Freeze und IP PIN.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I-94 ist mindestens 10 Tage alt, bevor du zur SSA gehst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Formular SS-5 ausgefüllt, Pass, Visum, I-94-Ausdruck und I-797 im Original bereitgelegt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Termin im SSA-Büro vereinbart, wo möglich vorab online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Arbeitgeber über „Applied For“ informiert, falls der Job vor der SSN beginnt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Übergangslösungen für Bank, Handy, Wohnung und Strom geklärt (Kapitel </w:t>
            </w:r>
            <w:hyperlink w:anchor="k13">
              <w:r>
                <w:rPr>
                  <w:rStyle w:val="ListLabel114"/>
                  <w:rFonts w:eastAsia="Cambria" w:cs="Cambria"/>
                  <w:b w:val="false"/>
                  <w:bCs w:val="false"/>
                  <w:i w:val="false"/>
                  <w:iCs w:val="false"/>
                  <w:sz w:val="20"/>
                  <w:szCs w:val="20"/>
                </w:rPr>
                <w:t>13</w:t>
              </w:r>
            </w:hyperlink>
            <w:r>
              <w:rPr>
                <w:rFonts w:eastAsia="Cambria" w:cs="Cambria"/>
                <w:b w:val="false"/>
                <w:bCs w:val="false"/>
                <w:i w:val="false"/>
                <w:iCs w:val="false"/>
                <w:sz w:val="20"/>
                <w:szCs w:val="20"/>
              </w:rPr>
              <w:t xml:space="preserve">, </w:t>
            </w:r>
            <w:hyperlink w:anchor="k25">
              <w:r>
                <w:rPr>
                  <w:rStyle w:val="ListLabel114"/>
                  <w:rFonts w:eastAsia="Cambria" w:cs="Cambria"/>
                  <w:b w:val="false"/>
                  <w:bCs w:val="false"/>
                  <w:i w:val="false"/>
                  <w:iCs w:val="false"/>
                  <w:sz w:val="20"/>
                  <w:szCs w:val="20"/>
                </w:rPr>
                <w:t>25</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Für Familienmitglieder ohne Arbeitserlaubnis geprüft: SSN oder ITIN (Kapitel </w:t>
            </w:r>
            <w:hyperlink w:anchor="k10">
              <w:r>
                <w:rPr>
                  <w:rStyle w:val="ListLabel114"/>
                  <w:rFonts w:eastAsia="Cambria" w:cs="Cambria"/>
                  <w:b w:val="false"/>
                  <w:bCs w:val="false"/>
                  <w:i w:val="false"/>
                  <w:iCs w:val="false"/>
                  <w:sz w:val="20"/>
                  <w:szCs w:val="20"/>
                </w:rPr>
                <w:t>10</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Sobald die SSN da ist: Credit Freeze bei allen drei Auskunfteien eingerichtet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IRS Identity Protection PIN über das IRS Online Account beantragt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Ersatzkarte nur bei echtem Bedarf beantragt, Limit im Kopf (3 pro Jahr, 10 im Leben)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geplanter Rückkehr: Sozialversicherungsabkommen und Zusammenrechnung im Blick (Kapitel </w:t>
            </w:r>
            <w:hyperlink w:anchor="k17">
              <w:r>
                <w:rPr>
                  <w:rStyle w:val="ListLabel114"/>
                  <w:rFonts w:eastAsia="Cambria" w:cs="Cambria"/>
                  <w:b w:val="false"/>
                  <w:bCs w:val="false"/>
                  <w:i w:val="false"/>
                  <w:iCs w:val="false"/>
                  <w:sz w:val="20"/>
                  <w:szCs w:val="20"/>
                </w:rPr>
                <w:t>17</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SSA — Formular SS-5 (</w:t>
      </w:r>
      <w:hyperlink r:id="rId230">
        <w:r>
          <w:rPr>
            <w:rStyle w:val="ListLabel113"/>
            <w:rFonts w:eastAsia="Cambria" w:cs="Cambria"/>
            <w:b w:val="false"/>
            <w:bCs w:val="false"/>
            <w:i w:val="false"/>
            <w:iCs w:val="false"/>
            <w:color w:val="0563C1"/>
            <w:sz w:val="22"/>
            <w:szCs w:val="22"/>
            <w:u w:val="single"/>
          </w:rPr>
          <w:t>ssa.gov/forms/ss-5.pdf</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SSA — Sozialversicherungsabkommen mit Deutschland (</w:t>
      </w:r>
      <w:hyperlink r:id="rId231">
        <w:r>
          <w:rPr>
            <w:rStyle w:val="ListLabel113"/>
            <w:rFonts w:eastAsia="Cambria" w:cs="Cambria"/>
            <w:b w:val="false"/>
            <w:bCs w:val="false"/>
            <w:i w:val="false"/>
            <w:iCs w:val="false"/>
            <w:color w:val="0563C1"/>
            <w:sz w:val="22"/>
            <w:szCs w:val="22"/>
            <w:u w:val="single"/>
          </w:rPr>
          <w:t>ssa.gov/international/Agreement_Pamphlets/germany.html</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SSA — Social Security Number und Karte (</w:t>
      </w:r>
      <w:hyperlink r:id="rId232">
        <w:r>
          <w:rPr>
            <w:rStyle w:val="ListLabel113"/>
            <w:rFonts w:eastAsia="Cambria" w:cs="Cambria"/>
            <w:b w:val="false"/>
            <w:bCs w:val="false"/>
            <w:i w:val="false"/>
            <w:iCs w:val="false"/>
            <w:color w:val="0563C1"/>
            <w:sz w:val="22"/>
            <w:szCs w:val="22"/>
            <w:u w:val="single"/>
          </w:rPr>
          <w:t>ssa.gov/number-card</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ITIN beantragen (</w:t>
      </w:r>
      <w:hyperlink r:id="rId233">
        <w:r>
          <w:rPr>
            <w:rStyle w:val="ListLabel113"/>
            <w:rFonts w:eastAsia="Cambria" w:cs="Cambria"/>
            <w:b w:val="false"/>
            <w:bCs w:val="false"/>
            <w:i w:val="false"/>
            <w:iCs w:val="false"/>
            <w:color w:val="0563C1"/>
            <w:sz w:val="22"/>
            <w:szCs w:val="22"/>
            <w:u w:val="single"/>
          </w:rPr>
          <w:t>irs.gov/individuals/how-do-i-apply-for-an-itin</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Identity Protection PIN (</w:t>
      </w:r>
      <w:hyperlink r:id="rId234">
        <w:r>
          <w:rPr>
            <w:rStyle w:val="ListLabel113"/>
            <w:rFonts w:eastAsia="Cambria" w:cs="Cambria"/>
            <w:b w:val="false"/>
            <w:bCs w:val="false"/>
            <w:i w:val="false"/>
            <w:iCs w:val="false"/>
            <w:color w:val="0563C1"/>
            <w:sz w:val="22"/>
            <w:szCs w:val="22"/>
            <w:u w:val="single"/>
          </w:rPr>
          <w:t>irs.gov/identity-theft-fraud-scams/get-an-identity-protection-pin</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FTC — Credit Freeze und Fraud Alert (</w:t>
      </w:r>
      <w:hyperlink r:id="rId235">
        <w:r>
          <w:rPr>
            <w:rStyle w:val="ListLabel113"/>
            <w:rFonts w:eastAsia="Cambria" w:cs="Cambria"/>
            <w:b w:val="false"/>
            <w:bCs w:val="false"/>
            <w:i w:val="false"/>
            <w:iCs w:val="false"/>
            <w:color w:val="0563C1"/>
            <w:sz w:val="22"/>
            <w:szCs w:val="22"/>
            <w:u w:val="single"/>
          </w:rPr>
          <w:t>consumer.ftc.gov/articles/what-know-about-credit-freezes-fraud-alerts</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schnell: ob die automatische SSN-Vergabe über USCIS (Enumeration Beyond Entry) reaktiviert wird, der Umfang der Online-Beantragung für Nichtbürger und die Bearbeitungszeiten einzelner SSA-Büros. Prüfe vor dem Termin ssa.gov und aktuelle Hinweise deines Arbeitgebers oder Anwalts.</w:t>
            </w:r>
          </w:p>
        </w:tc>
      </w:tr>
    </w:tbl>
    <w:p>
      <w:pPr>
        <w:pStyle w:val="Normal"/>
        <w:spacing w:lineRule="exact" w:line="220" w:before="0" w:after="0"/>
        <w:rPr/>
      </w:pPr>
      <w:r>
        <w:rPr/>
      </w:r>
      <w:r>
        <w:br w:type="page"/>
      </w:r>
    </w:p>
    <w:p>
      <w:pPr>
        <w:pStyle w:val="Heading2"/>
        <w:keepNext w:val="true"/>
        <w:spacing w:before="0" w:after="300"/>
        <w:jc w:val="center"/>
        <w:rPr/>
      </w:pPr>
      <w:bookmarkStart w:id="63" w:name="__RefHeading___Toc56487_3769931028"/>
      <w:bookmarkStart w:id="64" w:name="k25"/>
      <w:bookmarkEnd w:id="63"/>
      <w:r>
        <w:rPr>
          <w:rFonts w:eastAsia="Amazon Ember" w:cs="Amazon Ember" w:ascii="Amazon Ember" w:hAnsi="Amazon Ember"/>
          <w:b/>
          <w:bCs/>
          <w:color w:val="0000FF"/>
          <w:sz w:val="36"/>
          <w:szCs w:val="36"/>
        </w:rPr>
        <w:t>Kapitel 25: Bank, Kredit, Versicherungen: Geld im Alltag</w:t>
      </w:r>
      <w:bookmarkEnd w:id="64"/>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Du hast in Deutschland nie eine Rechnung zu spät bezahlt, deine Schufa-Auskunft ist makellos – und trotzdem lehnt dich der Mobilfunkanbieter in den USA für einen normalen Vertrag ab oder verlangt eine hohe Kaution. Der Grund ist banal: Für die amerikanischen Auskunfteien existierst du schlicht nicht. Jahrzehnte pünktlicher Zahlungen in Deutschland zählen hier nichts – du startest bei deiner </w:t>
      </w:r>
      <w:r>
        <w:rPr>
          <w:rFonts w:eastAsia="Cambria" w:cs="Cambria"/>
          <w:b w:val="false"/>
          <w:bCs w:val="false"/>
          <w:i/>
          <w:iCs/>
          <w:sz w:val="22"/>
          <w:szCs w:val="22"/>
        </w:rPr>
        <w:t>Kreditwürdigkeit</w:t>
      </w:r>
      <w:r>
        <w:rPr>
          <w:rFonts w:eastAsia="Cambria" w:cs="Cambria"/>
          <w:b w:val="false"/>
          <w:bCs w:val="false"/>
          <w:i w:val="false"/>
          <w:iCs w:val="false"/>
          <w:sz w:val="22"/>
          <w:szCs w:val="22"/>
        </w:rPr>
        <w:t xml:space="preserve"> (</w:t>
      </w:r>
      <w:r>
        <w:rPr>
          <w:rFonts w:eastAsia="Cambria" w:cs="Cambria"/>
          <w:b w:val="false"/>
          <w:bCs w:val="false"/>
          <w:i/>
          <w:iCs/>
          <w:sz w:val="22"/>
          <w:szCs w:val="22"/>
        </w:rPr>
        <w:t>Credit Score</w:t>
      </w:r>
      <w:r>
        <w:rPr>
          <w:rFonts w:eastAsia="Cambria" w:cs="Cambria"/>
          <w:b w:val="false"/>
          <w:bCs w:val="false"/>
          <w:i w:val="false"/>
          <w:iCs w:val="false"/>
          <w:sz w:val="22"/>
          <w:szCs w:val="22"/>
        </w:rPr>
        <w:t xml:space="preserve">, meist der </w:t>
      </w:r>
      <w:r>
        <w:rPr>
          <w:rFonts w:eastAsia="Cambria" w:cs="Cambria"/>
          <w:b w:val="false"/>
          <w:bCs w:val="false"/>
          <w:i/>
          <w:iCs/>
          <w:sz w:val="22"/>
          <w:szCs w:val="22"/>
        </w:rPr>
        <w:t>FICO-Score</w:t>
      </w:r>
      <w:r>
        <w:rPr>
          <w:rFonts w:eastAsia="Cambria" w:cs="Cambria"/>
          <w:b w:val="false"/>
          <w:bCs w:val="false"/>
          <w:i w:val="false"/>
          <w:iCs w:val="false"/>
          <w:sz w:val="22"/>
          <w:szCs w:val="22"/>
        </w:rPr>
        <w:t>) bei null, nicht bei schlecht. Das betrifft nicht nur Kreditkarten, sondern auch Handyvertrag, Autokredit und manchmal die Miete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 Wer das von Anfang an versteht und gezielt gegensteuert, hat nach sechs bis zwölf Monaten meist einen soliden Score. Wer es ignoriert, zahlt Jahre zu hohe Zinsen.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Ein US-Bankkonto lässt sich bei vielen Banken auch ohne SSN eröffnen (Pass, Visum, I-94 genügen oft); die SSN vereinfacht vieles (Kapitel </w:t>
            </w:r>
            <w:hyperlink w:anchor="k24">
              <w:r>
                <w:rPr>
                  <w:rStyle w:val="ListLabel114"/>
                  <w:rFonts w:eastAsia="Cambria" w:cs="Cambria"/>
                  <w:b w:val="false"/>
                  <w:bCs w:val="false"/>
                  <w:i w:val="false"/>
                  <w:iCs w:val="false"/>
                  <w:sz w:val="20"/>
                  <w:szCs w:val="20"/>
                </w:rPr>
                <w:t>24</w:t>
              </w:r>
            </w:hyperlink>
            <w:r>
              <w:rPr>
                <w:rFonts w:eastAsia="Cambria" w:cs="Cambria"/>
                <w:b w:val="false"/>
                <w:bCs w:val="false"/>
                <w:i w:val="false"/>
                <w:iCs w:val="false"/>
                <w:sz w:val="20"/>
                <w:szCs w:val="20"/>
              </w:rPr>
              <w: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Schecks, </w:t>
            </w:r>
            <w:r>
              <w:rPr>
                <w:rFonts w:eastAsia="Cambria" w:cs="Cambria"/>
                <w:b w:val="false"/>
                <w:bCs w:val="false"/>
                <w:i/>
                <w:iCs/>
                <w:sz w:val="20"/>
                <w:szCs w:val="20"/>
              </w:rPr>
              <w:t>ACH</w:t>
            </w:r>
            <w:r>
              <w:rPr>
                <w:rFonts w:eastAsia="Cambria" w:cs="Cambria"/>
                <w:b w:val="false"/>
                <w:bCs w:val="false"/>
                <w:i w:val="false"/>
                <w:iCs w:val="false"/>
                <w:sz w:val="20"/>
                <w:szCs w:val="20"/>
              </w:rPr>
              <w:t xml:space="preserve">, </w:t>
            </w:r>
            <w:r>
              <w:rPr>
                <w:rFonts w:eastAsia="Cambria" w:cs="Cambria"/>
                <w:b w:val="false"/>
                <w:bCs w:val="false"/>
                <w:i/>
                <w:iCs/>
                <w:sz w:val="20"/>
                <w:szCs w:val="20"/>
              </w:rPr>
              <w:t>Zelle</w:t>
            </w:r>
            <w:r>
              <w:rPr>
                <w:rFonts w:eastAsia="Cambria" w:cs="Cambria"/>
                <w:b w:val="false"/>
                <w:bCs w:val="false"/>
                <w:i w:val="false"/>
                <w:iCs w:val="false"/>
                <w:sz w:val="20"/>
                <w:szCs w:val="20"/>
              </w:rPr>
              <w:t xml:space="preserve"> und </w:t>
            </w:r>
            <w:r>
              <w:rPr>
                <w:rFonts w:eastAsia="Cambria" w:cs="Cambria"/>
                <w:b w:val="false"/>
                <w:bCs w:val="false"/>
                <w:i/>
                <w:iCs/>
                <w:sz w:val="20"/>
                <w:szCs w:val="20"/>
              </w:rPr>
              <w:t>Venmo</w:t>
            </w:r>
            <w:r>
              <w:rPr>
                <w:rFonts w:eastAsia="Cambria" w:cs="Cambria"/>
                <w:b w:val="false"/>
                <w:bCs w:val="false"/>
                <w:i w:val="false"/>
                <w:iCs w:val="false"/>
                <w:sz w:val="20"/>
                <w:szCs w:val="20"/>
              </w:rPr>
              <w:t xml:space="preserve"> sind die vier Wege, wie Geld im US-Alltag fließt – jeder mit eigenen Regeln und Risiken.</w:t>
            </w:r>
          </w:p>
          <w:p>
            <w:pPr>
              <w:pStyle w:val="ListParagraph"/>
              <w:numPr>
                <w:ilvl w:val="0"/>
                <w:numId w:val="1"/>
              </w:numPr>
              <w:spacing w:lineRule="exact" w:line="264" w:before="0" w:after="50"/>
              <w:rPr/>
            </w:pPr>
            <w:r>
              <w:rPr>
                <w:rFonts w:eastAsia="Cambria" w:cs="Cambria"/>
                <w:b w:val="false"/>
                <w:bCs w:val="false"/>
                <w:i w:val="false"/>
                <w:iCs w:val="false"/>
                <w:sz w:val="20"/>
                <w:szCs w:val="20"/>
              </w:rPr>
              <w:t>Deine deutsche Bonität zählt in den USA nicht: Du baust deine Kreditwürdigkeit über eine gesicherte Kreditkarte, geringe Auslastung und pünktliche Zahlungen neu auf.</w:t>
            </w:r>
          </w:p>
          <w:p>
            <w:pPr>
              <w:pStyle w:val="ListParagraph"/>
              <w:numPr>
                <w:ilvl w:val="0"/>
                <w:numId w:val="1"/>
              </w:numPr>
              <w:spacing w:lineRule="exact" w:line="264" w:before="0" w:after="50"/>
              <w:rPr/>
            </w:pPr>
            <w:r>
              <w:rPr>
                <w:rFonts w:eastAsia="Cambria" w:cs="Cambria"/>
                <w:b w:val="false"/>
                <w:bCs w:val="false"/>
                <w:i w:val="false"/>
                <w:iCs w:val="false"/>
                <w:sz w:val="20"/>
                <w:szCs w:val="20"/>
              </w:rPr>
              <w:t>Kreditkarten kosten bei Restschuld im Schnitt über 20 % Zinsen im Jahr (Stand 2026) – die eine feste Regel lautet: Rechnung jeden Monat vollständig begleichen.</w:t>
            </w:r>
          </w:p>
          <w:p>
            <w:pPr>
              <w:pStyle w:val="ListParagraph"/>
              <w:numPr>
                <w:ilvl w:val="0"/>
                <w:numId w:val="1"/>
              </w:numPr>
              <w:spacing w:lineRule="exact" w:line="264" w:before="0" w:after="50"/>
              <w:rPr/>
            </w:pPr>
            <w:r>
              <w:rPr>
                <w:rFonts w:eastAsia="Cambria" w:cs="Cambria"/>
                <w:b w:val="false"/>
                <w:bCs w:val="false"/>
                <w:i w:val="false"/>
                <w:iCs w:val="false"/>
                <w:sz w:val="20"/>
                <w:szCs w:val="20"/>
              </w:rPr>
              <w:t>Renters-, Umbrella-, Term-Life- und Disability-Versicherung schließen Lücken, die es in Deutschland in dieser Form nicht gibt.</w:t>
            </w:r>
          </w:p>
          <w:p>
            <w:pPr>
              <w:pStyle w:val="ListParagraph"/>
              <w:numPr>
                <w:ilvl w:val="0"/>
                <w:numId w:val="1"/>
              </w:numPr>
              <w:spacing w:lineRule="exact" w:line="264" w:before="0" w:after="50"/>
              <w:rPr/>
            </w:pPr>
            <w:r>
              <w:rPr>
                <w:rFonts w:eastAsia="Cambria" w:cs="Cambria"/>
                <w:b w:val="false"/>
                <w:bCs w:val="false"/>
                <w:i w:val="false"/>
                <w:iCs w:val="false"/>
                <w:sz w:val="20"/>
                <w:szCs w:val="20"/>
              </w:rPr>
              <w:t>Ein Notgroschen von drei bis sechs Monatsausgaben ist in den USA wichtiger als in Deutschland, weil Kündigungsschutz und ein dichtes soziales Netz fehlen.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Ein Bankkonto eröffnen — mit und ohne SSN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Ohne US-Bankkonto geht im Alltag wenig: Gehalt, Miete, die meisten Rechnungen und fast jede App laufen darüber. Die klassische Kombination: ein </w:t>
      </w:r>
      <w:r>
        <w:rPr>
          <w:rFonts w:eastAsia="Cambria" w:cs="Cambria"/>
          <w:b w:val="false"/>
          <w:bCs w:val="false"/>
          <w:i/>
          <w:iCs/>
          <w:sz w:val="22"/>
          <w:szCs w:val="22"/>
        </w:rPr>
        <w:t>Checking Account</w:t>
      </w:r>
      <w:r>
        <w:rPr>
          <w:rFonts w:eastAsia="Cambria" w:cs="Cambria"/>
          <w:b w:val="false"/>
          <w:bCs w:val="false"/>
          <w:i w:val="false"/>
          <w:iCs w:val="false"/>
          <w:sz w:val="22"/>
          <w:szCs w:val="22"/>
        </w:rPr>
        <w:t xml:space="preserve"> (Girokonto mit Debitkarte für den täglichen Zahlungsverkehr) plus ein </w:t>
      </w:r>
      <w:r>
        <w:rPr>
          <w:rFonts w:eastAsia="Cambria" w:cs="Cambria"/>
          <w:b w:val="false"/>
          <w:bCs w:val="false"/>
          <w:i/>
          <w:iCs/>
          <w:sz w:val="22"/>
          <w:szCs w:val="22"/>
        </w:rPr>
        <w:t>Savings Account</w:t>
      </w:r>
      <w:r>
        <w:rPr>
          <w:rFonts w:eastAsia="Cambria" w:cs="Cambria"/>
          <w:b w:val="false"/>
          <w:bCs w:val="false"/>
          <w:i w:val="false"/>
          <w:iCs w:val="false"/>
          <w:sz w:val="22"/>
          <w:szCs w:val="22"/>
        </w:rPr>
        <w:t xml:space="preserve"> (Sparkonto, meist mit etwas Zins, aber begrenzten Abhebungen pro Monat). Landesweite Banken wie Chase, Bank of America oder Wells Fargo haben Filialen fast überall; regionale Banken und Kreditgenossenschaften (</w:t>
      </w:r>
      <w:r>
        <w:rPr>
          <w:rFonts w:eastAsia="Cambria" w:cs="Cambria"/>
          <w:b w:val="false"/>
          <w:bCs w:val="false"/>
          <w:i/>
          <w:iCs/>
          <w:sz w:val="22"/>
          <w:szCs w:val="22"/>
        </w:rPr>
        <w:t>Credit Unions</w:t>
      </w:r>
      <w:r>
        <w:rPr>
          <w:rFonts w:eastAsia="Cambria" w:cs="Cambria"/>
          <w:b w:val="false"/>
          <w:bCs w:val="false"/>
          <w:i w:val="false"/>
          <w:iCs w:val="false"/>
          <w:sz w:val="22"/>
          <w:szCs w:val="22"/>
        </w:rPr>
        <w:t>) bieten oft bessere Konditionen bei kleinerem Filialnetz.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Eröffnung verlangen die meisten Banken Reisepass, Visum, den I-94-Ausdruck und einen Adressnachweis; ohne SSN akzeptieren viele Institute stattdessen eine ITIN oder verlangen sie innerhalb einiger Wochen nachzureichen (Kapitel </w:t>
      </w:r>
      <w:hyperlink w:anchor="k24">
        <w:r>
          <w:rPr>
            <w:rStyle w:val="ListLabel115"/>
            <w:rFonts w:eastAsia="Cambria" w:cs="Cambria"/>
            <w:b w:val="false"/>
            <w:bCs w:val="false"/>
            <w:i w:val="false"/>
            <w:iCs w:val="false"/>
            <w:sz w:val="22"/>
            <w:szCs w:val="22"/>
          </w:rPr>
          <w:t>24</w:t>
        </w:r>
      </w:hyperlink>
      <w:r>
        <w:rPr>
          <w:rFonts w:eastAsia="Cambria" w:cs="Cambria"/>
          <w:b w:val="false"/>
          <w:bCs w:val="false"/>
          <w:i w:val="false"/>
          <w:iCs w:val="false"/>
          <w:sz w:val="22"/>
          <w:szCs w:val="22"/>
        </w:rPr>
        <w:t>). Eine erste Einzahlung von meist 25 bis 100 $ eröffnet das Konto. Frag gezielt nach einem Konto ohne monatliche Kontoführungsgebühr (</w:t>
      </w:r>
      <w:r>
        <w:rPr>
          <w:rFonts w:eastAsia="Cambria" w:cs="Cambria"/>
          <w:b w:val="false"/>
          <w:bCs w:val="false"/>
          <w:i/>
          <w:iCs/>
          <w:sz w:val="22"/>
          <w:szCs w:val="22"/>
        </w:rPr>
        <w:t>Monthly Maintenance Fee</w:t>
      </w:r>
      <w:r>
        <w:rPr>
          <w:rFonts w:eastAsia="Cambria" w:cs="Cambria"/>
          <w:b w:val="false"/>
          <w:bCs w:val="false"/>
          <w:i w:val="false"/>
          <w:iCs w:val="false"/>
          <w:sz w:val="22"/>
          <w:szCs w:val="22"/>
        </w:rPr>
        <w:t>) — meist vermeidbar durch Mindestbestand oder Gehaltseingang per Direktüberweisung. Die deutsche Girocard funktioniert in den USA praktisch nie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 für Kaution und Mietwagen brauchst du ohnehin eine Kreditkarte.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Einlagen sind bei den meisten Banken durch die staatliche Einlagensicherung FDIC (</w:t>
      </w:r>
      <w:r>
        <w:rPr>
          <w:rFonts w:eastAsia="Cambria" w:cs="Cambria"/>
          <w:b w:val="false"/>
          <w:bCs w:val="false"/>
          <w:i/>
          <w:iCs/>
          <w:sz w:val="22"/>
          <w:szCs w:val="22"/>
        </w:rPr>
        <w:t>Federal Deposit Insurance Corporation</w:t>
      </w:r>
      <w:r>
        <w:rPr>
          <w:rFonts w:eastAsia="Cambria" w:cs="Cambria"/>
          <w:b w:val="false"/>
          <w:bCs w:val="false"/>
          <w:i w:val="false"/>
          <w:iCs w:val="false"/>
          <w:sz w:val="22"/>
          <w:szCs w:val="22"/>
        </w:rPr>
        <w:t>) bis 250.000 $ je Bank und Kontoinhaber abgesichert – deutlich mehr als die 100.000 € der deutschen Einlagensicherung. Kreditgenossenschaften nutzen mit der NCUA eine vergleichbare Absicherung.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Manche Banken sperren ein „Pending“-Konto oder schränken es ein, wenn SSN oder ITIN nicht innerhalb der vereinbarten Frist nachgereicht werden. Frag bei der Kontoeröffnung ausdrücklich nach dieser Frist und trage sie in deinen Kalender ein.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Geld bewegen: Schecks, ACH, Zelle und Venmo</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Scheck (</w:t>
      </w:r>
      <w:r>
        <w:rPr>
          <w:rFonts w:eastAsia="Cambria" w:cs="Cambria"/>
          <w:b w:val="false"/>
          <w:bCs w:val="false"/>
          <w:i/>
          <w:iCs/>
          <w:sz w:val="22"/>
          <w:szCs w:val="22"/>
        </w:rPr>
        <w:t>Check</w:t>
      </w:r>
      <w:r>
        <w:rPr>
          <w:rFonts w:eastAsia="Cambria" w:cs="Cambria"/>
          <w:b w:val="false"/>
          <w:bCs w:val="false"/>
          <w:i w:val="false"/>
          <w:iCs w:val="false"/>
          <w:sz w:val="22"/>
          <w:szCs w:val="22"/>
        </w:rPr>
        <w:t>) ist in den USA lebendiger als in Deutschland: Manche Vermieter, Kautionen und private Zahlungen laufen noch damit. Er braucht Datum, Empfänger, Betrag in Ziffern und Worten sowie deine Unterschrift; die Bank-App liest ihn per Fotoscan ein (</w:t>
      </w:r>
      <w:r>
        <w:rPr>
          <w:rFonts w:eastAsia="Cambria" w:cs="Cambria"/>
          <w:b w:val="false"/>
          <w:bCs w:val="false"/>
          <w:i/>
          <w:iCs/>
          <w:sz w:val="22"/>
          <w:szCs w:val="22"/>
        </w:rPr>
        <w:t>Mobile Deposit</w:t>
      </w:r>
      <w:r>
        <w:rPr>
          <w:rFonts w:eastAsia="Cambria" w:cs="Cambria"/>
          <w:b w:val="false"/>
          <w:bCs w:val="false"/>
          <w:i w:val="false"/>
          <w:iCs w:val="false"/>
          <w:sz w:val="22"/>
          <w:szCs w:val="22"/>
        </w:rPr>
        <w:t>). Reicht das Guthaben nicht, platzt der Scheck (</w:t>
      </w:r>
      <w:r>
        <w:rPr>
          <w:rFonts w:eastAsia="Cambria" w:cs="Cambria"/>
          <w:b w:val="false"/>
          <w:bCs w:val="false"/>
          <w:i/>
          <w:iCs/>
          <w:sz w:val="22"/>
          <w:szCs w:val="22"/>
        </w:rPr>
        <w:t>Bounced Check</w:t>
      </w:r>
      <w:r>
        <w:rPr>
          <w:rFonts w:eastAsia="Cambria" w:cs="Cambria"/>
          <w:b w:val="false"/>
          <w:bCs w:val="false"/>
          <w:i w:val="false"/>
          <w:iCs w:val="false"/>
          <w:sz w:val="22"/>
          <w:szCs w:val="22"/>
        </w:rPr>
        <w:t>) — das löst Gebühren bei dir und beim Empfänger aus, kontrolliere also den Kontostand vorher.</w:t>
      </w:r>
    </w:p>
    <w:p>
      <w:pPr>
        <w:pStyle w:val="Normal"/>
        <w:keepNext w:val="false"/>
        <w:keepLines w:val="false"/>
        <w:spacing w:lineRule="exact" w:line="288" w:before="0" w:after="140"/>
        <w:jc w:val="left"/>
        <w:rPr/>
      </w:pPr>
      <w:r>
        <w:rPr>
          <w:rFonts w:eastAsia="Cambria" w:cs="Cambria"/>
          <w:b w:val="false"/>
          <w:bCs w:val="false"/>
          <w:i/>
          <w:iCs/>
          <w:sz w:val="22"/>
          <w:szCs w:val="22"/>
        </w:rPr>
        <w:t>ACH</w:t>
      </w:r>
      <w:r>
        <w:rPr>
          <w:rFonts w:eastAsia="Cambria" w:cs="Cambria"/>
          <w:b w:val="false"/>
          <w:bCs w:val="false"/>
          <w:i w:val="false"/>
          <w:iCs w:val="false"/>
          <w:sz w:val="22"/>
          <w:szCs w:val="22"/>
        </w:rPr>
        <w:t xml:space="preserve"> (</w:t>
      </w:r>
      <w:r>
        <w:rPr>
          <w:rFonts w:eastAsia="Cambria" w:cs="Cambria"/>
          <w:b w:val="false"/>
          <w:bCs w:val="false"/>
          <w:i/>
          <w:iCs/>
          <w:sz w:val="22"/>
          <w:szCs w:val="22"/>
        </w:rPr>
        <w:t>Automated Clearing House</w:t>
      </w:r>
      <w:r>
        <w:rPr>
          <w:rFonts w:eastAsia="Cambria" w:cs="Cambria"/>
          <w:b w:val="false"/>
          <w:bCs w:val="false"/>
          <w:i w:val="false"/>
          <w:iCs w:val="false"/>
          <w:sz w:val="22"/>
          <w:szCs w:val="22"/>
        </w:rPr>
        <w:t>, das US-Verrechnungsnetz für Bank-zu-Bank-Zahlungen) transportiert Gehalt, Mieten und Rechnungen im Hintergrund; du gibst dafür Routing Number (neunstellige Bankkennung) und Account Number (Kontonummer) an. Eine ACH-Zahlung dauert meist ein bis drei Werktage und kostet in der Regel nichts.</w:t>
      </w:r>
    </w:p>
    <w:p>
      <w:pPr>
        <w:pStyle w:val="Normal"/>
        <w:keepNext w:val="false"/>
        <w:keepLines w:val="false"/>
        <w:spacing w:lineRule="exact" w:line="288" w:before="0" w:after="140"/>
        <w:jc w:val="left"/>
        <w:rPr/>
      </w:pPr>
      <w:r>
        <w:rPr>
          <w:rFonts w:eastAsia="Cambria" w:cs="Cambria"/>
          <w:b w:val="false"/>
          <w:bCs w:val="false"/>
          <w:i/>
          <w:iCs/>
          <w:sz w:val="22"/>
          <w:szCs w:val="22"/>
        </w:rPr>
        <w:t>Zelle</w:t>
      </w:r>
      <w:r>
        <w:rPr>
          <w:rFonts w:eastAsia="Cambria" w:cs="Cambria"/>
          <w:b w:val="false"/>
          <w:bCs w:val="false"/>
          <w:i w:val="false"/>
          <w:iCs w:val="false"/>
          <w:sz w:val="22"/>
          <w:szCs w:val="22"/>
        </w:rPr>
        <w:t xml:space="preserve"> ist in die Apps der meisten großen Banken eingebaut und überweist sofort und kostenlos zwischen Bankkonten, sobald du Telefonnummer oder E-Mail des Empfängers kennst. Das macht Zelle beliebt für Miete oder Rückzahlungen unter Freunden – aber auch bei Betrügern, denn wie eine Bargeldzahlung lässt sich eine Zelle-Überweisung so gut wie nicht zurückholen. </w:t>
      </w:r>
      <w:r>
        <w:rPr>
          <w:rFonts w:eastAsia="Cambria" w:cs="Cambria"/>
          <w:b w:val="false"/>
          <w:bCs w:val="false"/>
          <w:i/>
          <w:iCs/>
          <w:sz w:val="22"/>
          <w:szCs w:val="22"/>
        </w:rPr>
        <w:t>Venmo</w:t>
      </w:r>
      <w:r>
        <w:rPr>
          <w:rFonts w:eastAsia="Cambria" w:cs="Cambria"/>
          <w:b w:val="false"/>
          <w:bCs w:val="false"/>
          <w:i w:val="false"/>
          <w:iCs w:val="false"/>
          <w:sz w:val="22"/>
          <w:szCs w:val="22"/>
        </w:rPr>
        <w:t xml:space="preserve"> (gehört zu PayPal) funktioniert ähnlich, ist aber eine eigene App mit Guthabenfunktion und einem standardmäßig sichtbaren sozialen Feed der Transaktionen; Zahlungen an dein Bankkonto sind kostenlos in ein bis drei Werktagen oder gegen eine kleine Gebühr sofort — stelle die Sichtbarkeit in den Einstellungen auf privat. Für wiederkehrende Rechnungen wie Strom, Internet oder Versicherung bieten praktisch alle Banken zusätzlich Online-Rechnungsversand (</w:t>
      </w:r>
      <w:r>
        <w:rPr>
          <w:rFonts w:eastAsia="Cambria" w:cs="Cambria"/>
          <w:b w:val="false"/>
          <w:bCs w:val="false"/>
          <w:i/>
          <w:iCs/>
          <w:sz w:val="22"/>
          <w:szCs w:val="22"/>
        </w:rPr>
        <w:t>Bill Pay</w:t>
      </w:r>
      <w:r>
        <w:rPr>
          <w:rFonts w:eastAsia="Cambria" w:cs="Cambria"/>
          <w:b w:val="false"/>
          <w:bCs w:val="false"/>
          <w:i w:val="false"/>
          <w:iCs w:val="false"/>
          <w:sz w:val="22"/>
          <w:szCs w:val="22"/>
        </w:rPr>
        <w:t>) direkt in der App: Du hinterlegst den Empfänger einmal, danach überweist die Bank automatisch oder verschickt sogar selbst einen Scheck an Empfänger ohne elektronischen Zugang.</w:t>
      </w:r>
    </w:p>
    <w:p>
      <w:pPr>
        <w:pStyle w:val="Heading3"/>
        <w:keepNext w:val="true"/>
        <w:spacing w:before="280" w:after="100"/>
        <w:jc w:val="center"/>
        <w:rPr/>
      </w:pPr>
      <w:r>
        <w:rPr>
          <w:rFonts w:eastAsia="Amazon Ember" w:cs="Amazon Ember" w:ascii="Amazon Ember" w:hAnsi="Amazon Ember"/>
          <w:b/>
          <w:bCs/>
          <w:color w:val="0000FF"/>
          <w:sz w:val="36"/>
          <w:szCs w:val="36"/>
        </w:rPr>
        <w:t>Geld aus Deutschland überweisen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Eine klassische Auslandsüberweisung über </w:t>
      </w:r>
      <w:r>
        <w:rPr>
          <w:rFonts w:eastAsia="Cambria" w:cs="Cambria"/>
          <w:b w:val="false"/>
          <w:bCs w:val="false"/>
          <w:i/>
          <w:iCs/>
          <w:sz w:val="22"/>
          <w:szCs w:val="22"/>
        </w:rPr>
        <w:t>SWIFT</w:t>
      </w:r>
      <w:r>
        <w:rPr>
          <w:rFonts w:eastAsia="Cambria" w:cs="Cambria"/>
          <w:b w:val="false"/>
          <w:bCs w:val="false"/>
          <w:i w:val="false"/>
          <w:iCs w:val="false"/>
          <w:sz w:val="22"/>
          <w:szCs w:val="22"/>
        </w:rPr>
        <w:t xml:space="preserve"> von der deutschen Bank kostet häufig eine feste Gebühr von 25 bis 50 $ auf US-Seite plus einen Aufschlag von 3 bis 5 % auf den Wechselkurs, den die Bank nicht offen ausweist. Bei 1.000 $ Transfersumme kommen so schnell 70 bis 95 $ Gesamtkosten zusammen, bei drei bis fünf Werktagen Laufzeit. Fintech-Anbieter wie Wise arbeiten dagegen mit dem tagesaktuellen Mittelkurs (</w:t>
      </w:r>
      <w:r>
        <w:rPr>
          <w:rFonts w:eastAsia="Cambria" w:cs="Cambria"/>
          <w:b w:val="false"/>
          <w:bCs w:val="false"/>
          <w:i/>
          <w:iCs/>
          <w:sz w:val="22"/>
          <w:szCs w:val="22"/>
        </w:rPr>
        <w:t>Mid-Market Rate</w:t>
      </w:r>
      <w:r>
        <w:rPr>
          <w:rFonts w:eastAsia="Cambria" w:cs="Cambria"/>
          <w:b w:val="false"/>
          <w:bCs w:val="false"/>
          <w:i w:val="false"/>
          <w:iCs w:val="false"/>
          <w:sz w:val="22"/>
          <w:szCs w:val="22"/>
        </w:rPr>
        <w:t>) und weisen die Gebühr offen aus; bei derselben Summe liegen die Gesamtkosten oft nur bei wenigen Dollar, ein großer Teil binnen Minuten da. Bei sehr großen Summen, etwa einer Immobilien-Anzahlung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kann sich das Bild verschieben – vergleiche vor jeder größeren Zahlung die tatsächlichen Gesamtkosten (Gebühr plus Kursaufschlag), nicht nur die genannte Gebühr. Für die Überweisung brauchst du auf deutscher Seite IBAN und BIC deiner Bank, auf US-Seite Routing und Account Number; wer regelmäßig größere Summen bewegt, sollte außerdem die steuerlichen Meldepflichten aus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xml:space="preserve"> im Blick behalten. Zur Orientierung: 1 € entsprach im Herbst 2026 etwa 1,1–1,2 $ (bitte tagesaktuell prüfen).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Wähle, solange du noch deutsche Karten nutzt, eine Kreditkarte ohne Auslandseinsatzentgelt (</w:t>
            </w:r>
            <w:r>
              <w:rPr>
                <w:rFonts w:eastAsia="Cambria" w:cs="Cambria"/>
                <w:b w:val="false"/>
                <w:bCs w:val="false"/>
                <w:i/>
                <w:iCs/>
                <w:sz w:val="20"/>
                <w:szCs w:val="20"/>
              </w:rPr>
              <w:t>Foreign Transaction Fee</w:t>
            </w:r>
            <w:r>
              <w:rPr>
                <w:rFonts w:eastAsia="Cambria" w:cs="Cambria"/>
                <w:b w:val="false"/>
                <w:bCs w:val="false"/>
                <w:i w:val="false"/>
                <w:iCs w:val="false"/>
                <w:sz w:val="20"/>
                <w:szCs w:val="20"/>
              </w:rPr>
              <w:t>). In der Übergangszeit mit doppeltem Haushalt spart das bei jeder Zahlung in Dollar spürbar Geld.</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Kreditwürdigkeit aufbauen: FICO-Score und Schufa im Vergleich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w:t>
      </w:r>
      <w:r>
        <w:rPr>
          <w:rFonts w:eastAsia="Cambria" w:cs="Cambria"/>
          <w:b w:val="false"/>
          <w:bCs w:val="false"/>
          <w:i/>
          <w:iCs/>
          <w:sz w:val="22"/>
          <w:szCs w:val="22"/>
        </w:rPr>
        <w:t>FICO-Score</w:t>
      </w:r>
      <w:r>
        <w:rPr>
          <w:rFonts w:eastAsia="Cambria" w:cs="Cambria"/>
          <w:b w:val="false"/>
          <w:bCs w:val="false"/>
          <w:i w:val="false"/>
          <w:iCs w:val="false"/>
          <w:sz w:val="22"/>
          <w:szCs w:val="22"/>
        </w:rPr>
        <w:t xml:space="preserve"> reicht von 300 bis 850 Punkten und setzt sich aus fünf Faktoren zusammen: Zahlungshistorie (rund 35 %), Auslastung des verfügbaren Kreditrahmens (rund 30 %), Länge der Kredithistorie (rund 15 %), neu beantragte Kredite (rund 10 %) und Kreditmix (rund 10 %). Ab etwa 670 Punkten gilt ein Score als gut, ab rund 740 als sehr gut. Ohne jede US-Kredithistorie hast du zunächst gar keinen Score – kein schlechter, sondern gar keiner, und genau das ist für Vermieter, Handyanbieter und Kreditgeber das eigentliche Problem. Der Score beeinflusst weit mehr als nur Kredite: Vermieter, Mobilfunkanbieter und in manchen Bundesstaaten sogar Arbeitgeber bei einer Hintergrundprüfung werfen vor Vertragsabschluss einen Blick darauf.</w:t>
      </w:r>
    </w:p>
    <w:tbl>
      <w:tblPr>
        <w:tblW w:w="6480" w:type="dxa"/>
        <w:jc w:val="left"/>
        <w:tblInd w:w="0" w:type="dxa"/>
        <w:tblLayout w:type="fixed"/>
        <w:tblCellMar>
          <w:top w:w="50" w:type="dxa"/>
          <w:left w:w="80" w:type="dxa"/>
          <w:bottom w:w="50" w:type="dxa"/>
          <w:right w:w="80" w:type="dxa"/>
        </w:tblCellMar>
      </w:tblPr>
      <w:tblGrid>
        <w:gridCol w:w="953"/>
        <w:gridCol w:w="2655"/>
        <w:gridCol w:w="2872"/>
      </w:tblGrid>
      <w:tr>
        <w:trPr>
          <w:tblHeader w:val="true"/>
          <w:cantSplit w:val="true"/>
        </w:trPr>
        <w:tc>
          <w:tcPr>
            <w:tcW w:w="95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Merkmal</w:t>
            </w:r>
          </w:p>
        </w:tc>
        <w:tc>
          <w:tcPr>
            <w:tcW w:w="265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Schufa (Deutschland)</w:t>
            </w:r>
          </w:p>
        </w:tc>
        <w:tc>
          <w:tcPr>
            <w:tcW w:w="287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FICO-Score (USA)</w:t>
            </w:r>
          </w:p>
        </w:tc>
      </w:tr>
      <w:tr>
        <w:trPr>
          <w:cantSplit w:val="true"/>
        </w:trPr>
        <w:tc>
          <w:tcPr>
            <w:tcW w:w="9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Skala</w:t>
            </w:r>
          </w:p>
        </w:tc>
        <w:tc>
          <w:tcPr>
            <w:tcW w:w="26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0–100 % (Wahrscheinlichkeit)</w:t>
            </w:r>
          </w:p>
        </w:tc>
        <w:tc>
          <w:tcPr>
            <w:tcW w:w="2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300–850 Punkte</w:t>
            </w:r>
          </w:p>
        </w:tc>
      </w:tr>
      <w:tr>
        <w:trPr>
          <w:cantSplit w:val="true"/>
        </w:trPr>
        <w:tc>
          <w:tcPr>
            <w:tcW w:w="9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Auskunfteien</w:t>
            </w:r>
          </w:p>
        </w:tc>
        <w:tc>
          <w:tcPr>
            <w:tcW w:w="26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 Kern eine, die Schufa dominiert</w:t>
            </w:r>
          </w:p>
        </w:tc>
        <w:tc>
          <w:tcPr>
            <w:tcW w:w="2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drei große Bureaus (Equifax, Experian, TransUnion), oft mit leicht abweichenden Werten</w:t>
            </w:r>
          </w:p>
        </w:tc>
      </w:tr>
      <w:tr>
        <w:trPr>
          <w:cantSplit w:val="true"/>
        </w:trPr>
        <w:tc>
          <w:tcPr>
            <w:tcW w:w="9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Kostenlose Auskunft</w:t>
            </w:r>
          </w:p>
        </w:tc>
        <w:tc>
          <w:tcPr>
            <w:tcW w:w="26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einmal jährlich, Art. 15 DSGVO</w:t>
            </w:r>
          </w:p>
        </w:tc>
        <w:tc>
          <w:tcPr>
            <w:tcW w:w="2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einmal jährlich je Bureau über annualcreditreport.com</w:t>
            </w:r>
          </w:p>
        </w:tc>
      </w:tr>
      <w:tr>
        <w:trPr>
          <w:cantSplit w:val="true"/>
        </w:trPr>
        <w:tc>
          <w:tcPr>
            <w:tcW w:w="9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Beim Umzug in die USA</w:t>
            </w:r>
          </w:p>
        </w:tc>
        <w:tc>
          <w:tcPr>
            <w:tcW w:w="26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zählt nicht, kein automatischer Import deiner Schufa-Historie</w:t>
            </w:r>
          </w:p>
        </w:tc>
        <w:tc>
          <w:tcPr>
            <w:tcW w:w="2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Start ohne jeden Score, unabhängig von deiner Bonität in Deutschland</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Kreditwürdigkeit in den USA ist ein eigenes, vom Schufa-System vollständig getrenntes Verfahren. Niemand kann deine deutsche Bonität „mitnehmen“ – du baust sie neu auf.</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Es gebe längst eine Abkürzung – eine App, die die deutsche Schufa-Historie einfach in einen FICO-Score übersetzt. Ein Anbieter namens Nova Credit wirbt tatsächlich mit einem </w:t>
      </w:r>
      <w:r>
        <w:rPr>
          <w:rFonts w:eastAsia="Cambria" w:cs="Cambria"/>
          <w:b w:val="false"/>
          <w:bCs w:val="false"/>
          <w:i/>
          <w:iCs/>
          <w:sz w:val="22"/>
          <w:szCs w:val="22"/>
        </w:rPr>
        <w:t>Credit Passport</w:t>
      </w:r>
      <w:r>
        <w:rPr>
          <w:rFonts w:eastAsia="Cambria" w:cs="Cambria"/>
          <w:b w:val="false"/>
          <w:bCs w:val="false"/>
          <w:i w:val="false"/>
          <w:iCs w:val="false"/>
          <w:sz w:val="22"/>
          <w:szCs w:val="22"/>
        </w:rPr>
        <w:t xml:space="preserve">, der Kreditdaten aus „mehr als 20 Ländern“ für US-Kreditgeber übersetzen soll. Deutschland tauchte in Vergleichslisten vom März 2026 nicht unter den unterstützten Ländern auf; eine ältere Partnerschaft betraf lediglich Kontoumsatzdaten, keine Schufa-Werte. Verlass dich nicht darauf, ohne es vorab direkt bei Nova Credit und deinem Wunsch-Kartenanbieter zu prüfen. Manche Kreditgenossenschaften bieten außerdem einen </w:t>
      </w:r>
      <w:r>
        <w:rPr>
          <w:rFonts w:eastAsia="Cambria" w:cs="Cambria"/>
          <w:b w:val="false"/>
          <w:bCs w:val="false"/>
          <w:i/>
          <w:iCs/>
          <w:sz w:val="22"/>
          <w:szCs w:val="22"/>
        </w:rPr>
        <w:t>Credit-Builder Loan</w:t>
      </w:r>
      <w:r>
        <w:rPr>
          <w:rFonts w:eastAsia="Cambria" w:cs="Cambria"/>
          <w:b w:val="false"/>
          <w:bCs w:val="false"/>
          <w:i w:val="false"/>
          <w:iCs w:val="false"/>
          <w:sz w:val="22"/>
          <w:szCs w:val="22"/>
        </w:rPr>
        <w:t xml:space="preserve"> an: Du „leihst“ dir einen kleinen Betrag, der zunächst auf einem gesperrten Konto liegt und in festen Raten zurückgezahlt wird; erst danach wird die Summe freigegeben – auch diese pünktlichen Raten meldet die Bank an die drei Bureaus.</w:t>
      </w:r>
    </w:p>
    <w:p>
      <w:pPr>
        <w:pStyle w:val="Heading3"/>
        <w:keepNext w:val="true"/>
        <w:spacing w:before="280" w:after="100"/>
        <w:jc w:val="center"/>
        <w:rPr/>
      </w:pPr>
      <w:r>
        <w:rPr>
          <w:rFonts w:eastAsia="Amazon Ember" w:cs="Amazon Ember" w:ascii="Amazon Ember" w:hAnsi="Amazon Ember"/>
          <w:b/>
          <w:bCs/>
          <w:color w:val="0000FF"/>
          <w:sz w:val="36"/>
          <w:szCs w:val="36"/>
        </w:rPr>
        <w:t>Die gesicherte Kreditkarte: der Einstieg in die US-Bonität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zuverlässigste Weg zum ersten Score ist eine gesicherte Kreditkarte (</w:t>
      </w:r>
      <w:r>
        <w:rPr>
          <w:rFonts w:eastAsia="Cambria" w:cs="Cambria"/>
          <w:b w:val="false"/>
          <w:bCs w:val="false"/>
          <w:i/>
          <w:iCs/>
          <w:sz w:val="22"/>
          <w:szCs w:val="22"/>
        </w:rPr>
        <w:t>Secured Credit Card</w:t>
      </w:r>
      <w:r>
        <w:rPr>
          <w:rFonts w:eastAsia="Cambria" w:cs="Cambria"/>
          <w:b w:val="false"/>
          <w:bCs w:val="false"/>
          <w:i w:val="false"/>
          <w:iCs w:val="false"/>
          <w:sz w:val="22"/>
          <w:szCs w:val="22"/>
        </w:rPr>
        <w:t>): Du hinterlegst eine Kaution, meist 200 bis 500 $ (bei manchen Anbietern bis zu 3.000 $), die zugleich dein Kreditlimit ist. Der Anbieter meldet deine Zahlungen monatlich an alle drei Bureaus. Manche Karten setzen eine SSN voraus, andere – etwa Angebote ausdrücklich ohne SSN – akzeptieren eine ITIN oder verzichten ganz auf eine Bonitätsprüfung. Nach sechs bis zwölf Monaten pünktlicher Zahlung prüfen viele Anbieter automatisch die Umstellung auf eine reguläre, ungesicherte Karte und zahlen die Kaution zurück.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Entscheidend für den Score ist die Auslastung (</w:t>
      </w:r>
      <w:r>
        <w:rPr>
          <w:rFonts w:eastAsia="Cambria" w:cs="Cambria"/>
          <w:b w:val="false"/>
          <w:bCs w:val="false"/>
          <w:i/>
          <w:iCs/>
          <w:sz w:val="22"/>
          <w:szCs w:val="22"/>
        </w:rPr>
        <w:t>Credit Utilization</w:t>
      </w:r>
      <w:r>
        <w:rPr>
          <w:rFonts w:eastAsia="Cambria" w:cs="Cambria"/>
          <w:b w:val="false"/>
          <w:bCs w:val="false"/>
          <w:i w:val="false"/>
          <w:iCs w:val="false"/>
          <w:sz w:val="22"/>
          <w:szCs w:val="22"/>
        </w:rPr>
        <w:t>): Halte den genutzten Betrag dauerhaft unter 30 % des Limits, im Idealfall unter 10 %. Eine zweite Möglichkeit, schneller Historie aufzubauen, ist der Status als autorisierter Nutzer (</w:t>
      </w:r>
      <w:r>
        <w:rPr>
          <w:rFonts w:eastAsia="Cambria" w:cs="Cambria"/>
          <w:b w:val="false"/>
          <w:bCs w:val="false"/>
          <w:i/>
          <w:iCs/>
          <w:sz w:val="22"/>
          <w:szCs w:val="22"/>
        </w:rPr>
        <w:t>Authorized User</w:t>
      </w:r>
      <w:r>
        <w:rPr>
          <w:rFonts w:eastAsia="Cambria" w:cs="Cambria"/>
          <w:b w:val="false"/>
          <w:bCs w:val="false"/>
          <w:i w:val="false"/>
          <w:iCs w:val="false"/>
          <w:sz w:val="22"/>
          <w:szCs w:val="22"/>
        </w:rPr>
        <w:t>) auf der Karte eines Partners oder einer vertrauten Person mit langer, sauberer Zahlungshistorie – ob und wie stark das den eigenen Score stützt, hängt vom Kartenanbieter ab.</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Sabine Keller zieht mit H-1B nach Seattle und hat trotz makelloser Schufa keinen US-Score. Bei ihrer Gehaltsbank eröffnet Sabine ein Konto und beantragt dort eine gesicherte Kreditkarte mit 500 $ Kaution, dazu ein separates Sparkonto für den Notgroschen. Jede Rechnung zahlt Sabine vollständig und pünktlich, die Auslastung hält sie unter 10 %, und in den ersten sechs Monaten beantragt sie keine weitere Karte. Nach sieben Monaten meldet ihr die Bank einen Score von 682; die Push-Nachricht mit der Zahl muss sie erst zweimal lesen, bevor sie begreift, dass das gut ist. Die Bank bietet die Umstellung auf eine reguläre Karte mit Meilen-Programm an – ohne Kaution, mit höherem Limit.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Zu viele Kartenanträge in kurzer Zeit lösen jeweils eine harte Anfrage (</w:t>
            </w:r>
            <w:r>
              <w:rPr>
                <w:rFonts w:eastAsia="Cambria" w:cs="Cambria"/>
                <w:b w:val="false"/>
                <w:bCs w:val="false"/>
                <w:i/>
                <w:iCs/>
                <w:sz w:val="20"/>
                <w:szCs w:val="20"/>
              </w:rPr>
              <w:t>Hard Inquiry</w:t>
            </w:r>
            <w:r>
              <w:rPr>
                <w:rFonts w:eastAsia="Cambria" w:cs="Cambria"/>
                <w:b w:val="false"/>
                <w:bCs w:val="false"/>
                <w:i w:val="false"/>
                <w:iCs w:val="false"/>
                <w:sz w:val="20"/>
                <w:szCs w:val="20"/>
              </w:rPr>
              <w:t>) aus und senken den Score kurzfristig. Kündige außerdem deine erste Karte nach dem Aufbau nicht vorschnell: Die Karte verlängert die Länge deiner Kredithistorie, die dauerhaft in den Score einfließt.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Kreditkartenkultur: hohe Zinsen, eine klare Regel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US-Kreditkarten sind fester Alltag – für Miete, Lebensmittel, Cashback und Meilenprogramme, die es in Deutschland kaum gibt. Der Preis dafür ist hoch: Der durchschnittliche effektive Jahreszins (</w:t>
      </w:r>
      <w:r>
        <w:rPr>
          <w:rFonts w:eastAsia="Cambria" w:cs="Cambria"/>
          <w:b w:val="false"/>
          <w:bCs w:val="false"/>
          <w:i/>
          <w:iCs/>
          <w:sz w:val="22"/>
          <w:szCs w:val="22"/>
        </w:rPr>
        <w:t>APR</w:t>
      </w:r>
      <w:r>
        <w:rPr>
          <w:rFonts w:eastAsia="Cambria" w:cs="Cambria"/>
          <w:b w:val="false"/>
          <w:bCs w:val="false"/>
          <w:i w:val="false"/>
          <w:iCs w:val="false"/>
          <w:sz w:val="22"/>
          <w:szCs w:val="22"/>
        </w:rPr>
        <w:t xml:space="preserve">, </w:t>
      </w:r>
      <w:r>
        <w:rPr>
          <w:rFonts w:eastAsia="Cambria" w:cs="Cambria"/>
          <w:b w:val="false"/>
          <w:bCs w:val="false"/>
          <w:i/>
          <w:iCs/>
          <w:sz w:val="22"/>
          <w:szCs w:val="22"/>
        </w:rPr>
        <w:t>Annual Percentage Rate</w:t>
      </w:r>
      <w:r>
        <w:rPr>
          <w:rFonts w:eastAsia="Cambria" w:cs="Cambria"/>
          <w:b w:val="false"/>
          <w:bCs w:val="false"/>
          <w:i w:val="false"/>
          <w:iCs w:val="false"/>
          <w:sz w:val="22"/>
          <w:szCs w:val="22"/>
        </w:rPr>
        <w:t>) lag 2026 bei allen Karten bei rund 21 %, bei Karten mit tatsächlicher Restschuld bei gut 22 % und bei neuen Kartenangeboten bei knapp 24 %; gesicherte Karten liegen mit rund 26 % noch darüber. Wer nur den Mindestbetrag (</w:t>
      </w:r>
      <w:r>
        <w:rPr>
          <w:rFonts w:eastAsia="Cambria" w:cs="Cambria"/>
          <w:b w:val="false"/>
          <w:bCs w:val="false"/>
          <w:i/>
          <w:iCs/>
          <w:sz w:val="22"/>
          <w:szCs w:val="22"/>
        </w:rPr>
        <w:t>Minimum Payment</w:t>
      </w:r>
      <w:r>
        <w:rPr>
          <w:rFonts w:eastAsia="Cambria" w:cs="Cambria"/>
          <w:b w:val="false"/>
          <w:bCs w:val="false"/>
          <w:i w:val="false"/>
          <w:iCs w:val="false"/>
          <w:sz w:val="22"/>
          <w:szCs w:val="22"/>
        </w:rPr>
        <w:t>) zahlt, zahlt jahrelang fast nur Zinsen, kaum die eigentliche Schuld ab.</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einzige verlässliche Regel im US-Kreditkartensystem lautet: Zahle die Rechnung jeden Monat vollständig (</w:t>
            </w:r>
            <w:r>
              <w:rPr>
                <w:rFonts w:eastAsia="Cambria" w:cs="Cambria"/>
                <w:b w:val="false"/>
                <w:bCs w:val="false"/>
                <w:i/>
                <w:iCs/>
                <w:sz w:val="20"/>
                <w:szCs w:val="20"/>
              </w:rPr>
              <w:t>Pay in Full</w:t>
            </w:r>
            <w:r>
              <w:rPr>
                <w:rFonts w:eastAsia="Cambria" w:cs="Cambria"/>
                <w:b w:val="false"/>
                <w:bCs w:val="false"/>
                <w:i w:val="false"/>
                <w:iCs w:val="false"/>
                <w:sz w:val="20"/>
                <w:szCs w:val="20"/>
              </w:rPr>
              <w:t>). Nur dann fallen keine Zinsen an, und Cashback und Meilen sind tatsächlich ein Vorteil statt eines teuren Nebeneffekts.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Mobilfunk und Internet ohne Kredithistorie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Handyanbieter unterscheiden Prepaid (Vorkasse, keine Bonitätsprüfung, meist etwas teurer pro Minute/GB, aber sofort verfügbar) und Postpaid (Rechnung im Nachhinein, meist günstiger im Monatstarif, aber mit Bonitätsprüfung). Ohne Kredithistorie verlangen Postpaid-Anbieter häufig eine Kaution im Bereich einiger Hundert Dollar oder verweisen dich direkt auf Prepaid; sobald du drei bis sechs Monate pünktlich gezahlt hast, wird die Kaution meist erstattet und der Wechsel auf Postpaid möglich. Für den Start eignet sich deshalb oft ein Prepaid-Tarif desselben Netzbetreibers, später umgewandelt in Postpaid. Bei Familientarifen reicht häufig eine bonitätsgeprüfte Hauptperson; weitere Leitungen für Partner oder Kinder lassen sich meist ohne eigene Prüfung ergänzen. Internetanbieter für die Wohnung verfahren ähnlich: Kaution statt Bonitätsprüfung ohne Kredithistorie.</w:t>
      </w:r>
    </w:p>
    <w:p>
      <w:pPr>
        <w:pStyle w:val="Heading3"/>
        <w:keepNext w:val="true"/>
        <w:spacing w:before="280" w:after="100"/>
        <w:jc w:val="center"/>
        <w:rPr/>
      </w:pPr>
      <w:r>
        <w:rPr>
          <w:rFonts w:eastAsia="Amazon Ember" w:cs="Amazon Ember" w:ascii="Amazon Ember" w:hAnsi="Amazon Ember"/>
          <w:b/>
          <w:bCs/>
          <w:color w:val="0000FF"/>
          <w:sz w:val="36"/>
          <w:szCs w:val="36"/>
        </w:rPr>
        <w:t>Versicherungen im Alltag: was du wirklich brauchst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Anders als in Deutschland ist in den USA nichts davon gesetzlich vorgeschrieben außer der Kfz-Haftpflicht in fast jedem Bundesstaat; Vermieter und Kreditgeber verlangen aber oft Nachweise. Wie hoch die vorgeschriebene Mindestdeckung der Kfz-Haftpflicht ausfällt, legt jeder Bundesstaat selbst fest – Details dazu und zum Vergleich zwischen Bundesstaaten stehen in Kapitel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Renters Insurance</w:t>
      </w:r>
      <w:r>
        <w:rPr>
          <w:rFonts w:eastAsia="Cambria" w:cs="Cambria"/>
          <w:b w:val="false"/>
          <w:bCs w:val="false"/>
          <w:i w:val="false"/>
          <w:iCs w:val="false"/>
          <w:sz w:val="22"/>
          <w:szCs w:val="22"/>
        </w:rPr>
        <w:t xml:space="preserve"> (Mieterversicherung, bündelt Hausrat und private Haftpflicht) kostet meist 15 bis 25 $ im Monat (180–300 $ im Jahr), je nach Bundesstaat auch 13 bis 36 $; sie ist oft Vertragsbedingung des Vermieters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 Der eigene Score wirkt sich hier ebenfalls auf den Preis aus: Bei schwacher Bonität kann die Jahresprämie nach Marktanalysen von rund 150 $ auf über 450 $ steigen.</w:t>
      </w:r>
    </w:p>
    <w:p>
      <w:pPr>
        <w:pStyle w:val="ListParagraph"/>
        <w:numPr>
          <w:ilvl w:val="0"/>
          <w:numId w:val="1"/>
        </w:numPr>
        <w:spacing w:lineRule="exact" w:line="288" w:before="0" w:after="60"/>
        <w:rPr/>
      </w:pPr>
      <w:r>
        <w:rPr>
          <w:rFonts w:eastAsia="Cambria" w:cs="Cambria"/>
          <w:b/>
          <w:bCs/>
          <w:i w:val="false"/>
          <w:iCs w:val="false"/>
          <w:sz w:val="22"/>
          <w:szCs w:val="22"/>
        </w:rPr>
        <w:t>Autoversicherung</w:t>
      </w:r>
      <w:r>
        <w:rPr>
          <w:rFonts w:eastAsia="Cambria" w:cs="Cambria"/>
          <w:b w:val="false"/>
          <w:bCs w:val="false"/>
          <w:i w:val="false"/>
          <w:iCs w:val="false"/>
          <w:sz w:val="22"/>
          <w:szCs w:val="22"/>
        </w:rPr>
        <w:t xml:space="preserve"> kostete 2026 im Schnitt zwischen 2.241 $ und 2.922 $ im Jahr für Vollschutz (</w:t>
      </w:r>
      <w:r>
        <w:rPr>
          <w:rFonts w:eastAsia="Cambria" w:cs="Cambria"/>
          <w:b w:val="false"/>
          <w:bCs w:val="false"/>
          <w:i/>
          <w:iCs/>
          <w:sz w:val="22"/>
          <w:szCs w:val="22"/>
        </w:rPr>
        <w:t>Full Coverage</w:t>
      </w:r>
      <w:r>
        <w:rPr>
          <w:rFonts w:eastAsia="Cambria" w:cs="Cambria"/>
          <w:b w:val="false"/>
          <w:bCs w:val="false"/>
          <w:i w:val="false"/>
          <w:iCs w:val="false"/>
          <w:sz w:val="22"/>
          <w:szCs w:val="22"/>
        </w:rPr>
        <w:t>); die deutsche Schadenfreiheitsklasse zählt meist nicht, und schwache Bonität kann die Prämie in vielen Staaten deutlich erhöhen – dass ausgerechnet die Zahlungsmoral bei der Kreditkarte etwas über die Fahrtüchtigkeit aussagen soll, leuchtet nicht jedem ein, ist aber in den meisten Bundesstaaten legal einkalkuliert. Details zu Kosten, Finanzierung und Sparmöglichkeiten stehen in Kapitel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Umbrella Policy</w:t>
      </w:r>
      <w:r>
        <w:rPr>
          <w:rFonts w:eastAsia="Cambria" w:cs="Cambria"/>
          <w:b w:val="false"/>
          <w:bCs w:val="false"/>
          <w:i w:val="false"/>
          <w:iCs w:val="false"/>
          <w:sz w:val="22"/>
          <w:szCs w:val="22"/>
        </w:rPr>
        <w:t xml:space="preserve"> (Zusatzhaftpflicht über die Grenzen von Wohnungs- und Autoversicherung hinaus) kostet für 1 Million $ Deckung meist 150 bis 400 $ im Jahr, jede weitere Million rund 75 $ zusätzlich. Die Police lohnt sich vor allem, sobald du Vermögen, ein Haus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oder ein erhöhtes Haftungsrisiko hast, etwa durch Hund, Pool oder häufige Gäste.</w:t>
      </w:r>
    </w:p>
    <w:p>
      <w:pPr>
        <w:pStyle w:val="ListParagraph"/>
        <w:numPr>
          <w:ilvl w:val="0"/>
          <w:numId w:val="1"/>
        </w:numPr>
        <w:spacing w:lineRule="exact" w:line="288" w:before="0" w:after="60"/>
        <w:rPr/>
      </w:pPr>
      <w:r>
        <w:rPr>
          <w:rFonts w:eastAsia="Cambria" w:cs="Cambria"/>
          <w:b/>
          <w:bCs/>
          <w:i w:val="false"/>
          <w:iCs w:val="false"/>
          <w:sz w:val="22"/>
          <w:szCs w:val="22"/>
        </w:rPr>
        <w:t>Term Life Insurance</w:t>
      </w:r>
      <w:r>
        <w:rPr>
          <w:rFonts w:eastAsia="Cambria" w:cs="Cambria"/>
          <w:b w:val="false"/>
          <w:bCs w:val="false"/>
          <w:i w:val="false"/>
          <w:iCs w:val="false"/>
          <w:sz w:val="22"/>
          <w:szCs w:val="22"/>
        </w:rPr>
        <w:t xml:space="preserve"> (Risikolebensversicherung, zeitlich befristet, im Gegensatz zur meist erheblich teureren </w:t>
      </w:r>
      <w:r>
        <w:rPr>
          <w:rFonts w:eastAsia="Cambria" w:cs="Cambria"/>
          <w:b w:val="false"/>
          <w:bCs w:val="false"/>
          <w:i/>
          <w:iCs/>
          <w:sz w:val="22"/>
          <w:szCs w:val="22"/>
        </w:rPr>
        <w:t>Whole Life Insurance</w:t>
      </w:r>
      <w:r>
        <w:rPr>
          <w:rFonts w:eastAsia="Cambria" w:cs="Cambria"/>
          <w:b w:val="false"/>
          <w:bCs w:val="false"/>
          <w:i w:val="false"/>
          <w:iCs w:val="false"/>
          <w:sz w:val="22"/>
          <w:szCs w:val="22"/>
        </w:rPr>
        <w:t xml:space="preserve"> ohne Sparanteil) kostet für eine gesunde 30-jährige Person bei 500.000 $ Deckung über 20 Jahre je nach Geschlecht etwa 30 bis 38 $ im Monat, über 30 Jahre rund 45 bis 65 $. Sinnvoll vor allem für Eltern mit Kindern und laufender Hypothek; mehr zur langfristigen Vorsorge in Kapitel </w:t>
      </w:r>
      <w:hyperlink w:anchor="k39">
        <w:r>
          <w:rPr>
            <w:rStyle w:val="ListLabel115"/>
            <w:rFonts w:eastAsia="Cambria" w:cs="Cambria"/>
            <w:b w:val="false"/>
            <w:bCs w:val="false"/>
            <w:i w:val="false"/>
            <w:iCs w:val="false"/>
            <w:sz w:val="22"/>
            <w:szCs w:val="22"/>
          </w:rPr>
          <w:t>39</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Disability Insurance</w:t>
      </w:r>
      <w:r>
        <w:rPr>
          <w:rFonts w:eastAsia="Cambria" w:cs="Cambria"/>
          <w:b w:val="false"/>
          <w:bCs w:val="false"/>
          <w:i w:val="false"/>
          <w:iCs w:val="false"/>
          <w:sz w:val="22"/>
          <w:szCs w:val="22"/>
        </w:rPr>
        <w:t xml:space="preserve"> (Erwerbsunfähigkeitsschutz) ersetzt bei Krankheit oder Unfall meist 60 bis 70 % des Bruttoeinkommens. Viele Arbeitgeber bieten eine Basisversion, oft mit niedriger Deckungsgrenze; private Zusatzpolicen kosten etwa 1 bis 3 % des Jahresgehalts, im Schnitt rund 2.200 $ im Jahr. Gerade in den ersten Berufsjahren in den USA lohnt sich ein Blick darauf, weil ein Anspruch auf die staatliche Erwerbsunfähigkeitsrente über Social Security in der Regel erst nach ausreichend eingezahlten Quartalen entsteht – frisch Zugewanderte haben diese Absicherung meist noch nicht.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Prüfe vor Abschluss jeder Zusatzpolice, was deine Arbeitgeberversicherung bereits abdeckt (Krankenversicherung: Kapitel </w:t>
            </w:r>
            <w:hyperlink w:anchor="k26">
              <w:r>
                <w:rPr>
                  <w:rStyle w:val="ListLabel114"/>
                  <w:rFonts w:eastAsia="Cambria" w:cs="Cambria"/>
                  <w:b w:val="false"/>
                  <w:bCs w:val="false"/>
                  <w:i w:val="false"/>
                  <w:iCs w:val="false"/>
                  <w:sz w:val="20"/>
                  <w:szCs w:val="20"/>
                </w:rPr>
                <w:t>26</w:t>
              </w:r>
            </w:hyperlink>
            <w:r>
              <w:rPr>
                <w:rFonts w:eastAsia="Cambria" w:cs="Cambria"/>
                <w:b w:val="false"/>
                <w:bCs w:val="false"/>
                <w:i w:val="false"/>
                <w:iCs w:val="false"/>
                <w:sz w:val="20"/>
                <w:szCs w:val="20"/>
              </w:rPr>
              <w:t>; Disability oft im Leistungspaket). Doppelter Schutz kostet doppelt, ohne doppelten Nutzen zu bringen.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Identitätsdiebstahl: vorbeugen und reagieren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Weil so viel über SSN, Kreditkarte und Bankkonto läuft, ist Identitätsdiebstahl in den USA ein reales Risiko: Die Verbraucherschutzbehörde FTC zählte 2025 rund drei Millionen Betrugsmeldungen mit gemeldeten Schäden von 15,9 Milliarden $. Ein </w:t>
      </w:r>
      <w:r>
        <w:rPr>
          <w:rFonts w:eastAsia="Cambria" w:cs="Cambria"/>
          <w:b w:val="false"/>
          <w:bCs w:val="false"/>
          <w:i/>
          <w:iCs/>
          <w:sz w:val="22"/>
          <w:szCs w:val="22"/>
        </w:rPr>
        <w:t>Credit Freeze</w:t>
      </w:r>
      <w:r>
        <w:rPr>
          <w:rFonts w:eastAsia="Cambria" w:cs="Cambria"/>
          <w:b w:val="false"/>
          <w:bCs w:val="false"/>
          <w:i w:val="false"/>
          <w:iCs w:val="false"/>
          <w:sz w:val="22"/>
          <w:szCs w:val="22"/>
        </w:rPr>
        <w:t xml:space="preserve"> (Sperre der Kreditauskunft) ist bei allen drei Bureaus kostenlos, bleibt bis zur Aufhebung bestehen und beeinflusst deinen Score nicht; beantrage ihn bei Equifax, Experian und TransUnion einzeln und hebe ihn vor einer eigenen Kreditanfrage vorübergehend auf. Ein </w:t>
      </w:r>
      <w:r>
        <w:rPr>
          <w:rFonts w:eastAsia="Cambria" w:cs="Cambria"/>
          <w:b w:val="false"/>
          <w:bCs w:val="false"/>
          <w:i/>
          <w:iCs/>
          <w:sz w:val="22"/>
          <w:szCs w:val="22"/>
        </w:rPr>
        <w:t>Fraud Alert</w:t>
      </w:r>
      <w:r>
        <w:rPr>
          <w:rFonts w:eastAsia="Cambria" w:cs="Cambria"/>
          <w:b w:val="false"/>
          <w:bCs w:val="false"/>
          <w:i w:val="false"/>
          <w:iCs w:val="false"/>
          <w:sz w:val="22"/>
          <w:szCs w:val="22"/>
        </w:rPr>
        <w:t xml:space="preserve"> ist schwächer, aber schneller eingerichtet: ein Jahr im Basis-, sieben Jahre im erweiterten Fall. Beim IRS schützt eine </w:t>
      </w:r>
      <w:r>
        <w:rPr>
          <w:rFonts w:eastAsia="Cambria" w:cs="Cambria"/>
          <w:b w:val="false"/>
          <w:bCs w:val="false"/>
          <w:i/>
          <w:iCs/>
          <w:sz w:val="22"/>
          <w:szCs w:val="22"/>
        </w:rPr>
        <w:t>Identity Protection PIN</w:t>
      </w:r>
      <w:r>
        <w:rPr>
          <w:rFonts w:eastAsia="Cambria" w:cs="Cambria"/>
          <w:b w:val="false"/>
          <w:bCs w:val="false"/>
          <w:i w:val="false"/>
          <w:iCs w:val="false"/>
          <w:sz w:val="22"/>
          <w:szCs w:val="22"/>
        </w:rPr>
        <w:t xml:space="preserve"> (IP-PIN), über das IRS Online Account beantragbar für jede Person mit SSN oder ITIN, vor betrügerischen Steuererklärungen auf deinen Namen.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Eine Zelle- oder Drahtüberweisung (</w:t>
            </w:r>
            <w:r>
              <w:rPr>
                <w:rFonts w:eastAsia="Cambria" w:cs="Cambria"/>
                <w:b w:val="false"/>
                <w:bCs w:val="false"/>
                <w:i/>
                <w:iCs/>
                <w:sz w:val="20"/>
                <w:szCs w:val="20"/>
              </w:rPr>
              <w:t>Wire Transfer</w:t>
            </w:r>
            <w:r>
              <w:rPr>
                <w:rFonts w:eastAsia="Cambria" w:cs="Cambria"/>
                <w:b w:val="false"/>
                <w:bCs w:val="false"/>
                <w:i w:val="false"/>
                <w:iCs w:val="false"/>
                <w:sz w:val="20"/>
                <w:szCs w:val="20"/>
              </w:rPr>
              <w:t>) lässt sich fast nie zurückholen, eine Kreditkartenzahlung dagegen meist per Rückbuchung (</w:t>
            </w:r>
            <w:r>
              <w:rPr>
                <w:rFonts w:eastAsia="Cambria" w:cs="Cambria"/>
                <w:b w:val="false"/>
                <w:bCs w:val="false"/>
                <w:i/>
                <w:iCs/>
                <w:sz w:val="20"/>
                <w:szCs w:val="20"/>
              </w:rPr>
              <w:t>Chargeback</w:t>
            </w:r>
            <w:r>
              <w:rPr>
                <w:rFonts w:eastAsia="Cambria" w:cs="Cambria"/>
                <w:b w:val="false"/>
                <w:bCs w:val="false"/>
                <w:i w:val="false"/>
                <w:iCs w:val="false"/>
                <w:sz w:val="20"/>
                <w:szCs w:val="20"/>
              </w:rPr>
              <w:t>). Zahle deshalb größere oder unbekannte Beträge nach Möglichkeit mit Kreditkarte, nicht per Zelle oder Überweisung.</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Ist etwas schiefgelaufen, ist IdentityTheft.gov der richtige erste Schritt: Die Seite erstellt einen individuellen Wiederherstellungsplan. Betrugsversuche meldest du zusätzlich auf ReportFraud.ftc.gov. Bewahre deine SSN-Karte deshalb möglichst zu Hause auf und trage im Alltag nur die Nummer bei dir, nicht die Karte selbst: Ein gestohlener Geldbeutel mit SSN-Karte ist ein deutlich größeres Risiko als einer mit bloßem Führerschein. Mehr zu Betrug und Sicherheit im weiteren Alltag steht in Kapitel </w:t>
      </w:r>
      <w:hyperlink w:anchor="k40">
        <w:r>
          <w:rPr>
            <w:rStyle w:val="ListLabel115"/>
            <w:rFonts w:eastAsia="Cambria" w:cs="Cambria"/>
            <w:b w:val="false"/>
            <w:bCs w:val="false"/>
            <w:i w:val="false"/>
            <w:iCs w:val="false"/>
            <w:sz w:val="22"/>
            <w:szCs w:val="22"/>
          </w:rPr>
          <w:t>40</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Notgroschen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Notgroschen von drei bis sechs Monatsausgaben auf einem separaten, leicht verfügbaren Sparkonto ist in den USA kein Luxus, sondern Grundausstattung – ein Ersatzreifen im Kofferraum: Man hofft, ihn nie zu brauchen, aber ohne ihn steht man bei der ersten Panne am Straßenrand. Kündigungen sind ohne Frist möglich (</w:t>
      </w:r>
      <w:r>
        <w:rPr>
          <w:rFonts w:eastAsia="Cambria" w:cs="Cambria"/>
          <w:b w:val="false"/>
          <w:bCs w:val="false"/>
          <w:i/>
          <w:iCs/>
          <w:sz w:val="22"/>
          <w:szCs w:val="22"/>
        </w:rPr>
        <w:t>At-will Employment</w:t>
      </w:r>
      <w:r>
        <w:rPr>
          <w:rFonts w:eastAsia="Cambria" w:cs="Cambria"/>
          <w:b w:val="false"/>
          <w:bCs w:val="false"/>
          <w:i w:val="false"/>
          <w:iCs w:val="false"/>
          <w:sz w:val="22"/>
          <w:szCs w:val="22"/>
        </w:rPr>
        <w:t>,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 xml:space="preserve"> und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 und bis eine neue Krankenversicherung greift, können Wochen vergehen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Ein hochverzinstes Sparkonto (</w:t>
      </w:r>
      <w:r>
        <w:rPr>
          <w:rFonts w:eastAsia="Cambria" w:cs="Cambria"/>
          <w:b w:val="false"/>
          <w:bCs w:val="false"/>
          <w:i/>
          <w:iCs/>
          <w:sz w:val="22"/>
          <w:szCs w:val="22"/>
        </w:rPr>
        <w:t>High-Yield Savings Account</w:t>
      </w:r>
      <w:r>
        <w:rPr>
          <w:rFonts w:eastAsia="Cambria" w:cs="Cambria"/>
          <w:b w:val="false"/>
          <w:bCs w:val="false"/>
          <w:i w:val="false"/>
          <w:iCs w:val="false"/>
          <w:sz w:val="22"/>
          <w:szCs w:val="22"/>
        </w:rPr>
        <w:t>), getrennt vom Checking Account, verhindert, dass das Polster im Alltag verschwindet, und wirft nebenbei Zins ab. Bei monatlichen Fixkosten von beispielsweise 3.500 $ bedeutet das ein Polster von 10.500 bis 21.000 $ – eine Summe, die sich über das erste bis zweite Jahr schrittweise aufbauen lässt, nicht auf einen Schlag.</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Konto und erste Karte lassen sich oft binnen weniger Tage eröffnen, auch ohne SSN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Kreditwürdigkeit startet trotz makelloser Schufa bei null</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Mobile Banking, Zelle, Venmo und Fintechs wie Wise sind ausgereift und meist kostenlos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Score hohe Zinsen oder Ablehnungen bei Handy, Auto und teils Miete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Kreditkarten bieten Cashback und Meilen, die es in Deutschland selten gibt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Kreditkartenzinsen von 20 % oder mehr bestrafen jede offene Restschuld hart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Versicherungen wie Umbrella lassen sich individuell zuschneiden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Fast nichts ist gesetzlich vorgeschrieben – die Verantwortung liegt bei dir</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Eröffne dein Bankkonto in den ersten Tagen nach Ankunft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 auch wenn die SSN noch fehlt. Beantrage parallel eine gesicherte Kreditkarte und richte eine Daueranweisung ein, die sie jeden Monat vollständig ausgleicht. Vergleiche für Überweisungen aus Deutschland die Gesamtkosten von Bank und Fintech, bevor die erste größere Summe fließt. Kläre vor der Wohnungsübergabe, ob dein Vermieter eine Renters Insurance verlangt, und richte einen Notgroschen auf einem separaten Sparkonto ein.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Bankkonto eröffnet (Pass, Visum, I-94, Adressnachweis dabei)</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Frist für Nachreichen von SSN oder ITIN beim Konto notiert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Zelle und Venmo eingerichtet, Datenschutz-Einstellungen bei Venmo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Kosten von Bank-Überweisung und Fintech-Anbieter für Zahlungen aus Deutschland verglichen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Gesicherte Kreditkarte beantragt, Kaution hinterlegt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Daueranweisung zur vollständigen monatlichen Zahlung der Kreditkartenrechnung eingerichtet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Nova-Credit-Unterstützung für Deutschland direkt beim Kartenanbieter geprüft, nicht vorausgesetzt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Prepaid- oder Postpaid-Tarif für Handy und Internet gewählt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Renters Insurance abgeschlossen, falls vom Vermieter verlangt oder sinnvoll</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Bedarf an Umbrella-, Term-Life- und Disability-Versicherung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Credit Freeze bei Equifax, Experian und TransUnion eingerichtet oder bewusst offengelassen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Notgroschen auf separatem Sparkonto angelegt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hyperlink r:id="rId236">
        <w:r>
          <w:rPr>
            <w:rStyle w:val="ListLabel113"/>
            <w:rFonts w:eastAsia="Cambria" w:cs="Cambria"/>
            <w:b w:val="false"/>
            <w:bCs w:val="false"/>
            <w:i w:val="false"/>
            <w:iCs w:val="false"/>
            <w:color w:val="0563C1"/>
            <w:sz w:val="22"/>
            <w:szCs w:val="22"/>
            <w:u w:val="single"/>
          </w:rPr>
          <w:t>myfico.com</w:t>
        </w:r>
      </w:hyperlink>
      <w:r>
        <w:rPr>
          <w:rFonts w:eastAsia="Cambria" w:cs="Cambria"/>
          <w:b w:val="false"/>
          <w:bCs w:val="false"/>
          <w:i w:val="false"/>
          <w:iCs w:val="false"/>
          <w:sz w:val="22"/>
          <w:szCs w:val="22"/>
        </w:rPr>
        <w:t xml:space="preserve"> – Aufbau und Faktoren des FICO-Scores</w:t>
      </w:r>
    </w:p>
    <w:p>
      <w:pPr>
        <w:pStyle w:val="ListParagraph"/>
        <w:numPr>
          <w:ilvl w:val="0"/>
          <w:numId w:val="1"/>
        </w:numPr>
        <w:spacing w:lineRule="exact" w:line="288" w:before="0" w:after="60"/>
        <w:rPr/>
      </w:pPr>
      <w:hyperlink r:id="rId237">
        <w:r>
          <w:rPr>
            <w:rStyle w:val="ListLabel113"/>
            <w:rFonts w:eastAsia="Cambria" w:cs="Cambria"/>
            <w:b w:val="false"/>
            <w:bCs w:val="false"/>
            <w:i w:val="false"/>
            <w:iCs w:val="false"/>
            <w:color w:val="0563C1"/>
            <w:sz w:val="22"/>
            <w:szCs w:val="22"/>
            <w:u w:val="single"/>
          </w:rPr>
          <w:t>annualcreditreport.com</w:t>
        </w:r>
      </w:hyperlink>
      <w:r>
        <w:rPr>
          <w:rFonts w:eastAsia="Cambria" w:cs="Cambria"/>
          <w:b w:val="false"/>
          <w:bCs w:val="false"/>
          <w:i w:val="false"/>
          <w:iCs w:val="false"/>
          <w:sz w:val="22"/>
          <w:szCs w:val="22"/>
        </w:rPr>
        <w:t xml:space="preserve"> – kostenlose Kreditauskunft aller drei Bureaus</w:t>
      </w:r>
    </w:p>
    <w:p>
      <w:pPr>
        <w:pStyle w:val="ListParagraph"/>
        <w:numPr>
          <w:ilvl w:val="0"/>
          <w:numId w:val="1"/>
        </w:numPr>
        <w:spacing w:lineRule="exact" w:line="288" w:before="0" w:after="60"/>
        <w:rPr/>
      </w:pPr>
      <w:hyperlink r:id="rId238">
        <w:r>
          <w:rPr>
            <w:rStyle w:val="ListLabel113"/>
            <w:rFonts w:eastAsia="Cambria" w:cs="Cambria"/>
            <w:b w:val="false"/>
            <w:bCs w:val="false"/>
            <w:i w:val="false"/>
            <w:iCs w:val="false"/>
            <w:color w:val="0563C1"/>
            <w:sz w:val="22"/>
            <w:szCs w:val="22"/>
            <w:u w:val="single"/>
          </w:rPr>
          <w:t>federalreserve.gov/releases/g19</w:t>
        </w:r>
      </w:hyperlink>
      <w:r>
        <w:rPr>
          <w:rFonts w:eastAsia="Cambria" w:cs="Cambria"/>
          <w:b w:val="false"/>
          <w:bCs w:val="false"/>
          <w:i w:val="false"/>
          <w:iCs w:val="false"/>
          <w:sz w:val="22"/>
          <w:szCs w:val="22"/>
        </w:rPr>
        <w:t xml:space="preserve"> – offizielle Statistik zu Kreditkartenzinsen</w:t>
      </w:r>
    </w:p>
    <w:p>
      <w:pPr>
        <w:pStyle w:val="ListParagraph"/>
        <w:numPr>
          <w:ilvl w:val="0"/>
          <w:numId w:val="1"/>
        </w:numPr>
        <w:spacing w:lineRule="exact" w:line="288" w:before="0" w:after="60"/>
        <w:rPr/>
      </w:pPr>
      <w:hyperlink r:id="rId239">
        <w:r>
          <w:rPr>
            <w:rStyle w:val="ListLabel113"/>
            <w:rFonts w:eastAsia="Cambria" w:cs="Cambria"/>
            <w:b w:val="false"/>
            <w:bCs w:val="false"/>
            <w:i w:val="false"/>
            <w:iCs w:val="false"/>
            <w:color w:val="0563C1"/>
            <w:sz w:val="22"/>
            <w:szCs w:val="22"/>
            <w:u w:val="single"/>
          </w:rPr>
          <w:t>consumer.ftc.gov/articles/what-know-about-credit-freezes-fraud-alerts</w:t>
        </w:r>
      </w:hyperlink>
      <w:r>
        <w:rPr>
          <w:rFonts w:eastAsia="Cambria" w:cs="Cambria"/>
          <w:b w:val="false"/>
          <w:bCs w:val="false"/>
          <w:i w:val="false"/>
          <w:iCs w:val="false"/>
          <w:sz w:val="22"/>
          <w:szCs w:val="22"/>
        </w:rPr>
        <w:t xml:space="preserve"> – Credit Freeze und Fraud Alert</w:t>
      </w:r>
    </w:p>
    <w:p>
      <w:pPr>
        <w:pStyle w:val="ListParagraph"/>
        <w:numPr>
          <w:ilvl w:val="0"/>
          <w:numId w:val="1"/>
        </w:numPr>
        <w:spacing w:lineRule="exact" w:line="288" w:before="0" w:after="60"/>
        <w:rPr/>
      </w:pPr>
      <w:hyperlink r:id="rId240">
        <w:r>
          <w:rPr>
            <w:rStyle w:val="ListLabel113"/>
            <w:rFonts w:eastAsia="Cambria" w:cs="Cambria"/>
            <w:b w:val="false"/>
            <w:bCs w:val="false"/>
            <w:i w:val="false"/>
            <w:iCs w:val="false"/>
            <w:color w:val="0563C1"/>
            <w:sz w:val="22"/>
            <w:szCs w:val="22"/>
            <w:u w:val="single"/>
          </w:rPr>
          <w:t>identitytheft.gov</w:t>
        </w:r>
      </w:hyperlink>
      <w:r>
        <w:rPr>
          <w:rFonts w:eastAsia="Cambria" w:cs="Cambria"/>
          <w:b w:val="false"/>
          <w:bCs w:val="false"/>
          <w:i w:val="false"/>
          <w:iCs w:val="false"/>
          <w:sz w:val="22"/>
          <w:szCs w:val="22"/>
        </w:rPr>
        <w:t xml:space="preserve"> – Hilfe nach Identitätsdiebstahl</w:t>
      </w:r>
    </w:p>
    <w:p>
      <w:pPr>
        <w:pStyle w:val="ListParagraph"/>
        <w:numPr>
          <w:ilvl w:val="0"/>
          <w:numId w:val="1"/>
        </w:numPr>
        <w:spacing w:lineRule="exact" w:line="288" w:before="0" w:after="60"/>
        <w:rPr/>
      </w:pPr>
      <w:hyperlink r:id="rId241">
        <w:r>
          <w:rPr>
            <w:rStyle w:val="ListLabel113"/>
            <w:rFonts w:eastAsia="Cambria" w:cs="Cambria"/>
            <w:b w:val="false"/>
            <w:bCs w:val="false"/>
            <w:i w:val="false"/>
            <w:iCs w:val="false"/>
            <w:color w:val="0563C1"/>
            <w:sz w:val="22"/>
            <w:szCs w:val="22"/>
            <w:u w:val="single"/>
          </w:rPr>
          <w:t>irs.gov/identity-theft-fraud-scams/get-an-identity-protection-pin</w:t>
        </w:r>
      </w:hyperlink>
      <w:r>
        <w:rPr>
          <w:rFonts w:eastAsia="Cambria" w:cs="Cambria"/>
          <w:b w:val="false"/>
          <w:bCs w:val="false"/>
          <w:i w:val="false"/>
          <w:iCs w:val="false"/>
          <w:sz w:val="22"/>
          <w:szCs w:val="22"/>
        </w:rPr>
        <w:t xml:space="preserve"> – IP-PIN beantragen</w:t>
      </w:r>
    </w:p>
    <w:p>
      <w:pPr>
        <w:pStyle w:val="ListParagraph"/>
        <w:numPr>
          <w:ilvl w:val="0"/>
          <w:numId w:val="1"/>
        </w:numPr>
        <w:spacing w:lineRule="exact" w:line="288" w:before="0" w:after="60"/>
        <w:rPr/>
      </w:pPr>
      <w:hyperlink r:id="rId242">
        <w:r>
          <w:rPr>
            <w:rStyle w:val="ListLabel113"/>
            <w:rFonts w:eastAsia="Cambria" w:cs="Cambria"/>
            <w:b w:val="false"/>
            <w:bCs w:val="false"/>
            <w:i w:val="false"/>
            <w:iCs w:val="false"/>
            <w:color w:val="0563C1"/>
            <w:sz w:val="22"/>
            <w:szCs w:val="22"/>
            <w:u w:val="single"/>
          </w:rPr>
          <w:t>novacredit.com/credit-passport</w:t>
        </w:r>
      </w:hyperlink>
      <w:r>
        <w:rPr>
          <w:rFonts w:eastAsia="Cambria" w:cs="Cambria"/>
          <w:b w:val="false"/>
          <w:bCs w:val="false"/>
          <w:i w:val="false"/>
          <w:iCs w:val="false"/>
          <w:sz w:val="22"/>
          <w:szCs w:val="22"/>
        </w:rPr>
        <w:t xml:space="preserve"> – Nova Credit / Credit Passport</w:t>
      </w:r>
    </w:p>
    <w:p>
      <w:pPr>
        <w:pStyle w:val="ListParagraph"/>
        <w:numPr>
          <w:ilvl w:val="0"/>
          <w:numId w:val="1"/>
        </w:numPr>
        <w:spacing w:lineRule="exact" w:line="288" w:before="0" w:after="60"/>
        <w:rPr/>
      </w:pPr>
      <w:hyperlink r:id="rId243">
        <w:r>
          <w:rPr>
            <w:rStyle w:val="ListLabel113"/>
            <w:rFonts w:eastAsia="Cambria" w:cs="Cambria"/>
            <w:b w:val="false"/>
            <w:bCs w:val="false"/>
            <w:i w:val="false"/>
            <w:iCs w:val="false"/>
            <w:color w:val="0563C1"/>
            <w:sz w:val="22"/>
            <w:szCs w:val="22"/>
            <w:u w:val="single"/>
          </w:rPr>
          <w:t>wise.com</w:t>
        </w:r>
      </w:hyperlink>
      <w:r>
        <w:rPr>
          <w:rFonts w:eastAsia="Cambria" w:cs="Cambria"/>
          <w:b w:val="false"/>
          <w:bCs w:val="false"/>
          <w:i w:val="false"/>
          <w:iCs w:val="false"/>
          <w:sz w:val="22"/>
          <w:szCs w:val="22"/>
        </w:rPr>
        <w:t xml:space="preserve"> – Beispiel für einen Fintech-Anbieter für Auslandsüberweisungen</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Schnell ändern sich: Kreditkartenzinsen, Versicherungsprämien, Wechselkurse und die Länderliste von Anbietern wie Nova Credit. Prüfe vor jeder Entscheidung die aktuellen Werte bei deiner Bank, deinem Versicherer oder den genannten Quellen.</w:t>
            </w:r>
          </w:p>
        </w:tc>
      </w:tr>
    </w:tbl>
    <w:p>
      <w:pPr>
        <w:pStyle w:val="Normal"/>
        <w:spacing w:lineRule="exact" w:line="220" w:before="0" w:after="0"/>
        <w:rPr/>
      </w:pPr>
      <w:r>
        <w:rPr/>
      </w:r>
      <w:r>
        <w:br w:type="page"/>
      </w:r>
    </w:p>
    <w:p>
      <w:pPr>
        <w:pStyle w:val="Heading2"/>
        <w:keepNext w:val="true"/>
        <w:spacing w:before="0" w:after="300"/>
        <w:jc w:val="center"/>
        <w:rPr/>
      </w:pPr>
      <w:bookmarkStart w:id="65" w:name="__RefHeading___Toc56489_3769931028"/>
      <w:bookmarkStart w:id="66" w:name="k26"/>
      <w:bookmarkEnd w:id="65"/>
      <w:r>
        <w:rPr>
          <w:rFonts w:eastAsia="Amazon Ember" w:cs="Amazon Ember" w:ascii="Amazon Ember" w:hAnsi="Amazon Ember"/>
          <w:b/>
          <w:bCs/>
          <w:color w:val="0000FF"/>
          <w:sz w:val="36"/>
          <w:szCs w:val="36"/>
        </w:rPr>
        <w:t>Kapitel 26: Das US-Gesundheitssystem für Neuankömmlinge</w:t>
      </w:r>
      <w:bookmarkEnd w:id="66"/>
    </w:p>
    <w:p>
      <w:pPr>
        <w:pStyle w:val="Normal"/>
        <w:keepNext w:val="false"/>
        <w:keepLines w:val="false"/>
        <w:spacing w:lineRule="exact" w:line="288" w:before="0" w:after="140"/>
        <w:jc w:val="left"/>
        <w:rPr/>
      </w:pPr>
      <w:r>
        <w:rPr>
          <w:rFonts w:eastAsia="Cambria" w:cs="Cambria"/>
          <w:b w:val="false"/>
          <w:bCs w:val="false"/>
          <w:i w:val="false"/>
          <w:iCs w:val="false"/>
          <w:sz w:val="22"/>
          <w:szCs w:val="22"/>
        </w:rPr>
        <w:t>Es ist Samstagabend, du bist seit drei Wochen in den USA, und dein Kind hat hohes Fieber. Einen amerikanischen Kinderarzt hast du noch nicht, und die Krankenversicherung deines Arbeitgebers beginnt erst in sieben Wochen. Das ist kein Pech, sondern eine Folge des Systems: In den USA hängt die Krankenversicherung am Job, und zwischen Landung und Versicherungsbeginn liegt oft eine Lücke. Dieses Kapitel erklärt, wie das System funktioniert, was es kostet und wie du die ersten Monate überbrückst.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Als Beschäftigter bist du meist über den Arbeitgeber versichert (2025: 53,5 % der Bevölkerung) — keine Einheitskasse, sondern Pläne privater Versicherer, die du jedes Jahr neu wählst.</w:t>
            </w:r>
          </w:p>
          <w:p>
            <w:pPr>
              <w:pStyle w:val="ListParagraph"/>
              <w:numPr>
                <w:ilvl w:val="0"/>
                <w:numId w:val="1"/>
              </w:numPr>
              <w:spacing w:lineRule="exact" w:line="264" w:before="0" w:after="50"/>
              <w:rPr/>
            </w:pPr>
            <w:r>
              <w:rPr>
                <w:rFonts w:eastAsia="Cambria" w:cs="Cambria"/>
                <w:b w:val="false"/>
                <w:bCs w:val="false"/>
                <w:i w:val="false"/>
                <w:iCs w:val="false"/>
                <w:sz w:val="20"/>
                <w:szCs w:val="20"/>
              </w:rPr>
              <w:t>Du zahlst dreifach: Beitrag (</w:t>
            </w:r>
            <w:r>
              <w:rPr>
                <w:rFonts w:eastAsia="Cambria" w:cs="Cambria"/>
                <w:b w:val="false"/>
                <w:bCs w:val="false"/>
                <w:i/>
                <w:iCs/>
                <w:sz w:val="20"/>
                <w:szCs w:val="20"/>
              </w:rPr>
              <w:t>Premium</w:t>
            </w:r>
            <w:r>
              <w:rPr>
                <w:rFonts w:eastAsia="Cambria" w:cs="Cambria"/>
                <w:b w:val="false"/>
                <w:bCs w:val="false"/>
                <w:i w:val="false"/>
                <w:iCs w:val="false"/>
                <w:sz w:val="20"/>
                <w:szCs w:val="20"/>
              </w:rPr>
              <w:t>, im Schnitt ca. 120 $ im Monat für dich, ca. 571 $ für die Familie), Selbstbehalt (</w:t>
            </w:r>
            <w:r>
              <w:rPr>
                <w:rFonts w:eastAsia="Cambria" w:cs="Cambria"/>
                <w:b w:val="false"/>
                <w:bCs w:val="false"/>
                <w:i/>
                <w:iCs/>
                <w:sz w:val="20"/>
                <w:szCs w:val="20"/>
              </w:rPr>
              <w:t>Deductible</w:t>
            </w:r>
            <w:r>
              <w:rPr>
                <w:rFonts w:eastAsia="Cambria" w:cs="Cambria"/>
                <w:b w:val="false"/>
                <w:bCs w:val="false"/>
                <w:i w:val="false"/>
                <w:iCs w:val="false"/>
                <w:sz w:val="20"/>
                <w:szCs w:val="20"/>
              </w:rPr>
              <w:t>, im Schnitt 1.886 $) und Zuzahlungen bis zur Jahreshöchstgrenze der Eigenkosten (</w:t>
            </w:r>
            <w:r>
              <w:rPr>
                <w:rFonts w:eastAsia="Cambria" w:cs="Cambria"/>
                <w:b w:val="false"/>
                <w:bCs w:val="false"/>
                <w:i/>
                <w:iCs/>
                <w:sz w:val="20"/>
                <w:szCs w:val="20"/>
              </w:rPr>
              <w:t>Out-of-Pocket Maximum</w:t>
            </w:r>
            <w:r>
              <w:rPr>
                <w:rFonts w:eastAsia="Cambria" w:cs="Cambria"/>
                <w:b w:val="false"/>
                <w:bCs w:val="false"/>
                <w:i w:val="false"/>
                <w:iCs w:val="false"/>
                <w:sz w:val="20"/>
                <w:szCs w:val="20"/>
              </w:rPr>
              <w:t>, im Schnitt 4.423 $).</w:t>
            </w:r>
          </w:p>
          <w:p>
            <w:pPr>
              <w:pStyle w:val="ListParagraph"/>
              <w:numPr>
                <w:ilvl w:val="0"/>
                <w:numId w:val="1"/>
              </w:numPr>
              <w:spacing w:lineRule="exact" w:line="264" w:before="0" w:after="50"/>
              <w:rPr/>
            </w:pPr>
            <w:r>
              <w:rPr>
                <w:rFonts w:eastAsia="Cambria" w:cs="Cambria"/>
                <w:b w:val="false"/>
                <w:bCs w:val="false"/>
                <w:i w:val="false"/>
                <w:iCs w:val="false"/>
                <w:sz w:val="20"/>
                <w:szCs w:val="20"/>
              </w:rPr>
              <w:t>Die Deckung beginnt oft erst nach einer Wartefrist von bis zu 90 Tagen; die Einschreibefrist beträgt meist 30 Tage. Plane für die Lücke bis zu drei oder vier Monate Überbrückung ein.</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Bei Fieber, Verstauchung oder Infekt ist meist </w:t>
            </w:r>
            <w:r>
              <w:rPr>
                <w:rFonts w:eastAsia="Cambria" w:cs="Cambria"/>
                <w:b w:val="false"/>
                <w:bCs w:val="false"/>
                <w:i/>
                <w:iCs/>
                <w:sz w:val="20"/>
                <w:szCs w:val="20"/>
              </w:rPr>
              <w:t>Urgent Care</w:t>
            </w:r>
            <w:r>
              <w:rPr>
                <w:rFonts w:eastAsia="Cambria" w:cs="Cambria"/>
                <w:b w:val="false"/>
                <w:bCs w:val="false"/>
                <w:i w:val="false"/>
                <w:iCs w:val="false"/>
                <w:sz w:val="20"/>
                <w:szCs w:val="20"/>
              </w:rPr>
              <w:t xml:space="preserve"> (Walk-in-Klinik) oder Telemedizin richtig, nicht die Notaufnahme. Bei Lebensgefahr wählst du den Notruf 911.</w:t>
            </w:r>
          </w:p>
          <w:p>
            <w:pPr>
              <w:pStyle w:val="ListParagraph"/>
              <w:numPr>
                <w:ilvl w:val="0"/>
                <w:numId w:val="1"/>
              </w:numPr>
              <w:spacing w:lineRule="exact" w:line="264" w:before="0" w:after="50"/>
              <w:rPr/>
            </w:pPr>
            <w:r>
              <w:rPr>
                <w:rFonts w:eastAsia="Cambria" w:cs="Cambria"/>
                <w:b w:val="false"/>
                <w:bCs w:val="false"/>
                <w:i w:val="false"/>
                <w:iCs w:val="false"/>
                <w:sz w:val="20"/>
                <w:szCs w:val="20"/>
              </w:rPr>
              <w:t>Zahn und Augen sind getrennte Pläne. Rechnungen zahlst du erst nach dem Abgleich mit der Abrechnung deines Versicherers.</w:t>
            </w:r>
          </w:p>
          <w:p>
            <w:pPr>
              <w:pStyle w:val="ListParagraph"/>
              <w:numPr>
                <w:ilvl w:val="0"/>
                <w:numId w:val="1"/>
              </w:numPr>
              <w:spacing w:lineRule="exact" w:line="264" w:before="0" w:after="50"/>
              <w:rPr/>
            </w:pPr>
            <w:r>
              <w:rPr>
                <w:rFonts w:eastAsia="Cambria" w:cs="Cambria"/>
                <w:b w:val="false"/>
                <w:bCs w:val="false"/>
                <w:i w:val="false"/>
                <w:iCs w:val="false"/>
                <w:sz w:val="20"/>
                <w:szCs w:val="20"/>
              </w:rPr>
              <w:t>Marktplatz-Zuschüsse gibt es ab 2027 nur noch für Green-Card-Inhaber; Visa-Inhaber können weiter zum Vollpreis kaufen.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Prinzip: Versicherung hängt am Arbeitgeber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Nach dem Statistikamt Census waren 2025 rund 53,5 % der US-Bevölkerung über einen Arbeitgeber versichert, 20,1 % über </w:t>
      </w:r>
      <w:r>
        <w:rPr>
          <w:rFonts w:eastAsia="Cambria" w:cs="Cambria"/>
          <w:b w:val="false"/>
          <w:bCs w:val="false"/>
          <w:i/>
          <w:iCs/>
          <w:sz w:val="22"/>
          <w:szCs w:val="22"/>
        </w:rPr>
        <w:t>Medicare</w:t>
      </w:r>
      <w:r>
        <w:rPr>
          <w:rFonts w:eastAsia="Cambria" w:cs="Cambria"/>
          <w:b w:val="false"/>
          <w:bCs w:val="false"/>
          <w:i w:val="false"/>
          <w:iCs w:val="false"/>
          <w:sz w:val="22"/>
          <w:szCs w:val="22"/>
        </w:rPr>
        <w:t xml:space="preserve"> (ab 65), 17,1 % über </w:t>
      </w:r>
      <w:r>
        <w:rPr>
          <w:rFonts w:eastAsia="Cambria" w:cs="Cambria"/>
          <w:b w:val="false"/>
          <w:bCs w:val="false"/>
          <w:i/>
          <w:iCs/>
          <w:sz w:val="22"/>
          <w:szCs w:val="22"/>
        </w:rPr>
        <w:t>Medicaid</w:t>
      </w:r>
      <w:r>
        <w:rPr>
          <w:rFonts w:eastAsia="Cambria" w:cs="Cambria"/>
          <w:b w:val="false"/>
          <w:bCs w:val="false"/>
          <w:i w:val="false"/>
          <w:iCs w:val="false"/>
          <w:sz w:val="22"/>
          <w:szCs w:val="22"/>
        </w:rPr>
        <w:t xml:space="preserve"> (Geringverdienende) und 10,5 % über selbst gekaufte Pläne — Mehrfachdeckung ist möglich, die Werte ergeben deshalb nicht 100 %. Unversichert waren 7,9 % (26,7 Millionen Menschen). Nach der Arbeitgeberumfrage der Stiftung KFF bieten 61 % der Firmen ab zehn Beschäftigten eine Versicherung an: 97 % ab 200 Beschäftigten, aber nur 59 % der kleineren. Frage im Bewerbungsprozess deshalb nach dem Leistungspaket (</w:t>
      </w:r>
      <w:r>
        <w:rPr>
          <w:rFonts w:eastAsia="Cambria" w:cs="Cambria"/>
          <w:b w:val="false"/>
          <w:bCs w:val="false"/>
          <w:i/>
          <w:iCs/>
          <w:sz w:val="22"/>
          <w:szCs w:val="22"/>
        </w:rPr>
        <w:t>Benefits</w:t>
      </w:r>
      <w:r>
        <w:rPr>
          <w:rFonts w:eastAsia="Cambria" w:cs="Cambria"/>
          <w:b w:val="false"/>
          <w:bCs w:val="false"/>
          <w:i w:val="false"/>
          <w:iCs w:val="false"/>
          <w:sz w:val="22"/>
          <w:szCs w:val="22"/>
        </w:rPr>
        <w:t>), nicht nur nach dem Gehalt.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„Krankenversicherung“ klinge nach einem System wie der GKV, nur eben amerikanisch organisiert. Tatsächlich kennen die USA, anders als die gesetzliche Krankenversicherung (GKV) in Deutschland, keinen einheitlichen Träger. Die Versicherer sind private Unternehmen, etwa Blue Cross Blue Shield, UnitedHealthcare, Aetna oder Cigna; dein Arbeitgeber wählt einige Pläne aus und bietet sie dir an. Was in Deutschland die Kasse organisiert, erledigst du selbst: Plan wählen, Netzwerk prüfen, Rechnungen abgleichen.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Eine bundesweite Versicherungspflicht mit Strafzahlung gibt es seit 2019 nicht mehr, einzelne Staaten wie Massachusetts und New Jersey haben eine eigene. Unversichert zu sein bleibt für Neuankömmlinge dennoch riskant: Notaufnahmen von Krankenhäusern mit Medicare-Zulassung müssen dich nach dem Bundesgesetz EMTALA untersuchen und stabilisieren, unabhängig von deiner Zahlungsfähigkeit — kostenlos ist das nicht, die Rechnung kommt später. Vorbereitung in Deutschland (GKV-Austritt, Anwartschaft): Kapitel </w:t>
      </w:r>
      <w:hyperlink w:anchor="k18">
        <w:r>
          <w:rPr>
            <w:rStyle w:val="ListLabel115"/>
            <w:rFonts w:eastAsia="Cambria" w:cs="Cambria"/>
            <w:b w:val="false"/>
            <w:bCs w:val="false"/>
            <w:i w:val="false"/>
            <w:iCs w:val="false"/>
            <w:sz w:val="22"/>
            <w:szCs w:val="22"/>
          </w:rPr>
          <w:t>18</w:t>
        </w:r>
      </w:hyperlink>
      <w:r>
        <w:rPr>
          <w:rFonts w:eastAsia="Cambria" w:cs="Cambria"/>
          <w:b w:val="false"/>
          <w:bCs w:val="false"/>
          <w:i w:val="false"/>
          <w:iCs w:val="false"/>
          <w:sz w:val="22"/>
          <w:szCs w:val="22"/>
        </w:rPr>
        <w:t>; der Weg zurück in die GKV: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Plantypen: HMO, PPO, HDHP und HSA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Dein Arbeitgeber bietet oft mehrere Pläne an. Sie unterscheiden sich im Netzwerk (</w:t>
      </w:r>
      <w:r>
        <w:rPr>
          <w:rFonts w:eastAsia="Cambria" w:cs="Cambria"/>
          <w:b w:val="false"/>
          <w:bCs w:val="false"/>
          <w:i/>
          <w:iCs/>
          <w:sz w:val="22"/>
          <w:szCs w:val="22"/>
        </w:rPr>
        <w:t>Network</w:t>
      </w:r>
      <w:r>
        <w:rPr>
          <w:rFonts w:eastAsia="Cambria" w:cs="Cambria"/>
          <w:b w:val="false"/>
          <w:bCs w:val="false"/>
          <w:i w:val="false"/>
          <w:iCs w:val="false"/>
          <w:sz w:val="22"/>
          <w:szCs w:val="22"/>
        </w:rPr>
        <w:t>: die Ärzte und Kliniken, mit denen der Versicherer Preise vereinbart hat) und in der Kostenverteilung. Die Tabelle zeigt die vier häufigsten Typen und ihren Anteil bei Arbeitgeberplänen 2025 (KFF).</w:t>
      </w:r>
    </w:p>
    <w:tbl>
      <w:tblPr>
        <w:tblW w:w="6480" w:type="dxa"/>
        <w:jc w:val="left"/>
        <w:tblInd w:w="0" w:type="dxa"/>
        <w:tblLayout w:type="fixed"/>
        <w:tblCellMar>
          <w:top w:w="50" w:type="dxa"/>
          <w:left w:w="80" w:type="dxa"/>
          <w:bottom w:w="50" w:type="dxa"/>
          <w:right w:w="80" w:type="dxa"/>
        </w:tblCellMar>
      </w:tblPr>
      <w:tblGrid>
        <w:gridCol w:w="2562"/>
        <w:gridCol w:w="2968"/>
        <w:gridCol w:w="950"/>
      </w:tblGrid>
      <w:tr>
        <w:trPr>
          <w:tblHeader w:val="true"/>
          <w:cantSplit w:val="true"/>
        </w:trPr>
        <w:tc>
          <w:tcPr>
            <w:tcW w:w="256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Plantyp</w:t>
            </w:r>
          </w:p>
        </w:tc>
        <w:tc>
          <w:tcPr>
            <w:tcW w:w="296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So funktioniert er</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Anteil</w:t>
            </w:r>
          </w:p>
        </w:tc>
      </w:tr>
      <w:tr>
        <w:trPr>
          <w:cantSplit w:val="true"/>
        </w:trPr>
        <w:tc>
          <w:tcPr>
            <w:tcW w:w="25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PPO</w:t>
            </w:r>
            <w:r>
              <w:rPr>
                <w:rFonts w:eastAsia="Cambria" w:cs="Cambria"/>
                <w:b w:val="false"/>
                <w:bCs w:val="false"/>
                <w:i w:val="false"/>
                <w:iCs w:val="false"/>
                <w:sz w:val="18"/>
                <w:szCs w:val="18"/>
              </w:rPr>
              <w:t xml:space="preserve"> (Preferred Provider Organization)</w:t>
            </w:r>
          </w:p>
        </w:tc>
        <w:tc>
          <w:tcPr>
            <w:tcW w:w="29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Netzwerk günstiger; Ärzte außerhalb möglich, aber teurer; Facharzt ohne Überweisung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46 %</w:t>
            </w:r>
          </w:p>
        </w:tc>
      </w:tr>
      <w:tr>
        <w:trPr>
          <w:cantSplit w:val="true"/>
        </w:trPr>
        <w:tc>
          <w:tcPr>
            <w:tcW w:w="25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HDHP</w:t>
            </w:r>
            <w:r>
              <w:rPr>
                <w:rFonts w:eastAsia="Cambria" w:cs="Cambria"/>
                <w:b w:val="false"/>
                <w:bCs w:val="false"/>
                <w:i w:val="false"/>
                <w:iCs w:val="false"/>
                <w:sz w:val="18"/>
                <w:szCs w:val="18"/>
              </w:rPr>
              <w:t xml:space="preserve"> (High Deductible Health Plan) mit Sparoption</w:t>
            </w:r>
          </w:p>
        </w:tc>
        <w:tc>
          <w:tcPr>
            <w:tcW w:w="29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Niedrigere Prämie, hoher Selbstbehalt, meist mit HSA</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33 %</w:t>
            </w:r>
          </w:p>
        </w:tc>
      </w:tr>
      <w:tr>
        <w:trPr>
          <w:cantSplit w:val="true"/>
        </w:trPr>
        <w:tc>
          <w:tcPr>
            <w:tcW w:w="25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HMO</w:t>
            </w:r>
            <w:r>
              <w:rPr>
                <w:rFonts w:eastAsia="Cambria" w:cs="Cambria"/>
                <w:b w:val="false"/>
                <w:bCs w:val="false"/>
                <w:i w:val="false"/>
                <w:iCs w:val="false"/>
                <w:sz w:val="18"/>
                <w:szCs w:val="18"/>
              </w:rPr>
              <w:t xml:space="preserve"> (Health Maintenance Organization)</w:t>
            </w:r>
          </w:p>
        </w:tc>
        <w:tc>
          <w:tcPr>
            <w:tcW w:w="29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Meist nur Netzwerkärzte (außer im Notfall); der Hausarzt steuert Überweisungen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12 %</w:t>
            </w:r>
          </w:p>
        </w:tc>
      </w:tr>
      <w:tr>
        <w:trPr>
          <w:cantSplit w:val="true"/>
        </w:trPr>
        <w:tc>
          <w:tcPr>
            <w:tcW w:w="25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POS</w:t>
            </w:r>
            <w:r>
              <w:rPr>
                <w:rFonts w:eastAsia="Cambria" w:cs="Cambria"/>
                <w:b w:val="false"/>
                <w:bCs w:val="false"/>
                <w:i w:val="false"/>
                <w:iCs w:val="false"/>
                <w:sz w:val="18"/>
                <w:szCs w:val="18"/>
              </w:rPr>
              <w:t xml:space="preserve"> (Point of Service)</w:t>
            </w:r>
          </w:p>
        </w:tc>
        <w:tc>
          <w:tcPr>
            <w:tcW w:w="29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Mischform: Netzwerk günstiger, Facharzt per Überweisung des Hausarztes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Dazu kommt der </w:t>
      </w:r>
      <w:r>
        <w:rPr>
          <w:rFonts w:eastAsia="Cambria" w:cs="Cambria"/>
          <w:b w:val="false"/>
          <w:bCs w:val="false"/>
          <w:i/>
          <w:iCs/>
          <w:sz w:val="22"/>
          <w:szCs w:val="22"/>
        </w:rPr>
        <w:t>EPO</w:t>
      </w:r>
      <w:r>
        <w:rPr>
          <w:rFonts w:eastAsia="Cambria" w:cs="Cambria"/>
          <w:b w:val="false"/>
          <w:bCs w:val="false"/>
          <w:i w:val="false"/>
          <w:iCs w:val="false"/>
          <w:sz w:val="22"/>
          <w:szCs w:val="22"/>
        </w:rPr>
        <w:t xml:space="preserve"> (Exclusive Provider Organization), der wie ein HMO nur das Netzwerk bezahlt. HMO-Pläne sind meist günstiger, bei 47 % ihrer Versicherten gibt es keinen Selbstbehalt; dafür schränken sie die Arztwahl ein. Beim PPO zahlst du für die Freiheit mehr Prämie.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HDHP verlangt einen hohen Selbstbehalt: 2026 mindestens 1.700 $ für Einzelpersonen und 3.400 $ für Familien (2027: 1.750 $ und 3.500 $). Dafür darfst du ein </w:t>
      </w:r>
      <w:r>
        <w:rPr>
          <w:rFonts w:eastAsia="Cambria" w:cs="Cambria"/>
          <w:b w:val="false"/>
          <w:bCs w:val="false"/>
          <w:i/>
          <w:iCs/>
          <w:sz w:val="22"/>
          <w:szCs w:val="22"/>
        </w:rPr>
        <w:t>Health Savings Account</w:t>
      </w:r>
      <w:r>
        <w:rPr>
          <w:rFonts w:eastAsia="Cambria" w:cs="Cambria"/>
          <w:b w:val="false"/>
          <w:bCs w:val="false"/>
          <w:i w:val="false"/>
          <w:iCs w:val="false"/>
          <w:sz w:val="22"/>
          <w:szCs w:val="22"/>
        </w:rPr>
        <w:t xml:space="preserve"> (HSA) führen, ein steuerbegünstigtes Gesundheitssparkonto. Einzahlen darfst du 2026 bis zu 4.400 $ (Einzelperson) bzw. 8.750 $ (Familie), 2027 bis zu 4.500 $ bzw. 9.000 $; ab 55 Jahren kommen 1.000 $ hinzu. Das Guthaben gehört dir, verfällt nicht und darf für Arzt-, Zahn- und Augenkosten entnommen werden. Viele Arbeitgeber zahlen einen Beitrag ein; steuerliche Details, auch der Staaten: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Junge, gesunde Beschäftigte fahren mit dem HDHP oft gut; wer Kinder, eine chronische Erkrankung oder einen geplanten Eingriff hat, rechnet besser mit PPO oder HMO.</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Vergleiche Pläne nie nur nach der Prämie. Rechne für jeden Plan das teuerste Jahr (12 × Monatsprämie + Out-of-Pocket-Maximum) und das wahrscheinliche Jahr (12 × Monatsprämie + die Arztkosten, die du erwartest). Prüfe zuerst, ob deine Ärzte im Netzwerk sind.</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Begriffe im Überblick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guter Teil des amerikanischen Krankenversicherungsalltags besteht aus acht Wörtern. Die Beispiele beziehen sich auf einen fiktiven Plan: Premium 120 $ im Monat, Deductible 1.500 $, Coinsurance 20 %, Out-of-Pocket-Maximum 4.000 $, Hausarzt-Copay 30 $.</w:t>
      </w:r>
    </w:p>
    <w:tbl>
      <w:tblPr>
        <w:tblW w:w="6480" w:type="dxa"/>
        <w:jc w:val="left"/>
        <w:tblInd w:w="0" w:type="dxa"/>
        <w:tblLayout w:type="fixed"/>
        <w:tblCellMar>
          <w:top w:w="50" w:type="dxa"/>
          <w:left w:w="80" w:type="dxa"/>
          <w:bottom w:w="50" w:type="dxa"/>
          <w:right w:w="80" w:type="dxa"/>
        </w:tblCellMar>
      </w:tblPr>
      <w:tblGrid>
        <w:gridCol w:w="1367"/>
        <w:gridCol w:w="3261"/>
        <w:gridCol w:w="1852"/>
      </w:tblGrid>
      <w:tr>
        <w:trPr>
          <w:tblHeader w:val="true"/>
          <w:cantSplit w:val="true"/>
        </w:trPr>
        <w:tc>
          <w:tcPr>
            <w:tcW w:w="136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Begriff</w:t>
            </w:r>
          </w:p>
        </w:tc>
        <w:tc>
          <w:tcPr>
            <w:tcW w:w="326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Bedeutung</w:t>
            </w:r>
          </w:p>
        </w:tc>
        <w:tc>
          <w:tcPr>
            <w:tcW w:w="185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Beispiel</w:t>
            </w:r>
          </w:p>
        </w:tc>
      </w:tr>
      <w:tr>
        <w:trPr>
          <w:cantSplit w:val="true"/>
        </w:trPr>
        <w:tc>
          <w:tcPr>
            <w:tcW w:w="13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Premium</w:t>
            </w:r>
          </w:p>
        </w:tc>
        <w:tc>
          <w:tcPr>
            <w:tcW w:w="32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Monatsbeitrag; fällt immer an, auch ohne Arztbesuch</w:t>
            </w:r>
          </w:p>
        </w:tc>
        <w:tc>
          <w:tcPr>
            <w:tcW w:w="18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120 $ im Monat, vom Gehalt abgezogen</w:t>
            </w:r>
          </w:p>
        </w:tc>
      </w:tr>
      <w:tr>
        <w:trPr>
          <w:cantSplit w:val="true"/>
        </w:trPr>
        <w:tc>
          <w:tcPr>
            <w:tcW w:w="13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Deductible</w:t>
            </w:r>
          </w:p>
        </w:tc>
        <w:tc>
          <w:tcPr>
            <w:tcW w:w="32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Selbstbehalt: der Betrag pro Jahr, den du zuerst selbst zahlst</w:t>
            </w:r>
          </w:p>
        </w:tc>
        <w:tc>
          <w:tcPr>
            <w:tcW w:w="18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1.500 $</w:t>
            </w:r>
          </w:p>
        </w:tc>
      </w:tr>
      <w:tr>
        <w:trPr>
          <w:cantSplit w:val="true"/>
        </w:trPr>
        <w:tc>
          <w:tcPr>
            <w:tcW w:w="13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Copay</w:t>
            </w:r>
          </w:p>
        </w:tc>
        <w:tc>
          <w:tcPr>
            <w:tcW w:w="32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Zuzahlung als Festbetrag pro Besuch oder Rezept</w:t>
            </w:r>
          </w:p>
        </w:tc>
        <w:tc>
          <w:tcPr>
            <w:tcW w:w="18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30 $ beim Hausarzt</w:t>
            </w:r>
          </w:p>
        </w:tc>
      </w:tr>
      <w:tr>
        <w:trPr>
          <w:cantSplit w:val="true"/>
        </w:trPr>
        <w:tc>
          <w:tcPr>
            <w:tcW w:w="13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Coinsurance</w:t>
            </w:r>
          </w:p>
        </w:tc>
        <w:tc>
          <w:tcPr>
            <w:tcW w:w="32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Prozentuale Beteiligung, die nach dem Deductible weiterläuft</w:t>
            </w:r>
          </w:p>
        </w:tc>
        <w:tc>
          <w:tcPr>
            <w:tcW w:w="18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20 % der Klinikrechnung</w:t>
            </w:r>
          </w:p>
        </w:tc>
      </w:tr>
      <w:tr>
        <w:trPr>
          <w:cantSplit w:val="true"/>
        </w:trPr>
        <w:tc>
          <w:tcPr>
            <w:tcW w:w="13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Out-of-Pocket Maximum</w:t>
            </w:r>
          </w:p>
        </w:tc>
        <w:tc>
          <w:tcPr>
            <w:tcW w:w="32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Jahreshöchstgrenze deiner Eigenkosten; danach zahlt der Plan 100 % (nur im Netzwerk, ohne Premium)</w:t>
            </w:r>
          </w:p>
        </w:tc>
        <w:tc>
          <w:tcPr>
            <w:tcW w:w="18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4.000 $</w:t>
            </w:r>
          </w:p>
        </w:tc>
      </w:tr>
      <w:tr>
        <w:trPr>
          <w:cantSplit w:val="true"/>
        </w:trPr>
        <w:tc>
          <w:tcPr>
            <w:tcW w:w="13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In-Network</w:t>
            </w:r>
            <w:r>
              <w:rPr>
                <w:rFonts w:eastAsia="Cambria" w:cs="Cambria"/>
                <w:b w:val="false"/>
                <w:bCs w:val="false"/>
                <w:i w:val="false"/>
                <w:iCs w:val="false"/>
                <w:sz w:val="18"/>
                <w:szCs w:val="18"/>
              </w:rPr>
              <w:t xml:space="preserve"> / </w:t>
            </w:r>
            <w:r>
              <w:rPr>
                <w:rFonts w:eastAsia="Cambria" w:cs="Cambria"/>
                <w:b w:val="false"/>
                <w:bCs w:val="false"/>
                <w:i/>
                <w:iCs/>
                <w:sz w:val="18"/>
                <w:szCs w:val="18"/>
              </w:rPr>
              <w:t>Out-of-Network</w:t>
            </w:r>
          </w:p>
        </w:tc>
        <w:tc>
          <w:tcPr>
            <w:tcW w:w="32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Anbieter mit bzw. ohne Preisvertrag deines Plans; außerhalb zahlst du mehr oder alles</w:t>
            </w:r>
          </w:p>
        </w:tc>
        <w:tc>
          <w:tcPr>
            <w:tcW w:w="18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Netzwerk 200 $, außerhalb 600 $</w:t>
            </w:r>
          </w:p>
        </w:tc>
      </w:tr>
      <w:tr>
        <w:trPr>
          <w:cantSplit w:val="true"/>
        </w:trPr>
        <w:tc>
          <w:tcPr>
            <w:tcW w:w="13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EOB</w:t>
            </w:r>
            <w:r>
              <w:rPr>
                <w:rFonts w:eastAsia="Cambria" w:cs="Cambria"/>
                <w:b w:val="false"/>
                <w:bCs w:val="false"/>
                <w:i w:val="false"/>
                <w:iCs w:val="false"/>
                <w:sz w:val="18"/>
                <w:szCs w:val="18"/>
              </w:rPr>
              <w:t xml:space="preserve"> (</w:t>
            </w:r>
            <w:r>
              <w:rPr>
                <w:rFonts w:eastAsia="Cambria" w:cs="Cambria"/>
                <w:b w:val="false"/>
                <w:bCs w:val="false"/>
                <w:i/>
                <w:iCs/>
                <w:sz w:val="18"/>
                <w:szCs w:val="18"/>
              </w:rPr>
              <w:t>Explanation of Benefits</w:t>
            </w:r>
            <w:r>
              <w:rPr>
                <w:rFonts w:eastAsia="Cambria" w:cs="Cambria"/>
                <w:b w:val="false"/>
                <w:bCs w:val="false"/>
                <w:i w:val="false"/>
                <w:iCs w:val="false"/>
                <w:sz w:val="18"/>
                <w:szCs w:val="18"/>
              </w:rPr>
              <w:t>)</w:t>
            </w:r>
          </w:p>
        </w:tc>
        <w:tc>
          <w:tcPr>
            <w:tcW w:w="32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Abrechnungsübersicht des Versicherers, ausdrücklich keine Rechnung</w:t>
            </w:r>
          </w:p>
        </w:tc>
        <w:tc>
          <w:tcPr>
            <w:tcW w:w="18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Aufschrift „This is not a bill“</w:t>
            </w:r>
          </w:p>
        </w:tc>
      </w:tr>
      <w:tr>
        <w:trPr>
          <w:cantSplit w:val="true"/>
        </w:trPr>
        <w:tc>
          <w:tcPr>
            <w:tcW w:w="13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Prior Authorization</w:t>
            </w:r>
          </w:p>
        </w:tc>
        <w:tc>
          <w:tcPr>
            <w:tcW w:w="32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Vorab-Genehmigung des Versicherers für teure Leistungen wie MRT oder Operation</w:t>
            </w:r>
          </w:p>
        </w:tc>
        <w:tc>
          <w:tcPr>
            <w:tcW w:w="18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sie zahlst du im Zweifel selbst</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Rechenbeispiel mit diesem Plan: Nach einem Unfall vereinbart das Krankenhaus mit dem Versicherer einen Preis von 12.000 $. Du zahlst die ersten 1.500 $ (Deductible) und 20 % der restlichen 10.500 $ (2.100 $), zusammen 3.600 $. Bei 40.000 $ Behandlungskosten wärst du bei 4.000 $ gedeckelt. Dazu kommen deine Prämien und alles, was außerhalb des Netzwerks anfällt. Dass ausgerechnet das Dokument mit Beträgen, Fristen und Referenznummern großspurig „This is not a bill“ auf sich trägt, gehört zu den ersten kleinen kulturellen Rätseln des amerikanischen Gesundheitssystems.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gesetzliche Obergrenze nach dem </w:t>
      </w:r>
      <w:r>
        <w:rPr>
          <w:rFonts w:eastAsia="Cambria" w:cs="Cambria"/>
          <w:b w:val="false"/>
          <w:bCs w:val="false"/>
          <w:i/>
          <w:iCs/>
          <w:sz w:val="22"/>
          <w:szCs w:val="22"/>
        </w:rPr>
        <w:t>Affordable Care Act</w:t>
      </w:r>
      <w:r>
        <w:rPr>
          <w:rFonts w:eastAsia="Cambria" w:cs="Cambria"/>
          <w:b w:val="false"/>
          <w:bCs w:val="false"/>
          <w:i w:val="false"/>
          <w:iCs w:val="false"/>
          <w:sz w:val="22"/>
          <w:szCs w:val="22"/>
        </w:rPr>
        <w:t xml:space="preserve"> (ACA, dem Gesundheitsgesetz von 2010) liegt im Netzwerk 2026 bei 10.600 $ (Einzelperson) bzw. 21.200 $ (Familie); für 2027 werden nach ersten Berichten 12.000 $ bzw. 24.000 $ genannt.</w:t>
      </w:r>
    </w:p>
    <w:p>
      <w:pPr>
        <w:pStyle w:val="Heading3"/>
        <w:keepNext w:val="true"/>
        <w:spacing w:before="280" w:after="100"/>
        <w:jc w:val="center"/>
        <w:rPr/>
      </w:pPr>
      <w:r>
        <w:rPr>
          <w:rFonts w:eastAsia="Amazon Ember" w:cs="Amazon Ember" w:ascii="Amazon Ember" w:hAnsi="Amazon Ember"/>
          <w:b/>
          <w:bCs/>
          <w:color w:val="0000FF"/>
          <w:sz w:val="36"/>
          <w:szCs w:val="36"/>
        </w:rPr>
        <w:t>Was das kostet: Zahlen und der Vergleich mit der GKV</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der KFF-Umfrage 2025 kostet ein Arbeitgeberplan im Schnitt 9.325 $ im Jahr für eine Einzelperson und 26.993 $ für eine Familie, den Großteil trägt der Arbeitgeber. Beschäftigte zahlen im Schnitt 1.440 $ im Jahr (16 %, ca. 120 $ im Monat) bzw. 6.850 $ für die Familie (26 %, ca. 571 $ im Monat); in Firmen mit 10 bis 199 Beschäftigten liegt der Familienanteil im Schnitt bei 36 %.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Dazu kommen die Eigenkosten: 88 % der Versicherten haben einen Deductible, im Schnitt 1.886 $ (nur Pläne mit Deductible, Einzelperson). In Firmen mit 10 bis 199 Beschäftigten sind es im Schnitt 2.631 $, in großen 1.670 $. Das Out-of-Pocket-Maximum beträgt im Schnitt 4.423 $. Der Hausarztbesuch kostet im Schnitt 27 $ Copay, der Facharzt 45 $; bei Krankenhausaufnahmen zahlen 65 % der Versicherten eine Coinsurance von durchschnittlich 20 %. Das sind Durchschnitte: Dein Plan kann deutlich abweichen.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Vergleich mit der GKV ist nicht eins zu eins möglich: Die GKV rechnet nach Einkommen ohne Selbstbehalt, der US-Plan zieht einen festen Beitrag ab und verlangt Eigenbeteiligung.</w:t>
      </w:r>
    </w:p>
    <w:tbl>
      <w:tblPr>
        <w:tblW w:w="6480" w:type="dxa"/>
        <w:jc w:val="left"/>
        <w:tblInd w:w="0" w:type="dxa"/>
        <w:tblLayout w:type="fixed"/>
        <w:tblCellMar>
          <w:top w:w="50" w:type="dxa"/>
          <w:left w:w="80" w:type="dxa"/>
          <w:bottom w:w="50" w:type="dxa"/>
          <w:right w:w="80" w:type="dxa"/>
        </w:tblCellMar>
      </w:tblPr>
      <w:tblGrid>
        <w:gridCol w:w="949"/>
        <w:gridCol w:w="2736"/>
        <w:gridCol w:w="2795"/>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Kriterium</w:t>
            </w:r>
          </w:p>
        </w:tc>
        <w:tc>
          <w:tcPr>
            <w:tcW w:w="273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GKV (Deutschland)</w:t>
            </w:r>
          </w:p>
        </w:tc>
        <w:tc>
          <w:tcPr>
            <w:tcW w:w="279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US-Arbeitgeberplan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Beitrag</w:t>
            </w:r>
          </w:p>
        </w:tc>
        <w:tc>
          <w:tcPr>
            <w:tcW w:w="27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2026: 14,6 % plus durchschnittlicher Zusatzbeitrag 2,9 % = 17,5 % vom Brutto; Arbeitnehmer 8,75 % (ca. 350 € bei 4.000 € brutto)</w:t>
            </w:r>
          </w:p>
        </w:tc>
        <w:tc>
          <w:tcPr>
            <w:tcW w:w="27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Fester Betrag je Plan, im Schnitt ca. 120 $ (Einzelperson) bzw. ca. 571 $ (Familie) im Monat, unabhängig vom Gehalt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Selbstbeteiligung</w:t>
            </w:r>
          </w:p>
        </w:tc>
        <w:tc>
          <w:tcPr>
            <w:tcW w:w="27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kleine Zuzahlungen, kein Selbstbehalt</w:t>
            </w:r>
          </w:p>
        </w:tc>
        <w:tc>
          <w:tcPr>
            <w:tcW w:w="27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Deductible, Copays und Coinsurance bis zum Out-of-Pocket-Maximum</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Arztwahl</w:t>
            </w:r>
          </w:p>
        </w:tc>
        <w:tc>
          <w:tcPr>
            <w:tcW w:w="27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Freie Wahl unter allen Kassenärzten</w:t>
            </w:r>
          </w:p>
        </w:tc>
        <w:tc>
          <w:tcPr>
            <w:tcW w:w="27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Netzwerk; außerhalb teurer oder ungedeckt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Wartezeit auf Termine</w:t>
            </w:r>
          </w:p>
        </w:tc>
        <w:tc>
          <w:tcPr>
            <w:tcW w:w="27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Facharzttermine dauern oft Wochen</w:t>
            </w:r>
          </w:p>
        </w:tc>
        <w:tc>
          <w:tcPr>
            <w:tcW w:w="27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Hausarzt im Schnitt 23,5 Tage (15 Großstädte, Umfrage 2025), je nach Stadt merklich mehr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Familie</w:t>
            </w:r>
          </w:p>
        </w:tc>
        <w:tc>
          <w:tcPr>
            <w:tcW w:w="27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 und nicht erwerbstätige Partner beitragsfrei mitversichert</w:t>
            </w:r>
          </w:p>
        </w:tc>
        <w:tc>
          <w:tcPr>
            <w:tcW w:w="27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Familientarif; Partner und Kinder müssen angemeldet und bezahlt werden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Bürokratie</w:t>
            </w:r>
          </w:p>
        </w:tc>
        <w:tc>
          <w:tcPr>
            <w:tcW w:w="27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Gesundheitskarte, kaum Rechnungen</w:t>
            </w:r>
          </w:p>
        </w:tc>
        <w:tc>
          <w:tcPr>
            <w:tcW w:w="27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EOBs, mehrere Rechnungen, Netzwerkprüfung, Vorabgenehmigungen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 im Notfall</w:t>
            </w:r>
          </w:p>
        </w:tc>
        <w:tc>
          <w:tcPr>
            <w:tcW w:w="27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Rettungsdienst und Klinik über die Karte, kleine Zuzahlungen</w:t>
            </w:r>
          </w:p>
        </w:tc>
        <w:tc>
          <w:tcPr>
            <w:tcW w:w="27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Notaufnahme bis zum Deductible oft aus eigener Tasche; Krankenwagen extra</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viel verdient, zahlt in Deutschland bis zur Beitragsbemessungsgrenze mehr; wer mehrere Kinder hat, spürt in den USA den Familientarif. Die Pflegeversicherung kommt in Deutschland hinzu.</w:t>
      </w:r>
    </w:p>
    <w:p>
      <w:pPr>
        <w:pStyle w:val="Heading3"/>
        <w:keepNext w:val="true"/>
        <w:spacing w:before="280" w:after="100"/>
        <w:jc w:val="center"/>
        <w:rPr/>
      </w:pPr>
      <w:r>
        <w:rPr>
          <w:rFonts w:eastAsia="Amazon Ember" w:cs="Amazon Ember" w:ascii="Amazon Ember" w:hAnsi="Amazon Ember"/>
          <w:b/>
          <w:bCs/>
          <w:color w:val="0000FF"/>
          <w:sz w:val="36"/>
          <w:szCs w:val="36"/>
        </w:rPr>
        <w:t>Beginn der Deckung: Wartefrist, Einschreibefrist und die Lücke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Arbeitsvertrag beginnt am ersten Arbeitstag, die Krankenversicherung oft nicht: Das Gesetz erlaubt Arbeitgebern eine Wartefrist (</w:t>
      </w:r>
      <w:r>
        <w:rPr>
          <w:rFonts w:eastAsia="Cambria" w:cs="Cambria"/>
          <w:b w:val="false"/>
          <w:bCs w:val="false"/>
          <w:i/>
          <w:iCs/>
          <w:sz w:val="22"/>
          <w:szCs w:val="22"/>
        </w:rPr>
        <w:t>Waiting Period</w:t>
      </w:r>
      <w:r>
        <w:rPr>
          <w:rFonts w:eastAsia="Cambria" w:cs="Cambria"/>
          <w:b w:val="false"/>
          <w:bCs w:val="false"/>
          <w:i w:val="false"/>
          <w:iCs w:val="false"/>
          <w:sz w:val="22"/>
          <w:szCs w:val="22"/>
        </w:rPr>
        <w:t>) von höchstens 90 Tagen (45 CFR 147.116), zusätzlich eine Orientierungsphase bis zu einem Monat. 2025 hatten 68 % der Versicherten eine Wartefrist, im Schnitt 1,8 Monate; 15 % warteten drei Monate oder länger. Häufig heißt es „Deckung ab dem 1. des Monats nach 30, 60 oder 90 Tagen“ — wer zum 15. Januar anfängt und 60 Tage warten muss, ist erst ab 1. April versichert.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Einschreibefrist (</w:t>
      </w:r>
      <w:r>
        <w:rPr>
          <w:rFonts w:eastAsia="Cambria" w:cs="Cambria"/>
          <w:b w:val="false"/>
          <w:bCs w:val="false"/>
          <w:i/>
          <w:iCs/>
          <w:sz w:val="22"/>
          <w:szCs w:val="22"/>
        </w:rPr>
        <w:t>Enrollment Window</w:t>
      </w:r>
      <w:r>
        <w:rPr>
          <w:rFonts w:eastAsia="Cambria" w:cs="Cambria"/>
          <w:b w:val="false"/>
          <w:bCs w:val="false"/>
          <w:i w:val="false"/>
          <w:iCs w:val="false"/>
          <w:sz w:val="22"/>
          <w:szCs w:val="22"/>
        </w:rPr>
        <w:t xml:space="preserve">) legt der Plan fest; üblich sind 30 Tage ab Anspruchsbeginn. Wer sie verpasst, bleibt meist bis zur nächsten </w:t>
      </w:r>
      <w:r>
        <w:rPr>
          <w:rFonts w:eastAsia="Cambria" w:cs="Cambria"/>
          <w:b w:val="false"/>
          <w:bCs w:val="false"/>
          <w:i/>
          <w:iCs/>
          <w:sz w:val="22"/>
          <w:szCs w:val="22"/>
        </w:rPr>
        <w:t>Open Enrollment</w:t>
      </w:r>
      <w:r>
        <w:rPr>
          <w:rFonts w:eastAsia="Cambria" w:cs="Cambria"/>
          <w:b w:val="false"/>
          <w:bCs w:val="false"/>
          <w:i w:val="false"/>
          <w:iCs w:val="false"/>
          <w:sz w:val="22"/>
          <w:szCs w:val="22"/>
        </w:rPr>
        <w:t xml:space="preserve"> (jährliche Wahlphase, oft im Herbst) ohne Arbeitgeberdeckung. Außerhalb der Wahlphase änderst du den Plan nur bei einem Lebensereignis wie Heirat, Geburt oder Adoption; bei Geburt und Adoption gilt im Arbeitgeberplan ein Sonderfenster von 30 Tagen.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Melde dich und deine Familie in der ersten Arbeitswoche an und notiere die Frist. Ein verpasster Stichtag kostet dich im schlimmsten Fall Monate ohne Arbeitgeberplan.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Rechne die Lücke ehrlich durch: Landung, Arbeitsbeginn (oft einige Wochen später), Wartefrist, Deckung meist zum Monatsersten — zusammen können bis zu drei oder vier Monate ohne US-Deckung entstehen, Partner und Kinder folgen derselben Frist. Viele Pläne laufen zudem im Kalenderjahr: Am 1. Januar beginnen Deductible und Out-of-Pocket-Maximum von vorn, wer im Oktober startet, kann zwei Selbstbehalte in drei Monaten zahlen.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So überbrückst du die Lücke:</w:t>
      </w:r>
    </w:p>
    <w:p>
      <w:pPr>
        <w:pStyle w:val="ListParagraph"/>
        <w:numPr>
          <w:ilvl w:val="0"/>
          <w:numId w:val="1"/>
        </w:numPr>
        <w:spacing w:lineRule="exact" w:line="288" w:before="0" w:after="60"/>
        <w:rPr/>
      </w:pPr>
      <w:r>
        <w:rPr>
          <w:rFonts w:eastAsia="Cambria" w:cs="Cambria"/>
          <w:b/>
          <w:bCs/>
          <w:i w:val="false"/>
          <w:iCs w:val="false"/>
          <w:sz w:val="22"/>
          <w:szCs w:val="22"/>
        </w:rPr>
        <w:t>Auslandskrankenversicherung aus Deutschland:</w:t>
      </w:r>
      <w:r>
        <w:rPr>
          <w:rFonts w:eastAsia="Cambria" w:cs="Cambria"/>
          <w:b w:val="false"/>
          <w:bCs w:val="false"/>
          <w:i w:val="false"/>
          <w:iCs w:val="false"/>
          <w:sz w:val="22"/>
          <w:szCs w:val="22"/>
        </w:rPr>
        <w:t xml:space="preserve"> Prüfe, ob sie bei Wohnsitzverlegung greift und wie lange (Kapitel </w:t>
      </w:r>
      <w:hyperlink w:anchor="k18">
        <w:r>
          <w:rPr>
            <w:rStyle w:val="ListLabel115"/>
            <w:rFonts w:eastAsia="Cambria" w:cs="Cambria"/>
            <w:b w:val="false"/>
            <w:bCs w:val="false"/>
            <w:i w:val="false"/>
            <w:iCs w:val="false"/>
            <w:sz w:val="22"/>
            <w:szCs w:val="22"/>
          </w:rPr>
          <w:t>18</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Reiseversicherung für die USA</w:t>
      </w:r>
      <w:r>
        <w:rPr>
          <w:rFonts w:eastAsia="Cambria" w:cs="Cambria"/>
          <w:b w:val="false"/>
          <w:bCs w:val="false"/>
          <w:i w:val="false"/>
          <w:iCs w:val="false"/>
          <w:sz w:val="22"/>
          <w:szCs w:val="22"/>
        </w:rPr>
        <w:t xml:space="preserve"> (</w:t>
      </w:r>
      <w:r>
        <w:rPr>
          <w:rFonts w:eastAsia="Cambria" w:cs="Cambria"/>
          <w:b w:val="false"/>
          <w:bCs w:val="false"/>
          <w:i/>
          <w:iCs/>
          <w:sz w:val="22"/>
          <w:szCs w:val="22"/>
        </w:rPr>
        <w:t>Visitor-</w:t>
      </w:r>
      <w:r>
        <w:rPr>
          <w:rFonts w:eastAsia="Cambria" w:cs="Cambria"/>
          <w:b w:val="false"/>
          <w:bCs w:val="false"/>
          <w:i w:val="false"/>
          <w:iCs w:val="false"/>
          <w:sz w:val="22"/>
          <w:szCs w:val="22"/>
        </w:rPr>
        <w:t xml:space="preserve"> oder </w:t>
      </w:r>
      <w:r>
        <w:rPr>
          <w:rFonts w:eastAsia="Cambria" w:cs="Cambria"/>
          <w:b w:val="false"/>
          <w:bCs w:val="false"/>
          <w:i/>
          <w:iCs/>
          <w:sz w:val="22"/>
          <w:szCs w:val="22"/>
        </w:rPr>
        <w:t>Travel-Medical-Plan</w:t>
      </w:r>
      <w:r>
        <w:rPr>
          <w:rFonts w:eastAsia="Cambria" w:cs="Cambria"/>
          <w:b w:val="false"/>
          <w:bCs w:val="false"/>
          <w:i w:val="false"/>
          <w:iCs w:val="false"/>
          <w:sz w:val="22"/>
          <w:szCs w:val="22"/>
        </w:rPr>
        <w:t>): deckt meist akute Krankheit und Unfall; Vorerkrankungen, Schwangerschaft und Vorsorge sind oft ausgeschlossen.</w:t>
      </w:r>
    </w:p>
    <w:p>
      <w:pPr>
        <w:pStyle w:val="ListParagraph"/>
        <w:numPr>
          <w:ilvl w:val="0"/>
          <w:numId w:val="1"/>
        </w:numPr>
        <w:spacing w:lineRule="exact" w:line="288" w:before="0" w:after="60"/>
        <w:rPr/>
      </w:pPr>
      <w:r>
        <w:rPr>
          <w:rFonts w:eastAsia="Cambria" w:cs="Cambria"/>
          <w:b/>
          <w:bCs/>
          <w:i w:val="false"/>
          <w:iCs w:val="false"/>
          <w:sz w:val="22"/>
          <w:szCs w:val="22"/>
        </w:rPr>
        <w:t>Kurzzeitpläne</w:t>
      </w:r>
      <w:r>
        <w:rPr>
          <w:rFonts w:eastAsia="Cambria" w:cs="Cambria"/>
          <w:b w:val="false"/>
          <w:bCs w:val="false"/>
          <w:i w:val="false"/>
          <w:iCs w:val="false"/>
          <w:sz w:val="22"/>
          <w:szCs w:val="22"/>
        </w:rPr>
        <w:t xml:space="preserve"> (</w:t>
      </w:r>
      <w:r>
        <w:rPr>
          <w:rFonts w:eastAsia="Cambria" w:cs="Cambria"/>
          <w:b w:val="false"/>
          <w:bCs w:val="false"/>
          <w:i/>
          <w:iCs/>
          <w:sz w:val="22"/>
          <w:szCs w:val="22"/>
        </w:rPr>
        <w:t>Short-Term Limited Duration Insurance</w:t>
      </w:r>
      <w:r>
        <w:rPr>
          <w:rFonts w:eastAsia="Cambria" w:cs="Cambria"/>
          <w:b w:val="false"/>
          <w:bCs w:val="false"/>
          <w:i w:val="false"/>
          <w:iCs w:val="false"/>
          <w:sz w:val="22"/>
          <w:szCs w:val="22"/>
        </w:rPr>
        <w:t>): günstig, aber ohne den Vollschutz der Marktplatzpläne und meist mit Ausschluss von Vorerkrankungen und Schwangerschaft. Die Laufzeitregeln sind im Fluss: Eine Bundesregel von 2024 begrenzt sie auf vier Monate, die Bundesbehörden wollen sie seit August 2025 aber nicht vorrangig durchsetzen; viele Staaten regeln es selbst.</w:t>
      </w:r>
    </w:p>
    <w:p>
      <w:pPr>
        <w:pStyle w:val="ListParagraph"/>
        <w:numPr>
          <w:ilvl w:val="0"/>
          <w:numId w:val="1"/>
        </w:numPr>
        <w:spacing w:lineRule="exact" w:line="288" w:before="0" w:after="60"/>
        <w:rPr/>
      </w:pPr>
      <w:r>
        <w:rPr>
          <w:rFonts w:eastAsia="Cambria" w:cs="Cambria"/>
          <w:b/>
          <w:bCs/>
          <w:i w:val="false"/>
          <w:iCs w:val="false"/>
          <w:sz w:val="22"/>
          <w:szCs w:val="22"/>
        </w:rPr>
        <w:t>Marktplatz</w:t>
      </w:r>
      <w:r>
        <w:rPr>
          <w:rFonts w:eastAsia="Cambria" w:cs="Cambria"/>
          <w:b w:val="false"/>
          <w:bCs w:val="false"/>
          <w:i w:val="false"/>
          <w:iCs w:val="false"/>
          <w:sz w:val="22"/>
          <w:szCs w:val="22"/>
        </w:rPr>
        <w:t xml:space="preserve"> (</w:t>
      </w:r>
      <w:r>
        <w:rPr>
          <w:rFonts w:eastAsia="Cambria" w:cs="Cambria"/>
          <w:b w:val="false"/>
          <w:bCs w:val="false"/>
          <w:i/>
          <w:iCs/>
          <w:sz w:val="22"/>
          <w:szCs w:val="22"/>
        </w:rPr>
        <w:t>Marketplace</w:t>
      </w:r>
      <w:r>
        <w:rPr>
          <w:rFonts w:eastAsia="Cambria" w:cs="Cambria"/>
          <w:b w:val="false"/>
          <w:bCs w:val="false"/>
          <w:i w:val="false"/>
          <w:iCs w:val="false"/>
          <w:sz w:val="22"/>
          <w:szCs w:val="22"/>
        </w:rPr>
        <w:t>): Der Umzug aus dem Ausland löst ein Sonderfenster aus, meist 60 Tage. Als Visa-Inhaber darfst du kaufen, ab 2027 ohne Zuschuss (siehe unten). Prüfe die Kündigungsfrist, damit du zum Start der Arbeitgeberdeckung aussteigen kannst.</w:t>
      </w:r>
    </w:p>
    <w:p>
      <w:pPr>
        <w:pStyle w:val="ListParagraph"/>
        <w:numPr>
          <w:ilvl w:val="0"/>
          <w:numId w:val="1"/>
        </w:numPr>
        <w:spacing w:lineRule="exact" w:line="288" w:before="0" w:after="60"/>
        <w:rPr/>
      </w:pPr>
      <w:r>
        <w:rPr>
          <w:rFonts w:eastAsia="Cambria" w:cs="Cambria"/>
          <w:b/>
          <w:bCs/>
          <w:i w:val="false"/>
          <w:iCs w:val="false"/>
          <w:sz w:val="22"/>
          <w:szCs w:val="22"/>
        </w:rPr>
        <w:t>Verhandeln:</w:t>
      </w:r>
      <w:r>
        <w:rPr>
          <w:rFonts w:eastAsia="Cambria" w:cs="Cambria"/>
          <w:b w:val="false"/>
          <w:bCs w:val="false"/>
          <w:i w:val="false"/>
          <w:iCs w:val="false"/>
          <w:sz w:val="22"/>
          <w:szCs w:val="22"/>
        </w:rPr>
        <w:t xml:space="preserve"> Frage im Jobangebot nach Deckung ab Tag 1 oder einer kürzeren Wartefrist.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 landet Mitte Juli in der Region Detroit. Markus beginnt am 1. August; laut Benefits-Unterlagen startet die Deckung am 1. des Monats nach 60 Tagen, also am 1. Oktober. Bis dahin sind es gut elf Wochen ohne US-Versicherung; die Familie überbrückt sie mit der Auslandskrankenversicherung aus Deutschland und meldet alle vier in der ersten Arbeitswoche im Portal der Personalabteilung (HR) an (Einschreibefrist: 30 Tage). Ende August hat Jonas (5) Ohrenschmerzen: Der Besuch in der Urgent Care kostet bar 190 $, bezahlt mit der Kreditkarte, weil noch niemand in der Familie Bargeld in dieser Höhe dabeihat. Markus reicht die Quittung bei der deutschen Versicherung ein.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Arzt finden: Netzwerk, Hausarzt, Urgent Care und Notaufnahme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Suche Ärzte über das Verzeichnis deines Versicherers (</w:t>
      </w:r>
      <w:r>
        <w:rPr>
          <w:rFonts w:eastAsia="Cambria" w:cs="Cambria"/>
          <w:b w:val="false"/>
          <w:bCs w:val="false"/>
          <w:i/>
          <w:iCs/>
          <w:sz w:val="22"/>
          <w:szCs w:val="22"/>
        </w:rPr>
        <w:t>Find a Doctor</w:t>
      </w:r>
      <w:r>
        <w:rPr>
          <w:rFonts w:eastAsia="Cambria" w:cs="Cambria"/>
          <w:b w:val="false"/>
          <w:bCs w:val="false"/>
          <w:i w:val="false"/>
          <w:iCs w:val="false"/>
          <w:sz w:val="22"/>
          <w:szCs w:val="22"/>
        </w:rPr>
        <w:t>), verlasse dich aber nicht allein darauf: Die Listen sind gelegentlich veraltet. Rufe an und frage wörtlich: „Are you in-network with my plan, and are you accepting new patients?“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t>
            </w:r>
            <w:r>
              <w:rPr>
                <w:rFonts w:eastAsia="Cambria" w:cs="Cambria"/>
                <w:b w:val="false"/>
                <w:bCs w:val="false"/>
                <w:i w:val="false"/>
                <w:iCs w:val="false"/>
                <w:sz w:val="20"/>
                <w:szCs w:val="20"/>
              </w:rPr>
              <w:t>We accept your insurance“ heißt nicht, dass die Praxis in deinem Netzwerk ist. Frage nach dem genauen Plannamen und lass dir das „in-network“ bestätigen. Auch in Netzwerk-Krankenhäusern können einzelne Ärzte (Anästhesie, Labor, Radiologie) außerhalb des Netzwerks arbeiten.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Hausarzt (</w:t>
      </w:r>
      <w:r>
        <w:rPr>
          <w:rFonts w:eastAsia="Cambria" w:cs="Cambria"/>
          <w:b w:val="false"/>
          <w:bCs w:val="false"/>
          <w:i/>
          <w:iCs/>
          <w:sz w:val="22"/>
          <w:szCs w:val="22"/>
        </w:rPr>
        <w:t>Primary Care Physician</w:t>
      </w:r>
      <w:r>
        <w:rPr>
          <w:rFonts w:eastAsia="Cambria" w:cs="Cambria"/>
          <w:b w:val="false"/>
          <w:bCs w:val="false"/>
          <w:i w:val="false"/>
          <w:iCs w:val="false"/>
          <w:sz w:val="22"/>
          <w:szCs w:val="22"/>
        </w:rPr>
        <w:t>, PCP) ist die erste Anlaufstelle für Vorsorge, Impfungen, Rezepte und Überweisungen. Im HMO und POS brauchst du ihn, im PPO ist er ratsam. Neupatienten warten oft Wochen (siehe Tabelle oben) — buche früh, auch ohne akuten Anlass. Der jährliche Check-up (</w:t>
      </w:r>
      <w:r>
        <w:rPr>
          <w:rFonts w:eastAsia="Cambria" w:cs="Cambria"/>
          <w:b w:val="false"/>
          <w:bCs w:val="false"/>
          <w:i/>
          <w:iCs/>
          <w:sz w:val="22"/>
          <w:szCs w:val="22"/>
        </w:rPr>
        <w:t>Annual Physical</w:t>
      </w:r>
      <w:r>
        <w:rPr>
          <w:rFonts w:eastAsia="Cambria" w:cs="Cambria"/>
          <w:b w:val="false"/>
          <w:bCs w:val="false"/>
          <w:i w:val="false"/>
          <w:iCs w:val="false"/>
          <w:sz w:val="22"/>
          <w:szCs w:val="22"/>
        </w:rPr>
        <w:t>) zählt zur Vorsorge (</w:t>
      </w:r>
      <w:r>
        <w:rPr>
          <w:rFonts w:eastAsia="Cambria" w:cs="Cambria"/>
          <w:b w:val="false"/>
          <w:bCs w:val="false"/>
          <w:i/>
          <w:iCs/>
          <w:sz w:val="22"/>
          <w:szCs w:val="22"/>
        </w:rPr>
        <w:t>Preventive Care</w:t>
      </w:r>
      <w:r>
        <w:rPr>
          <w:rFonts w:eastAsia="Cambria" w:cs="Cambria"/>
          <w:b w:val="false"/>
          <w:bCs w:val="false"/>
          <w:i w:val="false"/>
          <w:iCs w:val="false"/>
          <w:sz w:val="22"/>
          <w:szCs w:val="22"/>
        </w:rPr>
        <w:t>) und ist im Netzwerk meist ohne Zuzahlung. Viele Pläne bieten Telemedizin (</w:t>
      </w:r>
      <w:r>
        <w:rPr>
          <w:rFonts w:eastAsia="Cambria" w:cs="Cambria"/>
          <w:b w:val="false"/>
          <w:bCs w:val="false"/>
          <w:i/>
          <w:iCs/>
          <w:sz w:val="22"/>
          <w:szCs w:val="22"/>
        </w:rPr>
        <w:t>Telehealth</w:t>
      </w:r>
      <w:r>
        <w:rPr>
          <w:rFonts w:eastAsia="Cambria" w:cs="Cambria"/>
          <w:b w:val="false"/>
          <w:bCs w:val="false"/>
          <w:i w:val="false"/>
          <w:iCs w:val="false"/>
          <w:sz w:val="22"/>
          <w:szCs w:val="22"/>
        </w:rPr>
        <w:t>) als günstigen Erstkontakt.</w:t>
      </w:r>
    </w:p>
    <w:tbl>
      <w:tblPr>
        <w:tblW w:w="6480" w:type="dxa"/>
        <w:jc w:val="left"/>
        <w:tblInd w:w="0" w:type="dxa"/>
        <w:tblLayout w:type="fixed"/>
        <w:tblCellMar>
          <w:top w:w="50" w:type="dxa"/>
          <w:left w:w="80" w:type="dxa"/>
          <w:bottom w:w="50" w:type="dxa"/>
          <w:right w:w="80" w:type="dxa"/>
        </w:tblCellMar>
      </w:tblPr>
      <w:tblGrid>
        <w:gridCol w:w="2426"/>
        <w:gridCol w:w="1627"/>
        <w:gridCol w:w="2427"/>
      </w:tblGrid>
      <w:tr>
        <w:trPr>
          <w:tblHeader w:val="true"/>
          <w:cantSplit w:val="true"/>
        </w:trPr>
        <w:tc>
          <w:tcPr>
            <w:tcW w:w="242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Situation</w:t>
            </w:r>
          </w:p>
        </w:tc>
        <w:tc>
          <w:tcPr>
            <w:tcW w:w="162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Wohin</w:t>
            </w:r>
          </w:p>
        </w:tc>
        <w:tc>
          <w:tcPr>
            <w:tcW w:w="242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Preisrahmen</w:t>
            </w:r>
          </w:p>
        </w:tc>
      </w:tr>
      <w:tr>
        <w:trPr>
          <w:cantSplit w:val="true"/>
        </w:trPr>
        <w:tc>
          <w:tcPr>
            <w:tcW w:w="24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Lebensbedrohlich: Brustschmerz, Atemnot, Schlaganfallzeichen, starke Blutung</w:t>
            </w:r>
          </w:p>
        </w:tc>
        <w:tc>
          <w:tcPr>
            <w:tcW w:w="16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911 anrufen, Notaufnahme (</w:t>
            </w:r>
            <w:r>
              <w:rPr>
                <w:rFonts w:eastAsia="Cambria" w:cs="Cambria"/>
                <w:b w:val="false"/>
                <w:bCs w:val="false"/>
                <w:i/>
                <w:iCs/>
                <w:sz w:val="18"/>
                <w:szCs w:val="18"/>
              </w:rPr>
              <w:t>Emergency Room</w:t>
            </w:r>
            <w:r>
              <w:rPr>
                <w:rFonts w:eastAsia="Cambria" w:cs="Cambria"/>
                <w:b w:val="false"/>
                <w:bCs w:val="false"/>
                <w:i w:val="false"/>
                <w:iCs w:val="false"/>
                <w:sz w:val="18"/>
                <w:szCs w:val="18"/>
              </w:rPr>
              <w:t>, ER)</w:t>
            </w:r>
          </w:p>
        </w:tc>
        <w:tc>
          <w:tcPr>
            <w:tcW w:w="24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Durchschnittlicher vereinbarter Preis 2021: 1.317 $ (nur Arzt) bis 2.909 $ (mit Nebenleistungen)</w:t>
            </w:r>
          </w:p>
        </w:tc>
      </w:tr>
      <w:tr>
        <w:trPr>
          <w:cantSplit w:val="true"/>
        </w:trPr>
        <w:tc>
          <w:tcPr>
            <w:tcW w:w="24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Akut, nicht lebensbedrohlich: Fieber, Verstauchung, kleine Wunde, Harnwegsinfekt</w:t>
            </w:r>
          </w:p>
        </w:tc>
        <w:tc>
          <w:tcPr>
            <w:tcW w:w="16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Urgent Care, ohne Termin</w:t>
            </w:r>
          </w:p>
        </w:tc>
        <w:tc>
          <w:tcPr>
            <w:tcW w:w="24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Durchschnittspreis 2022: 220 $; Eigenanteil meist wie beim Hausarzt (Beispiele 9–83 $)</w:t>
            </w:r>
          </w:p>
        </w:tc>
      </w:tr>
      <w:tr>
        <w:trPr>
          <w:cantSplit w:val="true"/>
        </w:trPr>
        <w:tc>
          <w:tcPr>
            <w:tcW w:w="24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Beratung, Rezept, leichter Infekt</w:t>
            </w:r>
          </w:p>
        </w:tc>
        <w:tc>
          <w:tcPr>
            <w:tcW w:w="16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Hausarzt oder Telemedizin</w:t>
            </w:r>
          </w:p>
        </w:tc>
        <w:tc>
          <w:tcPr>
            <w:tcW w:w="24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Copay im Schnitt 27 $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Preise stammen vom Health Care Cost Institute (Daten kommerziell Versicherter) und sind nicht dein Eigenanteil. Ohne Versicherung nennen Verbraucherportale für die Notaufnahme grob 1.500–3.000 $, für Urgent Care 125–300 $. Im Netzwerk deckelt das Out-of-Pocket-Maximum dein Risiko; ohne Versicherung fehlt dieser Deckel, dann helfen Preisverhandlung, Zahlungsplan und Kostenübernahme (siehe unten).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Krankenwagen ist die Lücke im System. Der No Surprises Act schützt bei Boden-Rettungswagen nicht: 2018 enthielten 51 % der Notfallfahrten in Großarbeitgeberplänen einen Out-of-Network-Anteil. Verbraucherportale nennen meist mehrere Hundert bis über 1.000 $ je Fahrt plus Meilenzuschlag. Über 20 Staaten haben eigene Schutzgesetze (Stand Februar 2026), die nicht für alle Arbeitgeberpläne gelten. Bei Lebensgefahr wählst du trotzdem 911; die Rechnung lässt sich später prüfen und verhandeln.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Rezepte und Apotheken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Medikamente kaufst du in der </w:t>
      </w:r>
      <w:r>
        <w:rPr>
          <w:rFonts w:eastAsia="Cambria" w:cs="Cambria"/>
          <w:b w:val="false"/>
          <w:bCs w:val="false"/>
          <w:i/>
          <w:iCs/>
          <w:sz w:val="22"/>
          <w:szCs w:val="22"/>
        </w:rPr>
        <w:t>Pharmacy</w:t>
      </w:r>
      <w:r>
        <w:rPr>
          <w:rFonts w:eastAsia="Cambria" w:cs="Cambria"/>
          <w:b w:val="false"/>
          <w:bCs w:val="false"/>
          <w:i w:val="false"/>
          <w:iCs w:val="false"/>
          <w:sz w:val="22"/>
          <w:szCs w:val="22"/>
        </w:rPr>
        <w:t xml:space="preserve"> (Apotheke), die oft in Drogerie- und Supermarktketten steckt. Ein deutsches Rezept löst sie nicht ein; du brauchst eine Verschreibung eines in den USA zugelassenen Arztes (Vorrat und Arztbrief: Kapitel </w:t>
      </w:r>
      <w:hyperlink w:anchor="k18">
        <w:r>
          <w:rPr>
            <w:rStyle w:val="ListLabel115"/>
            <w:rFonts w:eastAsia="Cambria" w:cs="Cambria"/>
            <w:b w:val="false"/>
            <w:bCs w:val="false"/>
            <w:i w:val="false"/>
            <w:iCs w:val="false"/>
            <w:sz w:val="22"/>
            <w:szCs w:val="22"/>
          </w:rPr>
          <w:t>18</w:t>
        </w:r>
      </w:hyperlink>
      <w:r>
        <w:rPr>
          <w:rFonts w:eastAsia="Cambria" w:cs="Cambria"/>
          <w:b w:val="false"/>
          <w:bCs w:val="false"/>
          <w:i w:val="false"/>
          <w:iCs w:val="false"/>
          <w:sz w:val="22"/>
          <w:szCs w:val="22"/>
        </w:rPr>
        <w:t xml:space="preserve">). Wirkstoffnamen helfen: Paracetamol heißt in den USA </w:t>
      </w:r>
      <w:r>
        <w:rPr>
          <w:rFonts w:eastAsia="Cambria" w:cs="Cambria"/>
          <w:b w:val="false"/>
          <w:bCs w:val="false"/>
          <w:i/>
          <w:iCs/>
          <w:sz w:val="22"/>
          <w:szCs w:val="22"/>
        </w:rPr>
        <w:t>Acetaminophen</w:t>
      </w:r>
      <w:r>
        <w:rPr>
          <w:rFonts w:eastAsia="Cambria" w:cs="Cambria"/>
          <w:b w:val="false"/>
          <w:bCs w:val="false"/>
          <w:i w:val="false"/>
          <w:iCs w:val="false"/>
          <w:sz w:val="22"/>
          <w:szCs w:val="22"/>
        </w:rPr>
        <w:t>. Frei verkäufliche Mittel (</w:t>
      </w:r>
      <w:r>
        <w:rPr>
          <w:rFonts w:eastAsia="Cambria" w:cs="Cambria"/>
          <w:b w:val="false"/>
          <w:bCs w:val="false"/>
          <w:i/>
          <w:iCs/>
          <w:sz w:val="22"/>
          <w:szCs w:val="22"/>
        </w:rPr>
        <w:t>Over-the-Counter</w:t>
      </w:r>
      <w:r>
        <w:rPr>
          <w:rFonts w:eastAsia="Cambria" w:cs="Cambria"/>
          <w:b w:val="false"/>
          <w:bCs w:val="false"/>
          <w:i w:val="false"/>
          <w:iCs w:val="false"/>
          <w:sz w:val="22"/>
          <w:szCs w:val="22"/>
        </w:rPr>
        <w:t>, OTC) gibt es in großer Auswahl.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Pläne führen eine Arzneimittelliste (</w:t>
      </w:r>
      <w:r>
        <w:rPr>
          <w:rFonts w:eastAsia="Cambria" w:cs="Cambria"/>
          <w:b w:val="false"/>
          <w:bCs w:val="false"/>
          <w:i/>
          <w:iCs/>
          <w:sz w:val="22"/>
          <w:szCs w:val="22"/>
        </w:rPr>
        <w:t>Formulary</w:t>
      </w:r>
      <w:r>
        <w:rPr>
          <w:rFonts w:eastAsia="Cambria" w:cs="Cambria"/>
          <w:b w:val="false"/>
          <w:bCs w:val="false"/>
          <w:i w:val="false"/>
          <w:iCs w:val="false"/>
          <w:sz w:val="22"/>
          <w:szCs w:val="22"/>
        </w:rPr>
        <w:t>) mit Preisstufen. Im Schnitt zahlst du bei Plänen mit mindestens drei Stufen 12 $ Copay für Generika, 40 $ für bevorzugte Markenpräparate und 71 $ für nicht bevorzugte (KFF 2025). Generika sind wirkstoffgleich und billiger: Laut der Arzneimittelbehörde FDA sinkt der Preis mit einem Wettbewerber um etwa 30 %, mit fünf um etwa 85 %.</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Rabattkarten und Apps wie GoodRx zeigen Barpreise je Apotheke. Bei billigen Generika liegt der Barpreis oft unter dem Copay. Nachteil: Der Kauf läuft außerhalb der Versicherung und zählt meist nicht auf Deductible und Out-of-Pocket-Maximum. Vergleiche beides vor dem Bezahlen und frage nach 90-Tage-Packungen oder Versandapotheke (</w:t>
            </w:r>
            <w:r>
              <w:rPr>
                <w:rFonts w:eastAsia="Cambria" w:cs="Cambria"/>
                <w:b w:val="false"/>
                <w:bCs w:val="false"/>
                <w:i/>
                <w:iCs/>
                <w:sz w:val="20"/>
                <w:szCs w:val="20"/>
              </w:rPr>
              <w:t>Mail Order</w:t>
            </w:r>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Zahn und Augen: getrennte Welten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Zahn- und Augenleistungen für Erwachsene sind in der Krankenversicherung meist nicht enthalten. Dafür gibt es eigene Pläne (</w:t>
      </w:r>
      <w:r>
        <w:rPr>
          <w:rFonts w:eastAsia="Cambria" w:cs="Cambria"/>
          <w:b w:val="false"/>
          <w:bCs w:val="false"/>
          <w:i/>
          <w:iCs/>
          <w:sz w:val="22"/>
          <w:szCs w:val="22"/>
        </w:rPr>
        <w:t>Dental</w:t>
      </w:r>
      <w:r>
        <w:rPr>
          <w:rFonts w:eastAsia="Cambria" w:cs="Cambria"/>
          <w:b w:val="false"/>
          <w:bCs w:val="false"/>
          <w:i w:val="false"/>
          <w:iCs w:val="false"/>
          <w:sz w:val="22"/>
          <w:szCs w:val="22"/>
        </w:rPr>
        <w:t xml:space="preserve"> und </w:t>
      </w:r>
      <w:r>
        <w:rPr>
          <w:rFonts w:eastAsia="Cambria" w:cs="Cambria"/>
          <w:b w:val="false"/>
          <w:bCs w:val="false"/>
          <w:i/>
          <w:iCs/>
          <w:sz w:val="22"/>
          <w:szCs w:val="22"/>
        </w:rPr>
        <w:t>Vision</w:t>
      </w:r>
      <w:r>
        <w:rPr>
          <w:rFonts w:eastAsia="Cambria" w:cs="Cambria"/>
          <w:b w:val="false"/>
          <w:bCs w:val="false"/>
          <w:i w:val="false"/>
          <w:iCs w:val="false"/>
          <w:sz w:val="22"/>
          <w:szCs w:val="22"/>
        </w:rPr>
        <w:t>), oft über den Arbeitgeber gegen einen kleinen Zusatzbeitrag. Dental-Pläne haben eine Jahreshöchstleistung (</w:t>
      </w:r>
      <w:r>
        <w:rPr>
          <w:rFonts w:eastAsia="Cambria" w:cs="Cambria"/>
          <w:b w:val="false"/>
          <w:bCs w:val="false"/>
          <w:i/>
          <w:iCs/>
          <w:sz w:val="22"/>
          <w:szCs w:val="22"/>
        </w:rPr>
        <w:t>Annual Maximum</w:t>
      </w:r>
      <w:r>
        <w:rPr>
          <w:rFonts w:eastAsia="Cambria" w:cs="Cambria"/>
          <w:b w:val="false"/>
          <w:bCs w:val="false"/>
          <w:i w:val="false"/>
          <w:iCs w:val="false"/>
          <w:sz w:val="22"/>
          <w:szCs w:val="22"/>
        </w:rPr>
        <w:t>) von meist 1.000–2.000 $; darüber zahlst du selbst. Kontrolle und Reinigung werden häufig voll erstattet, Füllungen und Kronen zu einem geringeren Anteil; bei Einzelverträgen gelten für größere Leistungen oft sechs bis zwölf Monate Wartefrist (Arbeitgeberpläne meist ohne). Kieferorthopädie hat meist ein Lebenszeit-Maximum von 1.000–3.000 $ und wird oft zur Hälfte erstattet.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Ohne Versicherung liegen die Preise so (Spannen laut Verbraucherportalen 2026, regional stark schwankend):</w:t>
      </w:r>
    </w:p>
    <w:tbl>
      <w:tblPr>
        <w:tblW w:w="6480" w:type="dxa"/>
        <w:jc w:val="left"/>
        <w:tblInd w:w="0" w:type="dxa"/>
        <w:tblLayout w:type="fixed"/>
        <w:tblCellMar>
          <w:top w:w="50" w:type="dxa"/>
          <w:left w:w="80" w:type="dxa"/>
          <w:bottom w:w="50" w:type="dxa"/>
          <w:right w:w="80" w:type="dxa"/>
        </w:tblCellMar>
      </w:tblPr>
      <w:tblGrid>
        <w:gridCol w:w="2807"/>
        <w:gridCol w:w="3672"/>
      </w:tblGrid>
      <w:tr>
        <w:trPr>
          <w:tblHeader w:val="true"/>
          <w:cantSplit w:val="true"/>
        </w:trPr>
        <w:tc>
          <w:tcPr>
            <w:tcW w:w="280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Leistung</w:t>
            </w:r>
          </w:p>
        </w:tc>
        <w:tc>
          <w:tcPr>
            <w:tcW w:w="367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Preis ohne Versicherung</w:t>
            </w:r>
          </w:p>
        </w:tc>
      </w:tr>
      <w:tr>
        <w:trPr>
          <w:cantSplit w:val="true"/>
        </w:trPr>
        <w:tc>
          <w:tcPr>
            <w:tcW w:w="28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Kontrolle mit Röntgen und Reinigung</w:t>
            </w:r>
          </w:p>
        </w:tc>
        <w:tc>
          <w:tcPr>
            <w:tcW w:w="36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150–350 $</w:t>
            </w:r>
          </w:p>
        </w:tc>
      </w:tr>
      <w:tr>
        <w:trPr>
          <w:cantSplit w:val="true"/>
        </w:trPr>
        <w:tc>
          <w:tcPr>
            <w:tcW w:w="28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Füllung (je Zahn)</w:t>
            </w:r>
          </w:p>
        </w:tc>
        <w:tc>
          <w:tcPr>
            <w:tcW w:w="36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150–300 $, teils bis 600 $</w:t>
            </w:r>
          </w:p>
        </w:tc>
      </w:tr>
      <w:tr>
        <w:trPr>
          <w:cantSplit w:val="true"/>
        </w:trPr>
        <w:tc>
          <w:tcPr>
            <w:tcW w:w="28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Krone (je Zahn)</w:t>
            </w:r>
          </w:p>
        </w:tc>
        <w:tc>
          <w:tcPr>
            <w:tcW w:w="36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800–1.700 $, Vollkeramik oder Gold bis 3.000 $</w:t>
            </w:r>
          </w:p>
        </w:tc>
      </w:tr>
      <w:tr>
        <w:trPr>
          <w:cantSplit w:val="true"/>
        </w:trPr>
        <w:tc>
          <w:tcPr>
            <w:tcW w:w="28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Augenuntersuchung</w:t>
            </w:r>
          </w:p>
        </w:tc>
        <w:tc>
          <w:tcPr>
            <w:tcW w:w="36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70–110 $ (Ketten), 120–250 $ (Optiker)</w:t>
            </w:r>
          </w:p>
        </w:tc>
      </w:tr>
      <w:tr>
        <w:trPr>
          <w:cantSplit w:val="true"/>
        </w:trPr>
        <w:tc>
          <w:tcPr>
            <w:tcW w:w="28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Brille (Gestell und Gläser)</w:t>
            </w:r>
          </w:p>
        </w:tc>
        <w:tc>
          <w:tcPr>
            <w:tcW w:w="36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180–400 $</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Zahnarztschulen der Universitäten und Gesundheitszentren (</w:t>
            </w:r>
            <w:r>
              <w:rPr>
                <w:rFonts w:eastAsia="Cambria" w:cs="Cambria"/>
                <w:b w:val="false"/>
                <w:bCs w:val="false"/>
                <w:i/>
                <w:iCs/>
                <w:sz w:val="20"/>
                <w:szCs w:val="20"/>
              </w:rPr>
              <w:t>Community Health Centers</w:t>
            </w:r>
            <w:r>
              <w:rPr>
                <w:rFonts w:eastAsia="Cambria" w:cs="Cambria"/>
                <w:b w:val="false"/>
                <w:bCs w:val="false"/>
                <w:i w:val="false"/>
                <w:iCs w:val="false"/>
                <w:sz w:val="20"/>
                <w:szCs w:val="20"/>
              </w:rPr>
              <w:t>) behandeln oft deutlich günstiger. Praxen bieten Unversicherten teils Jahresmitgliedschaften (200–400 $) mit Rabatt an; frage nach einem Selbstzahler-Nachlass. Aufwendige Zahnbehandlungen und die Brille erledigst du besser noch in Deutschland (Kapitel </w:t>
            </w:r>
            <w:hyperlink w:anchor="k18">
              <w:r>
                <w:rPr>
                  <w:rStyle w:val="ListLabel114"/>
                  <w:rFonts w:eastAsia="Cambria" w:cs="Cambria"/>
                  <w:b w:val="false"/>
                  <w:bCs w:val="false"/>
                  <w:i w:val="false"/>
                  <w:iCs w:val="false"/>
                  <w:sz w:val="20"/>
                  <w:szCs w:val="20"/>
                </w:rPr>
                <w:t>18</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Kinder, Impfungen und Vorsorge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Kinder meldest du über den Familientarif an. Vorsorgetermine beim Kinderarzt (</w:t>
      </w:r>
      <w:r>
        <w:rPr>
          <w:rFonts w:eastAsia="Cambria" w:cs="Cambria"/>
          <w:b w:val="false"/>
          <w:bCs w:val="false"/>
          <w:i/>
          <w:iCs/>
          <w:sz w:val="22"/>
          <w:szCs w:val="22"/>
        </w:rPr>
        <w:t>Well-Child Visits</w:t>
      </w:r>
      <w:r>
        <w:rPr>
          <w:rFonts w:eastAsia="Cambria" w:cs="Cambria"/>
          <w:b w:val="false"/>
          <w:bCs w:val="false"/>
          <w:i w:val="false"/>
          <w:iCs w:val="false"/>
          <w:sz w:val="22"/>
          <w:szCs w:val="22"/>
        </w:rPr>
        <w:t xml:space="preserve">) und empfohlene Impfungen sind im Netzwerk meist ohne Zuzahlung. Suche den </w:t>
      </w:r>
      <w:r>
        <w:rPr>
          <w:rFonts w:eastAsia="Cambria" w:cs="Cambria"/>
          <w:b w:val="false"/>
          <w:bCs w:val="false"/>
          <w:i/>
          <w:iCs/>
          <w:sz w:val="22"/>
          <w:szCs w:val="22"/>
        </w:rPr>
        <w:t>Pediatrician</w:t>
      </w:r>
      <w:r>
        <w:rPr>
          <w:rFonts w:eastAsia="Cambria" w:cs="Cambria"/>
          <w:b w:val="false"/>
          <w:bCs w:val="false"/>
          <w:i w:val="false"/>
          <w:iCs w:val="false"/>
          <w:sz w:val="22"/>
          <w:szCs w:val="22"/>
        </w:rPr>
        <w:t xml:space="preserve"> früh und bringe Impfpass, Vorsorgeheft und Befunde in englischer Übersetzung mit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 Ein Neugeborenes meldest du im Arbeitgeberplan binnen 30 Tagen an, die Deckung gilt rückwirkend ab Geburt; beim Marktplatz gelten 60 Tage. Eine Geburt kostet im Arbeitgeberplan im Schnitt 20.416 $, der Eigenanteil liegt bei 2.743 $ (Peterson-KFF, Daten 2021–2023). Schwangerschaft, Geburt und Elternzeit behandelt Kapitel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 Überbrückungspläne schließen sie oft aus.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Schulimpfpflicht ist Landesrecht: Nach der KFF-Übersicht vom August 2026 verlangen alle 50 Staaten Nachweise für MMR (Masern, Mumps, Röteln), DTaP (Diphtherie, Tetanus, Keuchhusten), Polio und Windpocken, 49 auch Hepatitis B. Medizinische Ausnahmen gibt es überall, nicht-medizinische entfallen in Kalifornien, Connecticut, Maine, New York und West Virginia. Die Dosenzahlen weichen teils von den STIKO-Empfehlungen ab; lass Kinderarzt und Schule den Status abgleichen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Zur Lage 2026: Der im Januar geänderte Kinder-Impfplan der Gesundheitsbehörde CDC ist seit dem 16. März 2026 gerichtlich ausgesetzt, das Berufungsverfahren läuft. Die Schulpflichten ändern sich dadurch nicht automatisch; frage Kinderarzt und Gesundheitsbehörde deines Staates nach dem Stand.</w:t>
      </w:r>
    </w:p>
    <w:p>
      <w:pPr>
        <w:pStyle w:val="Heading3"/>
        <w:keepNext w:val="true"/>
        <w:spacing w:before="280" w:after="100"/>
        <w:jc w:val="center"/>
        <w:rPr/>
      </w:pPr>
      <w:r>
        <w:rPr>
          <w:rFonts w:eastAsia="Amazon Ember" w:cs="Amazon Ember" w:ascii="Amazon Ember" w:hAnsi="Amazon Ember"/>
          <w:b/>
          <w:bCs/>
          <w:color w:val="0000FF"/>
          <w:sz w:val="36"/>
          <w:szCs w:val="36"/>
        </w:rPr>
        <w:t>Psychotherapie und Krisenhilfe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Psychotherapie läuft über frei praktizierende Therapeuten, die nicht immer mit Versicherern abrechnen. Eine Sitzung kostet ohne Versicherung etwa 80–200 $; das gemeinnützige Open Path Collective vermittelt Sitzungen für 40–70 $ (einmalig 65 $ Mitgliedsgebühr), im Netzwerk zahlst du meist nur einen Copay. Der Zugang ist nicht überall leicht: Nur 70 % der Arbeitgeber glauben, dass ihr größter Plan zeitnah psychische Hilfe bietet (beim Hausarzt 92 %).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Viele Arbeitgeber haben ein </w:t>
      </w:r>
      <w:r>
        <w:rPr>
          <w:rFonts w:eastAsia="Cambria" w:cs="Cambria"/>
          <w:b w:val="false"/>
          <w:bCs w:val="false"/>
          <w:i/>
          <w:iCs/>
          <w:sz w:val="22"/>
          <w:szCs w:val="22"/>
        </w:rPr>
        <w:t>Employee Assistance Program</w:t>
      </w:r>
      <w:r>
        <w:rPr>
          <w:rFonts w:eastAsia="Cambria" w:cs="Cambria"/>
          <w:b w:val="false"/>
          <w:bCs w:val="false"/>
          <w:i w:val="false"/>
          <w:iCs w:val="false"/>
          <w:sz w:val="22"/>
          <w:szCs w:val="22"/>
        </w:rPr>
        <w:t xml:space="preserve"> (EAP) mit einigen kostenlosen Sitzungen; die Zahl steht im Programm. Telehealth ist verbreitet, der Therapeut ist meist im Bundesstaat des Patienten zugelassen. Deutschsprachige Therapeuten findest du über Psychology Today (Sprachfilter „German“) und FindTreatment.gov.</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In akuten Krisen erreichst du die </w:t>
      </w:r>
      <w:r>
        <w:rPr>
          <w:rFonts w:eastAsia="Cambria" w:cs="Cambria"/>
          <w:b w:val="false"/>
          <w:bCs w:val="false"/>
          <w:i/>
          <w:iCs/>
          <w:sz w:val="22"/>
          <w:szCs w:val="22"/>
        </w:rPr>
        <w:t>988 Suicide &amp; Crisis Lifeline</w:t>
      </w:r>
      <w:r>
        <w:rPr>
          <w:rFonts w:eastAsia="Cambria" w:cs="Cambria"/>
          <w:b w:val="false"/>
          <w:bCs w:val="false"/>
          <w:i w:val="false"/>
          <w:iCs w:val="false"/>
          <w:sz w:val="22"/>
          <w:szCs w:val="22"/>
        </w:rPr>
        <w:t xml:space="preserve"> rund um die Uhr per Anruf, SMS oder Chat, kostenlos, mit Dolmetschern in über 240 Sprachen. Bei Lebensgefahr wählst du 911. Heimweh, Kulturschock und Paare unter Stress: Kapitel </w:t>
      </w:r>
      <w:hyperlink w:anchor="k33">
        <w:r>
          <w:rPr>
            <w:rStyle w:val="ListLabel115"/>
            <w:rFonts w:eastAsia="Cambria" w:cs="Cambria"/>
            <w:b w:val="false"/>
            <w:bCs w:val="false"/>
            <w:i w:val="false"/>
            <w:iCs w:val="false"/>
            <w:sz w:val="22"/>
            <w:szCs w:val="22"/>
          </w:rPr>
          <w:t>33</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Rechnungen lesen, prüfen und verhandeln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einem Arztbesuch kommt zuerst die EOB, sie zeigt, was die Praxis berechnet hat (</w:t>
      </w:r>
      <w:r>
        <w:rPr>
          <w:rFonts w:eastAsia="Cambria" w:cs="Cambria"/>
          <w:b w:val="false"/>
          <w:bCs w:val="false"/>
          <w:i/>
          <w:iCs/>
          <w:sz w:val="22"/>
          <w:szCs w:val="22"/>
        </w:rPr>
        <w:t>Billed</w:t>
      </w:r>
      <w:r>
        <w:rPr>
          <w:rFonts w:eastAsia="Cambria" w:cs="Cambria"/>
          <w:b w:val="false"/>
          <w:bCs w:val="false"/>
          <w:i w:val="false"/>
          <w:iCs w:val="false"/>
          <w:sz w:val="22"/>
          <w:szCs w:val="22"/>
        </w:rPr>
        <w:t>), den mit dem Netzwerk vereinbarten Preis (</w:t>
      </w:r>
      <w:r>
        <w:rPr>
          <w:rFonts w:eastAsia="Cambria" w:cs="Cambria"/>
          <w:b w:val="false"/>
          <w:bCs w:val="false"/>
          <w:i/>
          <w:iCs/>
          <w:sz w:val="22"/>
          <w:szCs w:val="22"/>
        </w:rPr>
        <w:t>Allowed Amount</w:t>
      </w:r>
      <w:r>
        <w:rPr>
          <w:rFonts w:eastAsia="Cambria" w:cs="Cambria"/>
          <w:b w:val="false"/>
          <w:bCs w:val="false"/>
          <w:i w:val="false"/>
          <w:iCs w:val="false"/>
          <w:sz w:val="22"/>
          <w:szCs w:val="22"/>
        </w:rPr>
        <w:t>), was der Plan zahlt und was du schuldest. Erst danach folgt die Rechnung, oft in mehreren Teilen — Klinik, Arzt, Labor, Radiologie und Anästhesie schicken getrennt.</w:t>
      </w:r>
    </w:p>
    <w:p>
      <w:pPr>
        <w:pStyle w:val="ListParagraph"/>
        <w:numPr>
          <w:ilvl w:val="0"/>
          <w:numId w:val="154"/>
        </w:numPr>
        <w:spacing w:lineRule="exact" w:line="288" w:before="0" w:after="60"/>
        <w:rPr/>
      </w:pPr>
      <w:r>
        <w:rPr>
          <w:rFonts w:eastAsia="Cambria" w:cs="Cambria"/>
          <w:b w:val="false"/>
          <w:bCs w:val="false"/>
          <w:i w:val="false"/>
          <w:iCs w:val="false"/>
          <w:sz w:val="22"/>
          <w:szCs w:val="22"/>
        </w:rPr>
        <w:t>Warte auf die EOB und gleiche sie mit jeder Rechnung ab. Zahle nur den Betrag, den die EOB als deinen Anteil ausweist.</w:t>
      </w:r>
    </w:p>
    <w:p>
      <w:pPr>
        <w:pStyle w:val="ListParagraph"/>
        <w:numPr>
          <w:ilvl w:val="0"/>
          <w:numId w:val="155"/>
        </w:numPr>
        <w:spacing w:lineRule="exact" w:line="288" w:before="0" w:after="60"/>
        <w:rPr/>
      </w:pPr>
      <w:r>
        <w:rPr>
          <w:rFonts w:eastAsia="Cambria" w:cs="Cambria"/>
          <w:b w:val="false"/>
          <w:bCs w:val="false"/>
          <w:i w:val="false"/>
          <w:iCs w:val="false"/>
          <w:sz w:val="22"/>
          <w:szCs w:val="22"/>
        </w:rPr>
        <w:t>Fordere bei Unklarheiten eine Einzelaufstellung (</w:t>
      </w:r>
      <w:r>
        <w:rPr>
          <w:rFonts w:eastAsia="Cambria" w:cs="Cambria"/>
          <w:b w:val="false"/>
          <w:bCs w:val="false"/>
          <w:i/>
          <w:iCs/>
          <w:sz w:val="22"/>
          <w:szCs w:val="22"/>
        </w:rPr>
        <w:t>Itemized Bill</w:t>
      </w:r>
      <w:r>
        <w:rPr>
          <w:rFonts w:eastAsia="Cambria" w:cs="Cambria"/>
          <w:b w:val="false"/>
          <w:bCs w:val="false"/>
          <w:i w:val="false"/>
          <w:iCs w:val="false"/>
          <w:sz w:val="22"/>
          <w:szCs w:val="22"/>
        </w:rPr>
        <w:t>) an und prüfe sie auf doppelte Posten und falsche Leistungen.</w:t>
      </w:r>
    </w:p>
    <w:p>
      <w:pPr>
        <w:pStyle w:val="ListParagraph"/>
        <w:numPr>
          <w:ilvl w:val="0"/>
          <w:numId w:val="156"/>
        </w:numPr>
        <w:spacing w:lineRule="exact" w:line="288" w:before="0" w:after="60"/>
        <w:rPr/>
      </w:pPr>
      <w:r>
        <w:rPr>
          <w:rFonts w:eastAsia="Cambria" w:cs="Cambria"/>
          <w:b w:val="false"/>
          <w:bCs w:val="false"/>
          <w:i w:val="false"/>
          <w:iCs w:val="false"/>
          <w:sz w:val="22"/>
          <w:szCs w:val="22"/>
        </w:rPr>
        <w:t>Widersprich Fehlern schriftlich beim Versicherer (</w:t>
      </w:r>
      <w:r>
        <w:rPr>
          <w:rFonts w:eastAsia="Cambria" w:cs="Cambria"/>
          <w:b w:val="false"/>
          <w:bCs w:val="false"/>
          <w:i/>
          <w:iCs/>
          <w:sz w:val="22"/>
          <w:szCs w:val="22"/>
        </w:rPr>
        <w:t>Appeal</w:t>
      </w:r>
      <w:r>
        <w:rPr>
          <w:rFonts w:eastAsia="Cambria" w:cs="Cambria"/>
          <w:b w:val="false"/>
          <w:bCs w:val="false"/>
          <w:i w:val="false"/>
          <w:iCs w:val="false"/>
          <w:sz w:val="22"/>
          <w:szCs w:val="22"/>
        </w:rPr>
        <w:t>). Notiere bei jedem Anruf Datum, Name und Referenznummer.</w:t>
      </w:r>
    </w:p>
    <w:p>
      <w:pPr>
        <w:pStyle w:val="ListParagraph"/>
        <w:numPr>
          <w:ilvl w:val="0"/>
          <w:numId w:val="157"/>
        </w:numPr>
        <w:spacing w:lineRule="exact" w:line="288" w:before="0" w:after="60"/>
        <w:rPr/>
      </w:pPr>
      <w:r>
        <w:rPr>
          <w:rFonts w:eastAsia="Cambria" w:cs="Cambria"/>
          <w:b w:val="false"/>
          <w:bCs w:val="false"/>
          <w:i w:val="false"/>
          <w:iCs w:val="false"/>
          <w:sz w:val="22"/>
          <w:szCs w:val="22"/>
        </w:rPr>
        <w:t>Verhandle: Frage nach zinslosem Zahlungsplan, Selbstzahler-Rabatt oder Nachlass bei Sofortzahlung.</w:t>
      </w:r>
    </w:p>
    <w:p>
      <w:pPr>
        <w:pStyle w:val="ListParagraph"/>
        <w:numPr>
          <w:ilvl w:val="0"/>
          <w:numId w:val="158"/>
        </w:numPr>
        <w:spacing w:lineRule="exact" w:line="288" w:before="0" w:after="60"/>
        <w:rPr/>
      </w:pPr>
      <w:r>
        <w:rPr>
          <w:rFonts w:eastAsia="Cambria" w:cs="Cambria"/>
          <w:b w:val="false"/>
          <w:bCs w:val="false"/>
          <w:i w:val="false"/>
          <w:iCs w:val="false"/>
          <w:sz w:val="22"/>
          <w:szCs w:val="22"/>
        </w:rPr>
        <w:t xml:space="preserve">Beantrage bei gemeinnützigen Krankenhäusern </w:t>
      </w:r>
      <w:r>
        <w:rPr>
          <w:rFonts w:eastAsia="Cambria" w:cs="Cambria"/>
          <w:b w:val="false"/>
          <w:bCs w:val="false"/>
          <w:i/>
          <w:iCs/>
          <w:sz w:val="22"/>
          <w:szCs w:val="22"/>
        </w:rPr>
        <w:t>Financial Assistance</w:t>
      </w:r>
      <w:r>
        <w:rPr>
          <w:rFonts w:eastAsia="Cambria" w:cs="Cambria"/>
          <w:b w:val="false"/>
          <w:bCs w:val="false"/>
          <w:i w:val="false"/>
          <w:iCs w:val="false"/>
          <w:sz w:val="22"/>
          <w:szCs w:val="22"/>
        </w:rPr>
        <w:t xml:space="preserve"> (Kostenübernahme nach Einkommen). Nach §501(r) der Bundessteuerbehörde IRS brauchen sie eine schriftliche Richtlinie, müssen sie öffentlich machen und dürfen Berechtigten nicht mehr als die durchschnittlich abgerechneten Beträge berechnen. Die Einkommensgrenzen setzt jede Klinik selbst; der Antrag geht auch nachträglich.</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Ignoriere Rechnungen nie: Unbezahlte Beträge gehen an Inkasso. Eine Bundesregel, die Medical Debt aus Kreditberichten verbannt hätte, wurde am 11. Juli 2025 gerichtlich aufgehoben. Die drei großen Auskunfteien melden freiwillig keine bezahlten Forderungen und keine unter 500 $, und 15 Staaten haben eigene Gesetze. Zur Kreditwürdigkeit siehe Kapitel </w:t>
            </w:r>
            <w:hyperlink w:anchor="k25">
              <w:r>
                <w:rPr>
                  <w:rStyle w:val="ListLabel114"/>
                  <w:rFonts w:eastAsia="Cambria" w:cs="Cambria"/>
                  <w:b w:val="false"/>
                  <w:bCs w:val="false"/>
                  <w:i w:val="false"/>
                  <w:iCs w:val="false"/>
                  <w:sz w:val="20"/>
                  <w:szCs w:val="20"/>
                </w:rPr>
                <w:t>25</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w:t>
      </w:r>
      <w:r>
        <w:rPr>
          <w:rFonts w:eastAsia="Cambria" w:cs="Cambria"/>
          <w:b w:val="false"/>
          <w:bCs w:val="false"/>
          <w:i/>
          <w:iCs/>
          <w:sz w:val="22"/>
          <w:szCs w:val="22"/>
        </w:rPr>
        <w:t>No Surprises Act</w:t>
      </w:r>
      <w:r>
        <w:rPr>
          <w:rFonts w:eastAsia="Cambria" w:cs="Cambria"/>
          <w:b w:val="false"/>
          <w:bCs w:val="false"/>
          <w:i w:val="false"/>
          <w:iCs w:val="false"/>
          <w:sz w:val="22"/>
          <w:szCs w:val="22"/>
        </w:rPr>
        <w:t xml:space="preserve"> (seit 1. Januar 2022) verbietet überraschende Zusatzrechnungen (</w:t>
      </w:r>
      <w:r>
        <w:rPr>
          <w:rFonts w:eastAsia="Cambria" w:cs="Cambria"/>
          <w:b w:val="false"/>
          <w:bCs w:val="false"/>
          <w:i/>
          <w:iCs/>
          <w:sz w:val="22"/>
          <w:szCs w:val="22"/>
        </w:rPr>
        <w:t>Balance Billing</w:t>
      </w:r>
      <w:r>
        <w:rPr>
          <w:rFonts w:eastAsia="Cambria" w:cs="Cambria"/>
          <w:b w:val="false"/>
          <w:bCs w:val="false"/>
          <w:i w:val="false"/>
          <w:iCs w:val="false"/>
          <w:sz w:val="22"/>
          <w:szCs w:val="22"/>
        </w:rPr>
        <w:t>) in drei Fällen: bei Notfallbehandlung, auch außerhalb des Netzwerks; bei Ärzten außerhalb des Netzwerks in einem Netzwerk-Krankenhaus oder einer Netzwerk-Ambulanz; und bei Luftrettung — dann zahlst du nur den Netzwerk-Anteil. Bei planbaren Leistungen kann dir ein Anbieter ein Formular zum Verzicht auf den Schutz vorlegen; unterschreibe es nicht unter Zeitdruck. Als Selbstzahler hast du bei Terminen ab drei Werktagen Vorlauf Anspruch auf einen Kostenvoranschlag (</w:t>
      </w:r>
      <w:r>
        <w:rPr>
          <w:rFonts w:eastAsia="Cambria" w:cs="Cambria"/>
          <w:b w:val="false"/>
          <w:bCs w:val="false"/>
          <w:i/>
          <w:iCs/>
          <w:sz w:val="22"/>
          <w:szCs w:val="22"/>
        </w:rPr>
        <w:t>Good Faith Estimate</w:t>
      </w:r>
      <w:r>
        <w:rPr>
          <w:rFonts w:eastAsia="Cambria" w:cs="Cambria"/>
          <w:b w:val="false"/>
          <w:bCs w:val="false"/>
          <w:i w:val="false"/>
          <w:iCs w:val="false"/>
          <w:sz w:val="22"/>
          <w:szCs w:val="22"/>
        </w:rPr>
        <w:t>); liegt die Rechnung um 400 $ oder mehr darüber, kannst du ein Streitverfahren einleiten. Beschwerden: CMS-Hotline 1-800-985-3059.</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 Deductible 1.500 $ pro Person. Im November bricht sich Lena (9) beim Schulsport das Handgelenk: Urgent Care, Röntgen, Schiene – stolz hält sie zu Hause ihren pinken Gips hoch, als wäre er ein Souvenir. Zwei Wochen später kommen zwei EOBs und zwei Rechnungen. Die Urgent Care berechnet 1.180 $, vereinbart sind 640 $. Die Radiologiepraxis, die das Bild befundet hat, berechnet 210 $, vereinbart sind 85 $. Weil Lenas Deductible noch offen ist, schuldet die Familie 640 $ plus 85 $, also 725 $, und nicht 1.390 $. Markus gleicht EOBs und Rechnungen ab, zahlt die vereinbarten Beträge und legt die Belege in einen Ordner. Von Lenas Deductible bleiben 775 $.</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Jobverlust: COBRA und Marktplatz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Endet der Job, endet meist auch die Arbeitgeberdeckung, je nach Firma am letzten Arbeitstag oder zum Monatsende. Es bleiben drei Wege:</w:t>
      </w:r>
    </w:p>
    <w:p>
      <w:pPr>
        <w:pStyle w:val="ListParagraph"/>
        <w:numPr>
          <w:ilvl w:val="0"/>
          <w:numId w:val="1"/>
        </w:numPr>
        <w:spacing w:lineRule="exact" w:line="288" w:before="0" w:after="60"/>
        <w:rPr/>
      </w:pPr>
      <w:r>
        <w:rPr>
          <w:rFonts w:eastAsia="Cambria" w:cs="Cambria"/>
          <w:b/>
          <w:bCs/>
          <w:i w:val="false"/>
          <w:iCs w:val="false"/>
          <w:sz w:val="22"/>
          <w:szCs w:val="22"/>
        </w:rPr>
        <w:t>COBRA:</w:t>
      </w:r>
      <w:r>
        <w:rPr>
          <w:rFonts w:eastAsia="Cambria" w:cs="Cambria"/>
          <w:b w:val="false"/>
          <w:bCs w:val="false"/>
          <w:i w:val="false"/>
          <w:iCs w:val="false"/>
          <w:sz w:val="22"/>
          <w:szCs w:val="22"/>
        </w:rPr>
        <w:t xml:space="preserve"> Du führst den bisherigen Plan fort, bei Kündigung oder Stundenkürzung 18 Monate, bei Folgeereignissen wie Scheidung oder Tod des Versicherten bis zu 36 Monate. Das gilt bei Arbeitgebern ab 20 Beschäftigten. Du zahlst die volle Prämie (Arbeitgeber- und Arbeitnehmeranteil) plus 2 %: rechnerisch aus dem KFF-Durchschnitt ca. 790 $ im Monat für die Einzelperson und ca. 2.290 $ für die Familie.</w:t>
      </w:r>
    </w:p>
    <w:p>
      <w:pPr>
        <w:pStyle w:val="ListParagraph"/>
        <w:numPr>
          <w:ilvl w:val="0"/>
          <w:numId w:val="1"/>
        </w:numPr>
        <w:spacing w:lineRule="exact" w:line="288" w:before="0" w:after="60"/>
        <w:rPr/>
      </w:pPr>
      <w:r>
        <w:rPr>
          <w:rFonts w:eastAsia="Cambria" w:cs="Cambria"/>
          <w:b/>
          <w:bCs/>
          <w:i w:val="false"/>
          <w:iCs w:val="false"/>
          <w:sz w:val="22"/>
          <w:szCs w:val="22"/>
        </w:rPr>
        <w:t>Marktplatz:</w:t>
      </w:r>
      <w:r>
        <w:rPr>
          <w:rFonts w:eastAsia="Cambria" w:cs="Cambria"/>
          <w:b w:val="false"/>
          <w:bCs w:val="false"/>
          <w:i w:val="false"/>
          <w:iCs w:val="false"/>
          <w:sz w:val="22"/>
          <w:szCs w:val="22"/>
        </w:rPr>
        <w:t xml:space="preserve"> Der Verlust der Arbeitgeberdeckung löst ein Sonderfenster aus (60 Tage vor bis 60 Tage nach dem Verlust). Ab 2027 für Visa-Inhaber ohne Zuschuss.</w:t>
      </w:r>
    </w:p>
    <w:p>
      <w:pPr>
        <w:pStyle w:val="ListParagraph"/>
        <w:numPr>
          <w:ilvl w:val="0"/>
          <w:numId w:val="1"/>
        </w:numPr>
        <w:spacing w:lineRule="exact" w:line="288" w:before="0" w:after="60"/>
        <w:rPr/>
      </w:pPr>
      <w:r>
        <w:rPr>
          <w:rFonts w:eastAsia="Cambria" w:cs="Cambria"/>
          <w:b/>
          <w:bCs/>
          <w:i w:val="false"/>
          <w:iCs w:val="false"/>
          <w:sz w:val="22"/>
          <w:szCs w:val="22"/>
        </w:rPr>
        <w:t>Partnerplan:</w:t>
      </w:r>
      <w:r>
        <w:rPr>
          <w:rFonts w:eastAsia="Cambria" w:cs="Cambria"/>
          <w:b w:val="false"/>
          <w:bCs w:val="false"/>
          <w:i w:val="false"/>
          <w:iCs w:val="false"/>
          <w:sz w:val="22"/>
          <w:szCs w:val="22"/>
        </w:rPr>
        <w:t xml:space="preserve"> Hat dein Partner einen eigenen Arbeitgeberplan, kannst du dort einsteigen; auch das ist ein Sonderfenster.</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COBRA-Wahlfrist beträgt 60 Tage ab dem Verlust bzw. der Mitteilung, die erste Zahlung ist binnen 45 Tagen nach der Wahl fällig. Die Deckung gilt rückwirkend ab dem Verlust, du kannst COBRA also auch nach einem Notfall in der Wahlfrist noch wählen, musst dann aber alle Beiträge nachzahlen. Verschleppe die Entscheidung trotzdem nicht.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Aufenthaltsstatus läuft nach einer Kündigung nur begrenzt weiter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 die Versicherungsfristen und die Statusfristen sind zwei getrennte Uhren.</w:t>
      </w:r>
    </w:p>
    <w:p>
      <w:pPr>
        <w:pStyle w:val="Heading3"/>
        <w:keepNext w:val="true"/>
        <w:spacing w:before="280" w:after="100"/>
        <w:jc w:val="center"/>
        <w:rPr/>
      </w:pPr>
      <w:r>
        <w:rPr>
          <w:rFonts w:eastAsia="Amazon Ember" w:cs="Amazon Ember" w:ascii="Amazon Ember" w:hAnsi="Amazon Ember"/>
          <w:b/>
          <w:bCs/>
          <w:color w:val="0000FF"/>
          <w:sz w:val="36"/>
          <w:szCs w:val="36"/>
        </w:rPr>
        <w:t>Marktplatz und Zuschüsse: der Stand für Visa-Inhaber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Marktplatz (</w:t>
      </w:r>
      <w:r>
        <w:rPr>
          <w:rFonts w:eastAsia="Cambria" w:cs="Cambria"/>
          <w:b w:val="false"/>
          <w:bCs w:val="false"/>
          <w:i/>
          <w:iCs/>
          <w:sz w:val="22"/>
          <w:szCs w:val="22"/>
        </w:rPr>
        <w:t>Marketplace</w:t>
      </w:r>
      <w:r>
        <w:rPr>
          <w:rFonts w:eastAsia="Cambria" w:cs="Cambria"/>
          <w:b w:val="false"/>
          <w:bCs w:val="false"/>
          <w:i w:val="false"/>
          <w:iCs w:val="false"/>
          <w:sz w:val="22"/>
          <w:szCs w:val="22"/>
        </w:rPr>
        <w:t>, über healthcare.gov oder das Portal deines Staates) verkauft Pläne in vier Stufen: Bronze, Silber, Gold und Platin, die im Schnitt etwa 60, 70, 80 und 90 % der Kosten übernehmen. Kaufen dürfen auch rechtmäßig Anwesende (</w:t>
      </w:r>
      <w:r>
        <w:rPr>
          <w:rFonts w:eastAsia="Cambria" w:cs="Cambria"/>
          <w:b w:val="false"/>
          <w:bCs w:val="false"/>
          <w:i/>
          <w:iCs/>
          <w:sz w:val="22"/>
          <w:szCs w:val="22"/>
        </w:rPr>
        <w:t>Lawfully Present</w:t>
      </w:r>
      <w:r>
        <w:rPr>
          <w:rFonts w:eastAsia="Cambria" w:cs="Cambria"/>
          <w:b w:val="false"/>
          <w:bCs w:val="false"/>
          <w:i w:val="false"/>
          <w:iCs w:val="false"/>
          <w:sz w:val="22"/>
          <w:szCs w:val="22"/>
        </w:rPr>
        <w:t>), darunter Inhaber von Arbeits- und Studentenvisa. Die Einschreibung für 2027 läuft vom 1. November 2026 bis 15. Januar 2027; Deckung ab 1. Januar gibt es bei Wahl bis 15. Dezember, sonst ab 1. Februar.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Bund bezuschusst Prämien (</w:t>
      </w:r>
      <w:r>
        <w:rPr>
          <w:rFonts w:eastAsia="Cambria" w:cs="Cambria"/>
          <w:b w:val="false"/>
          <w:bCs w:val="false"/>
          <w:i/>
          <w:iCs/>
          <w:sz w:val="22"/>
          <w:szCs w:val="22"/>
        </w:rPr>
        <w:t>Premium Tax Credit</w:t>
      </w:r>
      <w:r>
        <w:rPr>
          <w:rFonts w:eastAsia="Cambria" w:cs="Cambria"/>
          <w:b w:val="false"/>
          <w:bCs w:val="false"/>
          <w:i w:val="false"/>
          <w:iCs w:val="false"/>
          <w:sz w:val="22"/>
          <w:szCs w:val="22"/>
        </w:rPr>
        <w:t>) für Haushalte bis 400 % der Armutsgrenze. Stand September 2026: Die erhöhten Zuschüsse sind Ende 2025 ausgelaufen und bisher nicht wiederhergestellt, die 400-%-Grenze gilt wieder (für 2027 nach den Richtwerten von 2026 gerechnet rund 63.840 $ für eine Person und 132.000 $ für eine vierköpfige Familie). Die Prämien stiegen 2026 stark (Benchmark-Plan +26 %); für 2027 beantragen Versicherer im Median +15 %.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Zusätzlich gilt nach dem Gesetz „One Big Beautiful Bill Act“ (Juli 2025): Ab 1. Januar 2027 erhalten nur noch Green-Card-Inhaber und wenige andere Gruppen (kubanische und haitianische Einreisende, Bürger pazifischer Assoziierungsstaaten, COFA) Marktplatz-Zuschüsse. Inhaber von Arbeits- und Studentenvisa (H-1B, L-1, F-1, J-1 u. a.) verlieren sie, dürfen aber weiter zum Vollpreis kaufen. Überzahlte Vorschuss-Zuschüsse musst du ab dem Steuerjahr 2026 vollständig zurückzahlen.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Baue ab 2027 nicht auf Marktplatz-Zuschüsse, wenn du keine Green Card hast. Mit einem Arbeitgeberplan bist du kaum betroffen: Zuschüsse gibt es ohnehin nur ohne „erschwingliches“ Angebot (2026: Eigenanteil über 9,96 % des Haushaltseinkommens). Betroffen sind mitreisende Partner ohne eigenen Job-Plan, F-1-Studierende, Selbständige und Menschen nach dem COBRA-Ende.</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Medicaid und CHIP (staatliche, einkommensabhängige Programme) sind ab 1. Oktober 2026 bundesfinanziert nur noch für Green-Card-Inhaber nach fünfjähriger Wartezeit und wenige andere Gruppen; Kinder und Schwangere sind in vielen Staaten über Sonderoptionen weiter abgedeckt. Für Arbeitsvisum-Familien spielt Medicaid wegen des Einkommens selten eine Rolle. Wer später eine Green Card beantragt, klärt den Bezug staatlicher Leistungen vorher mit dem Einwanderungsanwalt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Studierende: F-1 und J-1</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J-1-Austauschbesucher und J-2-Angehörige schreibt die Bundesregel 22 CFR 62.14 eine Versicherung für das gesamte Programm vor: mindestens 100.000 $ je Unfall oder Krankheit, 25.000 $ für Repatriierung, 50.000 $ für Evakuierung, Selbstbehalt höchstens 500 $, Coinsurance höchstens 25 %. Für F-1-Studierende gibt es keine Bundespflicht, doch die meisten Hochschulen verlangen den Uni-Plan (</w:t>
      </w:r>
      <w:r>
        <w:rPr>
          <w:rFonts w:eastAsia="Cambria" w:cs="Cambria"/>
          <w:b w:val="false"/>
          <w:bCs w:val="false"/>
          <w:i/>
          <w:iCs/>
          <w:sz w:val="22"/>
          <w:szCs w:val="22"/>
        </w:rPr>
        <w:t>Student Health Insurance Plan</w:t>
      </w:r>
      <w:r>
        <w:rPr>
          <w:rFonts w:eastAsia="Cambria" w:cs="Cambria"/>
          <w:b w:val="false"/>
          <w:bCs w:val="false"/>
          <w:i w:val="false"/>
          <w:iCs w:val="false"/>
          <w:sz w:val="22"/>
          <w:szCs w:val="22"/>
        </w:rPr>
        <w:t>, SHIP) oder den Nachweis eines gleichwertigen Plans (</w:t>
      </w:r>
      <w:r>
        <w:rPr>
          <w:rFonts w:eastAsia="Cambria" w:cs="Cambria"/>
          <w:b w:val="false"/>
          <w:bCs w:val="false"/>
          <w:i/>
          <w:iCs/>
          <w:sz w:val="22"/>
          <w:szCs w:val="22"/>
        </w:rPr>
        <w:t>Waiver</w:t>
      </w:r>
      <w:r>
        <w:rPr>
          <w:rFonts w:eastAsia="Cambria" w:cs="Cambria"/>
          <w:b w:val="false"/>
          <w:bCs w:val="false"/>
          <w:i w:val="false"/>
          <w:iCs w:val="false"/>
          <w:sz w:val="22"/>
          <w:szCs w:val="22"/>
        </w:rPr>
        <w:t>). Veröffentlichte Tarife mehrerer Hochschulen für 2026/27 liegen bei etwa 1.900–3.900 $ pro Jahr; Angehörige kosten meist extra. Marktplatz-Zuschüsse entfallen für F-1 und J-1 ab 2027; prüfe das Enddatum deines Plans vor dem Abschluss (Kapitel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 tragen im Schnitt ca. 84 % (Einzelperson) bzw. ca. 74 % (Familie) der Prämie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Deckung hängt am Job: COBRA kostet rechnerisch ca. 790 $ im Monat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Das Out-of-Pocket-Maximum begrenzt das Jahresrisiko im Netzwerk</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Lücke zwischen Ankunft und Deckungsbeginn von bis zu drei oder vier Monaten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Vorsorge und empfohlene Impfungen meist ohne Zuzahlung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Selbstbehalt und Zuzahlungen kommen zur Prämie hinzu</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Urgent Care und Telemedizin decken Alltagsfälle ohne Notaufnahmepreis ab</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Netzwerkgrenzen, Vorabgenehmigungen, mehrere Rechnungen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HSA: steuerbegünstigtes Gesundheitskonto, das dir gehört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Zahn und Augen getrennt, mit Jahreshöchstleistung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Beim PPO Facharzt ohne Überweisung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Boden-Rettungswagen nicht durch den No Surprises Act geschützt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Wahl zwischen mehreren Plänen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Plan-Jahr oft ab 1. Januar: Der Selbstbehalt beginnt von vorn</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der Zusage beim HR schriftlich klären: Deckungsbeginn, Wartefrist, Einschreibefrist, Familienprämie, HSA-Beitrag</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Überbrückung für die Lücke bis zum Deckungsbeginn organisieren (Kapitel </w:t>
            </w:r>
            <w:hyperlink w:anchor="k18">
              <w:r>
                <w:rPr>
                  <w:rStyle w:val="ListLabel114"/>
                  <w:rFonts w:eastAsia="Cambria" w:cs="Cambria"/>
                  <w:b w:val="false"/>
                  <w:bCs w:val="false"/>
                  <w:i w:val="false"/>
                  <w:iCs w:val="false"/>
                  <w:sz w:val="20"/>
                  <w:szCs w:val="20"/>
                </w:rPr>
                <w:t>18</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Am ersten Arbeitstag die Einschreibefrist notieren und die ganze Familie fristgerecht anmelden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Plan wählen: teuerstes Jahr (12 × Prämie + Out-of-Pocket-Maximum) ausrechnen, Netzwerk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Hausarzt und Kinderarzt suchen, „in-network“ telefonisch bestätigen lassen, Termin buchen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Nächste Urgent Care, Telemedizin-Zugang und Notaufnahme im Netzwerk notieren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Impfpass, Vorsorgeheft und Befunde in englischer Übersetzung bereithalten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Dental- und Vision-Plan gesondert prüfen und wählen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Jede Rechnung erst nach Abgleich mit der EOB zahlen; Belege und Gesprächsnotizen abheften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Fristen für den Jobverlust notieren: COBRA-Wahl 60 Tage, Marktplatz-Sonderfenster, Statusfristen (Kapitel </w:t>
            </w:r>
            <w:hyperlink w:anchor="k30">
              <w:r>
                <w:rPr>
                  <w:rStyle w:val="ListLabel114"/>
                  <w:rFonts w:eastAsia="Cambria" w:cs="Cambria"/>
                  <w:b w:val="false"/>
                  <w:bCs w:val="false"/>
                  <w:i w:val="false"/>
                  <w:iCs w:val="false"/>
                  <w:sz w:val="20"/>
                  <w:szCs w:val="20"/>
                </w:rPr>
                <w:t>30</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hyperlink r:id="rId244">
        <w:r>
          <w:rPr>
            <w:rStyle w:val="ListLabel113"/>
            <w:rFonts w:eastAsia="Cambria" w:cs="Cambria"/>
            <w:b w:val="false"/>
            <w:bCs w:val="false"/>
            <w:i w:val="false"/>
            <w:iCs w:val="false"/>
            <w:color w:val="0563C1"/>
            <w:sz w:val="22"/>
            <w:szCs w:val="22"/>
            <w:u w:val="single"/>
          </w:rPr>
          <w:t>healthcare.gov</w:t>
        </w:r>
      </w:hyperlink>
      <w:r>
        <w:rPr>
          <w:rFonts w:eastAsia="Cambria" w:cs="Cambria"/>
          <w:b w:val="false"/>
          <w:bCs w:val="false"/>
          <w:i w:val="false"/>
          <w:iCs w:val="false"/>
          <w:sz w:val="22"/>
          <w:szCs w:val="22"/>
        </w:rPr>
        <w:t xml:space="preserve"> — Marktplatz, Plantypen, Sonderfenster, Einwanderungsstatus</w:t>
      </w:r>
    </w:p>
    <w:p>
      <w:pPr>
        <w:pStyle w:val="ListParagraph"/>
        <w:numPr>
          <w:ilvl w:val="0"/>
          <w:numId w:val="1"/>
        </w:numPr>
        <w:spacing w:lineRule="exact" w:line="288" w:before="0" w:after="60"/>
        <w:rPr/>
      </w:pPr>
      <w:hyperlink r:id="rId245">
        <w:r>
          <w:rPr>
            <w:rStyle w:val="ListLabel113"/>
            <w:rFonts w:eastAsia="Cambria" w:cs="Cambria"/>
            <w:b w:val="false"/>
            <w:bCs w:val="false"/>
            <w:i w:val="false"/>
            <w:iCs w:val="false"/>
            <w:color w:val="0563C1"/>
            <w:sz w:val="22"/>
            <w:szCs w:val="22"/>
            <w:u w:val="single"/>
          </w:rPr>
          <w:t>cms.gov/nosurprises/consumers</w:t>
        </w:r>
      </w:hyperlink>
      <w:r>
        <w:rPr>
          <w:rFonts w:eastAsia="Cambria" w:cs="Cambria"/>
          <w:b w:val="false"/>
          <w:bCs w:val="false"/>
          <w:i w:val="false"/>
          <w:iCs w:val="false"/>
          <w:sz w:val="22"/>
          <w:szCs w:val="22"/>
        </w:rPr>
        <w:t xml:space="preserve"> — No Surprises Act, Kostenvoranschlag, Beschwerdestelle</w:t>
      </w:r>
    </w:p>
    <w:p>
      <w:pPr>
        <w:pStyle w:val="ListParagraph"/>
        <w:numPr>
          <w:ilvl w:val="0"/>
          <w:numId w:val="1"/>
        </w:numPr>
        <w:spacing w:lineRule="exact" w:line="288" w:before="0" w:after="60"/>
        <w:rPr/>
      </w:pPr>
      <w:hyperlink r:id="rId246">
        <w:r>
          <w:rPr>
            <w:rStyle w:val="ListLabel113"/>
            <w:rFonts w:eastAsia="Cambria" w:cs="Cambria"/>
            <w:b w:val="false"/>
            <w:bCs w:val="false"/>
            <w:i w:val="false"/>
            <w:iCs w:val="false"/>
            <w:color w:val="0563C1"/>
            <w:sz w:val="22"/>
            <w:szCs w:val="22"/>
            <w:u w:val="single"/>
          </w:rPr>
          <w:t>dol.gov/agencies/ebsa</w:t>
        </w:r>
      </w:hyperlink>
      <w:r>
        <w:rPr>
          <w:rFonts w:eastAsia="Cambria" w:cs="Cambria"/>
          <w:b w:val="false"/>
          <w:bCs w:val="false"/>
          <w:i w:val="false"/>
          <w:iCs w:val="false"/>
          <w:sz w:val="22"/>
          <w:szCs w:val="22"/>
        </w:rPr>
        <w:t xml:space="preserve"> — COBRA, Wartefristen, Newborns’ Act</w:t>
      </w:r>
    </w:p>
    <w:p>
      <w:pPr>
        <w:pStyle w:val="ListParagraph"/>
        <w:numPr>
          <w:ilvl w:val="0"/>
          <w:numId w:val="1"/>
        </w:numPr>
        <w:spacing w:lineRule="exact" w:line="288" w:before="0" w:after="60"/>
        <w:rPr/>
      </w:pPr>
      <w:hyperlink r:id="rId247">
        <w:r>
          <w:rPr>
            <w:rStyle w:val="ListLabel113"/>
            <w:rFonts w:eastAsia="Cambria" w:cs="Cambria"/>
            <w:b w:val="false"/>
            <w:bCs w:val="false"/>
            <w:i w:val="false"/>
            <w:iCs w:val="false"/>
            <w:color w:val="0563C1"/>
            <w:sz w:val="22"/>
            <w:szCs w:val="22"/>
            <w:u w:val="single"/>
          </w:rPr>
          <w:t>irs.gov/publications/p969</w:t>
        </w:r>
      </w:hyperlink>
      <w:r>
        <w:rPr>
          <w:rFonts w:eastAsia="Cambria" w:cs="Cambria"/>
          <w:b w:val="false"/>
          <w:bCs w:val="false"/>
          <w:i w:val="false"/>
          <w:iCs w:val="false"/>
          <w:sz w:val="22"/>
          <w:szCs w:val="22"/>
        </w:rPr>
        <w:t xml:space="preserve"> — HSA und HDHP, jährliche Grenzwerte</w:t>
      </w:r>
    </w:p>
    <w:p>
      <w:pPr>
        <w:pStyle w:val="ListParagraph"/>
        <w:numPr>
          <w:ilvl w:val="0"/>
          <w:numId w:val="1"/>
        </w:numPr>
        <w:spacing w:lineRule="exact" w:line="288" w:before="0" w:after="60"/>
        <w:rPr/>
      </w:pPr>
      <w:hyperlink r:id="rId248">
        <w:r>
          <w:rPr>
            <w:rStyle w:val="ListLabel113"/>
            <w:rFonts w:eastAsia="Cambria" w:cs="Cambria"/>
            <w:b w:val="false"/>
            <w:bCs w:val="false"/>
            <w:i w:val="false"/>
            <w:iCs w:val="false"/>
            <w:color w:val="0563C1"/>
            <w:sz w:val="22"/>
            <w:szCs w:val="22"/>
            <w:u w:val="single"/>
          </w:rPr>
          <w:t>kff.org/health-costs/2025-employer-health-benefits-survey</w:t>
        </w:r>
      </w:hyperlink>
      <w:r>
        <w:rPr>
          <w:rFonts w:eastAsia="Cambria" w:cs="Cambria"/>
          <w:b w:val="false"/>
          <w:bCs w:val="false"/>
          <w:i w:val="false"/>
          <w:iCs w:val="false"/>
          <w:sz w:val="22"/>
          <w:szCs w:val="22"/>
        </w:rPr>
        <w:t xml:space="preserve"> — Prämien, Selbstbehalte, Wartefristen</w:t>
      </w:r>
    </w:p>
    <w:p>
      <w:pPr>
        <w:pStyle w:val="ListParagraph"/>
        <w:numPr>
          <w:ilvl w:val="0"/>
          <w:numId w:val="1"/>
        </w:numPr>
        <w:spacing w:lineRule="exact" w:line="288" w:before="0" w:after="60"/>
        <w:rPr/>
      </w:pPr>
      <w:hyperlink r:id="rId249">
        <w:r>
          <w:rPr>
            <w:rStyle w:val="ListLabel113"/>
            <w:rFonts w:eastAsia="Cambria" w:cs="Cambria"/>
            <w:b w:val="false"/>
            <w:bCs w:val="false"/>
            <w:i w:val="false"/>
            <w:iCs w:val="false"/>
            <w:color w:val="0563C1"/>
            <w:sz w:val="22"/>
            <w:szCs w:val="22"/>
            <w:u w:val="single"/>
          </w:rPr>
          <w:t>census.gov/library/publications/2026/demo/p60-291.html</w:t>
        </w:r>
      </w:hyperlink>
      <w:r>
        <w:rPr>
          <w:rFonts w:eastAsia="Cambria" w:cs="Cambria"/>
          <w:b w:val="false"/>
          <w:bCs w:val="false"/>
          <w:i w:val="false"/>
          <w:iCs w:val="false"/>
          <w:sz w:val="22"/>
          <w:szCs w:val="22"/>
        </w:rPr>
        <w:t xml:space="preserve"> — Versichertenstatistik 2025</w:t>
      </w:r>
    </w:p>
    <w:p>
      <w:pPr>
        <w:pStyle w:val="ListParagraph"/>
        <w:numPr>
          <w:ilvl w:val="0"/>
          <w:numId w:val="1"/>
        </w:numPr>
        <w:spacing w:lineRule="exact" w:line="288" w:before="0" w:after="60"/>
        <w:rPr/>
      </w:pPr>
      <w:hyperlink r:id="rId250">
        <w:r>
          <w:rPr>
            <w:rStyle w:val="ListLabel113"/>
            <w:rFonts w:eastAsia="Cambria" w:cs="Cambria"/>
            <w:b w:val="false"/>
            <w:bCs w:val="false"/>
            <w:i w:val="false"/>
            <w:iCs w:val="false"/>
            <w:color w:val="0563C1"/>
            <w:sz w:val="22"/>
            <w:szCs w:val="22"/>
            <w:u w:val="single"/>
          </w:rPr>
          <w:t>988lifeline.org</w:t>
        </w:r>
      </w:hyperlink>
      <w:r>
        <w:rPr>
          <w:rFonts w:eastAsia="Cambria" w:cs="Cambria"/>
          <w:b w:val="false"/>
          <w:bCs w:val="false"/>
          <w:i w:val="false"/>
          <w:iCs w:val="false"/>
          <w:sz w:val="22"/>
          <w:szCs w:val="22"/>
        </w:rPr>
        <w:t xml:space="preserve"> — Krisenhilfe rund um die Uhr</w:t>
      </w:r>
    </w:p>
    <w:p>
      <w:pPr>
        <w:pStyle w:val="ListParagraph"/>
        <w:numPr>
          <w:ilvl w:val="0"/>
          <w:numId w:val="1"/>
        </w:numPr>
        <w:spacing w:lineRule="exact" w:line="288" w:before="0" w:after="60"/>
        <w:rPr/>
      </w:pPr>
      <w:hyperlink r:id="rId251">
        <w:r>
          <w:rPr>
            <w:rStyle w:val="ListLabel113"/>
            <w:rFonts w:eastAsia="Cambria" w:cs="Cambria"/>
            <w:b w:val="false"/>
            <w:bCs w:val="false"/>
            <w:i w:val="false"/>
            <w:iCs w:val="false"/>
            <w:color w:val="0563C1"/>
            <w:sz w:val="22"/>
            <w:szCs w:val="22"/>
            <w:u w:val="single"/>
          </w:rPr>
          <w:t>findtreatment.gov</w:t>
        </w:r>
      </w:hyperlink>
      <w:r>
        <w:rPr>
          <w:rFonts w:eastAsia="Cambria" w:cs="Cambria"/>
          <w:b w:val="false"/>
          <w:bCs w:val="false"/>
          <w:i w:val="false"/>
          <w:iCs w:val="false"/>
          <w:sz w:val="22"/>
          <w:szCs w:val="22"/>
        </w:rPr>
        <w:t xml:space="preserve"> — Therapeutensuche der Bundesbehörde SAMHSA</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schnell: Marktplatz-Zuschüsse und Statusprüfung ab 1. Januar 2027, Medicaid- und CHIP-Regeln ab 1. Oktober 2026, die endgültigen Prämien für 2027 (Herbst 2026), HSA- und Out-of-Pocket-Grenzwerte, Kurzzeitpläne sowie der CDC-Impfplan mit den laufenden Gerichtsverfahren. Kostenangaben sind Durchschnitte aus 2025 und 2026 (KFF, HCCI, Verbraucherportale); dein Plan kann stark abweichen. Prüfe vor jeder Entscheidung healthcare.gov und die Unterlagen deines Arbeitgebers.</w:t>
            </w:r>
          </w:p>
        </w:tc>
      </w:tr>
    </w:tbl>
    <w:p>
      <w:pPr>
        <w:pStyle w:val="Normal"/>
        <w:spacing w:lineRule="exact" w:line="220" w:before="0" w:after="0"/>
        <w:rPr/>
      </w:pPr>
      <w:r>
        <w:rPr/>
      </w:r>
      <w:r>
        <w:br w:type="page"/>
      </w:r>
    </w:p>
    <w:p>
      <w:pPr>
        <w:pStyle w:val="Heading2"/>
        <w:keepNext w:val="true"/>
        <w:spacing w:before="0" w:after="300"/>
        <w:jc w:val="center"/>
        <w:rPr/>
      </w:pPr>
      <w:bookmarkStart w:id="67" w:name="__RefHeading___Toc56491_3769931028"/>
      <w:bookmarkStart w:id="68" w:name="k27"/>
      <w:bookmarkEnd w:id="67"/>
      <w:r>
        <w:rPr>
          <w:rFonts w:eastAsia="Amazon Ember" w:cs="Amazon Ember" w:ascii="Amazon Ember" w:hAnsi="Amazon Ember"/>
          <w:b/>
          <w:bCs/>
          <w:color w:val="0000FF"/>
          <w:sz w:val="36"/>
          <w:szCs w:val="36"/>
        </w:rPr>
        <w:t>Kapitel 27: Führerschein, Auto und Mobilität</w:t>
      </w:r>
      <w:bookmarkEnd w:id="68"/>
    </w:p>
    <w:p>
      <w:pPr>
        <w:pStyle w:val="Normal"/>
        <w:keepNext w:val="false"/>
        <w:keepLines w:val="false"/>
        <w:spacing w:lineRule="exact" w:line="288" w:before="0" w:after="140"/>
        <w:jc w:val="left"/>
        <w:rPr/>
      </w:pPr>
      <w:r>
        <w:rPr>
          <w:rFonts w:eastAsia="Cambria" w:cs="Cambria"/>
          <w:b w:val="false"/>
          <w:bCs w:val="false"/>
          <w:i w:val="false"/>
          <w:iCs w:val="false"/>
          <w:sz w:val="22"/>
          <w:szCs w:val="22"/>
        </w:rPr>
        <w:t>Du bist seit neun Tagen in den USA. Der Mietwagen kostet jeden Tag Geld, das Autohaus fragt nach einer Kredithistorie, die es nicht gibt, und die Versicherung nach einem Führerschein, der noch umgeschrieben werden muss. Führerschein, Versicherung, Kredit und Zulassung hängen hier wie Glieder einer Kette zusammen. Wer die Reihenfolge kennt, spart Wochen und oft mehrere Tausend Dollar.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Als Besucher darfst du meist bis zu 90 Tage mit dem deutschen Führerschein fahren. Sobald du Einwohner bist, gilt die Frist deines Bundesstaates: zehn Tage in Kalifornien, 30 in Washington, 90 in Texas.</w:t>
            </w:r>
          </w:p>
          <w:p>
            <w:pPr>
              <w:pStyle w:val="ListParagraph"/>
              <w:numPr>
                <w:ilvl w:val="0"/>
                <w:numId w:val="1"/>
              </w:numPr>
              <w:spacing w:lineRule="exact" w:line="264" w:before="0" w:after="50"/>
              <w:rPr/>
            </w:pPr>
            <w:r>
              <w:rPr>
                <w:rFonts w:eastAsia="Cambria" w:cs="Cambria"/>
                <w:b w:val="false"/>
                <w:bCs w:val="false"/>
                <w:i w:val="false"/>
                <w:iCs w:val="false"/>
                <w:sz w:val="20"/>
                <w:szCs w:val="20"/>
              </w:rPr>
              <w:t>Ob du Prüfungen ablegen musst, entscheidet der Staat. Laut Quellen tauschen u. a. Texas, Washington, Arizona, Colorado, Michigan, Illinois, Massachusetts und Virginia ohne Prüfung; Kalifornien und New York verlangen sie.</w:t>
            </w:r>
          </w:p>
          <w:p>
            <w:pPr>
              <w:pStyle w:val="ListParagraph"/>
              <w:numPr>
                <w:ilvl w:val="0"/>
                <w:numId w:val="1"/>
              </w:numPr>
              <w:spacing w:lineRule="exact" w:line="264" w:before="0" w:after="50"/>
              <w:rPr/>
            </w:pPr>
            <w:r>
              <w:rPr>
                <w:rFonts w:eastAsia="Cambria" w:cs="Cambria"/>
                <w:b w:val="false"/>
                <w:bCs w:val="false"/>
                <w:i w:val="false"/>
                <w:iCs w:val="false"/>
                <w:sz w:val="20"/>
                <w:szCs w:val="20"/>
              </w:rPr>
              <w:t>Die Reihenfolge lautet: SSN, Führerschein, Versicherung, Kauf, Zulassung.</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Neuwagen kosteten im August 2026 im Schnitt 50.089 $, </w:t>
            </w:r>
            <w:r>
              <w:rPr>
                <w:rFonts w:eastAsia="Cambria" w:cs="Cambria"/>
                <w:b w:val="false"/>
                <w:bCs w:val="false"/>
                <w:i/>
                <w:iCs/>
                <w:sz w:val="20"/>
                <w:szCs w:val="20"/>
              </w:rPr>
              <w:t>Full Coverage</w:t>
            </w:r>
            <w:r>
              <w:rPr>
                <w:rFonts w:eastAsia="Cambria" w:cs="Cambria"/>
                <w:b w:val="false"/>
                <w:bCs w:val="false"/>
                <w:i w:val="false"/>
                <w:iCs w:val="false"/>
                <w:sz w:val="20"/>
                <w:szCs w:val="20"/>
              </w:rPr>
              <w:t xml:space="preserve"> (Haftpflicht plus Kasko) 2.241–2.922 $ im Jahr. Die deutsche SF-Klasse zählt meist nicht, und ohne Kredithistorie sind die Zinsen hoch.</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Die US-Grenze liegt bei 0,08 % BAC (Blutalkoholkonzentration), das sind 0,8 Promille. Ein </w:t>
            </w:r>
            <w:r>
              <w:rPr>
                <w:rFonts w:eastAsia="Cambria" w:cs="Cambria"/>
                <w:b w:val="false"/>
                <w:bCs w:val="false"/>
                <w:i/>
                <w:iCs/>
                <w:sz w:val="20"/>
                <w:szCs w:val="20"/>
              </w:rPr>
              <w:t>DUI</w:t>
            </w:r>
            <w:r>
              <w:rPr>
                <w:rFonts w:eastAsia="Cambria" w:cs="Cambria"/>
                <w:b w:val="false"/>
                <w:bCs w:val="false"/>
                <w:i w:val="false"/>
                <w:iCs w:val="false"/>
                <w:sz w:val="20"/>
                <w:szCs w:val="20"/>
              </w:rPr>
              <w:t xml:space="preserve"> (Fahren unter Alkoholeinfluss) kann deinen Aufenthaltsstatus gefährden.</w:t>
            </w:r>
          </w:p>
          <w:p>
            <w:pPr>
              <w:pStyle w:val="ListParagraph"/>
              <w:numPr>
                <w:ilvl w:val="0"/>
                <w:numId w:val="1"/>
              </w:numPr>
              <w:spacing w:lineRule="exact" w:line="264" w:before="0" w:after="50"/>
              <w:rPr/>
            </w:pPr>
            <w:r>
              <w:rPr>
                <w:rFonts w:eastAsia="Cambria" w:cs="Cambria"/>
                <w:b w:val="false"/>
                <w:bCs w:val="false"/>
                <w:i w:val="false"/>
                <w:iCs w:val="false"/>
                <w:sz w:val="20"/>
                <w:szCs w:val="20"/>
              </w:rPr>
              <w:t>Ein Auto aus Deutschland mitzubringen lohnt fast nie.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Wie lange dein deutscher Führerschein gilt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Den Führerschein regelt nicht der Bund, sondern jeder der 50 Staaten. Verbreiteter Irrtum: Der deutsche Führerschein gelte in den USA quasi so lange wie zu Hause. Tatsächlich ist es nur eine befristete Duldung: Nach den Angaben des Auswärtigen Amts und des Generalkonsulats Chicago (Stand Juni 2025) gilt der deutsche Führerschein nach der Einreise in der Regel 90 Tage, unter Bedingungen bis zu einem Jahr. Danach brauchst du die Lizenz des Staates, in dem du wohnst.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w:t>
      </w:r>
      <w:r>
        <w:rPr>
          <w:rFonts w:eastAsia="Cambria" w:cs="Cambria"/>
          <w:b w:val="false"/>
          <w:bCs w:val="false"/>
          <w:i/>
          <w:iCs/>
          <w:sz w:val="22"/>
          <w:szCs w:val="22"/>
        </w:rPr>
        <w:t>Internationale Führerschein</w:t>
      </w:r>
      <w:r>
        <w:rPr>
          <w:rFonts w:eastAsia="Cambria" w:cs="Cambria"/>
          <w:b w:val="false"/>
          <w:bCs w:val="false"/>
          <w:i w:val="false"/>
          <w:iCs w:val="false"/>
          <w:sz w:val="22"/>
          <w:szCs w:val="22"/>
        </w:rPr>
        <w:t xml:space="preserve"> (</w:t>
      </w:r>
      <w:r>
        <w:rPr>
          <w:rFonts w:eastAsia="Cambria" w:cs="Cambria"/>
          <w:b w:val="false"/>
          <w:bCs w:val="false"/>
          <w:i/>
          <w:iCs/>
          <w:sz w:val="22"/>
          <w:szCs w:val="22"/>
        </w:rPr>
        <w:t>International Driving Permit</w:t>
      </w:r>
      <w:r>
        <w:rPr>
          <w:rFonts w:eastAsia="Cambria" w:cs="Cambria"/>
          <w:b w:val="false"/>
          <w:bCs w:val="false"/>
          <w:i w:val="false"/>
          <w:iCs w:val="false"/>
          <w:sz w:val="22"/>
          <w:szCs w:val="22"/>
        </w:rPr>
        <w:t>, IDP) ist eine mehrsprachige Übersetzung des deutschen Führerscheins. Das Auswärtige Amt empfiehlt ihn dringend, in einigen Staaten ist er Pflicht. Er ersetzt den deutschen Führerschein nicht; North Carolina erkennt ihn nach eigener Angabe gar nicht an und verlangt einen gültigen Führerschein deines Landes. Du führst beide Dokumente mit und beantragst ihn vor dem Abflug bei deiner Führerscheinstelle; Gebühr und Gültigkeit erfährst du dort.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Wichtiger als die 90 Tage ist die Frist für neue Einwohner, sie beginnt nicht mit der Landung, sondern mit der Wohnsitznahme, die jeder Staat selbst definiert — im Zweifel zählt der Tag, an dem du dort deinen Wohnsitz begründest.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Kalifornien gibt neuen Einwohnern nur zehn Tage. Wer die Frist seines Staates verpasst, fährt ohne gültige Lizenz und riskiert Bußgelder und Ärger mit dem Versicherer. Prüfe die Frist, bevor du fliegst, nicht danach.</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Umschreiben oder Prüfung: Die Lage nach Bundesstaat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Hat ein Staat ein Abkommen (</w:t>
      </w:r>
      <w:r>
        <w:rPr>
          <w:rFonts w:eastAsia="Cambria" w:cs="Cambria"/>
          <w:b w:val="false"/>
          <w:bCs w:val="false"/>
          <w:i/>
          <w:iCs/>
          <w:sz w:val="22"/>
          <w:szCs w:val="22"/>
        </w:rPr>
        <w:t>Reciprocity</w:t>
      </w:r>
      <w:r>
        <w:rPr>
          <w:rFonts w:eastAsia="Cambria" w:cs="Cambria"/>
          <w:b w:val="false"/>
          <w:bCs w:val="false"/>
          <w:i w:val="false"/>
          <w:iCs w:val="false"/>
          <w:sz w:val="22"/>
          <w:szCs w:val="22"/>
        </w:rPr>
        <w:t>) mit Deutschland, tauschst du den deutschen Führerschein gegen eine US-Lizenz, ohne Wissens- und Fahrprüfung abzulegen. Ohne Abkommen musst du beide Prüfungen bestehen. Die Tabelle fasst zusammen, was Behörden, Konsulate und Ratgeber nennen (Stand September 2026).</w:t>
      </w:r>
    </w:p>
    <w:tbl>
      <w:tblPr>
        <w:tblW w:w="6480" w:type="dxa"/>
        <w:jc w:val="left"/>
        <w:tblInd w:w="0" w:type="dxa"/>
        <w:tblLayout w:type="fixed"/>
        <w:tblCellMar>
          <w:top w:w="50" w:type="dxa"/>
          <w:left w:w="80" w:type="dxa"/>
          <w:bottom w:w="50" w:type="dxa"/>
          <w:right w:w="80" w:type="dxa"/>
        </w:tblCellMar>
      </w:tblPr>
      <w:tblGrid>
        <w:gridCol w:w="1001"/>
        <w:gridCol w:w="3798"/>
        <w:gridCol w:w="1681"/>
      </w:tblGrid>
      <w:tr>
        <w:trPr>
          <w:tblHeader w:val="true"/>
          <w:cantSplit w:val="true"/>
        </w:trPr>
        <w:tc>
          <w:tcPr>
            <w:tcW w:w="100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Staat</w:t>
            </w:r>
          </w:p>
        </w:tc>
        <w:tc>
          <w:tcPr>
            <w:tcW w:w="379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Deutscher Führerschein</w:t>
            </w:r>
          </w:p>
        </w:tc>
        <w:tc>
          <w:tcPr>
            <w:tcW w:w="168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Frist ab Wohnsitznahme</w:t>
            </w:r>
          </w:p>
        </w:tc>
      </w:tr>
      <w:tr>
        <w:trPr>
          <w:cantSplit w:val="true"/>
        </w:trPr>
        <w:tc>
          <w:tcPr>
            <w:tcW w:w="1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Arizona</w:t>
            </w:r>
          </w:p>
        </w:tc>
        <w:tc>
          <w:tcPr>
            <w:tcW w:w="37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Umtausch ohne Prüfungen</w:t>
            </w:r>
          </w:p>
        </w:tc>
        <w:tc>
          <w:tcPr>
            <w:tcW w:w="16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beim DMV erfragen</w:t>
            </w:r>
          </w:p>
        </w:tc>
      </w:tr>
      <w:tr>
        <w:trPr>
          <w:cantSplit w:val="true"/>
        </w:trPr>
        <w:tc>
          <w:tcPr>
            <w:tcW w:w="1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Colorado</w:t>
            </w:r>
          </w:p>
        </w:tc>
        <w:tc>
          <w:tcPr>
            <w:tcW w:w="37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Umtausch ohne Prüfungen</w:t>
            </w:r>
          </w:p>
        </w:tc>
        <w:tc>
          <w:tcPr>
            <w:tcW w:w="16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beim DMV erfragen</w:t>
            </w:r>
          </w:p>
        </w:tc>
      </w:tr>
      <w:tr>
        <w:trPr>
          <w:cantSplit w:val="true"/>
        </w:trPr>
        <w:tc>
          <w:tcPr>
            <w:tcW w:w="1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Illinois</w:t>
            </w:r>
          </w:p>
        </w:tc>
        <w:tc>
          <w:tcPr>
            <w:tcW w:w="37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 Regelfall ohne Prüfung</w:t>
            </w:r>
          </w:p>
        </w:tc>
        <w:tc>
          <w:tcPr>
            <w:tcW w:w="16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beim DMV erfragen</w:t>
            </w:r>
          </w:p>
        </w:tc>
      </w:tr>
      <w:tr>
        <w:trPr>
          <w:cantSplit w:val="true"/>
        </w:trPr>
        <w:tc>
          <w:tcPr>
            <w:tcW w:w="1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Massachusetts</w:t>
            </w:r>
          </w:p>
        </w:tc>
        <w:tc>
          <w:tcPr>
            <w:tcW w:w="37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Prüfung, mit Konsulatsbescheinigung</w:t>
            </w:r>
          </w:p>
        </w:tc>
        <w:tc>
          <w:tcPr>
            <w:tcW w:w="16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beim DMV erfragen</w:t>
            </w:r>
          </w:p>
        </w:tc>
      </w:tr>
      <w:tr>
        <w:trPr>
          <w:cantSplit w:val="true"/>
        </w:trPr>
        <w:tc>
          <w:tcPr>
            <w:tcW w:w="1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Michigan</w:t>
            </w:r>
          </w:p>
        </w:tc>
        <w:tc>
          <w:tcPr>
            <w:tcW w:w="37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 Regelfall ohne Prüfung</w:t>
            </w:r>
          </w:p>
        </w:tc>
        <w:tc>
          <w:tcPr>
            <w:tcW w:w="16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beim DMV erfragen</w:t>
            </w:r>
          </w:p>
        </w:tc>
      </w:tr>
      <w:tr>
        <w:trPr>
          <w:cantSplit w:val="true"/>
        </w:trPr>
        <w:tc>
          <w:tcPr>
            <w:tcW w:w="1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Texas</w:t>
            </w:r>
          </w:p>
        </w:tc>
        <w:tc>
          <w:tcPr>
            <w:tcW w:w="37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Prüfungen, evtl. Übersetzung</w:t>
            </w:r>
          </w:p>
        </w:tc>
        <w:tc>
          <w:tcPr>
            <w:tcW w:w="16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90 Tage</w:t>
            </w:r>
          </w:p>
        </w:tc>
      </w:tr>
      <w:tr>
        <w:trPr>
          <w:cantSplit w:val="true"/>
        </w:trPr>
        <w:tc>
          <w:tcPr>
            <w:tcW w:w="1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Virginia</w:t>
            </w:r>
          </w:p>
        </w:tc>
        <w:tc>
          <w:tcPr>
            <w:tcW w:w="37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Fahrprüfung</w:t>
            </w:r>
          </w:p>
        </w:tc>
        <w:tc>
          <w:tcPr>
            <w:tcW w:w="16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beim DMV erfragen</w:t>
            </w:r>
          </w:p>
        </w:tc>
      </w:tr>
      <w:tr>
        <w:trPr>
          <w:cantSplit w:val="true"/>
        </w:trPr>
        <w:tc>
          <w:tcPr>
            <w:tcW w:w="1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Washington</w:t>
            </w:r>
          </w:p>
        </w:tc>
        <w:tc>
          <w:tcPr>
            <w:tcW w:w="37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Prüfung</w:t>
            </w:r>
          </w:p>
        </w:tc>
        <w:tc>
          <w:tcPr>
            <w:tcW w:w="16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 Tage</w:t>
            </w:r>
          </w:p>
        </w:tc>
      </w:tr>
      <w:tr>
        <w:trPr>
          <w:cantSplit w:val="true"/>
        </w:trPr>
        <w:tc>
          <w:tcPr>
            <w:tcW w:w="1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Oregon</w:t>
            </w:r>
          </w:p>
        </w:tc>
        <w:tc>
          <w:tcPr>
            <w:tcW w:w="37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Wissenstest entfällt, Fahrprüfung nur unter Bedingungen</w:t>
            </w:r>
          </w:p>
        </w:tc>
        <w:tc>
          <w:tcPr>
            <w:tcW w:w="16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beim DMV erfragen</w:t>
            </w:r>
          </w:p>
        </w:tc>
      </w:tr>
      <w:tr>
        <w:trPr>
          <w:cantSplit w:val="true"/>
        </w:trPr>
        <w:tc>
          <w:tcPr>
            <w:tcW w:w="1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Kalifornien</w:t>
            </w:r>
          </w:p>
        </w:tc>
        <w:tc>
          <w:tcPr>
            <w:tcW w:w="37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Wissens- und Fahrprüfung</w:t>
            </w:r>
          </w:p>
        </w:tc>
        <w:tc>
          <w:tcPr>
            <w:tcW w:w="16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 Tage</w:t>
            </w:r>
          </w:p>
        </w:tc>
      </w:tr>
      <w:tr>
        <w:trPr>
          <w:cantSplit w:val="true"/>
        </w:trPr>
        <w:tc>
          <w:tcPr>
            <w:tcW w:w="1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 York</w:t>
            </w:r>
          </w:p>
        </w:tc>
        <w:tc>
          <w:tcPr>
            <w:tcW w:w="37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Wissenstest, Fahrprüfung, 5-Stunden-Kurs</w:t>
            </w:r>
          </w:p>
        </w:tc>
        <w:tc>
          <w:tcPr>
            <w:tcW w:w="16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beim DMV erfragen</w:t>
            </w:r>
          </w:p>
        </w:tc>
      </w:tr>
      <w:tr>
        <w:trPr>
          <w:cantSplit w:val="true"/>
        </w:trPr>
        <w:tc>
          <w:tcPr>
            <w:tcW w:w="1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Utah</w:t>
            </w:r>
          </w:p>
        </w:tc>
        <w:tc>
          <w:tcPr>
            <w:tcW w:w="37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Prüfungen (Deutschland nicht gelistet)</w:t>
            </w:r>
          </w:p>
        </w:tc>
        <w:tc>
          <w:tcPr>
            <w:tcW w:w="16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beim DMV erfragen</w:t>
            </w:r>
          </w:p>
        </w:tc>
      </w:tr>
      <w:tr>
        <w:trPr>
          <w:cantSplit w:val="true"/>
        </w:trPr>
        <w:tc>
          <w:tcPr>
            <w:tcW w:w="1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Georgia</w:t>
            </w:r>
          </w:p>
        </w:tc>
        <w:tc>
          <w:tcPr>
            <w:tcW w:w="37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Prüfungen zu erwarten (Deutschland nicht gelistet)</w:t>
            </w:r>
          </w:p>
        </w:tc>
        <w:tc>
          <w:tcPr>
            <w:tcW w:w="16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beim DMV erfragen</w:t>
            </w:r>
          </w:p>
        </w:tc>
      </w:tr>
      <w:tr>
        <w:trPr>
          <w:cantSplit w:val="true"/>
        </w:trPr>
        <w:tc>
          <w:tcPr>
            <w:tcW w:w="1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North Carolina</w:t>
            </w:r>
          </w:p>
        </w:tc>
        <w:tc>
          <w:tcPr>
            <w:tcW w:w="37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Verzicht nur für US-Lizenzen genannt</w:t>
            </w:r>
          </w:p>
        </w:tc>
        <w:tc>
          <w:tcPr>
            <w:tcW w:w="16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60 Tage</w:t>
            </w:r>
          </w:p>
        </w:tc>
      </w:tr>
      <w:tr>
        <w:trPr>
          <w:cantSplit w:val="true"/>
        </w:trPr>
        <w:tc>
          <w:tcPr>
            <w:tcW w:w="10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Florida</w:t>
            </w:r>
          </w:p>
        </w:tc>
        <w:tc>
          <w:tcPr>
            <w:tcW w:w="37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ermittelt</w:t>
            </w:r>
          </w:p>
        </w:tc>
        <w:tc>
          <w:tcPr>
            <w:tcW w:w="16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 Tage</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Maryland nennen Ratgeber ebenfalls den Umtausch ohne Prüfung. Für alle übrigen Staaten und jede Abweichung gilt: Suche auf der Behördenseite nach </w:t>
      </w:r>
      <w:r>
        <w:rPr>
          <w:rFonts w:eastAsia="Cambria" w:cs="Cambria"/>
          <w:b w:val="false"/>
          <w:bCs w:val="false"/>
          <w:i/>
          <w:iCs/>
          <w:sz w:val="22"/>
          <w:szCs w:val="22"/>
        </w:rPr>
        <w:t>foreign license</w:t>
      </w:r>
      <w:r>
        <w:rPr>
          <w:rFonts w:eastAsia="Cambria" w:cs="Cambria"/>
          <w:b w:val="false"/>
          <w:bCs w:val="false"/>
          <w:i w:val="false"/>
          <w:iCs w:val="false"/>
          <w:sz w:val="22"/>
          <w:szCs w:val="22"/>
        </w:rPr>
        <w:t xml:space="preserve">, </w:t>
      </w:r>
      <w:r>
        <w:rPr>
          <w:rFonts w:eastAsia="Cambria" w:cs="Cambria"/>
          <w:b w:val="false"/>
          <w:bCs w:val="false"/>
          <w:i/>
          <w:iCs/>
          <w:sz w:val="22"/>
          <w:szCs w:val="22"/>
        </w:rPr>
        <w:t>out-of-country</w:t>
      </w:r>
      <w:r>
        <w:rPr>
          <w:rFonts w:eastAsia="Cambria" w:cs="Cambria"/>
          <w:b w:val="false"/>
          <w:bCs w:val="false"/>
          <w:i w:val="false"/>
          <w:iCs w:val="false"/>
          <w:sz w:val="22"/>
          <w:szCs w:val="22"/>
        </w:rPr>
        <w:t xml:space="preserve"> oder </w:t>
      </w:r>
      <w:r>
        <w:rPr>
          <w:rFonts w:eastAsia="Cambria" w:cs="Cambria"/>
          <w:b w:val="false"/>
          <w:bCs w:val="false"/>
          <w:i/>
          <w:iCs/>
          <w:sz w:val="22"/>
          <w:szCs w:val="22"/>
        </w:rPr>
        <w:t>reciprocity</w:t>
      </w:r>
      <w:r>
        <w:rPr>
          <w:rFonts w:eastAsia="Cambria" w:cs="Cambria"/>
          <w:b w:val="false"/>
          <w:bCs w:val="false"/>
          <w:i w:val="false"/>
          <w:iCs w:val="false"/>
          <w:sz w:val="22"/>
          <w:szCs w:val="22"/>
        </w:rPr>
        <w:t xml:space="preserve"> und frage vor dem Termin nach — die Listen ändern sich. Die Behörde heißt nicht überall </w:t>
      </w:r>
      <w:r>
        <w:rPr>
          <w:rFonts w:eastAsia="Cambria" w:cs="Cambria"/>
          <w:b w:val="false"/>
          <w:bCs w:val="false"/>
          <w:i/>
          <w:iCs/>
          <w:sz w:val="22"/>
          <w:szCs w:val="22"/>
        </w:rPr>
        <w:t>DMV</w:t>
      </w:r>
      <w:r>
        <w:rPr>
          <w:rFonts w:eastAsia="Cambria" w:cs="Cambria"/>
          <w:b w:val="false"/>
          <w:bCs w:val="false"/>
          <w:i w:val="false"/>
          <w:iCs w:val="false"/>
          <w:sz w:val="22"/>
          <w:szCs w:val="22"/>
        </w:rPr>
        <w:t xml:space="preserve"> (</w:t>
      </w:r>
      <w:r>
        <w:rPr>
          <w:rFonts w:eastAsia="Cambria" w:cs="Cambria"/>
          <w:b w:val="false"/>
          <w:bCs w:val="false"/>
          <w:i/>
          <w:iCs/>
          <w:sz w:val="22"/>
          <w:szCs w:val="22"/>
        </w:rPr>
        <w:t>Department of Motor Vehicles</w:t>
      </w:r>
      <w:r>
        <w:rPr>
          <w:rFonts w:eastAsia="Cambria" w:cs="Cambria"/>
          <w:b w:val="false"/>
          <w:bCs w:val="false"/>
          <w:i w:val="false"/>
          <w:iCs w:val="false"/>
          <w:sz w:val="22"/>
          <w:szCs w:val="22"/>
        </w:rPr>
        <w:t xml:space="preserve">, die Kfz- und Führerscheinbehörde): In Texas ist es die DPS, in Washington die DOL, in Massachusetts die RMV, in Michigan und Illinois das Büro des </w:t>
      </w:r>
      <w:r>
        <w:rPr>
          <w:rFonts w:eastAsia="Cambria" w:cs="Cambria"/>
          <w:b w:val="false"/>
          <w:bCs w:val="false"/>
          <w:i/>
          <w:iCs/>
          <w:sz w:val="22"/>
          <w:szCs w:val="22"/>
        </w:rPr>
        <w:t>Secretary of State</w:t>
      </w:r>
      <w:r>
        <w:rPr>
          <w:rFonts w:eastAsia="Cambria" w:cs="Cambria"/>
          <w:b w:val="false"/>
          <w:bCs w:val="false"/>
          <w:i w:val="false"/>
          <w:iCs w:val="false"/>
          <w:sz w:val="22"/>
          <w:szCs w:val="22"/>
        </w:rPr>
        <w:t>. Im Buch steht „DMV“ für sie alle.</w:t>
      </w:r>
    </w:p>
    <w:p>
      <w:pPr>
        <w:pStyle w:val="Heading3"/>
        <w:keepNext w:val="true"/>
        <w:spacing w:before="280" w:after="100"/>
        <w:jc w:val="center"/>
        <w:rPr/>
      </w:pPr>
      <w:r>
        <w:rPr>
          <w:rFonts w:eastAsia="Amazon Ember" w:cs="Amazon Ember" w:ascii="Amazon Ember" w:hAnsi="Amazon Ember"/>
          <w:b/>
          <w:bCs/>
          <w:color w:val="0000FF"/>
          <w:sz w:val="36"/>
          <w:szCs w:val="36"/>
        </w:rPr>
        <w:t>Der Weg zur US-Lizenz Schritt für Schritt</w:t>
      </w:r>
    </w:p>
    <w:p>
      <w:pPr>
        <w:pStyle w:val="ListParagraph"/>
        <w:numPr>
          <w:ilvl w:val="0"/>
          <w:numId w:val="159"/>
        </w:numPr>
        <w:spacing w:lineRule="exact" w:line="288" w:before="0" w:after="60"/>
        <w:rPr/>
      </w:pPr>
      <w:r>
        <w:rPr>
          <w:rFonts w:eastAsia="Cambria" w:cs="Cambria"/>
          <w:b/>
          <w:bCs/>
          <w:i w:val="false"/>
          <w:iCs w:val="false"/>
          <w:sz w:val="22"/>
          <w:szCs w:val="22"/>
        </w:rPr>
        <w:t>Termin buchen:</w:t>
      </w:r>
      <w:r>
        <w:rPr>
          <w:rFonts w:eastAsia="Cambria" w:cs="Cambria"/>
          <w:b w:val="false"/>
          <w:bCs w:val="false"/>
          <w:i w:val="false"/>
          <w:iCs w:val="false"/>
          <w:sz w:val="22"/>
          <w:szCs w:val="22"/>
        </w:rPr>
        <w:t xml:space="preserve"> Fast alle Behörden vergeben Termine online, oft mit mehreren Wochen Vorlauf. Buche in der ersten Woche.</w:t>
      </w:r>
    </w:p>
    <w:p>
      <w:pPr>
        <w:pStyle w:val="ListParagraph"/>
        <w:numPr>
          <w:ilvl w:val="0"/>
          <w:numId w:val="160"/>
        </w:numPr>
        <w:spacing w:lineRule="exact" w:line="288" w:before="0" w:after="60"/>
        <w:rPr/>
      </w:pPr>
      <w:r>
        <w:rPr>
          <w:rFonts w:eastAsia="Cambria" w:cs="Cambria"/>
          <w:b/>
          <w:bCs/>
          <w:i w:val="false"/>
          <w:iCs w:val="false"/>
          <w:sz w:val="22"/>
          <w:szCs w:val="22"/>
        </w:rPr>
        <w:t>SSN klären:</w:t>
      </w:r>
      <w:r>
        <w:rPr>
          <w:rFonts w:eastAsia="Cambria" w:cs="Cambria"/>
          <w:b w:val="false"/>
          <w:bCs w:val="false"/>
          <w:i w:val="false"/>
          <w:iCs w:val="false"/>
          <w:sz w:val="22"/>
          <w:szCs w:val="22"/>
        </w:rPr>
        <w:t xml:space="preserve"> Viele Staaten verlangen die </w:t>
      </w:r>
      <w:r>
        <w:rPr>
          <w:rFonts w:eastAsia="Cambria" w:cs="Cambria"/>
          <w:b w:val="false"/>
          <w:bCs w:val="false"/>
          <w:i/>
          <w:iCs/>
          <w:sz w:val="22"/>
          <w:szCs w:val="22"/>
        </w:rPr>
        <w:t>Social Security Number</w:t>
      </w:r>
      <w:r>
        <w:rPr>
          <w:rFonts w:eastAsia="Cambria" w:cs="Cambria"/>
          <w:b w:val="false"/>
          <w:bCs w:val="false"/>
          <w:i w:val="false"/>
          <w:iCs w:val="false"/>
          <w:sz w:val="22"/>
          <w:szCs w:val="22"/>
        </w:rPr>
        <w:t xml:space="preserve"> oder den Nachweis, dass du keine bekommst (Kapitel </w:t>
      </w:r>
      <w:hyperlink w:anchor="k24">
        <w:r>
          <w:rPr>
            <w:rStyle w:val="ListLabel115"/>
            <w:rFonts w:eastAsia="Cambria" w:cs="Cambria"/>
            <w:b w:val="false"/>
            <w:bCs w:val="false"/>
            <w:i w:val="false"/>
            <w:iCs w:val="false"/>
            <w:sz w:val="22"/>
            <w:szCs w:val="22"/>
          </w:rPr>
          <w:t>24</w:t>
        </w:r>
      </w:hyperlink>
      <w:r>
        <w:rPr>
          <w:rFonts w:eastAsia="Cambria" w:cs="Cambria"/>
          <w:b w:val="false"/>
          <w:bCs w:val="false"/>
          <w:i w:val="false"/>
          <w:iCs w:val="false"/>
          <w:sz w:val="22"/>
          <w:szCs w:val="22"/>
        </w:rPr>
        <w:t>).</w:t>
      </w:r>
    </w:p>
    <w:p>
      <w:pPr>
        <w:pStyle w:val="ListParagraph"/>
        <w:numPr>
          <w:ilvl w:val="0"/>
          <w:numId w:val="161"/>
        </w:numPr>
        <w:spacing w:lineRule="exact" w:line="288" w:before="0" w:after="60"/>
        <w:rPr/>
      </w:pPr>
      <w:r>
        <w:rPr>
          <w:rFonts w:eastAsia="Cambria" w:cs="Cambria"/>
          <w:b/>
          <w:bCs/>
          <w:i w:val="false"/>
          <w:iCs w:val="false"/>
          <w:sz w:val="22"/>
          <w:szCs w:val="22"/>
        </w:rPr>
        <w:t>Unterlagen:</w:t>
      </w:r>
      <w:r>
        <w:rPr>
          <w:rFonts w:eastAsia="Cambria" w:cs="Cambria"/>
          <w:b w:val="false"/>
          <w:bCs w:val="false"/>
          <w:i w:val="false"/>
          <w:iCs w:val="false"/>
          <w:sz w:val="22"/>
          <w:szCs w:val="22"/>
        </w:rPr>
        <w:t xml:space="preserve"> Reisepass, Nachweis des legalen Aufenthalts (Visum und I-94 oder Green Card), Wohnsitznachweise, der deutsche Führerschein (er sollte noch mindestens 60 Tage gültig sein) und die Gebühr, die je Staat verschieden ist.</w:t>
      </w:r>
    </w:p>
    <w:p>
      <w:pPr>
        <w:pStyle w:val="ListParagraph"/>
        <w:numPr>
          <w:ilvl w:val="0"/>
          <w:numId w:val="162"/>
        </w:numPr>
        <w:spacing w:lineRule="exact" w:line="288" w:before="0" w:after="60"/>
        <w:rPr/>
      </w:pPr>
      <w:r>
        <w:rPr>
          <w:rFonts w:eastAsia="Cambria" w:cs="Cambria"/>
          <w:b/>
          <w:bCs/>
          <w:i w:val="false"/>
          <w:iCs w:val="false"/>
          <w:sz w:val="22"/>
          <w:szCs w:val="22"/>
        </w:rPr>
        <w:t>Vor Ort:</w:t>
      </w:r>
      <w:r>
        <w:rPr>
          <w:rFonts w:eastAsia="Cambria" w:cs="Cambria"/>
          <w:b w:val="false"/>
          <w:bCs w:val="false"/>
          <w:i w:val="false"/>
          <w:iCs w:val="false"/>
          <w:sz w:val="22"/>
          <w:szCs w:val="22"/>
        </w:rPr>
        <w:t xml:space="preserve"> Sehtest und gegebenenfalls Wissens- und Fahrprüfung. Für die Fahrprüfung brauchst du ein versichertes Auto und eine Begleitperson mit Führerschein.</w:t>
      </w:r>
    </w:p>
    <w:p>
      <w:pPr>
        <w:pStyle w:val="ListParagraph"/>
        <w:numPr>
          <w:ilvl w:val="0"/>
          <w:numId w:val="163"/>
        </w:numPr>
        <w:spacing w:lineRule="exact" w:line="288" w:before="0" w:after="60"/>
        <w:rPr/>
      </w:pPr>
      <w:r>
        <w:rPr>
          <w:rFonts w:eastAsia="Cambria" w:cs="Cambria"/>
          <w:b/>
          <w:bCs/>
          <w:i w:val="false"/>
          <w:iCs w:val="false"/>
          <w:sz w:val="22"/>
          <w:szCs w:val="22"/>
        </w:rPr>
        <w:t>Ergebnis:</w:t>
      </w:r>
      <w:r>
        <w:rPr>
          <w:rFonts w:eastAsia="Cambria" w:cs="Cambria"/>
          <w:b w:val="false"/>
          <w:bCs w:val="false"/>
          <w:i w:val="false"/>
          <w:iCs w:val="false"/>
          <w:sz w:val="22"/>
          <w:szCs w:val="22"/>
        </w:rPr>
        <w:t xml:space="preserve"> Die Lizenz von Nichtbürgern ist meist auf die Dauer des Aufenthalts befristet (</w:t>
      </w:r>
      <w:r>
        <w:rPr>
          <w:rFonts w:eastAsia="Cambria" w:cs="Cambria"/>
          <w:b w:val="false"/>
          <w:bCs w:val="false"/>
          <w:i/>
          <w:iCs/>
          <w:sz w:val="22"/>
          <w:szCs w:val="22"/>
        </w:rPr>
        <w:t>Limited Term</w:t>
      </w:r>
      <w:r>
        <w:rPr>
          <w:rFonts w:eastAsia="Cambria" w:cs="Cambria"/>
          <w:b w:val="false"/>
          <w:bCs w:val="false"/>
          <w:i w:val="false"/>
          <w:iCs w:val="false"/>
          <w:sz w:val="22"/>
          <w:szCs w:val="22"/>
        </w:rPr>
        <w:t>), etwa bis zum Ende deines H-1B-Zeitraums.</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Einige Staaten verlangen bei vorübergehendem Aufenthalt zusätzlich eine </w:t>
      </w:r>
      <w:r>
        <w:rPr>
          <w:rFonts w:eastAsia="Cambria" w:cs="Cambria"/>
          <w:b w:val="false"/>
          <w:bCs w:val="false"/>
          <w:i/>
          <w:iCs/>
          <w:sz w:val="22"/>
          <w:szCs w:val="22"/>
        </w:rPr>
        <w:t>Konsularische Führerscheinbescheinigung</w:t>
      </w:r>
      <w:r>
        <w:rPr>
          <w:rFonts w:eastAsia="Cambria" w:cs="Cambria"/>
          <w:b w:val="false"/>
          <w:bCs w:val="false"/>
          <w:i w:val="false"/>
          <w:iCs w:val="false"/>
          <w:sz w:val="22"/>
          <w:szCs w:val="22"/>
        </w:rPr>
        <w:t xml:space="preserve"> der deutschen Vertretung; ob deiner es tut, sagt das DMV. Das Generalkonsulat Chicago braucht dafür Auskünfte des Kraftfahrt-Bundesamts (KBA) aus dem Fahreignungsregister (FAER) und dem Zentralen Fahrerlaubnisregister (ZFER), höchstens vier Wochen alt, dazu Reisepass, Visum, Adressnachweis, SSN und 34,07 € (zahlbar in US-Dollar, Stand Juni 2025). Green-Card-Inhaber gehen direkt zum DMV. Frage außerdem, ob das DMV deine deutsche Karte behält, und mache vorher Kopien.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Sabine Keller (fiktiv) landet Anfang März in Seattle. Ihre Wohnung liegt nahe einer Haltestelle der Stadtbahn, ein Auto braucht sie zunächst nicht. Die Frist in Washington beträgt 30 Tage, also bucht sie in der ersten Woche einen Termin für Tag 24: Termine sind knapp, und bis dahin muss die SSN vorliegen. Beim </w:t>
            </w:r>
            <w:r>
              <w:rPr>
                <w:rFonts w:eastAsia="Cambria" w:cs="Cambria"/>
                <w:b w:val="false"/>
                <w:bCs w:val="false"/>
                <w:i/>
                <w:iCs/>
                <w:sz w:val="20"/>
                <w:szCs w:val="20"/>
              </w:rPr>
              <w:t>Department of Licensing</w:t>
            </w:r>
            <w:r>
              <w:rPr>
                <w:rFonts w:eastAsia="Cambria" w:cs="Cambria"/>
                <w:b w:val="false"/>
                <w:bCs w:val="false"/>
                <w:i w:val="false"/>
                <w:iCs w:val="false"/>
                <w:sz w:val="20"/>
                <w:szCs w:val="20"/>
              </w:rPr>
              <w:t xml:space="preserve"> legt sie den deutschen Führerschein vor, besteht den Sehtest und legt laut DOL keine Prüfung ab. Ihre neue Karte ist auf die Dauer ihres H-1B-Status befristet.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REAL ID und Inlandsflüge</w:t>
      </w:r>
    </w:p>
    <w:p>
      <w:pPr>
        <w:pStyle w:val="Normal"/>
        <w:keepNext w:val="false"/>
        <w:keepLines w:val="false"/>
        <w:spacing w:lineRule="exact" w:line="288" w:before="0" w:after="140"/>
        <w:jc w:val="left"/>
        <w:rPr/>
      </w:pPr>
      <w:r>
        <w:rPr>
          <w:rFonts w:eastAsia="Cambria" w:cs="Cambria"/>
          <w:b w:val="false"/>
          <w:bCs w:val="false"/>
          <w:i/>
          <w:iCs/>
          <w:sz w:val="22"/>
          <w:szCs w:val="22"/>
        </w:rPr>
        <w:t>REAL ID</w:t>
      </w:r>
      <w:r>
        <w:rPr>
          <w:rFonts w:eastAsia="Cambria" w:cs="Cambria"/>
          <w:b w:val="false"/>
          <w:bCs w:val="false"/>
          <w:i w:val="false"/>
          <w:iCs w:val="false"/>
          <w:sz w:val="22"/>
          <w:szCs w:val="22"/>
        </w:rPr>
        <w:t xml:space="preserve"> ist ein bundesweiter Sicherheitsstandard für Führerscheine, meist an einem Stern auf der Karte erkennbar. Seit dem 7. Mai 2025 verlangt die Flughafensicherheit TSA für Inlandsflüge eine REAL-ID-konforme Karte oder einen anderen akzeptierten Ausweis. Dein gültiger Reisepass genügt, ebenso die Green Card; ein deutscher Führerschein reicht nicht. Ohne akzeptierten Ausweis kostet das Ersatzverfahren </w:t>
      </w:r>
      <w:r>
        <w:rPr>
          <w:rFonts w:eastAsia="Cambria" w:cs="Cambria"/>
          <w:b w:val="false"/>
          <w:bCs w:val="false"/>
          <w:i/>
          <w:iCs/>
          <w:sz w:val="22"/>
          <w:szCs w:val="22"/>
        </w:rPr>
        <w:t>TSA ConfirmID</w:t>
      </w:r>
      <w:r>
        <w:rPr>
          <w:rFonts w:eastAsia="Cambria" w:cs="Cambria"/>
          <w:b w:val="false"/>
          <w:bCs w:val="false"/>
          <w:i w:val="false"/>
          <w:iCs w:val="false"/>
          <w:sz w:val="22"/>
          <w:szCs w:val="22"/>
        </w:rPr>
        <w:t xml:space="preserve"> seit 1. Februar 2026 45 $ und Zeit. Frage beim DMV-Termin nach einer REAL-ID-konformen Karte.</w:t>
      </w:r>
    </w:p>
    <w:p>
      <w:pPr>
        <w:pStyle w:val="Heading3"/>
        <w:keepNext w:val="true"/>
        <w:spacing w:before="280" w:after="100"/>
        <w:jc w:val="center"/>
        <w:rPr/>
      </w:pPr>
      <w:r>
        <w:rPr>
          <w:rFonts w:eastAsia="Amazon Ember" w:cs="Amazon Ember" w:ascii="Amazon Ember" w:hAnsi="Amazon Ember"/>
          <w:b/>
          <w:bCs/>
          <w:color w:val="0000FF"/>
          <w:sz w:val="36"/>
          <w:szCs w:val="36"/>
        </w:rPr>
        <w:t>Autokauf: Preis, Steuer und Gebühren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Neuwagen kostete im August 2026 im Schnitt 50.089 $ (Kelley Blue Book, erstmals über 50.000 $): ein Kompaktwagen (</w:t>
      </w:r>
      <w:r>
        <w:rPr>
          <w:rFonts w:eastAsia="Cambria" w:cs="Cambria"/>
          <w:b w:val="false"/>
          <w:bCs w:val="false"/>
          <w:i/>
          <w:iCs/>
          <w:sz w:val="22"/>
          <w:szCs w:val="22"/>
        </w:rPr>
        <w:t>Compact Car</w:t>
      </w:r>
      <w:r>
        <w:rPr>
          <w:rFonts w:eastAsia="Cambria" w:cs="Cambria"/>
          <w:b w:val="false"/>
          <w:bCs w:val="false"/>
          <w:i w:val="false"/>
          <w:iCs w:val="false"/>
          <w:sz w:val="22"/>
          <w:szCs w:val="22"/>
        </w:rPr>
        <w:t>) 27.997 $, ein kompakter SUV 37.722 $, ein großer Pickup 67.446 $. Gebrauchtwagen stehen im Schnitt für rund 27.000 $ im Inserat. Der ausgeschriebene Preis ist selten der Endpreis:</w:t>
      </w:r>
    </w:p>
    <w:tbl>
      <w:tblPr>
        <w:tblW w:w="6480" w:type="dxa"/>
        <w:jc w:val="left"/>
        <w:tblInd w:w="0" w:type="dxa"/>
        <w:tblLayout w:type="fixed"/>
        <w:tblCellMar>
          <w:top w:w="50" w:type="dxa"/>
          <w:left w:w="80" w:type="dxa"/>
          <w:bottom w:w="50" w:type="dxa"/>
          <w:right w:w="80" w:type="dxa"/>
        </w:tblCellMar>
      </w:tblPr>
      <w:tblGrid>
        <w:gridCol w:w="949"/>
        <w:gridCol w:w="2574"/>
        <w:gridCol w:w="2957"/>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Posten</w:t>
            </w:r>
          </w:p>
        </w:tc>
        <w:tc>
          <w:tcPr>
            <w:tcW w:w="257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dahintersteckt</w:t>
            </w:r>
          </w:p>
        </w:tc>
        <w:tc>
          <w:tcPr>
            <w:tcW w:w="295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Größenordnung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Sales Tax</w:t>
            </w:r>
          </w:p>
        </w:tc>
        <w:tc>
          <w:tcPr>
            <w:tcW w:w="25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Verkaufssteuer des Staates plus lokale Zuschläge</w:t>
            </w:r>
          </w:p>
        </w:tc>
        <w:tc>
          <w:tcPr>
            <w:tcW w:w="29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0 % bis ca. 10 %; keine allgemeine Sales Tax in Oregon, Montana, New Hampshire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Doc Fee</w:t>
            </w:r>
          </w:p>
        </w:tc>
        <w:tc>
          <w:tcPr>
            <w:tcW w:w="25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Bearbeitungsgebühr des Händlers</w:t>
            </w:r>
          </w:p>
        </w:tc>
        <w:tc>
          <w:tcPr>
            <w:tcW w:w="29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22 Staaten mit Deckel (Kalifornien 85 $, New York 175 $, Texas 225 $ als Richtwert, Illinois 377,63 $), sonst oft 500–999 $</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Zulassung</w:t>
            </w:r>
          </w:p>
        </w:tc>
        <w:tc>
          <w:tcPr>
            <w:tcW w:w="25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Title</w:t>
            </w:r>
            <w:r>
              <w:rPr>
                <w:rFonts w:eastAsia="Cambria" w:cs="Cambria"/>
                <w:b w:val="false"/>
                <w:bCs w:val="false"/>
                <w:i w:val="false"/>
                <w:iCs w:val="false"/>
                <w:sz w:val="18"/>
                <w:szCs w:val="18"/>
              </w:rPr>
              <w:t xml:space="preserve">, </w:t>
            </w:r>
            <w:r>
              <w:rPr>
                <w:rFonts w:eastAsia="Cambria" w:cs="Cambria"/>
                <w:b w:val="false"/>
                <w:bCs w:val="false"/>
                <w:i/>
                <w:iCs/>
                <w:sz w:val="18"/>
                <w:szCs w:val="18"/>
              </w:rPr>
              <w:t>Registration</w:t>
            </w:r>
            <w:r>
              <w:rPr>
                <w:rFonts w:eastAsia="Cambria" w:cs="Cambria"/>
                <w:b w:val="false"/>
                <w:bCs w:val="false"/>
                <w:i w:val="false"/>
                <w:iCs w:val="false"/>
                <w:sz w:val="18"/>
                <w:szCs w:val="18"/>
              </w:rPr>
              <w:t>, Kennzeichen</w:t>
            </w:r>
          </w:p>
        </w:tc>
        <w:tc>
          <w:tcPr>
            <w:tcW w:w="29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 Staat verschieden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Zusatzprodukte</w:t>
            </w:r>
          </w:p>
        </w:tc>
        <w:tc>
          <w:tcPr>
            <w:tcW w:w="25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Garantieverlängerung, Schutzpakete</w:t>
            </w:r>
          </w:p>
        </w:tc>
        <w:tc>
          <w:tcPr>
            <w:tcW w:w="29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meist verzichtbar</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kompakter SUV für 37.722 $ kostet mit 7 % Sales Tax und 400 $ Doc Fee rund 40.800 $, bevor die Zulassung dazukommt (eigene Rechnung). Verhandle deshalb den </w:t>
      </w:r>
      <w:r>
        <w:rPr>
          <w:rFonts w:eastAsia="Cambria" w:cs="Cambria"/>
          <w:b w:val="false"/>
          <w:bCs w:val="false"/>
          <w:i/>
          <w:iCs/>
          <w:sz w:val="22"/>
          <w:szCs w:val="22"/>
        </w:rPr>
        <w:t>Out-the-Door-Preis</w:t>
      </w:r>
      <w:r>
        <w:rPr>
          <w:rFonts w:eastAsia="Cambria" w:cs="Cambria"/>
          <w:b w:val="false"/>
          <w:bCs w:val="false"/>
          <w:i w:val="false"/>
          <w:iCs w:val="false"/>
          <w:sz w:val="22"/>
          <w:szCs w:val="22"/>
        </w:rPr>
        <w:t xml:space="preserve">, den Endpreis mit allen Steuern und Gebühren, und lass ihn schriftlich bestätigen. Bei Gebrauchten prüfst du die Fahrzeughistorie (z. B. </w:t>
      </w:r>
      <w:r>
        <w:rPr>
          <w:rFonts w:eastAsia="Cambria" w:cs="Cambria"/>
          <w:b w:val="false"/>
          <w:bCs w:val="false"/>
          <w:i/>
          <w:iCs/>
          <w:sz w:val="22"/>
          <w:szCs w:val="22"/>
        </w:rPr>
        <w:t>Carfax</w:t>
      </w:r>
      <w:r>
        <w:rPr>
          <w:rFonts w:eastAsia="Cambria" w:cs="Cambria"/>
          <w:b w:val="false"/>
          <w:bCs w:val="false"/>
          <w:i w:val="false"/>
          <w:iCs w:val="false"/>
          <w:sz w:val="22"/>
          <w:szCs w:val="22"/>
        </w:rPr>
        <w:t>) auf Vorschäden und lässt das Auto vor dem Kauf von einer unabhängigen Werkstatt ansehen.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Händler fragen gern zuerst: „Welche Monatsrate darf es sein?“ Damit lassen sich Preis, Laufzeit und Zins verstecken. Nenne keine Wunschrate, sondern verhandle zuerst den Out-the-Door-Preis und danach getrennt die Finanzierung.</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Erst SSN und Führerschein, dann Versicherung, dann Kauf, dann Zulassung. Händler und Kreditgeber verlangen vor der Übergabe fast immer einen Versicherungsnachweis, die Zulassung braucht ihn ebenfalls.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Finanzierung ohne Kredithistorie und Leasing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Als Neuankömmling hast du keine Kreditwürdigkeit im US-Sinn (</w:t>
      </w:r>
      <w:r>
        <w:rPr>
          <w:rFonts w:eastAsia="Cambria" w:cs="Cambria"/>
          <w:b w:val="false"/>
          <w:bCs w:val="false"/>
          <w:i/>
          <w:iCs/>
          <w:sz w:val="22"/>
          <w:szCs w:val="22"/>
        </w:rPr>
        <w:t>Credit Score</w:t>
      </w:r>
      <w:r>
        <w:rPr>
          <w:rFonts w:eastAsia="Cambria" w:cs="Cambria"/>
          <w:b w:val="false"/>
          <w:bCs w:val="false"/>
          <w:i w:val="false"/>
          <w:iCs w:val="false"/>
          <w:sz w:val="22"/>
          <w:szCs w:val="22"/>
        </w:rPr>
        <w:t>; wie du sie aufbaust, steht in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 Kreditgeber stufen dich deshalb oft niedrig ein; die Zinsen zeigen, was das kostet. Nach Experian (erstes Quartal 2026) lag der Durchschnittszins für Neuwagen bei 6,39 %:</w:t>
      </w:r>
    </w:p>
    <w:tbl>
      <w:tblPr>
        <w:tblW w:w="6480" w:type="dxa"/>
        <w:jc w:val="left"/>
        <w:tblInd w:w="0" w:type="dxa"/>
        <w:tblLayout w:type="fixed"/>
        <w:tblCellMar>
          <w:top w:w="50" w:type="dxa"/>
          <w:left w:w="80" w:type="dxa"/>
          <w:bottom w:w="50" w:type="dxa"/>
          <w:right w:w="80" w:type="dxa"/>
        </w:tblCellMar>
      </w:tblPr>
      <w:tblGrid>
        <w:gridCol w:w="3565"/>
        <w:gridCol w:w="2914"/>
      </w:tblGrid>
      <w:tr>
        <w:trPr>
          <w:tblHeader w:val="true"/>
          <w:cantSplit w:val="true"/>
        </w:trPr>
        <w:tc>
          <w:tcPr>
            <w:tcW w:w="356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Bonitätsgruppe</w:t>
            </w:r>
          </w:p>
        </w:tc>
        <w:tc>
          <w:tcPr>
            <w:tcW w:w="291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Zins Neuwagen</w:t>
            </w:r>
          </w:p>
        </w:tc>
      </w:tr>
      <w:tr>
        <w:trPr>
          <w:cantSplit w:val="true"/>
        </w:trPr>
        <w:tc>
          <w:tcPr>
            <w:tcW w:w="35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Superprime</w:t>
            </w:r>
          </w:p>
        </w:tc>
        <w:tc>
          <w:tcPr>
            <w:tcW w:w="291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4,55 %</w:t>
            </w:r>
          </w:p>
        </w:tc>
      </w:tr>
      <w:tr>
        <w:trPr>
          <w:cantSplit w:val="true"/>
        </w:trPr>
        <w:tc>
          <w:tcPr>
            <w:tcW w:w="35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Prime</w:t>
            </w:r>
          </w:p>
        </w:tc>
        <w:tc>
          <w:tcPr>
            <w:tcW w:w="291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6,23 %</w:t>
            </w:r>
          </w:p>
        </w:tc>
      </w:tr>
      <w:tr>
        <w:trPr>
          <w:cantSplit w:val="true"/>
        </w:trPr>
        <w:tc>
          <w:tcPr>
            <w:tcW w:w="35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Near-Prime</w:t>
            </w:r>
          </w:p>
        </w:tc>
        <w:tc>
          <w:tcPr>
            <w:tcW w:w="291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9,67 %</w:t>
            </w:r>
          </w:p>
        </w:tc>
      </w:tr>
      <w:tr>
        <w:trPr>
          <w:cantSplit w:val="true"/>
        </w:trPr>
        <w:tc>
          <w:tcPr>
            <w:tcW w:w="35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Subprime</w:t>
            </w:r>
          </w:p>
        </w:tc>
        <w:tc>
          <w:tcPr>
            <w:tcW w:w="291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13,44 %</w:t>
            </w:r>
          </w:p>
        </w:tc>
      </w:tr>
      <w:tr>
        <w:trPr>
          <w:cantSplit w:val="true"/>
        </w:trPr>
        <w:tc>
          <w:tcPr>
            <w:tcW w:w="35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Deep Subprime</w:t>
            </w:r>
          </w:p>
        </w:tc>
        <w:tc>
          <w:tcPr>
            <w:tcW w:w="291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16,01 %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Gebrauchtwagen lagen im Schnitt bei 11,43 %, in einer Spanne von 6,30 % bis 21,77 %. Bei 35.000 $ Kredit über 60 Monate ohne Anzahlung zahlst du bei 4,55 % rund 653 $ im Monat, bei 13,44 % rund 804 $: über die Laufzeit gut 9.000 $ mehr Zinsen (eigene Rechnung). Diese Ausgangslage lässt sich verbessern:</w:t>
      </w:r>
    </w:p>
    <w:p>
      <w:pPr>
        <w:pStyle w:val="ListParagraph"/>
        <w:numPr>
          <w:ilvl w:val="0"/>
          <w:numId w:val="1"/>
        </w:numPr>
        <w:spacing w:lineRule="exact" w:line="288" w:before="0" w:after="60"/>
        <w:rPr/>
      </w:pPr>
      <w:r>
        <w:rPr>
          <w:rFonts w:eastAsia="Cambria" w:cs="Cambria"/>
          <w:b/>
          <w:bCs/>
          <w:i w:val="false"/>
          <w:iCs w:val="false"/>
          <w:sz w:val="22"/>
          <w:szCs w:val="22"/>
        </w:rPr>
        <w:t>Anzahlung:</w:t>
      </w:r>
      <w:r>
        <w:rPr>
          <w:rFonts w:eastAsia="Cambria" w:cs="Cambria"/>
          <w:b w:val="false"/>
          <w:bCs w:val="false"/>
          <w:i w:val="false"/>
          <w:iCs w:val="false"/>
          <w:sz w:val="22"/>
          <w:szCs w:val="22"/>
        </w:rPr>
        <w:t xml:space="preserve"> 10–20 % senken Rate und Zins. Wer bar zahlen kann, umgeht das Problem.</w:t>
      </w:r>
    </w:p>
    <w:p>
      <w:pPr>
        <w:pStyle w:val="ListParagraph"/>
        <w:numPr>
          <w:ilvl w:val="0"/>
          <w:numId w:val="1"/>
        </w:numPr>
        <w:spacing w:lineRule="exact" w:line="288" w:before="0" w:after="60"/>
        <w:rPr/>
      </w:pPr>
      <w:r>
        <w:rPr>
          <w:rFonts w:eastAsia="Cambria" w:cs="Cambria"/>
          <w:b/>
          <w:bCs/>
          <w:i w:val="false"/>
          <w:iCs w:val="false"/>
          <w:sz w:val="22"/>
          <w:szCs w:val="22"/>
        </w:rPr>
        <w:t>Kreditunion oder Bank mit Vorbeziehung:</w:t>
      </w:r>
      <w:r>
        <w:rPr>
          <w:rFonts w:eastAsia="Cambria" w:cs="Cambria"/>
          <w:b w:val="false"/>
          <w:bCs w:val="false"/>
          <w:i w:val="false"/>
          <w:iCs w:val="false"/>
          <w:sz w:val="22"/>
          <w:szCs w:val="22"/>
        </w:rPr>
        <w:t xml:space="preserve"> Bei der Bank, auf die dein Gehalt geht, holst du dir vor dem Händlerbesuch eine Vorabgenehmigung (</w:t>
      </w:r>
      <w:r>
        <w:rPr>
          <w:rFonts w:eastAsia="Cambria" w:cs="Cambria"/>
          <w:b w:val="false"/>
          <w:bCs w:val="false"/>
          <w:i/>
          <w:iCs/>
          <w:sz w:val="22"/>
          <w:szCs w:val="22"/>
        </w:rPr>
        <w:t>Pre-Approval</w:t>
      </w:r>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Bürge (</w:t>
      </w:r>
      <w:r>
        <w:rPr>
          <w:rFonts w:eastAsia="Cambria" w:cs="Cambria"/>
          <w:b/>
          <w:bCs/>
          <w:i/>
          <w:iCs/>
          <w:sz w:val="22"/>
          <w:szCs w:val="22"/>
        </w:rPr>
        <w:t>Co-Signer</w:t>
      </w:r>
      <w:r>
        <w:rPr>
          <w:rFonts w:eastAsia="Cambria" w:cs="Cambria"/>
          <w:b/>
          <w:bCs/>
          <w:i w:val="false"/>
          <w:iCs w:val="false"/>
          <w:sz w:val="22"/>
          <w:szCs w:val="22"/>
        </w:rPr>
        <w:t>):</w:t>
      </w:r>
      <w:r>
        <w:rPr>
          <w:rFonts w:eastAsia="Cambria" w:cs="Cambria"/>
          <w:b w:val="false"/>
          <w:bCs w:val="false"/>
          <w:i w:val="false"/>
          <w:iCs w:val="false"/>
          <w:sz w:val="22"/>
          <w:szCs w:val="22"/>
        </w:rPr>
        <w:t xml:space="preserve"> Eine Person mit US-Bonität haftet mit.</w:t>
      </w:r>
    </w:p>
    <w:p>
      <w:pPr>
        <w:pStyle w:val="ListParagraph"/>
        <w:numPr>
          <w:ilvl w:val="0"/>
          <w:numId w:val="1"/>
        </w:numPr>
        <w:spacing w:lineRule="exact" w:line="288" w:before="0" w:after="60"/>
        <w:rPr/>
      </w:pPr>
      <w:r>
        <w:rPr>
          <w:rFonts w:eastAsia="Cambria" w:cs="Cambria"/>
          <w:b/>
          <w:bCs/>
          <w:i w:val="false"/>
          <w:iCs w:val="false"/>
          <w:sz w:val="22"/>
          <w:szCs w:val="22"/>
        </w:rPr>
        <w:t>Spezialanbieter:</w:t>
      </w:r>
      <w:r>
        <w:rPr>
          <w:rFonts w:eastAsia="Cambria" w:cs="Cambria"/>
          <w:b w:val="false"/>
          <w:bCs w:val="false"/>
          <w:i w:val="false"/>
          <w:iCs w:val="false"/>
          <w:sz w:val="22"/>
          <w:szCs w:val="22"/>
        </w:rPr>
        <w:t xml:space="preserve"> Manche prüfen Einkommen und Kontoverlauf statt des Scores; vergleiche die Zinsen genau.</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Verlangt werden meist Reisepass mit Visum, SSN oder ITIN, Adressnachweis, drei Monate Kontoauszüge, zwei bis drei Gehaltsabrechnungen und ein US-Bankkonto. Beim Leasing zahlst du den Wertverlust auf Zeit plus Zinsen, auch dafür brauchst du Bonität. Das Visum sollte die ganze Laufzeit abdecken, eine vorzeitige Beendigung ist teuer, und die Jahresmeilen sind begrenzt (oft 10.000–15.000 Meilen, ca. 16.000–24.000 km).</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Markus Brandt (fiktiv) hat in Michigan seinen deutschen Führerschein getauscht und findet einen zwei Jahre alten SUV für 27.000 $. Der Händler bietet ohne Kredithistorie 12,9 % über 60 Monate. Die Kreditunion, bei der sein Gehaltskonto liegt, bietet bei 20 % Anzahlung (5.400 $) 8,9 % auf die restlichen 21.600 $. Die Rate sinkt von rund 490 $ auf rund 447 $, die Zinsen über fünf Jahre um rund 2.580 $ (eigene Rechnung) – der Papierkram bei der Kreditunion dauert länger als der eigentliche Autokauf, aber die Ersparnis reicht locker für den nächsten Familienurlaub.</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Autoversicherung: Preis, Kredit und die SF-Klasse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fast allen Staaten ist die Haftpflicht (</w:t>
      </w:r>
      <w:r>
        <w:rPr>
          <w:rFonts w:eastAsia="Cambria" w:cs="Cambria"/>
          <w:b w:val="false"/>
          <w:bCs w:val="false"/>
          <w:i/>
          <w:iCs/>
          <w:sz w:val="22"/>
          <w:szCs w:val="22"/>
        </w:rPr>
        <w:t>Liability</w:t>
      </w:r>
      <w:r>
        <w:rPr>
          <w:rFonts w:eastAsia="Cambria" w:cs="Cambria"/>
          <w:b w:val="false"/>
          <w:bCs w:val="false"/>
          <w:i w:val="false"/>
          <w:iCs w:val="false"/>
          <w:sz w:val="22"/>
          <w:szCs w:val="22"/>
        </w:rPr>
        <w:t>) Pflicht, und ohne Versicherungsnachweis gibt es keine Zulassung. Der Vollschutz (</w:t>
      </w:r>
      <w:r>
        <w:rPr>
          <w:rFonts w:eastAsia="Cambria" w:cs="Cambria"/>
          <w:b w:val="false"/>
          <w:bCs w:val="false"/>
          <w:i/>
          <w:iCs/>
          <w:sz w:val="22"/>
          <w:szCs w:val="22"/>
        </w:rPr>
        <w:t>Full Coverage</w:t>
      </w:r>
      <w:r>
        <w:rPr>
          <w:rFonts w:eastAsia="Cambria" w:cs="Cambria"/>
          <w:b w:val="false"/>
          <w:bCs w:val="false"/>
          <w:i w:val="false"/>
          <w:iCs w:val="false"/>
          <w:sz w:val="22"/>
          <w:szCs w:val="22"/>
        </w:rPr>
        <w:t xml:space="preserve">) besteht aus Haftpflicht, </w:t>
      </w:r>
      <w:r>
        <w:rPr>
          <w:rFonts w:eastAsia="Cambria" w:cs="Cambria"/>
          <w:b w:val="false"/>
          <w:bCs w:val="false"/>
          <w:i/>
          <w:iCs/>
          <w:sz w:val="22"/>
          <w:szCs w:val="22"/>
        </w:rPr>
        <w:t>Collision</w:t>
      </w:r>
      <w:r>
        <w:rPr>
          <w:rFonts w:eastAsia="Cambria" w:cs="Cambria"/>
          <w:b w:val="false"/>
          <w:bCs w:val="false"/>
          <w:i w:val="false"/>
          <w:iCs w:val="false"/>
          <w:sz w:val="22"/>
          <w:szCs w:val="22"/>
        </w:rPr>
        <w:t xml:space="preserve"> (Schäden am eigenen Auto nach einem Unfall) und </w:t>
      </w:r>
      <w:r>
        <w:rPr>
          <w:rFonts w:eastAsia="Cambria" w:cs="Cambria"/>
          <w:b w:val="false"/>
          <w:bCs w:val="false"/>
          <w:i/>
          <w:iCs/>
          <w:sz w:val="22"/>
          <w:szCs w:val="22"/>
        </w:rPr>
        <w:t>Comprehensive</w:t>
      </w:r>
      <w:r>
        <w:rPr>
          <w:rFonts w:eastAsia="Cambria" w:cs="Cambria"/>
          <w:b w:val="false"/>
          <w:bCs w:val="false"/>
          <w:i w:val="false"/>
          <w:iCs w:val="false"/>
          <w:sz w:val="22"/>
          <w:szCs w:val="22"/>
        </w:rPr>
        <w:t xml:space="preserve"> (Diebstahl, Hagel, Wildschaden), entspricht also Haftpflicht plus Voll- und Teilkasko. Dazu wählst du meist die </w:t>
      </w:r>
      <w:r>
        <w:rPr>
          <w:rFonts w:eastAsia="Cambria" w:cs="Cambria"/>
          <w:b w:val="false"/>
          <w:bCs w:val="false"/>
          <w:i/>
          <w:iCs/>
          <w:sz w:val="22"/>
          <w:szCs w:val="22"/>
        </w:rPr>
        <w:t>UM/UIM-Deckung</w:t>
      </w:r>
      <w:r>
        <w:rPr>
          <w:rFonts w:eastAsia="Cambria" w:cs="Cambria"/>
          <w:b w:val="false"/>
          <w:bCs w:val="false"/>
          <w:i w:val="false"/>
          <w:iCs w:val="false"/>
          <w:sz w:val="22"/>
          <w:szCs w:val="22"/>
        </w:rPr>
        <w:t xml:space="preserve"> (</w:t>
      </w:r>
      <w:r>
        <w:rPr>
          <w:rFonts w:eastAsia="Cambria" w:cs="Cambria"/>
          <w:b w:val="false"/>
          <w:bCs w:val="false"/>
          <w:i/>
          <w:iCs/>
          <w:sz w:val="22"/>
          <w:szCs w:val="22"/>
        </w:rPr>
        <w:t>Uninsured/Underinsured Motorist</w:t>
      </w:r>
      <w:r>
        <w:rPr>
          <w:rFonts w:eastAsia="Cambria" w:cs="Cambria"/>
          <w:b w:val="false"/>
          <w:bCs w:val="false"/>
          <w:i w:val="false"/>
          <w:iCs w:val="false"/>
          <w:sz w:val="22"/>
          <w:szCs w:val="22"/>
        </w:rPr>
        <w:t>), die greift, wenn der Unfallgegner nicht oder zu niedrig versichert ist. Die Mindesthaftpflicht ist je Staat verschieden und oft niedrig.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Full Coverage kostete 2026 im Schnitt 2.241 $ (Insurify), 2.575 $ (MoneyGeek) oder 2.922 $ (Experian) im Jahr, 11,3 % mehr als im Vorjahr. Wohnort, Fahrzeug und Fahrerhistorie wirken auf den Preis, in den meisten Staaten auch der Credit Score: Schlechte Bonität kann die Prämie laut Bankrate um bis zu 105 % erhöhen. Einige Staaten verbieten das, u. a. Kalifornien, Hawaii und Massachusetts.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deutsche Schadenfreiheitsklasse (SF-Klasse) zählt meist nicht: US-Versicherer sehen dich als neuen Fahrer ohne US-Historie, das DMV kann keine deutschen Akten abfragen. Einzelne Anbieter berücksichtigen Vorversicherungen aus dem Ausland, nach eigenen Angaben etwa State Farm. Lass dir deshalb vom deutschen Versicherer eine englische Bescheinigung über deine schadenfreien Jahre ausstellen (Kündigung und Abmeldung in Deutschland: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 und frage jeden Anbieter danach.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Hole mindestens drei Angebote mit identischer Deckung ein, frage nach einem höheren Selbstbehalt (</w:t>
            </w:r>
            <w:r>
              <w:rPr>
                <w:rFonts w:eastAsia="Cambria" w:cs="Cambria"/>
                <w:b w:val="false"/>
                <w:bCs w:val="false"/>
                <w:i/>
                <w:iCs/>
                <w:sz w:val="20"/>
                <w:szCs w:val="20"/>
              </w:rPr>
              <w:t>Deductible</w:t>
            </w:r>
            <w:r>
              <w:rPr>
                <w:rFonts w:eastAsia="Cambria" w:cs="Cambria"/>
                <w:b w:val="false"/>
                <w:bCs w:val="false"/>
                <w:i w:val="false"/>
                <w:iCs w:val="false"/>
                <w:sz w:val="20"/>
                <w:szCs w:val="20"/>
              </w:rPr>
              <w:t>) und nach Rabatt für ein Paket mit der Mieterversicherung. Mehr zu Versicherungen im Alltag: Kapitel </w:t>
            </w:r>
            <w:hyperlink w:anchor="k25">
              <w:r>
                <w:rPr>
                  <w:rStyle w:val="ListLabel114"/>
                  <w:rFonts w:eastAsia="Cambria" w:cs="Cambria"/>
                  <w:b w:val="false"/>
                  <w:bCs w:val="false"/>
                  <w:i w:val="false"/>
                  <w:iCs w:val="false"/>
                  <w:sz w:val="20"/>
                  <w:szCs w:val="20"/>
                </w:rPr>
                <w:t>25</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Zulassung: Title, Registration, Kennzeichen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Kaufst du beim Händler, erledigt er die Zulassung meist gegen Gebühr; beim Privatkauf gehst du selbst zum DMV. Der </w:t>
      </w:r>
      <w:r>
        <w:rPr>
          <w:rFonts w:eastAsia="Cambria" w:cs="Cambria"/>
          <w:b w:val="false"/>
          <w:bCs w:val="false"/>
          <w:i/>
          <w:iCs/>
          <w:sz w:val="22"/>
          <w:szCs w:val="22"/>
        </w:rPr>
        <w:t>Title</w:t>
      </w:r>
      <w:r>
        <w:rPr>
          <w:rFonts w:eastAsia="Cambria" w:cs="Cambria"/>
          <w:b w:val="false"/>
          <w:bCs w:val="false"/>
          <w:i w:val="false"/>
          <w:iCs w:val="false"/>
          <w:sz w:val="22"/>
          <w:szCs w:val="22"/>
        </w:rPr>
        <w:t xml:space="preserve"> ist die Eigentumsurkunde, die </w:t>
      </w:r>
      <w:r>
        <w:rPr>
          <w:rFonts w:eastAsia="Cambria" w:cs="Cambria"/>
          <w:b w:val="false"/>
          <w:bCs w:val="false"/>
          <w:i/>
          <w:iCs/>
          <w:sz w:val="22"/>
          <w:szCs w:val="22"/>
        </w:rPr>
        <w:t>Registration</w:t>
      </w:r>
      <w:r>
        <w:rPr>
          <w:rFonts w:eastAsia="Cambria" w:cs="Cambria"/>
          <w:b w:val="false"/>
          <w:bCs w:val="false"/>
          <w:i w:val="false"/>
          <w:iCs w:val="false"/>
          <w:sz w:val="22"/>
          <w:szCs w:val="22"/>
        </w:rPr>
        <w:t xml:space="preserve"> die Zulassung mit Kennzeichen (</w:t>
      </w:r>
      <w:r>
        <w:rPr>
          <w:rFonts w:eastAsia="Cambria" w:cs="Cambria"/>
          <w:b w:val="false"/>
          <w:bCs w:val="false"/>
          <w:i/>
          <w:iCs/>
          <w:sz w:val="22"/>
          <w:szCs w:val="22"/>
        </w:rPr>
        <w:t>License Plate</w:t>
      </w:r>
      <w:r>
        <w:rPr>
          <w:rFonts w:eastAsia="Cambria" w:cs="Cambria"/>
          <w:b w:val="false"/>
          <w:bCs w:val="false"/>
          <w:i w:val="false"/>
          <w:iCs w:val="false"/>
          <w:sz w:val="22"/>
          <w:szCs w:val="22"/>
        </w:rPr>
        <w:t>). Bei einem finanzierten Auto hält der Kreditgeber den Title. Die Frist beträgt je nach Staat 10–30 Tage nach Kauf oder Zuzug. Die Gebühren sind je Staat verschieden, teils abhängig vom Fahrzeugwert. Eine Hauptuntersuchung wie den deutschen TÜV gibt es bundesweit nicht; je nach Staat und Landkreis sind Sicherheits- oder Abgasprüfungen fällig.</w:t>
      </w:r>
    </w:p>
    <w:p>
      <w:pPr>
        <w:pStyle w:val="Heading3"/>
        <w:keepNext w:val="true"/>
        <w:spacing w:before="280" w:after="100"/>
        <w:jc w:val="center"/>
        <w:rPr/>
      </w:pPr>
      <w:r>
        <w:rPr>
          <w:rFonts w:eastAsia="Amazon Ember" w:cs="Amazon Ember" w:ascii="Amazon Ember" w:hAnsi="Amazon Ember"/>
          <w:b/>
          <w:bCs/>
          <w:color w:val="0000FF"/>
          <w:sz w:val="36"/>
          <w:szCs w:val="36"/>
        </w:rPr>
        <w:t>Verkehrsregeln, die Deutsche überraschen</w:t>
      </w:r>
    </w:p>
    <w:tbl>
      <w:tblPr>
        <w:tblW w:w="6480" w:type="dxa"/>
        <w:jc w:val="left"/>
        <w:tblInd w:w="0" w:type="dxa"/>
        <w:tblLayout w:type="fixed"/>
        <w:tblCellMar>
          <w:top w:w="50" w:type="dxa"/>
          <w:left w:w="80" w:type="dxa"/>
          <w:bottom w:w="50" w:type="dxa"/>
          <w:right w:w="80" w:type="dxa"/>
        </w:tblCellMar>
      </w:tblPr>
      <w:tblGrid>
        <w:gridCol w:w="1724"/>
        <w:gridCol w:w="2885"/>
        <w:gridCol w:w="1871"/>
      </w:tblGrid>
      <w:tr>
        <w:trPr>
          <w:tblHeader w:val="true"/>
          <w:cantSplit w:val="true"/>
        </w:trPr>
        <w:tc>
          <w:tcPr>
            <w:tcW w:w="172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Situation</w:t>
            </w:r>
          </w:p>
        </w:tc>
        <w:tc>
          <w:tcPr>
            <w:tcW w:w="288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USA</w:t>
            </w:r>
          </w:p>
        </w:tc>
        <w:tc>
          <w:tcPr>
            <w:tcW w:w="187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Deutschland</w:t>
            </w:r>
          </w:p>
        </w:tc>
      </w:tr>
      <w:tr>
        <w:trPr>
          <w:cantSplit w:val="true"/>
        </w:trPr>
        <w:tc>
          <w:tcPr>
            <w:tcW w:w="17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Rechtsabbiegen bei Rot</w:t>
            </w:r>
          </w:p>
        </w:tc>
        <w:tc>
          <w:tcPr>
            <w:tcW w:w="28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 vollem Halt erlaubt, außer bei „No Turn on Red“; in New York City verboten, sofern nicht beschildert</w:t>
            </w:r>
          </w:p>
        </w:tc>
        <w:tc>
          <w:tcPr>
            <w:tcW w:w="18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mit Grünpfeil-Schild</w:t>
            </w:r>
          </w:p>
        </w:tc>
      </w:tr>
      <w:tr>
        <w:trPr>
          <w:cantSplit w:val="true"/>
        </w:trPr>
        <w:tc>
          <w:tcPr>
            <w:tcW w:w="17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Kreuzung mit vier Stoppschildern</w:t>
            </w:r>
          </w:p>
        </w:tc>
        <w:tc>
          <w:tcPr>
            <w:tcW w:w="28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Wer zuerst hält, fährt zuerst; bei gleichzeitigem Halt hat rechts Vorfahrt</w:t>
            </w:r>
          </w:p>
        </w:tc>
        <w:tc>
          <w:tcPr>
            <w:tcW w:w="18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Rechts vor links oder Vorfahrtsschilder</w:t>
            </w:r>
          </w:p>
        </w:tc>
      </w:tr>
      <w:tr>
        <w:trPr>
          <w:cantSplit w:val="true"/>
        </w:trPr>
        <w:tc>
          <w:tcPr>
            <w:tcW w:w="17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Schulbus mit roten Blinklichtern</w:t>
            </w:r>
          </w:p>
        </w:tc>
        <w:tc>
          <w:tcPr>
            <w:tcW w:w="28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Halt in beide Richtungen; bei getrennten Fahrbahnen je Staat nur der Folgeverkehr</w:t>
            </w:r>
          </w:p>
        </w:tc>
        <w:tc>
          <w:tcPr>
            <w:tcW w:w="18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direktes Gegenstück</w:t>
            </w:r>
          </w:p>
        </w:tc>
      </w:tr>
      <w:tr>
        <w:trPr>
          <w:cantSplit w:val="true"/>
        </w:trPr>
        <w:tc>
          <w:tcPr>
            <w:tcW w:w="17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Einsatzfahrzeug am Seitenstreifen (</w:t>
            </w:r>
            <w:r>
              <w:rPr>
                <w:rFonts w:eastAsia="Cambria" w:cs="Cambria"/>
                <w:b w:val="false"/>
                <w:bCs w:val="false"/>
                <w:i/>
                <w:iCs/>
                <w:sz w:val="18"/>
                <w:szCs w:val="18"/>
              </w:rPr>
              <w:t>Move Over</w:t>
            </w:r>
            <w:r>
              <w:rPr>
                <w:rFonts w:eastAsia="Cambria" w:cs="Cambria"/>
                <w:b w:val="false"/>
                <w:bCs w:val="false"/>
                <w:i w:val="false"/>
                <w:iCs w:val="false"/>
                <w:sz w:val="18"/>
                <w:szCs w:val="18"/>
              </w:rPr>
              <w:t>)</w:t>
            </w:r>
          </w:p>
        </w:tc>
        <w:tc>
          <w:tcPr>
            <w:tcW w:w="28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Spur wechseln oder Tempo stark senken; in allen Staaten Pflicht</w:t>
            </w:r>
          </w:p>
        </w:tc>
        <w:tc>
          <w:tcPr>
            <w:tcW w:w="18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Rettungsgasse im Stau</w:t>
            </w:r>
          </w:p>
        </w:tc>
      </w:tr>
      <w:tr>
        <w:trPr>
          <w:cantSplit w:val="true"/>
        </w:trPr>
        <w:tc>
          <w:tcPr>
            <w:tcW w:w="17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Tempo</w:t>
            </w:r>
          </w:p>
        </w:tc>
        <w:tc>
          <w:tcPr>
            <w:tcW w:w="28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Meilen pro Stunde; Highways meist 55–80 mph (ca. 89–129 km/h), teils bis 85 mph (ca. 137 km/h)</w:t>
            </w:r>
          </w:p>
        </w:tc>
        <w:tc>
          <w:tcPr>
            <w:tcW w:w="18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Autobahn ohne allgemeines Limit</w:t>
            </w:r>
          </w:p>
        </w:tc>
      </w:tr>
      <w:tr>
        <w:trPr>
          <w:cantSplit w:val="true"/>
        </w:trPr>
        <w:tc>
          <w:tcPr>
            <w:tcW w:w="17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Alkohol</w:t>
            </w:r>
          </w:p>
        </w:tc>
        <w:tc>
          <w:tcPr>
            <w:tcW w:w="28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0,08 % BAC = 0,8 Promille; unter 21 praktisch null</w:t>
            </w:r>
          </w:p>
        </w:tc>
        <w:tc>
          <w:tcPr>
            <w:tcW w:w="18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0,5 Promille; in der Probezeit 0,0</w:t>
            </w:r>
          </w:p>
        </w:tc>
      </w:tr>
      <w:tr>
        <w:trPr>
          <w:cantSplit w:val="true"/>
        </w:trPr>
        <w:tc>
          <w:tcPr>
            <w:tcW w:w="17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Getriebe</w:t>
            </w:r>
          </w:p>
        </w:tc>
        <w:tc>
          <w:tcPr>
            <w:tcW w:w="28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Automatik ist der Standard</w:t>
            </w:r>
          </w:p>
        </w:tc>
        <w:tc>
          <w:tcPr>
            <w:tcW w:w="18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Schaltwagen noch häufig</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aus einem Land ohne generelles Tempolimit kommt, gewöhnt sich überraschend schnell an 65 mph – der eigentliche Kulturschock kommt eher andersherum, beim ersten Deutschlandbesuch danach. Auf mehrspurigen Straßen wird oft rechts überholt. Das Handy am Steuer regelt jeder Staat selbst, in vielen ist nur Freisprechen erlaubt; bei einer Polizeikontrolle bleibst du im Auto und hältst die Hände sichtbar (mehr dazu in Kapitel </w:t>
      </w:r>
      <w:hyperlink w:anchor="k40">
        <w:r>
          <w:rPr>
            <w:rStyle w:val="ListLabel115"/>
            <w:rFonts w:eastAsia="Cambria" w:cs="Cambria"/>
            <w:b w:val="false"/>
            <w:bCs w:val="false"/>
            <w:i w:val="false"/>
            <w:iCs w:val="false"/>
            <w:sz w:val="22"/>
            <w:szCs w:val="22"/>
          </w:rPr>
          <w:t>40</w:t>
        </w:r>
      </w:hyperlink>
      <w:r>
        <w:rPr>
          <w:rFonts w:eastAsia="Cambria" w:cs="Cambria"/>
          <w:b w:val="false"/>
          <w:bCs w:val="false"/>
          <w:i w:val="false"/>
          <w:iCs w:val="false"/>
          <w:sz w:val="22"/>
          <w:szCs w:val="22"/>
        </w:rPr>
        <w:t>). Kindersitze und Regeln für Jugendliche behandelt Kapitel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einen haltenden Schulbus mit roten Blinklichtern und ausgeklapptem Stoppschild passiert, riskiert hohe Strafen. Der Fehler passiert Deutschen leicht, weil es hier keine Entsprechung gibt.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Verstöße und DUI</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Verstöße kosten ein Bußgeld (</w:t>
      </w:r>
      <w:r>
        <w:rPr>
          <w:rFonts w:eastAsia="Cambria" w:cs="Cambria"/>
          <w:b w:val="false"/>
          <w:bCs w:val="false"/>
          <w:i/>
          <w:iCs/>
          <w:sz w:val="22"/>
          <w:szCs w:val="22"/>
        </w:rPr>
        <w:t>Fine</w:t>
      </w:r>
      <w:r>
        <w:rPr>
          <w:rFonts w:eastAsia="Cambria" w:cs="Cambria"/>
          <w:b w:val="false"/>
          <w:bCs w:val="false"/>
          <w:i w:val="false"/>
          <w:iCs w:val="false"/>
          <w:sz w:val="22"/>
          <w:szCs w:val="22"/>
        </w:rPr>
        <w:t>) und in den meisten Staaten Punkte im Führerscheinregister — genug Punkte führen zum Entzug der Lizenz. Einen Strafzettel (</w:t>
      </w:r>
      <w:r>
        <w:rPr>
          <w:rFonts w:eastAsia="Cambria" w:cs="Cambria"/>
          <w:b w:val="false"/>
          <w:bCs w:val="false"/>
          <w:i/>
          <w:iCs/>
          <w:sz w:val="22"/>
          <w:szCs w:val="22"/>
        </w:rPr>
        <w:t>Ticket</w:t>
      </w:r>
      <w:r>
        <w:rPr>
          <w:rFonts w:eastAsia="Cambria" w:cs="Cambria"/>
          <w:b w:val="false"/>
          <w:bCs w:val="false"/>
          <w:i w:val="false"/>
          <w:iCs w:val="false"/>
          <w:sz w:val="22"/>
          <w:szCs w:val="22"/>
        </w:rPr>
        <w:t>) ignorierst du nicht: Unbezahlte Strafen können weitere Folgen bis zur Sperre haben, und danach steigt meist auch die Versicherungsprämie.</w:t>
      </w:r>
    </w:p>
    <w:p>
      <w:pPr>
        <w:pStyle w:val="Normal"/>
        <w:keepNext w:val="false"/>
        <w:keepLines w:val="false"/>
        <w:spacing w:lineRule="exact" w:line="288" w:before="0" w:after="140"/>
        <w:jc w:val="left"/>
        <w:rPr/>
      </w:pPr>
      <w:r>
        <w:rPr>
          <w:rFonts w:eastAsia="Cambria" w:cs="Cambria"/>
          <w:b w:val="false"/>
          <w:bCs w:val="false"/>
          <w:i/>
          <w:iCs/>
          <w:sz w:val="22"/>
          <w:szCs w:val="22"/>
        </w:rPr>
        <w:t>DUI</w:t>
      </w:r>
      <w:r>
        <w:rPr>
          <w:rFonts w:eastAsia="Cambria" w:cs="Cambria"/>
          <w:b w:val="false"/>
          <w:bCs w:val="false"/>
          <w:i w:val="false"/>
          <w:iCs w:val="false"/>
          <w:sz w:val="22"/>
          <w:szCs w:val="22"/>
        </w:rPr>
        <w:t xml:space="preserve"> (</w:t>
      </w:r>
      <w:r>
        <w:rPr>
          <w:rFonts w:eastAsia="Cambria" w:cs="Cambria"/>
          <w:b w:val="false"/>
          <w:bCs w:val="false"/>
          <w:i/>
          <w:iCs/>
          <w:sz w:val="22"/>
          <w:szCs w:val="22"/>
        </w:rPr>
        <w:t>Driving Under the Influence</w:t>
      </w:r>
      <w:r>
        <w:rPr>
          <w:rFonts w:eastAsia="Cambria" w:cs="Cambria"/>
          <w:b w:val="false"/>
          <w:bCs w:val="false"/>
          <w:i w:val="false"/>
          <w:iCs w:val="false"/>
          <w:sz w:val="22"/>
          <w:szCs w:val="22"/>
        </w:rPr>
        <w:t>, in manchen Staaten DWI) ist das Fahren unter Alkohol- oder Drogeneinfluss; die Grenze liegt bei 0,08 % BAC (</w:t>
      </w:r>
      <w:r>
        <w:rPr>
          <w:rFonts w:eastAsia="Cambria" w:cs="Cambria"/>
          <w:b w:val="false"/>
          <w:bCs w:val="false"/>
          <w:i/>
          <w:iCs/>
          <w:sz w:val="22"/>
          <w:szCs w:val="22"/>
        </w:rPr>
        <w:t>Blood Alcohol Concentration</w:t>
      </w:r>
      <w:r>
        <w:rPr>
          <w:rFonts w:eastAsia="Cambria" w:cs="Cambria"/>
          <w:b w:val="false"/>
          <w:bCs w:val="false"/>
          <w:i w:val="false"/>
          <w:iCs w:val="false"/>
          <w:sz w:val="22"/>
          <w:szCs w:val="22"/>
        </w:rPr>
        <w:t>) — das sind 0,8 Promille, nicht 0,08 Promille, und damit über der deutschen Grenze von 0,5 Promille. Utah setzt sie auf 0,05 %, bei Fahrern unter 21 gilt de facto null, und offene Alkoholbehälter im Fahrgastraum sind verboten (im Kofferraum erlaubt). Gerichte und Behörden können auch unterhalb der Grenze eingreifen, wenn du beeinträchtigt wirkst.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DUI kann für Nichtbürger zusätzlich Folgen für Visum und Green Card haben, etwa eine Überprüfung oder einen Widerruf. Die Wirkung hängt von Delikt, Ausgang und Status ab und wird in Kapitel </w:t>
            </w:r>
            <w:hyperlink w:anchor="k40">
              <w:r>
                <w:rPr>
                  <w:rStyle w:val="ListLabel114"/>
                  <w:rFonts w:eastAsia="Cambria" w:cs="Cambria"/>
                  <w:b w:val="false"/>
                  <w:bCs w:val="false"/>
                  <w:i w:val="false"/>
                  <w:iCs w:val="false"/>
                  <w:sz w:val="20"/>
                  <w:szCs w:val="20"/>
                </w:rPr>
                <w:t>40</w:t>
              </w:r>
            </w:hyperlink>
            <w:r>
              <w:rPr>
                <w:rFonts w:eastAsia="Cambria" w:cs="Cambria"/>
                <w:b w:val="false"/>
                <w:bCs w:val="false"/>
                <w:i w:val="false"/>
                <w:iCs w:val="false"/>
                <w:sz w:val="20"/>
                <w:szCs w:val="20"/>
              </w:rPr>
              <w:t xml:space="preserve"> eingeordnet. Die sichere Regel: Trink nichts, wenn du fährst, und nimm ein Taxi oder einen Fahrdienst.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Tanken, Maut und Elektroautos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der Energiebehörde EIA kostete eine Gallone (</w:t>
      </w:r>
      <w:r>
        <w:rPr>
          <w:rFonts w:eastAsia="Cambria" w:cs="Cambria"/>
          <w:b w:val="false"/>
          <w:bCs w:val="false"/>
          <w:i/>
          <w:iCs/>
          <w:sz w:val="22"/>
          <w:szCs w:val="22"/>
        </w:rPr>
        <w:t>Gallon</w:t>
      </w:r>
      <w:r>
        <w:rPr>
          <w:rFonts w:eastAsia="Cambria" w:cs="Cambria"/>
          <w:b w:val="false"/>
          <w:bCs w:val="false"/>
          <w:i w:val="false"/>
          <w:iCs w:val="false"/>
          <w:sz w:val="22"/>
          <w:szCs w:val="22"/>
        </w:rPr>
        <w:t>, ca. 3,8 Liter) Regular am 14. September 2026 im Schnitt 4,32 $, gut 1,14 $ pro Liter. Ein Jahr zuvor waren es 3,17 $. Die Preise unterscheiden sich stark: Golfküste 3,85 $, Ostküste 4,19 $, Westküste 5,47 $, Kalifornien 5,83 $. Der Automobilclub AAA meldete am 19. September im Schnitt 4,48 $. Du tankst meist selbst; manche Zapfsäulen verlangen die US-Postleitzahl der Karte (</w:t>
      </w:r>
      <w:r>
        <w:rPr>
          <w:rFonts w:eastAsia="Cambria" w:cs="Cambria"/>
          <w:b w:val="false"/>
          <w:bCs w:val="false"/>
          <w:i/>
          <w:iCs/>
          <w:sz w:val="22"/>
          <w:szCs w:val="22"/>
        </w:rPr>
        <w:t>ZIP Code</w:t>
      </w:r>
      <w:r>
        <w:rPr>
          <w:rFonts w:eastAsia="Cambria" w:cs="Cambria"/>
          <w:b w:val="false"/>
          <w:bCs w:val="false"/>
          <w:i w:val="false"/>
          <w:iCs w:val="false"/>
          <w:sz w:val="22"/>
          <w:szCs w:val="22"/>
        </w:rPr>
        <w:t>) — mit einer deutschen Karte scheitert das, und du stehst ratlos vor dem Kartenleser, bis dir jemand am Nachbarzapfhahn zuruft, dass du drinnen an der Kasse vorab bezahlen musst.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Mautstraßen (</w:t>
      </w:r>
      <w:r>
        <w:rPr>
          <w:rFonts w:eastAsia="Cambria" w:cs="Cambria"/>
          <w:b w:val="false"/>
          <w:bCs w:val="false"/>
          <w:i/>
          <w:iCs/>
          <w:sz w:val="22"/>
          <w:szCs w:val="22"/>
        </w:rPr>
        <w:t>Toll Roads</w:t>
      </w:r>
      <w:r>
        <w:rPr>
          <w:rFonts w:eastAsia="Cambria" w:cs="Cambria"/>
          <w:b w:val="false"/>
          <w:bCs w:val="false"/>
          <w:i w:val="false"/>
          <w:iCs w:val="false"/>
          <w:sz w:val="22"/>
          <w:szCs w:val="22"/>
        </w:rPr>
        <w:t>) sind regional: E-ZPass im Nordosten und Mittleren Westen (rund 19 Staaten), SunPass in Florida, TxTag und TollTag in Texas, FasTrak in Kalifornien, Good To Go in Washington. Viele Straßen sind bargeldlos; die Abrechnung über das Kennzeichen kostet einen Aufschlag. Mietwagen berechnen eine Transpondergebühr.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Elektroautos wurden die Bundes-Steuergutschriften (bis 7.500 $ für neue, bis 4.000 $ für gebrauchte Fahrzeuge) für Käufe ab dem 1. Oktober 2025 abgeschafft. Ob Staaten oder Kommunen Prämien zahlen und wie die Stromtarife aussehen, prüfst du vor Ort. Als Mieter klärst du vor dem Kauf, wo du laden kannst.</w:t>
      </w:r>
    </w:p>
    <w:p>
      <w:pPr>
        <w:pStyle w:val="Heading3"/>
        <w:keepNext w:val="true"/>
        <w:spacing w:before="280" w:after="100"/>
        <w:jc w:val="center"/>
        <w:rPr/>
      </w:pPr>
      <w:r>
        <w:rPr>
          <w:rFonts w:eastAsia="Amazon Ember" w:cs="Amazon Ember" w:ascii="Amazon Ember" w:hAnsi="Amazon Ember"/>
          <w:b/>
          <w:bCs/>
          <w:color w:val="0000FF"/>
          <w:sz w:val="36"/>
          <w:szCs w:val="36"/>
        </w:rPr>
        <w:t>ÖPNV: Brauchst du ein Auto?</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Ob du ein Auto brauchst, entscheidet die Stadt und mehr noch das Viertel. Prüfe den Nahverkehr, bevor du eine Wohnung mietest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xml:space="preserve"> und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984"/>
        <w:gridCol w:w="2749"/>
        <w:gridCol w:w="2747"/>
      </w:tblGrid>
      <w:tr>
        <w:trPr>
          <w:tblHeader w:val="true"/>
          <w:cantSplit w:val="true"/>
        </w:trPr>
        <w:tc>
          <w:tcPr>
            <w:tcW w:w="98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Kategorie</w:t>
            </w:r>
          </w:p>
        </w:tc>
        <w:tc>
          <w:tcPr>
            <w:tcW w:w="27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Beispiele</w:t>
            </w:r>
          </w:p>
        </w:tc>
        <w:tc>
          <w:tcPr>
            <w:tcW w:w="274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Alltag</w:t>
            </w:r>
          </w:p>
        </w:tc>
      </w:tr>
      <w:tr>
        <w:trPr>
          <w:cantSplit w:val="true"/>
        </w:trPr>
        <w:tc>
          <w:tcPr>
            <w:tcW w:w="9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Autofrei realistisch</w:t>
            </w:r>
          </w:p>
        </w:tc>
        <w:tc>
          <w:tcPr>
            <w:tcW w:w="27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 York (U-Bahn rund um die Uhr), Boston, Washington, Chicago, Bay Area, Philadelphia, Seattle, Portland</w:t>
            </w:r>
          </w:p>
        </w:tc>
        <w:tc>
          <w:tcPr>
            <w:tcW w:w="27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Kernstadt ohne Auto möglich; für Ausflüge Mietwagen oder Carsharing</w:t>
            </w:r>
          </w:p>
        </w:tc>
      </w:tr>
      <w:tr>
        <w:trPr>
          <w:cantSplit w:val="true"/>
        </w:trPr>
        <w:tc>
          <w:tcPr>
            <w:tcW w:w="9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Auto meist nötig</w:t>
            </w:r>
          </w:p>
        </w:tc>
        <w:tc>
          <w:tcPr>
            <w:tcW w:w="27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Texas, Sun-Belt-Metropolen wie Phoenix und Atlanta, die meisten Vorstädte</w:t>
            </w:r>
          </w:p>
        </w:tc>
        <w:tc>
          <w:tcPr>
            <w:tcW w:w="27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 Schule und Einkauf nur mit Auto</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ohne Auto lohnt sich die Lizenz oder die staatliche ID-Card, denn im Alltag ist sie der Standardausweis.</w:t>
      </w:r>
    </w:p>
    <w:p>
      <w:pPr>
        <w:pStyle w:val="Heading3"/>
        <w:keepNext w:val="true"/>
        <w:spacing w:before="280" w:after="100"/>
        <w:jc w:val="center"/>
        <w:rPr/>
      </w:pPr>
      <w:r>
        <w:rPr>
          <w:rFonts w:eastAsia="Amazon Ember" w:cs="Amazon Ember" w:ascii="Amazon Ember" w:hAnsi="Amazon Ember"/>
          <w:b/>
          <w:bCs/>
          <w:color w:val="0000FF"/>
          <w:sz w:val="36"/>
          <w:szCs w:val="36"/>
        </w:rPr>
        <w:t>Auto aus Deutschland mitbringen: Lohnt fast nie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die Einfuhr brauchst du die Formulare </w:t>
      </w:r>
      <w:r>
        <w:rPr>
          <w:rFonts w:eastAsia="Cambria" w:cs="Cambria"/>
          <w:b w:val="false"/>
          <w:bCs w:val="false"/>
          <w:i/>
          <w:iCs/>
          <w:sz w:val="22"/>
          <w:szCs w:val="22"/>
        </w:rPr>
        <w:t>EPA 3520-1</w:t>
      </w:r>
      <w:r>
        <w:rPr>
          <w:rFonts w:eastAsia="Cambria" w:cs="Cambria"/>
          <w:b w:val="false"/>
          <w:bCs w:val="false"/>
          <w:i w:val="false"/>
          <w:iCs w:val="false"/>
          <w:sz w:val="22"/>
          <w:szCs w:val="22"/>
        </w:rPr>
        <w:t xml:space="preserve"> (Abgas) und </w:t>
      </w:r>
      <w:r>
        <w:rPr>
          <w:rFonts w:eastAsia="Cambria" w:cs="Cambria"/>
          <w:b w:val="false"/>
          <w:bCs w:val="false"/>
          <w:i/>
          <w:iCs/>
          <w:sz w:val="22"/>
          <w:szCs w:val="22"/>
        </w:rPr>
        <w:t>DOT HS-7</w:t>
      </w:r>
      <w:r>
        <w:rPr>
          <w:rFonts w:eastAsia="Cambria" w:cs="Cambria"/>
          <w:b w:val="false"/>
          <w:bCs w:val="false"/>
          <w:i w:val="false"/>
          <w:iCs w:val="false"/>
          <w:sz w:val="22"/>
          <w:szCs w:val="22"/>
        </w:rPr>
        <w:t xml:space="preserve"> (Sicherheit); auf Pkw fallen 2,5 % Zoll an (auf Trucks 25 %). Erfüllt das Fahrzeug die US-Normen nicht, und das gilt für viele europäische Modelle, geht es nur über zugelassene Umrüster (</w:t>
      </w:r>
      <w:r>
        <w:rPr>
          <w:rFonts w:eastAsia="Cambria" w:cs="Cambria"/>
          <w:b w:val="false"/>
          <w:bCs w:val="false"/>
          <w:i/>
          <w:iCs/>
          <w:sz w:val="22"/>
          <w:szCs w:val="22"/>
        </w:rPr>
        <w:t>Independent Commercial Importer</w:t>
      </w:r>
      <w:r>
        <w:rPr>
          <w:rFonts w:eastAsia="Cambria" w:cs="Cambria"/>
          <w:b w:val="false"/>
          <w:bCs w:val="false"/>
          <w:i w:val="false"/>
          <w:iCs w:val="false"/>
          <w:sz w:val="22"/>
          <w:szCs w:val="22"/>
        </w:rPr>
        <w:t xml:space="preserve"> für die EPA, </w:t>
      </w:r>
      <w:r>
        <w:rPr>
          <w:rFonts w:eastAsia="Cambria" w:cs="Cambria"/>
          <w:b w:val="false"/>
          <w:bCs w:val="false"/>
          <w:i/>
          <w:iCs/>
          <w:sz w:val="22"/>
          <w:szCs w:val="22"/>
        </w:rPr>
        <w:t>Registered Importer</w:t>
      </w:r>
      <w:r>
        <w:rPr>
          <w:rFonts w:eastAsia="Cambria" w:cs="Cambria"/>
          <w:b w:val="false"/>
          <w:bCs w:val="false"/>
          <w:i w:val="false"/>
          <w:iCs w:val="false"/>
          <w:sz w:val="22"/>
          <w:szCs w:val="22"/>
        </w:rPr>
        <w:t xml:space="preserve"> für die DOT), mit Bond und Umbaukosten. Ausnahmen gibt es für die DOT ab 25 Jahren (Stand September 2026: Baujahr bis 09/2001) und für die EPA ab 21 Jahren.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Dazu kommen 1.300–3.000 € für die Verschiffung (siehe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Hafengebühren, mögliche Zusatzzölle (Autozölle nach Section 232 gelten weiter, der Satz für EU-Fahrzeuge ist nicht ermittelt), keine US-Garantie und Ersatzteile aus Übersee. Die Regel für Nichtansässige (ein Jahr zollfrei, dann Ausfuhr) hilft dir nicht, wenn du bleibst. Nur bei einem Oldtimer ab 25 Jahren kann sich der Aufwand lohnen. Die übrigen Fahrzeuge verkaufst du besser in Deutschland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 in den USA kaufst du vor Ort.</w:t>
      </w:r>
    </w:p>
    <w:p>
      <w:pPr>
        <w:pStyle w:val="Heading3"/>
        <w:keepNext w:val="true"/>
        <w:spacing w:before="280" w:after="100"/>
        <w:jc w:val="center"/>
        <w:rPr/>
      </w:pPr>
      <w:r>
        <w:rPr>
          <w:rFonts w:eastAsia="Amazon Ember" w:cs="Amazon Ember" w:ascii="Amazon Ember" w:hAnsi="Amazon Ember"/>
          <w:b/>
          <w:bCs/>
          <w:color w:val="0000FF"/>
          <w:sz w:val="36"/>
          <w:szCs w:val="36"/>
        </w:rPr>
        <w:t>Andere Lizenzen: Angeln, Jagen, Amateurfunk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abseits vom Auto gilt: Fast jede Freizeit-Lizenz regelt der Bundesstaat, nicht Washington, und die Logik ist oft das Gegenteil der deutschen.</w:t>
      </w:r>
    </w:p>
    <w:p>
      <w:pPr>
        <w:pStyle w:val="Normal"/>
        <w:keepNext w:val="false"/>
        <w:keepLines w:val="false"/>
        <w:spacing w:lineRule="exact" w:line="288" w:before="0" w:after="140"/>
        <w:jc w:val="left"/>
        <w:rPr/>
      </w:pPr>
      <w:r>
        <w:rPr>
          <w:rFonts w:eastAsia="Cambria" w:cs="Cambria"/>
          <w:b/>
          <w:bCs/>
          <w:i w:val="false"/>
          <w:iCs w:val="false"/>
          <w:sz w:val="22"/>
          <w:szCs w:val="22"/>
        </w:rPr>
        <w:t>Angeln.</w:t>
      </w:r>
      <w:r>
        <w:rPr>
          <w:rFonts w:eastAsia="Cambria" w:cs="Cambria"/>
          <w:b w:val="false"/>
          <w:bCs w:val="false"/>
          <w:i w:val="false"/>
          <w:iCs w:val="false"/>
          <w:sz w:val="22"/>
          <w:szCs w:val="22"/>
        </w:rPr>
        <w:t xml:space="preserve"> Eine Prüfung wie den deutschen Fischereischein gibt es praktisch nirgends. Die </w:t>
      </w:r>
      <w:r>
        <w:rPr>
          <w:rFonts w:eastAsia="Cambria" w:cs="Cambria"/>
          <w:b w:val="false"/>
          <w:bCs w:val="false"/>
          <w:i/>
          <w:iCs/>
          <w:sz w:val="22"/>
          <w:szCs w:val="22"/>
        </w:rPr>
        <w:t>Fishing License</w:t>
      </w:r>
      <w:r>
        <w:rPr>
          <w:rFonts w:eastAsia="Cambria" w:cs="Cambria"/>
          <w:b w:val="false"/>
          <w:bCs w:val="false"/>
          <w:i w:val="false"/>
          <w:iCs w:val="false"/>
          <w:sz w:val="22"/>
          <w:szCs w:val="22"/>
        </w:rPr>
        <w:t xml:space="preserve"> ist eine reine Gebühren-Sache – Alter und Wohnsitz angeben, online oder beim </w:t>
      </w:r>
      <w:r>
        <w:rPr>
          <w:rFonts w:eastAsia="Cambria" w:cs="Cambria"/>
          <w:b w:val="false"/>
          <w:bCs w:val="false"/>
          <w:i/>
          <w:iCs/>
          <w:sz w:val="22"/>
          <w:szCs w:val="22"/>
        </w:rPr>
        <w:t>Department of Fish and Wildlife</w:t>
      </w:r>
      <w:r>
        <w:rPr>
          <w:rFonts w:eastAsia="Cambria" w:cs="Cambria"/>
          <w:b w:val="false"/>
          <w:bCs w:val="false"/>
          <w:i w:val="false"/>
          <w:iCs w:val="false"/>
          <w:sz w:val="22"/>
          <w:szCs w:val="22"/>
        </w:rPr>
        <w:t xml:space="preserve"> des Staates bezahlen, oft für einen einzelnen Tag, eine Woche oder ein Jahr, fertig.</w:t>
      </w:r>
    </w:p>
    <w:p>
      <w:pPr>
        <w:pStyle w:val="Normal"/>
        <w:keepNext w:val="false"/>
        <w:keepLines w:val="false"/>
        <w:spacing w:lineRule="exact" w:line="288" w:before="0" w:after="140"/>
        <w:jc w:val="left"/>
        <w:rPr/>
      </w:pPr>
      <w:r>
        <w:rPr>
          <w:rFonts w:eastAsia="Cambria" w:cs="Cambria"/>
          <w:b/>
          <w:bCs/>
          <w:i w:val="false"/>
          <w:iCs w:val="false"/>
          <w:sz w:val="22"/>
          <w:szCs w:val="22"/>
        </w:rPr>
        <w:t>Jagen.</w:t>
      </w:r>
      <w:r>
        <w:rPr>
          <w:rFonts w:eastAsia="Cambria" w:cs="Cambria"/>
          <w:b w:val="false"/>
          <w:bCs w:val="false"/>
          <w:i w:val="false"/>
          <w:iCs w:val="false"/>
          <w:sz w:val="22"/>
          <w:szCs w:val="22"/>
        </w:rPr>
        <w:t xml:space="preserve"> Hier ist es umgekehrt strenger: Fast jeder Staat verlangt vor der ersten Jagdlizenz einen </w:t>
      </w:r>
      <w:r>
        <w:rPr>
          <w:rFonts w:eastAsia="Cambria" w:cs="Cambria"/>
          <w:b w:val="false"/>
          <w:bCs w:val="false"/>
          <w:i/>
          <w:iCs/>
          <w:sz w:val="22"/>
          <w:szCs w:val="22"/>
        </w:rPr>
        <w:t>Hunter Education</w:t>
      </w:r>
      <w:r>
        <w:rPr>
          <w:rFonts w:eastAsia="Cambria" w:cs="Cambria"/>
          <w:b w:val="false"/>
          <w:bCs w:val="false"/>
          <w:i w:val="false"/>
          <w:iCs w:val="false"/>
          <w:sz w:val="22"/>
          <w:szCs w:val="22"/>
        </w:rPr>
        <w:t>-Kurs mit Prüfung, Sicherheit und Ethik. Der deutsche Jagdschein zählt nicht automatisch; ob eine ausländische Ausbildung den Kurs ersetzt, legt jeder Staat für sich fest – frag vor der Anmeldung direkt bei der Wildtierbehörde (</w:t>
      </w:r>
      <w:r>
        <w:rPr>
          <w:rFonts w:eastAsia="Cambria" w:cs="Cambria"/>
          <w:b w:val="false"/>
          <w:bCs w:val="false"/>
          <w:i/>
          <w:iCs/>
          <w:sz w:val="22"/>
          <w:szCs w:val="22"/>
        </w:rPr>
        <w:t>Fish and Wildlife Agency</w:t>
      </w:r>
      <w:r>
        <w:rPr>
          <w:rFonts w:eastAsia="Cambria" w:cs="Cambria"/>
          <w:b w:val="false"/>
          <w:bCs w:val="false"/>
          <w:i w:val="false"/>
          <w:iCs w:val="false"/>
          <w:sz w:val="22"/>
          <w:szCs w:val="22"/>
        </w:rPr>
        <w:t>) des Zielstaats nach, nicht erst am Schalter.</w:t>
      </w:r>
    </w:p>
    <w:p>
      <w:pPr>
        <w:pStyle w:val="Normal"/>
        <w:keepNext w:val="false"/>
        <w:keepLines w:val="false"/>
        <w:spacing w:lineRule="exact" w:line="288" w:before="0" w:after="140"/>
        <w:jc w:val="left"/>
        <w:rPr/>
      </w:pPr>
      <w:r>
        <w:rPr>
          <w:rFonts w:eastAsia="Cambria" w:cs="Cambria"/>
          <w:b/>
          <w:bCs/>
          <w:i w:val="false"/>
          <w:iCs w:val="false"/>
          <w:sz w:val="22"/>
          <w:szCs w:val="22"/>
        </w:rPr>
        <w:t>Amateurfunk.</w:t>
      </w:r>
      <w:r>
        <w:rPr>
          <w:rFonts w:eastAsia="Cambria" w:cs="Cambria"/>
          <w:b w:val="false"/>
          <w:bCs w:val="false"/>
          <w:i w:val="false"/>
          <w:iCs w:val="false"/>
          <w:sz w:val="22"/>
          <w:szCs w:val="22"/>
        </w:rPr>
        <w:t xml:space="preserve"> Die deutsche Amateurfunkgenehmigung der Bundesnetzagentur gilt für Einwohner nicht weiter; das CEPT-Abkommen hilft nur kurzen touristischen Aufenthalten. Wer dauerhaft senden will, braucht eine eigene, von der FCC ausgestellte Lizenz. Die Prüfung (Klassen von </w:t>
      </w:r>
      <w:r>
        <w:rPr>
          <w:rFonts w:eastAsia="Cambria" w:cs="Cambria"/>
          <w:b w:val="false"/>
          <w:bCs w:val="false"/>
          <w:i/>
          <w:iCs/>
          <w:sz w:val="22"/>
          <w:szCs w:val="22"/>
        </w:rPr>
        <w:t>Technician</w:t>
      </w:r>
      <w:r>
        <w:rPr>
          <w:rFonts w:eastAsia="Cambria" w:cs="Cambria"/>
          <w:b w:val="false"/>
          <w:bCs w:val="false"/>
          <w:i w:val="false"/>
          <w:iCs w:val="false"/>
          <w:sz w:val="22"/>
          <w:szCs w:val="22"/>
        </w:rPr>
        <w:t xml:space="preserve"> bis </w:t>
      </w:r>
      <w:r>
        <w:rPr>
          <w:rFonts w:eastAsia="Cambria" w:cs="Cambria"/>
          <w:b w:val="false"/>
          <w:bCs w:val="false"/>
          <w:i/>
          <w:iCs/>
          <w:sz w:val="22"/>
          <w:szCs w:val="22"/>
        </w:rPr>
        <w:t>Extra</w:t>
      </w:r>
      <w:r>
        <w:rPr>
          <w:rFonts w:eastAsia="Cambria" w:cs="Cambria"/>
          <w:b w:val="false"/>
          <w:bCs w:val="false"/>
          <w:i w:val="false"/>
          <w:iCs w:val="false"/>
          <w:sz w:val="22"/>
          <w:szCs w:val="22"/>
        </w:rPr>
        <w:t xml:space="preserve">) läuft ohne Morsecode als Multiple-Choice-Test, Vorbereitungsfragen gibt es online, und lokale </w:t>
      </w:r>
      <w:r>
        <w:rPr>
          <w:rFonts w:eastAsia="Cambria" w:cs="Cambria"/>
          <w:b w:val="false"/>
          <w:bCs w:val="false"/>
          <w:i/>
          <w:iCs/>
          <w:sz w:val="22"/>
          <w:szCs w:val="22"/>
        </w:rPr>
        <w:t>Volunteer Examiner</w:t>
      </w:r>
      <w:r>
        <w:rPr>
          <w:rFonts w:eastAsia="Cambria" w:cs="Cambria"/>
          <w:b w:val="false"/>
          <w:bCs w:val="false"/>
          <w:i w:val="false"/>
          <w:iCs w:val="false"/>
          <w:sz w:val="22"/>
          <w:szCs w:val="22"/>
        </w:rPr>
        <w:t>-Teams nehmen sie ab.</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 vielen Staaten tauschst du den deutschen Führerschein ohne Prüfung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 Kalifornien und New York musst du Wissens- und Fahrprüfung ablegen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Automatik, breite Straßen und große Parkplätze machen das Fahren entspannt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Außerhalb der Großstädte kommst du ohne Auto kaum durch den Alltag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Fahrzeughistorie und Marktpreise lassen sich online prüfen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Neuwagen im Schnitt über 50.000 $, ohne Kredithistorie hohe Zinsen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Großstädte mit gutem Nahverkehr erlauben ein autofreies Leben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Full Coverage im Schnitt 2.241–2.922 $ im Jahr, Tendenz steigend</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Lizenz oder ID-Card dient als Standardausweis im Alltag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SF-Klasse zählt meist nicht, der Credit Score wirkt auf den Preis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Maut fällt vor allem regional an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Alkohol am Steuer: Grenze 0,08 % BAC, harte Folgen bis zum Statusrisiko</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ListParagraph"/>
        <w:numPr>
          <w:ilvl w:val="0"/>
          <w:numId w:val="164"/>
        </w:numPr>
        <w:spacing w:lineRule="exact" w:line="288" w:before="0" w:after="60"/>
        <w:rPr/>
      </w:pPr>
      <w:r>
        <w:rPr>
          <w:rFonts w:eastAsia="Cambria" w:cs="Cambria"/>
          <w:b w:val="false"/>
          <w:bCs w:val="false"/>
          <w:i w:val="false"/>
          <w:iCs w:val="false"/>
          <w:sz w:val="22"/>
          <w:szCs w:val="22"/>
        </w:rPr>
        <w:t>Vor dem Abflug: Regel deines Staates prüfen, IDP beantragen, SF-Klassen-Bescheinigung anfordern.</w:t>
      </w:r>
    </w:p>
    <w:p>
      <w:pPr>
        <w:pStyle w:val="ListParagraph"/>
        <w:numPr>
          <w:ilvl w:val="0"/>
          <w:numId w:val="165"/>
        </w:numPr>
        <w:spacing w:lineRule="exact" w:line="288" w:before="0" w:after="60"/>
        <w:rPr/>
      </w:pPr>
      <w:r>
        <w:rPr>
          <w:rFonts w:eastAsia="Cambria" w:cs="Cambria"/>
          <w:b w:val="false"/>
          <w:bCs w:val="false"/>
          <w:i w:val="false"/>
          <w:iCs w:val="false"/>
          <w:sz w:val="22"/>
          <w:szCs w:val="22"/>
        </w:rPr>
        <w:t>In der ersten Woche: SSN beantragen (Kapitel </w:t>
      </w:r>
      <w:hyperlink w:anchor="k24">
        <w:r>
          <w:rPr>
            <w:rStyle w:val="ListLabel115"/>
            <w:rFonts w:eastAsia="Cambria" w:cs="Cambria"/>
            <w:b w:val="false"/>
            <w:bCs w:val="false"/>
            <w:i w:val="false"/>
            <w:iCs w:val="false"/>
            <w:sz w:val="22"/>
            <w:szCs w:val="22"/>
          </w:rPr>
          <w:t>24</w:t>
        </w:r>
      </w:hyperlink>
      <w:r>
        <w:rPr>
          <w:rFonts w:eastAsia="Cambria" w:cs="Cambria"/>
          <w:b w:val="false"/>
          <w:bCs w:val="false"/>
          <w:i w:val="false"/>
          <w:iCs w:val="false"/>
          <w:sz w:val="22"/>
          <w:szCs w:val="22"/>
        </w:rPr>
        <w:t>) und DMV-Termin buchen.</w:t>
      </w:r>
    </w:p>
    <w:p>
      <w:pPr>
        <w:pStyle w:val="ListParagraph"/>
        <w:numPr>
          <w:ilvl w:val="0"/>
          <w:numId w:val="166"/>
        </w:numPr>
        <w:spacing w:lineRule="exact" w:line="288" w:before="0" w:after="60"/>
        <w:rPr/>
      </w:pPr>
      <w:r>
        <w:rPr>
          <w:rFonts w:eastAsia="Cambria" w:cs="Cambria"/>
          <w:b w:val="false"/>
          <w:bCs w:val="false"/>
          <w:i w:val="false"/>
          <w:iCs w:val="false"/>
          <w:sz w:val="22"/>
          <w:szCs w:val="22"/>
        </w:rPr>
        <w:t>Vor dem Autokauf: Konto bei einer Kreditunion eröffnen, Versicherungsangebote vergleichen und den Out-the-Door-Preis schriftlich verlangen.</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Frist und Prüfungspflicht deines Bundesstaates auf der DMV-Seite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Internationalen Führerschein vor der Abmeldung in Deutschland beantragt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Deutschen Führerschein (noch mindestens 60 Tage gültig) und Kopien bereit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Falls verlangt: KBA-Auskünfte (FAER, ZFER, höchstens vier Wochen alt) und Konsulatsbescheinigung geklärt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Englische Bescheinigung der schadenfreien Jahre vom deutschen Kfz-Versicherer angefordert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DMV-Termin gebucht, Unterlagen zusammengestellt (Pass, Visum oder I-94, Wohnsitznachweise, SSN)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REAL-ID-konforme Karte beantragt oder Reisepass für Inlandsflüge eingeplant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Mindestens drei Versicherungsangebote mit identischer Deckung eingeholt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Finanzierung per Vorabgenehmigung bei einer Kreditunion geklärt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Zulassungsfrist (10–30 Tage je Staat) notiert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Nahverkehrsanbindung vor der Wohnungswahl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Bedarf: Angel-, Jagd- oder Amateurfunklizenz bei der zuständigen Bundesstaats- bzw. FCC-Stelle erfragt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Generalkonsulate und Auswärtiges Amt — Führerschein in den USA (</w:t>
      </w:r>
      <w:hyperlink r:id="rId252">
        <w:r>
          <w:rPr>
            <w:rStyle w:val="ListLabel113"/>
            <w:rFonts w:eastAsia="Cambria" w:cs="Cambria"/>
            <w:b w:val="false"/>
            <w:bCs w:val="false"/>
            <w:i w:val="false"/>
            <w:iCs w:val="false"/>
            <w:color w:val="0563C1"/>
            <w:sz w:val="22"/>
            <w:szCs w:val="22"/>
            <w:u w:val="single"/>
          </w:rPr>
          <w:t>germany.info/us-de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Führerscheinbehörden der Staaten — Regeln für ausländische Lizenzen (</w:t>
      </w:r>
      <w:hyperlink r:id="rId253">
        <w:r>
          <w:rPr>
            <w:rStyle w:val="ListLabel113"/>
            <w:rFonts w:eastAsia="Cambria" w:cs="Cambria"/>
            <w:b w:val="false"/>
            <w:bCs w:val="false"/>
            <w:i w:val="false"/>
            <w:iCs w:val="false"/>
            <w:color w:val="0563C1"/>
            <w:sz w:val="22"/>
            <w:szCs w:val="22"/>
            <w:u w:val="single"/>
          </w:rPr>
          <w:t>dmv.ca.gov</w:t>
        </w:r>
      </w:hyperlink>
      <w:r>
        <w:rPr>
          <w:rFonts w:eastAsia="Cambria" w:cs="Cambria"/>
          <w:b w:val="false"/>
          <w:bCs w:val="false"/>
          <w:i w:val="false"/>
          <w:iCs w:val="false"/>
          <w:sz w:val="22"/>
          <w:szCs w:val="22"/>
        </w:rPr>
        <w:t xml:space="preserve">, </w:t>
      </w:r>
      <w:hyperlink r:id="rId254">
        <w:r>
          <w:rPr>
            <w:rStyle w:val="ListLabel113"/>
            <w:rFonts w:eastAsia="Cambria" w:cs="Cambria"/>
            <w:b w:val="false"/>
            <w:bCs w:val="false"/>
            <w:i w:val="false"/>
            <w:iCs w:val="false"/>
            <w:color w:val="0563C1"/>
            <w:sz w:val="22"/>
            <w:szCs w:val="22"/>
            <w:u w:val="single"/>
          </w:rPr>
          <w:t>dmv.ny.gov</w:t>
        </w:r>
      </w:hyperlink>
      <w:r>
        <w:rPr>
          <w:rFonts w:eastAsia="Cambria" w:cs="Cambria"/>
          <w:b w:val="false"/>
          <w:bCs w:val="false"/>
          <w:i w:val="false"/>
          <w:iCs w:val="false"/>
          <w:sz w:val="22"/>
          <w:szCs w:val="22"/>
        </w:rPr>
        <w:t xml:space="preserve">, </w:t>
      </w:r>
      <w:hyperlink r:id="rId255">
        <w:r>
          <w:rPr>
            <w:rStyle w:val="ListLabel113"/>
            <w:rFonts w:eastAsia="Cambria" w:cs="Cambria"/>
            <w:b w:val="false"/>
            <w:bCs w:val="false"/>
            <w:i w:val="false"/>
            <w:iCs w:val="false"/>
            <w:color w:val="0563C1"/>
            <w:sz w:val="22"/>
            <w:szCs w:val="22"/>
            <w:u w:val="single"/>
          </w:rPr>
          <w:t>dps.texas.gov</w:t>
        </w:r>
      </w:hyperlink>
      <w:r>
        <w:rPr>
          <w:rFonts w:eastAsia="Cambria" w:cs="Cambria"/>
          <w:b w:val="false"/>
          <w:bCs w:val="false"/>
          <w:i w:val="false"/>
          <w:iCs w:val="false"/>
          <w:sz w:val="22"/>
          <w:szCs w:val="22"/>
        </w:rPr>
        <w:t xml:space="preserve">, </w:t>
      </w:r>
      <w:hyperlink r:id="rId256">
        <w:r>
          <w:rPr>
            <w:rStyle w:val="ListLabel113"/>
            <w:rFonts w:eastAsia="Cambria" w:cs="Cambria"/>
            <w:b w:val="false"/>
            <w:bCs w:val="false"/>
            <w:i w:val="false"/>
            <w:iCs w:val="false"/>
            <w:color w:val="0563C1"/>
            <w:sz w:val="22"/>
            <w:szCs w:val="22"/>
            <w:u w:val="single"/>
          </w:rPr>
          <w:t>dol.wa.gov</w:t>
        </w:r>
      </w:hyperlink>
      <w:r>
        <w:rPr>
          <w:rFonts w:eastAsia="Cambria" w:cs="Cambria"/>
          <w:b w:val="false"/>
          <w:bCs w:val="false"/>
          <w:i w:val="false"/>
          <w:iCs w:val="false"/>
          <w:sz w:val="22"/>
          <w:szCs w:val="22"/>
        </w:rPr>
        <w:t xml:space="preserve">, </w:t>
      </w:r>
      <w:hyperlink r:id="rId257">
        <w:r>
          <w:rPr>
            <w:rStyle w:val="ListLabel113"/>
            <w:rFonts w:eastAsia="Cambria" w:cs="Cambria"/>
            <w:b w:val="false"/>
            <w:bCs w:val="false"/>
            <w:i w:val="false"/>
            <w:iCs w:val="false"/>
            <w:color w:val="0563C1"/>
            <w:sz w:val="22"/>
            <w:szCs w:val="22"/>
            <w:u w:val="single"/>
          </w:rPr>
          <w:t>dmv.colorado.gov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Weitere Staaten — </w:t>
      </w:r>
      <w:hyperlink r:id="rId258">
        <w:r>
          <w:rPr>
            <w:rStyle w:val="ListLabel113"/>
            <w:rFonts w:eastAsia="Cambria" w:cs="Cambria"/>
            <w:b w:val="false"/>
            <w:bCs w:val="false"/>
            <w:i w:val="false"/>
            <w:iCs w:val="false"/>
            <w:color w:val="0563C1"/>
            <w:sz w:val="22"/>
            <w:szCs w:val="22"/>
            <w:u w:val="single"/>
          </w:rPr>
          <w:t>ncdot.gov/dmv</w:t>
        </w:r>
      </w:hyperlink>
      <w:r>
        <w:rPr>
          <w:rFonts w:eastAsia="Cambria" w:cs="Cambria"/>
          <w:b w:val="false"/>
          <w:bCs w:val="false"/>
          <w:i w:val="false"/>
          <w:iCs w:val="false"/>
          <w:sz w:val="22"/>
          <w:szCs w:val="22"/>
        </w:rPr>
        <w:t xml:space="preserve">, </w:t>
      </w:r>
      <w:hyperlink r:id="rId259">
        <w:r>
          <w:rPr>
            <w:rStyle w:val="ListLabel113"/>
            <w:rFonts w:eastAsia="Cambria" w:cs="Cambria"/>
            <w:b w:val="false"/>
            <w:bCs w:val="false"/>
            <w:i w:val="false"/>
            <w:iCs w:val="false"/>
            <w:color w:val="0563C1"/>
            <w:sz w:val="22"/>
            <w:szCs w:val="22"/>
            <w:u w:val="single"/>
          </w:rPr>
          <w:t>flhsmv.gov</w:t>
        </w:r>
      </w:hyperlink>
      <w:r>
        <w:rPr>
          <w:rFonts w:eastAsia="Cambria" w:cs="Cambria"/>
          <w:b w:val="false"/>
          <w:bCs w:val="false"/>
          <w:i w:val="false"/>
          <w:iCs w:val="false"/>
          <w:sz w:val="22"/>
          <w:szCs w:val="22"/>
        </w:rPr>
        <w:t xml:space="preserve">, </w:t>
      </w:r>
      <w:hyperlink r:id="rId260">
        <w:r>
          <w:rPr>
            <w:rStyle w:val="ListLabel113"/>
            <w:rFonts w:eastAsia="Cambria" w:cs="Cambria"/>
            <w:b w:val="false"/>
            <w:bCs w:val="false"/>
            <w:i w:val="false"/>
            <w:iCs w:val="false"/>
            <w:color w:val="0563C1"/>
            <w:sz w:val="22"/>
            <w:szCs w:val="22"/>
            <w:u w:val="single"/>
          </w:rPr>
          <w:t>oregon.gov/odot/dmv</w:t>
        </w:r>
      </w:hyperlink>
      <w:r>
        <w:rPr>
          <w:rFonts w:eastAsia="Cambria" w:cs="Cambria"/>
          <w:b w:val="false"/>
          <w:bCs w:val="false"/>
          <w:i w:val="false"/>
          <w:iCs w:val="false"/>
          <w:sz w:val="22"/>
          <w:szCs w:val="22"/>
        </w:rPr>
        <w:t xml:space="preserve">, </w:t>
      </w:r>
      <w:hyperlink r:id="rId261">
        <w:r>
          <w:rPr>
            <w:rStyle w:val="ListLabel113"/>
            <w:rFonts w:eastAsia="Cambria" w:cs="Cambria"/>
            <w:b w:val="false"/>
            <w:bCs w:val="false"/>
            <w:i w:val="false"/>
            <w:iCs w:val="false"/>
            <w:color w:val="0563C1"/>
            <w:sz w:val="22"/>
            <w:szCs w:val="22"/>
            <w:u w:val="single"/>
          </w:rPr>
          <w:t>dld.utah.gov</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Flughafensicherheit TSA — REAL ID und ConfirmID (</w:t>
      </w:r>
      <w:hyperlink r:id="rId262">
        <w:r>
          <w:rPr>
            <w:rStyle w:val="ListLabel113"/>
            <w:rFonts w:eastAsia="Cambria" w:cs="Cambria"/>
            <w:b w:val="false"/>
            <w:bCs w:val="false"/>
            <w:i w:val="false"/>
            <w:iCs w:val="false"/>
            <w:color w:val="0563C1"/>
            <w:sz w:val="22"/>
            <w:szCs w:val="22"/>
            <w:u w:val="single"/>
          </w:rPr>
          <w:t>tsa.gov/real-id</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Zoll- und Grenzschutzbehörde CBP — Fahrzeuge einführen (</w:t>
      </w:r>
      <w:hyperlink r:id="rId263">
        <w:r>
          <w:rPr>
            <w:rStyle w:val="ListLabel113"/>
            <w:rFonts w:eastAsia="Cambria" w:cs="Cambria"/>
            <w:b w:val="false"/>
            <w:bCs w:val="false"/>
            <w:i w:val="false"/>
            <w:iCs w:val="false"/>
            <w:color w:val="0563C1"/>
            <w:sz w:val="22"/>
            <w:szCs w:val="22"/>
            <w:u w:val="single"/>
          </w:rPr>
          <w:t>cbp.gov/trade/basic-import-export/importing-car</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Energiebehörde EIA — Benzinpreise (</w:t>
      </w:r>
      <w:hyperlink r:id="rId264">
        <w:r>
          <w:rPr>
            <w:rStyle w:val="ListLabel113"/>
            <w:rFonts w:eastAsia="Cambria" w:cs="Cambria"/>
            <w:b w:val="false"/>
            <w:bCs w:val="false"/>
            <w:i w:val="false"/>
            <w:iCs w:val="false"/>
            <w:color w:val="0563C1"/>
            <w:sz w:val="22"/>
            <w:szCs w:val="22"/>
            <w:u w:val="single"/>
          </w:rPr>
          <w:t>eia.gov/petroleum/gasdiesel</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Schnell ändern sich: die Reziprozitätslisten, Fristen und Gebühren der Bundesstaaten, TSA-Regeln, Auto- und Benzinpreise, Kreditzinsen, Versicherungsprämien, die Zölle auf Fahrzeuge und die Förderung von Elektroautos in den Staaten. Prüfe vor jeder Entscheidung die Seite deiner DMV.</w:t>
            </w:r>
          </w:p>
        </w:tc>
      </w:tr>
    </w:tbl>
    <w:p>
      <w:pPr>
        <w:pStyle w:val="Normal"/>
        <w:spacing w:lineRule="exact" w:line="220" w:before="0" w:after="0"/>
        <w:rPr/>
      </w:pPr>
      <w:r>
        <w:rPr/>
      </w:r>
      <w:r>
        <w:br w:type="page"/>
      </w:r>
    </w:p>
    <w:p>
      <w:pPr>
        <w:pStyle w:val="Heading2"/>
        <w:keepNext w:val="true"/>
        <w:spacing w:before="0" w:after="300"/>
        <w:jc w:val="center"/>
        <w:rPr/>
      </w:pPr>
      <w:bookmarkStart w:id="69" w:name="__RefHeading___Toc56493_3769931028"/>
      <w:bookmarkStart w:id="70" w:name="k28"/>
      <w:bookmarkEnd w:id="69"/>
      <w:r>
        <w:rPr>
          <w:rFonts w:eastAsia="Amazon Ember" w:cs="Amazon Ember" w:ascii="Amazon Ember" w:hAnsi="Amazon Ember"/>
          <w:b/>
          <w:bCs/>
          <w:color w:val="0000FF"/>
          <w:sz w:val="36"/>
          <w:szCs w:val="36"/>
        </w:rPr>
        <w:t>Kapitel 28: Steuern in den USA verständlich erklärt</w:t>
      </w:r>
      <w:bookmarkEnd w:id="70"/>
    </w:p>
    <w:p>
      <w:pPr>
        <w:pStyle w:val="Normal"/>
        <w:keepNext w:val="false"/>
        <w:keepLines w:val="false"/>
        <w:spacing w:lineRule="exact" w:line="288" w:before="0" w:after="140"/>
        <w:jc w:val="left"/>
        <w:rPr/>
      </w:pPr>
      <w:r>
        <w:rPr>
          <w:rFonts w:eastAsia="Cambria" w:cs="Cambria"/>
          <w:b w:val="false"/>
          <w:bCs w:val="false"/>
          <w:i w:val="false"/>
          <w:iCs w:val="false"/>
          <w:sz w:val="22"/>
          <w:szCs w:val="22"/>
        </w:rPr>
        <w:t>Im ersten April nach deinem Umzug liegt eine Aufgabe vor dir, die es in Deutschland für viele Beschäftigte nicht gibt: Niemand schickt dir einen Steuerbescheid. In den USA rechnest du selbst, erklärst selbst und haftest selbst. Dazu kommt eine Besonderheit, die viele Zugezogene erst spät bemerken: Als steuerlicher Einwohner schuldest du den USA Steuern auf dein weltweites Einkommen und musst deutsche Konten melden, auch wenn darauf kaum Zinsen anfallen. Dieses Kapitel ordnet das System, rechnet ein Beispiel durch und zeigt die teuren Fallen.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Steuern erheben der Bund (Einkommensteuer, Sozialabgaben), der Bundesstaat (Einkommen- und Verkaufssteuer) und die Kommune (vor allem Grundsteuer). Steuerjahr ist das Kalenderjahr; die Erklärung für 2026 ist am 15. April 2027 fällig.</w:t>
            </w:r>
          </w:p>
          <w:p>
            <w:pPr>
              <w:pStyle w:val="ListParagraph"/>
              <w:numPr>
                <w:ilvl w:val="0"/>
                <w:numId w:val="1"/>
              </w:numPr>
              <w:spacing w:lineRule="exact" w:line="264" w:before="0" w:after="50"/>
              <w:rPr/>
            </w:pPr>
            <w:r>
              <w:rPr>
                <w:rFonts w:eastAsia="Cambria" w:cs="Cambria"/>
                <w:b w:val="false"/>
                <w:bCs w:val="false"/>
                <w:i w:val="false"/>
                <w:iCs w:val="false"/>
                <w:sz w:val="20"/>
                <w:szCs w:val="20"/>
              </w:rPr>
              <w:t>Bund 2026: Standardabzug 16.100 $ (Einzelperson) bzw. 32.200 $ (Ehepaar), Sätze von 10 bis 37 %. Statt Kindergeld gibt es eine Gutschrift von 2.200 $ je Kind; sie setzt eine Sozialversicherungsnummer (</w:t>
            </w:r>
            <w:r>
              <w:rPr>
                <w:rFonts w:eastAsia="Cambria" w:cs="Cambria"/>
                <w:b w:val="false"/>
                <w:bCs w:val="false"/>
                <w:i/>
                <w:iCs/>
                <w:sz w:val="20"/>
                <w:szCs w:val="20"/>
              </w:rPr>
              <w:t>Social Security Number</w:t>
            </w:r>
            <w:r>
              <w:rPr>
                <w:rFonts w:eastAsia="Cambria" w:cs="Cambria"/>
                <w:b w:val="false"/>
                <w:bCs w:val="false"/>
                <w:i w:val="false"/>
                <w:iCs w:val="false"/>
                <w:sz w:val="20"/>
                <w:szCs w:val="20"/>
              </w:rPr>
              <w:t>, SSN) mit Arbeitserlaubnis voraus.</w:t>
            </w:r>
          </w:p>
          <w:p>
            <w:pPr>
              <w:pStyle w:val="ListParagraph"/>
              <w:numPr>
                <w:ilvl w:val="0"/>
                <w:numId w:val="1"/>
              </w:numPr>
              <w:spacing w:lineRule="exact" w:line="264" w:before="0" w:after="50"/>
              <w:rPr/>
            </w:pPr>
            <w:r>
              <w:rPr>
                <w:rFonts w:eastAsia="Cambria" w:cs="Cambria"/>
                <w:b w:val="false"/>
                <w:bCs w:val="false"/>
                <w:i w:val="false"/>
                <w:iCs w:val="false"/>
                <w:sz w:val="20"/>
                <w:szCs w:val="20"/>
              </w:rPr>
              <w:t>Steuerlich ansässig wirst du durch die Green Card oder den Tage-Test (</w:t>
            </w:r>
            <w:r>
              <w:rPr>
                <w:rFonts w:eastAsia="Cambria" w:cs="Cambria"/>
                <w:b w:val="false"/>
                <w:bCs w:val="false"/>
                <w:i/>
                <w:iCs/>
                <w:sz w:val="20"/>
                <w:szCs w:val="20"/>
              </w:rPr>
              <w:t>Substantial Presence Test</w:t>
            </w:r>
            <w:r>
              <w:rPr>
                <w:rFonts w:eastAsia="Cambria" w:cs="Cambria"/>
                <w:b w:val="false"/>
                <w:bCs w:val="false"/>
                <w:i w:val="false"/>
                <w:iCs w:val="false"/>
                <w:sz w:val="20"/>
                <w:szCs w:val="20"/>
              </w:rPr>
              <w:t>), nicht durch das Visum. Dann gilt dein weltweites Einkommen.</w:t>
            </w:r>
          </w:p>
          <w:p>
            <w:pPr>
              <w:pStyle w:val="ListParagraph"/>
              <w:numPr>
                <w:ilvl w:val="0"/>
                <w:numId w:val="1"/>
              </w:numPr>
              <w:spacing w:lineRule="exact" w:line="264" w:before="0" w:after="50"/>
              <w:rPr/>
            </w:pPr>
            <w:r>
              <w:rPr>
                <w:rFonts w:eastAsia="Cambria" w:cs="Cambria"/>
                <w:b w:val="false"/>
                <w:bCs w:val="false"/>
                <w:i w:val="false"/>
                <w:iCs w:val="false"/>
                <w:sz w:val="20"/>
                <w:szCs w:val="20"/>
              </w:rPr>
              <w:t>Die großen Fallen sind Meldepflichten: Auslandskonten über 10.000 $ (FBAR), Auslandsvermögen (Form 8938) und deutsche Fonds (PFIC). Die Strafen reichen bis in den sechsstelligen Bereich.</w:t>
            </w:r>
          </w:p>
          <w:p>
            <w:pPr>
              <w:pStyle w:val="ListParagraph"/>
              <w:numPr>
                <w:ilvl w:val="0"/>
                <w:numId w:val="1"/>
              </w:numPr>
              <w:spacing w:lineRule="exact" w:line="264" w:before="0" w:after="50"/>
              <w:rPr/>
            </w:pPr>
            <w:r>
              <w:rPr>
                <w:rFonts w:eastAsia="Cambria" w:cs="Cambria"/>
                <w:b w:val="false"/>
                <w:bCs w:val="false"/>
                <w:i w:val="false"/>
                <w:iCs w:val="false"/>
                <w:sz w:val="20"/>
                <w:szCs w:val="20"/>
              </w:rPr>
              <w:t>Näherung 2026: Von 120.000 $ brutto bleiben einer Einzelperson in Texas etwa 78 %, in Kalifornien etwa 71 % (ohne Krankenversicherung und 401(k)).</w:t>
            </w:r>
          </w:p>
          <w:p>
            <w:pPr>
              <w:pStyle w:val="ListParagraph"/>
              <w:numPr>
                <w:ilvl w:val="0"/>
                <w:numId w:val="1"/>
              </w:numPr>
              <w:spacing w:lineRule="exact" w:line="264" w:before="0" w:after="50"/>
              <w:rPr/>
            </w:pPr>
            <w:r>
              <w:rPr>
                <w:rFonts w:eastAsia="Cambria" w:cs="Cambria"/>
                <w:b w:val="false"/>
                <w:bCs w:val="false"/>
                <w:i w:val="false"/>
                <w:iCs w:val="false"/>
                <w:sz w:val="20"/>
                <w:szCs w:val="20"/>
              </w:rPr>
              <w:t>Im Einreisejahr lohnt sich ein zugelassener Steuerexperte (</w:t>
            </w:r>
            <w:r>
              <w:rPr>
                <w:rFonts w:eastAsia="Cambria" w:cs="Cambria"/>
                <w:b w:val="false"/>
                <w:bCs w:val="false"/>
                <w:i/>
                <w:iCs/>
                <w:sz w:val="20"/>
                <w:szCs w:val="20"/>
              </w:rPr>
              <w:t>CPA</w:t>
            </w:r>
            <w:r>
              <w:rPr>
                <w:rFonts w:eastAsia="Cambria" w:cs="Cambria"/>
                <w:b w:val="false"/>
                <w:bCs w:val="false"/>
                <w:i w:val="false"/>
                <w:iCs w:val="false"/>
                <w:sz w:val="20"/>
                <w:szCs w:val="20"/>
              </w:rPr>
              <w:t xml:space="preserve"> oder </w:t>
            </w:r>
            <w:r>
              <w:rPr>
                <w:rFonts w:eastAsia="Cambria" w:cs="Cambria"/>
                <w:b w:val="false"/>
                <w:bCs w:val="false"/>
                <w:i/>
                <w:iCs/>
                <w:sz w:val="20"/>
                <w:szCs w:val="20"/>
              </w:rPr>
              <w:t>Enrolled Agent</w:t>
            </w:r>
            <w:r>
              <w:rPr>
                <w:rFonts w:eastAsia="Cambria" w:cs="Cambria"/>
                <w:b w:val="false"/>
                <w:bCs w:val="false"/>
                <w:i w:val="false"/>
                <w:iCs w:val="false"/>
                <w:sz w:val="20"/>
                <w:szCs w:val="20"/>
              </w:rPr>
              <w:t>); das kostet meist 800–2.500 $.</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Drei Ebenen, eine Selbstveranlagung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Bund erhebt die Einkommensteuer (</w:t>
      </w:r>
      <w:r>
        <w:rPr>
          <w:rFonts w:eastAsia="Cambria" w:cs="Cambria"/>
          <w:b w:val="false"/>
          <w:bCs w:val="false"/>
          <w:i/>
          <w:iCs/>
          <w:sz w:val="22"/>
          <w:szCs w:val="22"/>
        </w:rPr>
        <w:t>Federal Income Tax</w:t>
      </w:r>
      <w:r>
        <w:rPr>
          <w:rFonts w:eastAsia="Cambria" w:cs="Cambria"/>
          <w:b w:val="false"/>
          <w:bCs w:val="false"/>
          <w:i w:val="false"/>
          <w:iCs w:val="false"/>
          <w:sz w:val="22"/>
          <w:szCs w:val="22"/>
        </w:rPr>
        <w:t>) und die Sozialabgaben, zuständig ist die Bundessteuerbehörde IRS. Die meisten Bundesstaaten erheben eine eigene Einkommensteuer; Alaska, Florida, Nevada, New Hampshire, South Dakota, Tennessee, Texas, Washington und Wyoming besteuern Löhne nicht. Städte und Landkreise erheben vor allem die Grundsteuer (</w:t>
      </w:r>
      <w:r>
        <w:rPr>
          <w:rFonts w:eastAsia="Cambria" w:cs="Cambria"/>
          <w:b w:val="false"/>
          <w:bCs w:val="false"/>
          <w:i/>
          <w:iCs/>
          <w:sz w:val="22"/>
          <w:szCs w:val="22"/>
        </w:rPr>
        <w:t>Property Tax</w:t>
      </w:r>
      <w:r>
        <w:rPr>
          <w:rFonts w:eastAsia="Cambria" w:cs="Cambria"/>
          <w:b w:val="false"/>
          <w:bCs w:val="false"/>
          <w:i w:val="false"/>
          <w:iCs w:val="false"/>
          <w:sz w:val="22"/>
          <w:szCs w:val="22"/>
        </w:rPr>
        <w:t>), einzelne auch eine Stadt-Einkommensteuer, dazu die Verkaufssteuer (</w:t>
      </w:r>
      <w:r>
        <w:rPr>
          <w:rFonts w:eastAsia="Cambria" w:cs="Cambria"/>
          <w:b w:val="false"/>
          <w:bCs w:val="false"/>
          <w:i/>
          <w:iCs/>
          <w:sz w:val="22"/>
          <w:szCs w:val="22"/>
        </w:rPr>
        <w:t>Sales Tax</w:t>
      </w:r>
      <w:r>
        <w:rPr>
          <w:rFonts w:eastAsia="Cambria" w:cs="Cambria"/>
          <w:b w:val="false"/>
          <w:bCs w:val="false"/>
          <w:i w:val="false"/>
          <w:iCs w:val="false"/>
          <w:sz w:val="22"/>
          <w:szCs w:val="22"/>
        </w:rPr>
        <w:t>), die anders als die deutsche Mehrwertsteuer nicht im Preis steht.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Ablauf ist überall gleich: Dein Arbeitgeber behält während des Jahres Steuern vom Gehalt ein (</w:t>
      </w:r>
      <w:r>
        <w:rPr>
          <w:rFonts w:eastAsia="Cambria" w:cs="Cambria"/>
          <w:b w:val="false"/>
          <w:bCs w:val="false"/>
          <w:i/>
          <w:iCs/>
          <w:sz w:val="22"/>
          <w:szCs w:val="22"/>
        </w:rPr>
        <w:t>Withholding</w:t>
      </w:r>
      <w:r>
        <w:rPr>
          <w:rFonts w:eastAsia="Cambria" w:cs="Cambria"/>
          <w:b w:val="false"/>
          <w:bCs w:val="false"/>
          <w:i w:val="false"/>
          <w:iCs w:val="false"/>
          <w:sz w:val="22"/>
          <w:szCs w:val="22"/>
        </w:rPr>
        <w:t xml:space="preserve">), maßgeblich ist das Formular </w:t>
      </w:r>
      <w:r>
        <w:rPr>
          <w:rFonts w:eastAsia="Cambria" w:cs="Cambria"/>
          <w:b w:val="false"/>
          <w:bCs w:val="false"/>
          <w:i/>
          <w:iCs/>
          <w:sz w:val="22"/>
          <w:szCs w:val="22"/>
        </w:rPr>
        <w:t>W-4</w:t>
      </w:r>
      <w:r>
        <w:rPr>
          <w:rFonts w:eastAsia="Cambria" w:cs="Cambria"/>
          <w:b w:val="false"/>
          <w:bCs w:val="false"/>
          <w:i w:val="false"/>
          <w:iCs w:val="false"/>
          <w:sz w:val="22"/>
          <w:szCs w:val="22"/>
        </w:rPr>
        <w:t xml:space="preserve">. Bis 31. Januar schickt er dir das Formular </w:t>
      </w:r>
      <w:r>
        <w:rPr>
          <w:rFonts w:eastAsia="Cambria" w:cs="Cambria"/>
          <w:b w:val="false"/>
          <w:bCs w:val="false"/>
          <w:i/>
          <w:iCs/>
          <w:sz w:val="22"/>
          <w:szCs w:val="22"/>
        </w:rPr>
        <w:t>W-2</w:t>
      </w:r>
      <w:r>
        <w:rPr>
          <w:rFonts w:eastAsia="Cambria" w:cs="Cambria"/>
          <w:b w:val="false"/>
          <w:bCs w:val="false"/>
          <w:i w:val="false"/>
          <w:iCs w:val="false"/>
          <w:sz w:val="22"/>
          <w:szCs w:val="22"/>
        </w:rPr>
        <w:t>, die Jahreslohnbescheinigung; damit erstellst du bis 15. April die Erklärung (</w:t>
      </w:r>
      <w:r>
        <w:rPr>
          <w:rFonts w:eastAsia="Cambria" w:cs="Cambria"/>
          <w:b w:val="false"/>
          <w:bCs w:val="false"/>
          <w:i/>
          <w:iCs/>
          <w:sz w:val="22"/>
          <w:szCs w:val="22"/>
        </w:rPr>
        <w:t>Tax Return</w:t>
      </w:r>
      <w:r>
        <w:rPr>
          <w:rFonts w:eastAsia="Cambria" w:cs="Cambria"/>
          <w:b w:val="false"/>
          <w:bCs w:val="false"/>
          <w:i w:val="false"/>
          <w:iCs w:val="false"/>
          <w:sz w:val="22"/>
          <w:szCs w:val="22"/>
        </w:rPr>
        <w:t>, Bundesformular 1040). Dann zeigt sich, ob du zu viel gezahlt hast (Erstattung, bei E-Filing mit Direktüberweisung meist nach wenigen Wochen) oder nachzahlen musst. Steuerklassen gibt es nicht; die Familiensituation wirkt über den Veranlagungsstatus (</w:t>
      </w:r>
      <w:r>
        <w:rPr>
          <w:rFonts w:eastAsia="Cambria" w:cs="Cambria"/>
          <w:b w:val="false"/>
          <w:bCs w:val="false"/>
          <w:i/>
          <w:iCs/>
          <w:sz w:val="22"/>
          <w:szCs w:val="22"/>
        </w:rPr>
        <w:t>Filing Status</w:t>
      </w:r>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erklärt das System und rechnet Beispiele. Es ist keine Rechts- oder Steuerberatung. Bei Auslandsvermögen, Einreisejahr, Aktienvergütung und Erbschaften entscheiden Einzelheiten. Lass diese Fälle von einem Steuerexperten prüfen, der auch die deutsche Seite kennt.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Bundeseinkommensteuer 2026</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Rechnung ist einfacher als in Deutschland. Vom Bruttoeinkommen ziehst du den Standardabzug (</w:t>
      </w:r>
      <w:r>
        <w:rPr>
          <w:rFonts w:eastAsia="Cambria" w:cs="Cambria"/>
          <w:b w:val="false"/>
          <w:bCs w:val="false"/>
          <w:i/>
          <w:iCs/>
          <w:sz w:val="22"/>
          <w:szCs w:val="22"/>
        </w:rPr>
        <w:t>Standard Deduction</w:t>
      </w:r>
      <w:r>
        <w:rPr>
          <w:rFonts w:eastAsia="Cambria" w:cs="Cambria"/>
          <w:b w:val="false"/>
          <w:bCs w:val="false"/>
          <w:i w:val="false"/>
          <w:iCs w:val="false"/>
          <w:sz w:val="22"/>
          <w:szCs w:val="22"/>
        </w:rPr>
        <w:t>) ab: 2026 sind das 16.100 $ für Einzelpersonen, 32.200 $ für Ehepaare und 24.150 $ für Alleinerziehende (</w:t>
      </w:r>
      <w:r>
        <w:rPr>
          <w:rFonts w:eastAsia="Cambria" w:cs="Cambria"/>
          <w:b w:val="false"/>
          <w:bCs w:val="false"/>
          <w:i/>
          <w:iCs/>
          <w:sz w:val="22"/>
          <w:szCs w:val="22"/>
        </w:rPr>
        <w:t>Head of Household</w:t>
      </w:r>
      <w:r>
        <w:rPr>
          <w:rFonts w:eastAsia="Cambria" w:cs="Cambria"/>
          <w:b w:val="false"/>
          <w:bCs w:val="false"/>
          <w:i w:val="false"/>
          <w:iCs w:val="false"/>
          <w:sz w:val="22"/>
          <w:szCs w:val="22"/>
        </w:rPr>
        <w:t>). Nur wenn deine Einzelabzüge (</w:t>
      </w:r>
      <w:r>
        <w:rPr>
          <w:rFonts w:eastAsia="Cambria" w:cs="Cambria"/>
          <w:b w:val="false"/>
          <w:bCs w:val="false"/>
          <w:i/>
          <w:iCs/>
          <w:sz w:val="22"/>
          <w:szCs w:val="22"/>
        </w:rPr>
        <w:t>Itemized Deductions</w:t>
      </w:r>
      <w:r>
        <w:rPr>
          <w:rFonts w:eastAsia="Cambria" w:cs="Cambria"/>
          <w:b w:val="false"/>
          <w:bCs w:val="false"/>
          <w:i w:val="false"/>
          <w:iCs w:val="false"/>
          <w:sz w:val="22"/>
          <w:szCs w:val="22"/>
        </w:rPr>
        <w:t>) höher ausfallen, etwa durch Hypothekenzinsen und Grundsteuer, lohnt sich der Einzelnachweis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Auf den Rest wendest du gestaffelte Sätze an; einen Freibetrag pro Kopf gibt es nicht. Ehepaare veranlagen sich meist gemeinsam (</w:t>
      </w:r>
      <w:r>
        <w:rPr>
          <w:rFonts w:eastAsia="Cambria" w:cs="Cambria"/>
          <w:b w:val="false"/>
          <w:bCs w:val="false"/>
          <w:i/>
          <w:iCs/>
          <w:sz w:val="22"/>
          <w:szCs w:val="22"/>
        </w:rPr>
        <w:t>Married Filing Jointly</w:t>
      </w:r>
      <w:r>
        <w:rPr>
          <w:rFonts w:eastAsia="Cambria" w:cs="Cambria"/>
          <w:b w:val="false"/>
          <w:bCs w:val="false"/>
          <w:i w:val="false"/>
          <w:iCs w:val="false"/>
          <w:sz w:val="22"/>
          <w:szCs w:val="22"/>
        </w:rPr>
        <w:t>, MFJ), auch bei nur einem Einkommen.</w:t>
      </w:r>
    </w:p>
    <w:tbl>
      <w:tblPr>
        <w:tblW w:w="6480" w:type="dxa"/>
        <w:jc w:val="left"/>
        <w:tblInd w:w="0" w:type="dxa"/>
        <w:tblLayout w:type="fixed"/>
        <w:tblCellMar>
          <w:top w:w="50" w:type="dxa"/>
          <w:left w:w="80" w:type="dxa"/>
          <w:bottom w:w="50" w:type="dxa"/>
          <w:right w:w="80" w:type="dxa"/>
        </w:tblCellMar>
      </w:tblPr>
      <w:tblGrid>
        <w:gridCol w:w="1246"/>
        <w:gridCol w:w="3310"/>
        <w:gridCol w:w="1924"/>
      </w:tblGrid>
      <w:tr>
        <w:trPr>
          <w:tblHeader w:val="true"/>
          <w:cantSplit w:val="true"/>
        </w:trPr>
        <w:tc>
          <w:tcPr>
            <w:tcW w:w="124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Satz</w:t>
            </w:r>
          </w:p>
        </w:tc>
        <w:tc>
          <w:tcPr>
            <w:tcW w:w="331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Einzelperson: zu versteuerndes Einkommen bis (in $)</w:t>
            </w:r>
          </w:p>
        </w:tc>
        <w:tc>
          <w:tcPr>
            <w:tcW w:w="192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Ehepaar (MFJ): bis (in $)</w:t>
            </w:r>
          </w:p>
        </w:tc>
      </w:tr>
      <w:tr>
        <w:trPr>
          <w:cantSplit w:val="true"/>
        </w:trPr>
        <w:tc>
          <w:tcPr>
            <w:tcW w:w="12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10 %</w:t>
            </w:r>
          </w:p>
        </w:tc>
        <w:tc>
          <w:tcPr>
            <w:tcW w:w="3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12.400</w:t>
            </w:r>
          </w:p>
        </w:tc>
        <w:tc>
          <w:tcPr>
            <w:tcW w:w="1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24.800</w:t>
            </w:r>
          </w:p>
        </w:tc>
      </w:tr>
      <w:tr>
        <w:trPr>
          <w:cantSplit w:val="true"/>
        </w:trPr>
        <w:tc>
          <w:tcPr>
            <w:tcW w:w="12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12 %</w:t>
            </w:r>
          </w:p>
        </w:tc>
        <w:tc>
          <w:tcPr>
            <w:tcW w:w="3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50.400</w:t>
            </w:r>
          </w:p>
        </w:tc>
        <w:tc>
          <w:tcPr>
            <w:tcW w:w="1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100.800</w:t>
            </w:r>
          </w:p>
        </w:tc>
      </w:tr>
      <w:tr>
        <w:trPr>
          <w:cantSplit w:val="true"/>
        </w:trPr>
        <w:tc>
          <w:tcPr>
            <w:tcW w:w="12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22 %</w:t>
            </w:r>
          </w:p>
        </w:tc>
        <w:tc>
          <w:tcPr>
            <w:tcW w:w="3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105.700</w:t>
            </w:r>
          </w:p>
        </w:tc>
        <w:tc>
          <w:tcPr>
            <w:tcW w:w="1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211.400</w:t>
            </w:r>
          </w:p>
        </w:tc>
      </w:tr>
      <w:tr>
        <w:trPr>
          <w:cantSplit w:val="true"/>
        </w:trPr>
        <w:tc>
          <w:tcPr>
            <w:tcW w:w="12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24 %</w:t>
            </w:r>
          </w:p>
        </w:tc>
        <w:tc>
          <w:tcPr>
            <w:tcW w:w="3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201.775</w:t>
            </w:r>
          </w:p>
        </w:tc>
        <w:tc>
          <w:tcPr>
            <w:tcW w:w="1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403.550</w:t>
            </w:r>
          </w:p>
        </w:tc>
      </w:tr>
      <w:tr>
        <w:trPr>
          <w:cantSplit w:val="true"/>
        </w:trPr>
        <w:tc>
          <w:tcPr>
            <w:tcW w:w="12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32 %</w:t>
            </w:r>
          </w:p>
        </w:tc>
        <w:tc>
          <w:tcPr>
            <w:tcW w:w="3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256.225</w:t>
            </w:r>
          </w:p>
        </w:tc>
        <w:tc>
          <w:tcPr>
            <w:tcW w:w="1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512.450</w:t>
            </w:r>
          </w:p>
        </w:tc>
      </w:tr>
      <w:tr>
        <w:trPr>
          <w:cantSplit w:val="true"/>
        </w:trPr>
        <w:tc>
          <w:tcPr>
            <w:tcW w:w="12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35 %</w:t>
            </w:r>
          </w:p>
        </w:tc>
        <w:tc>
          <w:tcPr>
            <w:tcW w:w="3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640.600</w:t>
            </w:r>
          </w:p>
        </w:tc>
        <w:tc>
          <w:tcPr>
            <w:tcW w:w="1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768.700</w:t>
            </w:r>
          </w:p>
        </w:tc>
      </w:tr>
      <w:tr>
        <w:trPr>
          <w:cantSplit w:val="true"/>
        </w:trPr>
        <w:tc>
          <w:tcPr>
            <w:tcW w:w="12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37 %</w:t>
            </w:r>
          </w:p>
        </w:tc>
        <w:tc>
          <w:tcPr>
            <w:tcW w:w="3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darüber</w:t>
            </w:r>
          </w:p>
        </w:tc>
        <w:tc>
          <w:tcPr>
            <w:tcW w:w="1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darüber</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Jeder Satz gilt nur für den Teil des Einkommens innerhalb seiner Stufe: Wer 120.000 $ verdient, zahlt nicht 22 % auf alles. Gewinne aus Wertpapieren, die du länger als ein Jahr hältst, werden niedriger besteuert (Einzelperson: 0 % bis 49.450 $, 15 % bis 545.500 $, darüber 20 %).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Kinder gibt es die Kinder-Steuergutschrift (</w:t>
      </w:r>
      <w:r>
        <w:rPr>
          <w:rFonts w:eastAsia="Cambria" w:cs="Cambria"/>
          <w:b w:val="false"/>
          <w:bCs w:val="false"/>
          <w:i/>
          <w:iCs/>
          <w:sz w:val="22"/>
          <w:szCs w:val="22"/>
        </w:rPr>
        <w:t>Child Tax Credit</w:t>
      </w:r>
      <w:r>
        <w:rPr>
          <w:rFonts w:eastAsia="Cambria" w:cs="Cambria"/>
          <w:b w:val="false"/>
          <w:bCs w:val="false"/>
          <w:i w:val="false"/>
          <w:iCs w:val="false"/>
          <w:sz w:val="22"/>
          <w:szCs w:val="22"/>
        </w:rPr>
        <w:t>, CTC): 2.200 $ je Kind unter 17 Jahren (2025 und 2026). Bis zu 1.700 $ davon werden auch erstattet, wenn du weniger Steuer schuldest (ab 2.500 $ Erwerbseinkommen). Die volle Höhe gilt bis 200.000 $ Einkommen, für Ehepaare bis 400.000 $. Das Kind muss mehr als ein halbes Jahr bei dir wohnen. Kindergeld im deutschen Sinn ist das nicht: Du erhältst die Gutschrift mit der Erklärung.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Für die Gutschrift brauchen der Steuerzahler und jedes Kind eine SSN, die zur Arbeit berechtigt und vor Fristende ausgestellt wurde; bei gemeinsamer Veranlagung genügt für die Eltern die SSN eines Ehegatten. Kinder von H-1B- und L-1-Beschäftigten (Status H-4 bzw. L-2) erhalten meist nur eine </w:t>
            </w:r>
            <w:r>
              <w:rPr>
                <w:rFonts w:eastAsia="Cambria" w:cs="Cambria"/>
                <w:b w:val="false"/>
                <w:bCs w:val="false"/>
                <w:i/>
                <w:iCs/>
                <w:sz w:val="20"/>
                <w:szCs w:val="20"/>
              </w:rPr>
              <w:t>ITIN</w:t>
            </w:r>
            <w:r>
              <w:rPr>
                <w:rFonts w:eastAsia="Cambria" w:cs="Cambria"/>
                <w:b w:val="false"/>
                <w:bCs w:val="false"/>
                <w:i w:val="false"/>
                <w:iCs w:val="false"/>
                <w:sz w:val="20"/>
                <w:szCs w:val="20"/>
              </w:rPr>
              <w:t>, die Steuernummer für Ausländer ohne SSN. Für sie gibt es nur 500 $ (</w:t>
            </w:r>
            <w:r>
              <w:rPr>
                <w:rFonts w:eastAsia="Cambria" w:cs="Cambria"/>
                <w:b w:val="false"/>
                <w:bCs w:val="false"/>
                <w:i/>
                <w:iCs/>
                <w:sz w:val="20"/>
                <w:szCs w:val="20"/>
              </w:rPr>
              <w:t>Credit for Other Dependents</w:t>
            </w:r>
            <w:r>
              <w:rPr>
                <w:rFonts w:eastAsia="Cambria" w:cs="Cambria"/>
                <w:b w:val="false"/>
                <w:bCs w:val="false"/>
                <w:i w:val="false"/>
                <w:iCs w:val="false"/>
                <w:sz w:val="20"/>
                <w:szCs w:val="20"/>
              </w:rPr>
              <w:t>). Bei zwei Kindern fehlen 3.400 $ pro Jahr. Plane die Gutschrift erst ein, wenn die SSN feststeht (Kapitel </w:t>
            </w:r>
            <w:hyperlink w:anchor="k24">
              <w:r>
                <w:rPr>
                  <w:rStyle w:val="ListLabel114"/>
                  <w:rFonts w:eastAsia="Cambria" w:cs="Cambria"/>
                  <w:b w:val="false"/>
                  <w:bCs w:val="false"/>
                  <w:i w:val="false"/>
                  <w:iCs w:val="false"/>
                  <w:sz w:val="20"/>
                  <w:szCs w:val="20"/>
                </w:rPr>
                <w:t>24</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Gehaltsabrechnung lesen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Auf der Abrechnung (</w:t>
      </w:r>
      <w:r>
        <w:rPr>
          <w:rFonts w:eastAsia="Cambria" w:cs="Cambria"/>
          <w:b w:val="false"/>
          <w:bCs w:val="false"/>
          <w:i/>
          <w:iCs/>
          <w:sz w:val="22"/>
          <w:szCs w:val="22"/>
        </w:rPr>
        <w:t>Pay Stub</w:t>
      </w:r>
      <w:r>
        <w:rPr>
          <w:rFonts w:eastAsia="Cambria" w:cs="Cambria"/>
          <w:b w:val="false"/>
          <w:bCs w:val="false"/>
          <w:i w:val="false"/>
          <w:iCs w:val="false"/>
          <w:sz w:val="22"/>
          <w:szCs w:val="22"/>
        </w:rPr>
        <w:t>) stehen vom Brutto (</w:t>
      </w:r>
      <w:r>
        <w:rPr>
          <w:rFonts w:eastAsia="Cambria" w:cs="Cambria"/>
          <w:b w:val="false"/>
          <w:bCs w:val="false"/>
          <w:i/>
          <w:iCs/>
          <w:sz w:val="22"/>
          <w:szCs w:val="22"/>
        </w:rPr>
        <w:t>Gross Pay</w:t>
      </w:r>
      <w:r>
        <w:rPr>
          <w:rFonts w:eastAsia="Cambria" w:cs="Cambria"/>
          <w:b w:val="false"/>
          <w:bCs w:val="false"/>
          <w:i w:val="false"/>
          <w:iCs w:val="false"/>
          <w:sz w:val="22"/>
          <w:szCs w:val="22"/>
        </w:rPr>
        <w:t>) bis zur Auszahlung (</w:t>
      </w:r>
      <w:r>
        <w:rPr>
          <w:rFonts w:eastAsia="Cambria" w:cs="Cambria"/>
          <w:b w:val="false"/>
          <w:bCs w:val="false"/>
          <w:i/>
          <w:iCs/>
          <w:sz w:val="22"/>
          <w:szCs w:val="22"/>
        </w:rPr>
        <w:t>Net Pay</w:t>
      </w:r>
      <w:r>
        <w:rPr>
          <w:rFonts w:eastAsia="Cambria" w:cs="Cambria"/>
          <w:b w:val="false"/>
          <w:bCs w:val="false"/>
          <w:i w:val="false"/>
          <w:iCs w:val="false"/>
          <w:sz w:val="22"/>
          <w:szCs w:val="22"/>
        </w:rPr>
        <w:t xml:space="preserve">) alle Abzüge. Die Sozialabgaben heißen </w:t>
      </w:r>
      <w:r>
        <w:rPr>
          <w:rFonts w:eastAsia="Cambria" w:cs="Cambria"/>
          <w:b w:val="false"/>
          <w:bCs w:val="false"/>
          <w:i/>
          <w:iCs/>
          <w:sz w:val="22"/>
          <w:szCs w:val="22"/>
        </w:rPr>
        <w:t>FICA</w:t>
      </w:r>
      <w:r>
        <w:rPr>
          <w:rFonts w:eastAsia="Cambria" w:cs="Cambria"/>
          <w:b w:val="false"/>
          <w:bCs w:val="false"/>
          <w:i w:val="false"/>
          <w:iCs w:val="false"/>
          <w:sz w:val="22"/>
          <w:szCs w:val="22"/>
        </w:rPr>
        <w:t xml:space="preserve"> (nach dem Gesetz </w:t>
      </w:r>
      <w:r>
        <w:rPr>
          <w:rFonts w:eastAsia="Cambria" w:cs="Cambria"/>
          <w:b w:val="false"/>
          <w:bCs w:val="false"/>
          <w:i/>
          <w:iCs/>
          <w:sz w:val="22"/>
          <w:szCs w:val="22"/>
        </w:rPr>
        <w:t>Federal Insurance Contributions Act</w:t>
      </w:r>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949"/>
        <w:gridCol w:w="2754"/>
        <w:gridCol w:w="2777"/>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Posten</w:t>
            </w:r>
          </w:p>
        </w:tc>
        <w:tc>
          <w:tcPr>
            <w:tcW w:w="275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Bedeutung</w:t>
            </w:r>
          </w:p>
        </w:tc>
        <w:tc>
          <w:tcPr>
            <w:tcW w:w="277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2026</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Pre-Tax Deductions</w:t>
            </w:r>
          </w:p>
        </w:tc>
        <w:tc>
          <w:tcPr>
            <w:tcW w:w="27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Abzüge vor der Steuer: 401(k), Krankenversicherung, HSA/FSA</w:t>
            </w:r>
          </w:p>
        </w:tc>
        <w:tc>
          <w:tcPr>
            <w:tcW w:w="27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mindern das steuerpflichtige Gehalt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Federal Income Tax</w:t>
            </w:r>
          </w:p>
        </w:tc>
        <w:tc>
          <w:tcPr>
            <w:tcW w:w="27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Einbehalt nach deinem W-4</w:t>
            </w:r>
          </w:p>
        </w:tc>
        <w:tc>
          <w:tcPr>
            <w:tcW w:w="27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Vorschuss auf die Jahressteuer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Social Security</w:t>
            </w:r>
          </w:p>
        </w:tc>
        <w:tc>
          <w:tcPr>
            <w:tcW w:w="27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Rentenversicherung</w:t>
            </w:r>
          </w:p>
        </w:tc>
        <w:tc>
          <w:tcPr>
            <w:tcW w:w="27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6,2 % bis 184.500 $</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Medicare</w:t>
            </w:r>
          </w:p>
        </w:tc>
        <w:tc>
          <w:tcPr>
            <w:tcW w:w="27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Krankenversicherung für Ältere</w:t>
            </w:r>
          </w:p>
        </w:tc>
        <w:tc>
          <w:tcPr>
            <w:tcW w:w="27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1,45 % ohne Grenze; ab 200.000 $ Lohn zusätzlich 0,9 %</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State Income Tax</w:t>
            </w:r>
          </w:p>
        </w:tc>
        <w:tc>
          <w:tcPr>
            <w:tcW w:w="27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Einkommensteuer des Staats</w:t>
            </w:r>
          </w:p>
        </w:tc>
        <w:tc>
          <w:tcPr>
            <w:tcW w:w="27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 Staat 0 % bis rund 10 %</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Staatsumlagen</w:t>
            </w:r>
          </w:p>
        </w:tc>
        <w:tc>
          <w:tcPr>
            <w:tcW w:w="27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Kalifornien </w:t>
            </w:r>
            <w:r>
              <w:rPr>
                <w:rFonts w:eastAsia="Cambria" w:cs="Cambria"/>
                <w:b w:val="false"/>
                <w:bCs w:val="false"/>
                <w:i/>
                <w:iCs/>
                <w:sz w:val="18"/>
                <w:szCs w:val="18"/>
              </w:rPr>
              <w:t>SDI</w:t>
            </w:r>
            <w:r>
              <w:rPr>
                <w:rFonts w:eastAsia="Cambria" w:cs="Cambria"/>
                <w:b w:val="false"/>
                <w:bCs w:val="false"/>
                <w:i w:val="false"/>
                <w:iCs w:val="false"/>
                <w:sz w:val="18"/>
                <w:szCs w:val="18"/>
              </w:rPr>
              <w:t xml:space="preserve"> (Lohnersatz bei Krankheit); Washington </w:t>
            </w:r>
            <w:r>
              <w:rPr>
                <w:rFonts w:eastAsia="Cambria" w:cs="Cambria"/>
                <w:b w:val="false"/>
                <w:bCs w:val="false"/>
                <w:i/>
                <w:iCs/>
                <w:sz w:val="18"/>
                <w:szCs w:val="18"/>
              </w:rPr>
              <w:t>Paid Family &amp; Medical Leave</w:t>
            </w:r>
          </w:p>
        </w:tc>
        <w:tc>
          <w:tcPr>
            <w:tcW w:w="27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1,3 % ohne Deckel; WA 1,13 % bis 184.500 $, davon trägst du etwa 71 %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Arbeitgeber zahlt die FICA-Sätze noch einmal. Die Krankenversicherung steckt nicht in FICA, ihre Prämie steht als eigener Abzug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Die deutschen Sozialabgaben von rund 20–22 % (bis zur Bemessungsgrenze) enthalten dagegen Kranken-, Pflege-, Renten- und Arbeitslosenversicherung; in den USA zahlt die Arbeitslosenversicherung der Arbeitgeber. Wer von einem deutschen Arbeitgeber entsandt wird, kann über das Sozialversicherungsabkommen von der US-Sozialversicherung befreit sein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 xml:space="preserve"> und </w:t>
      </w:r>
      <w:hyperlink w:anchor="k39">
        <w:r>
          <w:rPr>
            <w:rStyle w:val="ListLabel115"/>
            <w:rFonts w:eastAsia="Cambria" w:cs="Cambria"/>
            <w:b w:val="false"/>
            <w:bCs w:val="false"/>
            <w:i w:val="false"/>
            <w:iCs w:val="false"/>
            <w:sz w:val="22"/>
            <w:szCs w:val="22"/>
          </w:rPr>
          <w:t>39</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Drei Stellen, an denen es Neulinge erwischt:</w:t>
      </w:r>
    </w:p>
    <w:p>
      <w:pPr>
        <w:pStyle w:val="ListParagraph"/>
        <w:numPr>
          <w:ilvl w:val="0"/>
          <w:numId w:val="1"/>
        </w:numPr>
        <w:spacing w:lineRule="exact" w:line="288" w:before="0" w:after="60"/>
        <w:rPr/>
      </w:pPr>
      <w:r>
        <w:rPr>
          <w:rFonts w:eastAsia="Cambria" w:cs="Cambria"/>
          <w:b/>
          <w:bCs/>
          <w:i w:val="false"/>
          <w:iCs w:val="false"/>
          <w:sz w:val="22"/>
          <w:szCs w:val="22"/>
        </w:rPr>
        <w:t>Einbehalt im ersten Jahr:</w:t>
      </w:r>
      <w:r>
        <w:rPr>
          <w:rFonts w:eastAsia="Cambria" w:cs="Cambria"/>
          <w:b w:val="false"/>
          <w:bCs w:val="false"/>
          <w:i w:val="false"/>
          <w:iCs w:val="false"/>
          <w:sz w:val="22"/>
          <w:szCs w:val="22"/>
        </w:rPr>
        <w:t xml:space="preserve"> Arbeitgeber wenden bei Zugezogenen mitunter die Regeln für Nichtansässige an. Prüfe deinen W-4 und die Sonderregeln dafür (IRS Notice 1392).</w:t>
      </w:r>
    </w:p>
    <w:p>
      <w:pPr>
        <w:pStyle w:val="ListParagraph"/>
        <w:numPr>
          <w:ilvl w:val="0"/>
          <w:numId w:val="1"/>
        </w:numPr>
        <w:spacing w:lineRule="exact" w:line="288" w:before="0" w:after="60"/>
        <w:rPr/>
      </w:pPr>
      <w:r>
        <w:rPr>
          <w:rFonts w:eastAsia="Cambria" w:cs="Cambria"/>
          <w:b/>
          <w:bCs/>
          <w:i w:val="false"/>
          <w:iCs w:val="false"/>
          <w:sz w:val="22"/>
          <w:szCs w:val="22"/>
        </w:rPr>
        <w:t>Bonus und RSUs:</w:t>
      </w:r>
      <w:r>
        <w:rPr>
          <w:rFonts w:eastAsia="Cambria" w:cs="Cambria"/>
          <w:b w:val="false"/>
          <w:bCs w:val="false"/>
          <w:i w:val="false"/>
          <w:iCs w:val="false"/>
          <w:sz w:val="22"/>
          <w:szCs w:val="22"/>
        </w:rPr>
        <w:t xml:space="preserve"> Auf Sonderzahlungen behält der Arbeitgeber pauschal 22 % Bundessteuer ein. Bei hohem Einkommen ist das zu wenig; die Differenz zahlst du im April. Passe den W-4 an oder zahle vierteljährlich Vorauszahlungen (Form 1040-ES: 15. April, 15. Juni, 15. September, 15. Januar). Zur Aktienvergütung siehe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Umzugskosten:</w:t>
      </w:r>
      <w:r>
        <w:rPr>
          <w:rFonts w:eastAsia="Cambria" w:cs="Cambria"/>
          <w:b w:val="false"/>
          <w:bCs w:val="false"/>
          <w:i w:val="false"/>
          <w:iCs w:val="false"/>
          <w:sz w:val="22"/>
          <w:szCs w:val="22"/>
        </w:rPr>
        <w:t xml:space="preserve"> Du kannst sie nicht abziehen. Erstattet der Arbeitgeber sie, ist das steuerpflichtiger Lohn, auch wenn er die Steuer darauf übernimmt (</w:t>
      </w:r>
      <w:r>
        <w:rPr>
          <w:rFonts w:eastAsia="Cambria" w:cs="Cambria"/>
          <w:b w:val="false"/>
          <w:bCs w:val="false"/>
          <w:i/>
          <w:iCs/>
          <w:sz w:val="22"/>
          <w:szCs w:val="22"/>
        </w:rPr>
        <w:t>Gross-up</w:t>
      </w:r>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Beiträge zum klassischen 401(k) (2026: bis 24.500 $) und zum HSA (4.400 $ Einzelperson, 8.750 $ Familie) mindern dein steuerpflichtiges Gehalt. Im 22-%-Bereich spart ein Beitrag von 10.000 $ rund 2.200 $ Bundessteuer, dazu kommt die Staatssteuer. Ein Arbeitgeberzuschuss (</w:t>
            </w:r>
            <w:r>
              <w:rPr>
                <w:rFonts w:eastAsia="Cambria" w:cs="Cambria"/>
                <w:b w:val="false"/>
                <w:bCs w:val="false"/>
                <w:i/>
                <w:iCs/>
                <w:sz w:val="20"/>
                <w:szCs w:val="20"/>
              </w:rPr>
              <w:t>Match</w:t>
            </w:r>
            <w:r>
              <w:rPr>
                <w:rFonts w:eastAsia="Cambria" w:cs="Cambria"/>
                <w:b w:val="false"/>
                <w:bCs w:val="false"/>
                <w:i w:val="false"/>
                <w:iCs w:val="false"/>
                <w:sz w:val="20"/>
                <w:szCs w:val="20"/>
              </w:rPr>
              <w:t>) ist zusätzliches Gehalt (Kapitel </w:t>
            </w:r>
            <w:hyperlink w:anchor="k29">
              <w:r>
                <w:rPr>
                  <w:rStyle w:val="ListLabel114"/>
                  <w:rFonts w:eastAsia="Cambria" w:cs="Cambria"/>
                  <w:b w:val="false"/>
                  <w:bCs w:val="false"/>
                  <w:i w:val="false"/>
                  <w:iCs w:val="false"/>
                  <w:sz w:val="20"/>
                  <w:szCs w:val="20"/>
                </w:rPr>
                <w:t>29</w:t>
              </w:r>
            </w:hyperlink>
            <w:r>
              <w:rPr>
                <w:rFonts w:eastAsia="Cambria" w:cs="Cambria"/>
                <w:b w:val="false"/>
                <w:bCs w:val="false"/>
                <w:i w:val="false"/>
                <w:iCs w:val="false"/>
                <w:sz w:val="20"/>
                <w:szCs w:val="20"/>
              </w:rPr>
              <w:t>). Kalifornien und New Jersey besteuern HSA-Beiträge weiterhin auf Staatsebene. Die Konten im Detail: Kapitel </w:t>
            </w:r>
            <w:hyperlink w:anchor="k39">
              <w:r>
                <w:rPr>
                  <w:rStyle w:val="ListLabel114"/>
                  <w:rFonts w:eastAsia="Cambria" w:cs="Cambria"/>
                  <w:b w:val="false"/>
                  <w:bCs w:val="false"/>
                  <w:i w:val="false"/>
                  <w:iCs w:val="false"/>
                  <w:sz w:val="20"/>
                  <w:szCs w:val="20"/>
                </w:rPr>
                <w:t>39</w:t>
              </w:r>
            </w:hyperlink>
            <w:r>
              <w:rPr>
                <w:rFonts w:eastAsia="Cambria" w:cs="Cambria"/>
                <w:b w:val="false"/>
                <w:bCs w:val="false"/>
                <w:i w:val="false"/>
                <w:iCs w:val="false"/>
                <w:sz w:val="20"/>
                <w:szCs w:val="20"/>
              </w:rPr>
              <w:t>; die HSA-Regeln: Kapitel </w:t>
            </w:r>
            <w:hyperlink w:anchor="k26">
              <w:r>
                <w:rPr>
                  <w:rStyle w:val="ListLabel114"/>
                  <w:rFonts w:eastAsia="Cambria" w:cs="Cambria"/>
                  <w:b w:val="false"/>
                  <w:bCs w:val="false"/>
                  <w:i w:val="false"/>
                  <w:iCs w:val="false"/>
                  <w:sz w:val="20"/>
                  <w:szCs w:val="20"/>
                </w:rPr>
                <w:t>26</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Steuerresidenz: Wann du in den USA steuerpflichtig wirst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Wer nur ein Arbeitsvisum hat, bleibe steuerlich Ausländer und damit von der US-Steuer auf sein Auslandseinkommen verschont. Tatsächlich zählt für die Steuer nicht dein Visum, sondern deine Ansässigkeit. Visum und Status regeln nur, ob du einreisen und arbeiten darfst. Die IRS unterscheidet steuerlich zwei Gruppen:</w:t>
      </w:r>
    </w:p>
    <w:p>
      <w:pPr>
        <w:pStyle w:val="ListParagraph"/>
        <w:numPr>
          <w:ilvl w:val="0"/>
          <w:numId w:val="1"/>
        </w:numPr>
        <w:spacing w:lineRule="exact" w:line="288" w:before="0" w:after="60"/>
        <w:rPr/>
      </w:pPr>
      <w:r>
        <w:rPr>
          <w:rFonts w:eastAsia="Cambria" w:cs="Cambria"/>
          <w:b/>
          <w:bCs/>
          <w:i w:val="false"/>
          <w:iCs w:val="false"/>
          <w:sz w:val="22"/>
          <w:szCs w:val="22"/>
        </w:rPr>
        <w:t>Ansässig</w:t>
      </w:r>
      <w:r>
        <w:rPr>
          <w:rFonts w:eastAsia="Cambria" w:cs="Cambria"/>
          <w:b w:val="false"/>
          <w:bCs w:val="false"/>
          <w:i w:val="false"/>
          <w:iCs w:val="false"/>
          <w:sz w:val="22"/>
          <w:szCs w:val="22"/>
        </w:rPr>
        <w:t xml:space="preserve"> (</w:t>
      </w:r>
      <w:r>
        <w:rPr>
          <w:rFonts w:eastAsia="Cambria" w:cs="Cambria"/>
          <w:b w:val="false"/>
          <w:bCs w:val="false"/>
          <w:i/>
          <w:iCs/>
          <w:sz w:val="22"/>
          <w:szCs w:val="22"/>
        </w:rPr>
        <w:t>Resident Alien</w:t>
      </w:r>
      <w:r>
        <w:rPr>
          <w:rFonts w:eastAsia="Cambria" w:cs="Cambria"/>
          <w:b w:val="false"/>
          <w:bCs w:val="false"/>
          <w:i w:val="false"/>
          <w:iCs w:val="false"/>
          <w:sz w:val="22"/>
          <w:szCs w:val="22"/>
        </w:rPr>
        <w:t>): weltweites Einkommen, Form 1040, Standardabzug, Frist 15. April.</w:t>
      </w:r>
    </w:p>
    <w:p>
      <w:pPr>
        <w:pStyle w:val="ListParagraph"/>
        <w:numPr>
          <w:ilvl w:val="0"/>
          <w:numId w:val="1"/>
        </w:numPr>
        <w:spacing w:lineRule="exact" w:line="288" w:before="0" w:after="60"/>
        <w:rPr/>
      </w:pPr>
      <w:r>
        <w:rPr>
          <w:rFonts w:eastAsia="Cambria" w:cs="Cambria"/>
          <w:b/>
          <w:bCs/>
          <w:i w:val="false"/>
          <w:iCs w:val="false"/>
          <w:sz w:val="22"/>
          <w:szCs w:val="22"/>
        </w:rPr>
        <w:t>Nichtansässig</w:t>
      </w:r>
      <w:r>
        <w:rPr>
          <w:rFonts w:eastAsia="Cambria" w:cs="Cambria"/>
          <w:b w:val="false"/>
          <w:bCs w:val="false"/>
          <w:i w:val="false"/>
          <w:iCs w:val="false"/>
          <w:sz w:val="22"/>
          <w:szCs w:val="22"/>
        </w:rPr>
        <w:t xml:space="preserve"> (</w:t>
      </w:r>
      <w:r>
        <w:rPr>
          <w:rFonts w:eastAsia="Cambria" w:cs="Cambria"/>
          <w:b w:val="false"/>
          <w:bCs w:val="false"/>
          <w:i/>
          <w:iCs/>
          <w:sz w:val="22"/>
          <w:szCs w:val="22"/>
        </w:rPr>
        <w:t>Nonresident Alien</w:t>
      </w:r>
      <w:r>
        <w:rPr>
          <w:rFonts w:eastAsia="Cambria" w:cs="Cambria"/>
          <w:b w:val="false"/>
          <w:bCs w:val="false"/>
          <w:i w:val="false"/>
          <w:iCs w:val="false"/>
          <w:sz w:val="22"/>
          <w:szCs w:val="22"/>
        </w:rPr>
        <w:t>): nur US-Einkünfte, Form 1040-NR. Löhne werden zu den normalen Sätzen besteuert, Dividenden pauschal mit 30 % oder dem Vertragssatz. Frist: 15. April mit Lohn, 15. Juni ohne Lohn.</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Ansässig bist du bei einer von zwei Bedingungen: Der Green-Card-Test macht dich ab dem ersten Tag als Green-Card-Inhaber (</w:t>
      </w:r>
      <w:r>
        <w:rPr>
          <w:rFonts w:eastAsia="Cambria" w:cs="Cambria"/>
          <w:b w:val="false"/>
          <w:bCs w:val="false"/>
          <w:i/>
          <w:iCs/>
          <w:sz w:val="22"/>
          <w:szCs w:val="22"/>
        </w:rPr>
        <w:t>LPR</w:t>
      </w:r>
      <w:r>
        <w:rPr>
          <w:rFonts w:eastAsia="Cambria" w:cs="Cambria"/>
          <w:b w:val="false"/>
          <w:bCs w:val="false"/>
          <w:i w:val="false"/>
          <w:iCs w:val="false"/>
          <w:sz w:val="22"/>
          <w:szCs w:val="22"/>
        </w:rPr>
        <w:t xml:space="preserve">) ansässig. Der </w:t>
      </w:r>
      <w:r>
        <w:rPr>
          <w:rFonts w:eastAsia="Cambria" w:cs="Cambria"/>
          <w:b w:val="false"/>
          <w:bCs w:val="false"/>
          <w:i/>
          <w:iCs/>
          <w:sz w:val="22"/>
          <w:szCs w:val="22"/>
        </w:rPr>
        <w:t>Substantial Presence Test</w:t>
      </w:r>
      <w:r>
        <w:rPr>
          <w:rFonts w:eastAsia="Cambria" w:cs="Cambria"/>
          <w:b w:val="false"/>
          <w:bCs w:val="false"/>
          <w:i w:val="false"/>
          <w:iCs w:val="false"/>
          <w:sz w:val="22"/>
          <w:szCs w:val="22"/>
        </w:rPr>
        <w:t>: Du warst mindestens 31 Tage im laufenden Jahr in den USA und erreichst mindestens 183 gewichtete Tage, nämlich laufendes Jahr × 1 + Vorjahr × ⅓ + Vorvorjahr × ⅙. Beispiele für das Einreisejahr (eigene Rechnung): Wer am 1. Juli 2026 einreist, kommt auf 184 Tage und ist ab 1. Juli ansässig. Wer am 1. Oktober 2026 einreist, kommt auf 92 Tage, ist 2026 nichtansässig und ab 2027 ansässig.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Im Jahr der Einreise ergibt sich häufig ein Doppelstatus (</w:t>
      </w:r>
      <w:r>
        <w:rPr>
          <w:rFonts w:eastAsia="Cambria" w:cs="Cambria"/>
          <w:b w:val="false"/>
          <w:bCs w:val="false"/>
          <w:i/>
          <w:iCs/>
          <w:sz w:val="22"/>
          <w:szCs w:val="22"/>
        </w:rPr>
        <w:t>Dual-Status</w:t>
      </w:r>
      <w:r>
        <w:rPr>
          <w:rFonts w:eastAsia="Cambria" w:cs="Cambria"/>
          <w:b w:val="false"/>
          <w:bCs w:val="false"/>
          <w:i w:val="false"/>
          <w:iCs w:val="false"/>
          <w:sz w:val="22"/>
          <w:szCs w:val="22"/>
        </w:rPr>
        <w:t>): ein Teil des Jahres nichtansässig, ein Teil ansässig. Dann gibt es keinen Standardabzug und meist keine gemeinsame Veranlagung. Unter Bedingungen kannst du wählen, schon ab Einreise als ansässig zu gelten (</w:t>
      </w:r>
      <w:r>
        <w:rPr>
          <w:rFonts w:eastAsia="Cambria" w:cs="Cambria"/>
          <w:b w:val="false"/>
          <w:bCs w:val="false"/>
          <w:i/>
          <w:iCs/>
          <w:sz w:val="22"/>
          <w:szCs w:val="22"/>
        </w:rPr>
        <w:t>First-Year Choice</w:t>
      </w:r>
      <w:r>
        <w:rPr>
          <w:rFonts w:eastAsia="Cambria" w:cs="Cambria"/>
          <w:b w:val="false"/>
          <w:bCs w:val="false"/>
          <w:i w:val="false"/>
          <w:iCs w:val="false"/>
          <w:sz w:val="22"/>
          <w:szCs w:val="22"/>
        </w:rPr>
        <w:t>); ob das nützt, rechnet ein Steuerexperte durch.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Steuerlich zählen Green Card und gezählte Tage, nicht das Visum. Wer ansässig ist, meldet Einkommen und Vermögen weltweit, auch wenn die Steuerlast klein ausfällt.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Sabine Keller (fiktives Beispiel) zieht am 1. Oktober 2026 für ihre H-1B-Stelle nach Seattle. Bis Jahresende ist sie 92 Tage in den USA, also unter 183. Für 2026 gilt sie als nichtansässig, erklärt nur ihr US-Gehalt mit Form 1040-NR und lässt das deutsche Gehalt bis September außen vor. Ab 2027 ist sie mit 365 Tagen ansässig. Dann zählt ihr weltweites Einkommen, und ihr Konto in München ist meldepflichtig – der Kalender mit allen Ein- und Ausreisen, den sie seit dem ersten Arbeitstag pflichtbewusst führt, zahlt sich hier zum ersten Mal aus.</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Im Einreisejahr fällt die Steuer oft höher aus als gedacht: kein Standardabzug bei Doppelstatus, falscher Einbehalt im ersten Jahr, komplizierteres Formular. Lege für eine Nachzahlung im April Geld zurück und buche den Steuerexperten früh. Führe außerdem ab dem ersten Tag einen Kalender aller Ein- und Ausreisen, auch von Kurzreisen nach Deutschland.</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Green-Card-Inhaber bleiben steuerlich ansässig, bis sie den Status aufgeben oder verlieren, auch wenn sie wieder in Deutschland leben (Kapitel </w:t>
      </w:r>
      <w:hyperlink w:anchor="k41">
        <w:r>
          <w:rPr>
            <w:rStyle w:val="ListLabel115"/>
            <w:rFonts w:eastAsia="Cambria" w:cs="Cambria"/>
            <w:b w:val="false"/>
            <w:bCs w:val="false"/>
            <w:i w:val="false"/>
            <w:iCs w:val="false"/>
            <w:sz w:val="22"/>
            <w:szCs w:val="22"/>
          </w:rPr>
          <w:t>41</w:t>
        </w:r>
      </w:hyperlink>
      <w:r>
        <w:rPr>
          <w:rFonts w:eastAsia="Cambria" w:cs="Cambria"/>
          <w:b w:val="false"/>
          <w:bCs w:val="false"/>
          <w:i w:val="false"/>
          <w:iCs w:val="false"/>
          <w:sz w:val="22"/>
          <w:szCs w:val="22"/>
        </w:rPr>
        <w:t xml:space="preserve"> und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 Die Bundesstaaten haben eigene Ansässigkeitsregeln und verlangen bei Zu- oder Wegzug im Jahr oft Teiljahreserklärungen.</w:t>
      </w:r>
    </w:p>
    <w:p>
      <w:pPr>
        <w:pStyle w:val="Heading3"/>
        <w:keepNext w:val="true"/>
        <w:spacing w:before="280" w:after="100"/>
        <w:jc w:val="center"/>
        <w:rPr/>
      </w:pPr>
      <w:r>
        <w:rPr>
          <w:rFonts w:eastAsia="Amazon Ember" w:cs="Amazon Ember" w:ascii="Amazon Ember" w:hAnsi="Amazon Ember"/>
          <w:b/>
          <w:bCs/>
          <w:color w:val="0000FF"/>
          <w:sz w:val="36"/>
          <w:szCs w:val="36"/>
        </w:rPr>
        <w:t>Weltweites Einkommen, Abkommen und Anrechnung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Als Ansässiger versteuerst du, was du weltweit verdienst: deutsche Mieten, Zinsen, Dividenden, Kapitalgewinne, Renten. Zwei Bausteine verhindern eine doppelte Belastung.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erste ist das Doppelbesteuerungsabkommen (DBA) Deutschland–USA von 1989 (Änderungsprotokoll 2006). Bei doppelter Ansässigkeit entscheidet es nach fester Reihenfolge (</w:t>
      </w:r>
      <w:r>
        <w:rPr>
          <w:rFonts w:eastAsia="Cambria" w:cs="Cambria"/>
          <w:b w:val="false"/>
          <w:bCs w:val="false"/>
          <w:i/>
          <w:iCs/>
          <w:sz w:val="22"/>
          <w:szCs w:val="22"/>
        </w:rPr>
        <w:t>Tie-Breaker</w:t>
      </w:r>
      <w:r>
        <w:rPr>
          <w:rFonts w:eastAsia="Cambria" w:cs="Cambria"/>
          <w:b w:val="false"/>
          <w:bCs w:val="false"/>
          <w:i w:val="false"/>
          <w:iCs w:val="false"/>
          <w:sz w:val="22"/>
          <w:szCs w:val="22"/>
        </w:rPr>
        <w:t xml:space="preserve">, Artikel 4): ständige Wohnstätte, Mittelpunkt der Lebensinteressen, gewöhnlicher Aufenthalt, Staatsangehörigkeit, zuletzt eine Verständigung der Behörden. Die </w:t>
      </w:r>
      <w:r>
        <w:rPr>
          <w:rFonts w:eastAsia="Cambria" w:cs="Cambria"/>
          <w:b w:val="false"/>
          <w:bCs w:val="false"/>
          <w:i/>
          <w:iCs/>
          <w:sz w:val="22"/>
          <w:szCs w:val="22"/>
        </w:rPr>
        <w:t>Saving Clause</w:t>
      </w:r>
      <w:r>
        <w:rPr>
          <w:rFonts w:eastAsia="Cambria" w:cs="Cambria"/>
          <w:b w:val="false"/>
          <w:bCs w:val="false"/>
          <w:i w:val="false"/>
          <w:iCs w:val="false"/>
          <w:sz w:val="22"/>
          <w:szCs w:val="22"/>
        </w:rPr>
        <w:t xml:space="preserve"> (Artikel 1) erlaubt den USA aber, ihre Ansässigen und Bürger trotz Abkommen zu besteuern. Praktisch hilft das DBA vor allem bei Quellensteuern: Dividenden dürfen im Quellenstaat mit höchstens 15 % belegt werden, Zinsen mit 0 %. Private und gesetzliche Renten (Artikel 18) besteuert nur der Wohnsitzstaat.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zweite Baustein ist die Anrechnung ausländischer Steuern (</w:t>
      </w:r>
      <w:r>
        <w:rPr>
          <w:rFonts w:eastAsia="Cambria" w:cs="Cambria"/>
          <w:b w:val="false"/>
          <w:bCs w:val="false"/>
          <w:i/>
          <w:iCs/>
          <w:sz w:val="22"/>
          <w:szCs w:val="22"/>
        </w:rPr>
        <w:t>Foreign Tax Credit</w:t>
      </w:r>
      <w:r>
        <w:rPr>
          <w:rFonts w:eastAsia="Cambria" w:cs="Cambria"/>
          <w:b w:val="false"/>
          <w:bCs w:val="false"/>
          <w:i w:val="false"/>
          <w:iCs w:val="false"/>
          <w:sz w:val="22"/>
          <w:szCs w:val="22"/>
        </w:rPr>
        <w:t xml:space="preserve">, Form 1116): Bereits gezahlte deutsche Einkommensteuer wird auf die US-Steuer auf dieselben Einkünfte angerechnet, höchstens bis zu deren Höhe. Nicht genutzte Beträge lassen sich ein Jahr zurück- und zehn Jahre vortragen. Der Auslandseinkommen-Ausschluss (132.900 $) gilt nur für Personen mit Wohnsitz im Ausland und hilft dir in den USA nicht. Wer eine deutsche Wohnung vermietet, erklärt die Miete auch in den USA (Formularteil </w:t>
      </w:r>
      <w:r>
        <w:rPr>
          <w:rFonts w:eastAsia="Cambria" w:cs="Cambria"/>
          <w:b w:val="false"/>
          <w:bCs w:val="false"/>
          <w:i/>
          <w:iCs/>
          <w:sz w:val="22"/>
          <w:szCs w:val="22"/>
        </w:rPr>
        <w:t>Schedule E</w:t>
      </w:r>
      <w:r>
        <w:rPr>
          <w:rFonts w:eastAsia="Cambria" w:cs="Cambria"/>
          <w:b w:val="false"/>
          <w:bCs w:val="false"/>
          <w:i w:val="false"/>
          <w:iCs w:val="false"/>
          <w:sz w:val="22"/>
          <w:szCs w:val="22"/>
        </w:rPr>
        <w:t>, mit Abschreibung), die deutsche Steuer wird angerechnet. Deutsche Kapitalertragsteuer über dem Abkommenssatz lässt sich beim Bundeszentralamt für Steuern (BZSt) zurückfordern. Wegzug, Kapitalerträge und Immobilien aus deutscher Sicht: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Meldepflichten für Auslandsvermögen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Neben der Steuer verlangen die USA Meldungen über Vermögen im Ausland, auch wenn darauf keine Steuer anfällt. Ein vergessenes Sparbuch aus Kindertagen mit ein paar hundert Euro Restguthaben zählt dabei genauso wie das Aktiendepot – die Regel fragt nicht nach der Höhe der Zinsen, sondern nach der bloßen Existenz des Kontos. Vier Meldungen betreffen typische Zuzügler.</w:t>
      </w:r>
    </w:p>
    <w:tbl>
      <w:tblPr>
        <w:tblW w:w="6480" w:type="dxa"/>
        <w:jc w:val="left"/>
        <w:tblInd w:w="0" w:type="dxa"/>
        <w:tblLayout w:type="fixed"/>
        <w:tblCellMar>
          <w:top w:w="50" w:type="dxa"/>
          <w:left w:w="80" w:type="dxa"/>
          <w:bottom w:w="50" w:type="dxa"/>
          <w:right w:w="80" w:type="dxa"/>
        </w:tblCellMar>
      </w:tblPr>
      <w:tblGrid>
        <w:gridCol w:w="949"/>
        <w:gridCol w:w="1981"/>
        <w:gridCol w:w="1315"/>
        <w:gridCol w:w="2234"/>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Meldung</w:t>
            </w:r>
          </w:p>
        </w:tc>
        <w:tc>
          <w:tcPr>
            <w:tcW w:w="198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Schwelle</w:t>
            </w:r>
          </w:p>
        </w:tc>
        <w:tc>
          <w:tcPr>
            <w:tcW w:w="131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Frist</w:t>
            </w:r>
          </w:p>
        </w:tc>
        <w:tc>
          <w:tcPr>
            <w:tcW w:w="223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Strafe (Start)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FBAR (FinCEN 114)</w:t>
            </w:r>
          </w:p>
        </w:tc>
        <w:tc>
          <w:tcPr>
            <w:tcW w:w="19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Auslandskonten zusammen über 10.000 $ zu irgendeinem Zeitpunkt</w:t>
            </w:r>
          </w:p>
        </w:tc>
        <w:tc>
          <w:tcPr>
            <w:tcW w:w="13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 April, automatisch bis 15. Oktober</w:t>
            </w:r>
          </w:p>
        </w:tc>
        <w:tc>
          <w:tcPr>
            <w:tcW w:w="2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vorsätzlich bis 16.536 $; vorsätzlich der höhere Betrag aus 165.353 $ und 50 % des Kontos</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Form 8938 (FATCA)</w:t>
            </w:r>
          </w:p>
        </w:tc>
        <w:tc>
          <w:tcPr>
            <w:tcW w:w="19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Einzelperson: über 50.000 $ am Jahresende oder 75.000 $ jederzeit; Ehepaar 100.000 $ bzw. 150.000 $</w:t>
            </w:r>
          </w:p>
        </w:tc>
        <w:tc>
          <w:tcPr>
            <w:tcW w:w="13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 der Steuererklärung</w:t>
            </w:r>
          </w:p>
        </w:tc>
        <w:tc>
          <w:tcPr>
            <w:tcW w:w="2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10.000 $, dazu bis 50.000 $</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Form 8621 (PFIC)</w:t>
            </w:r>
          </w:p>
        </w:tc>
        <w:tc>
          <w:tcPr>
            <w:tcW w:w="19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jeder ausländische Fonds; entfällt bis 25.000 $ (Ehepaar 50.000 $) ohne Verkauf</w:t>
            </w:r>
          </w:p>
        </w:tc>
        <w:tc>
          <w:tcPr>
            <w:tcW w:w="13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 der Steuererklärung</w:t>
            </w:r>
          </w:p>
        </w:tc>
        <w:tc>
          <w:tcPr>
            <w:tcW w:w="2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 zum Höchstsatz plus Zinsen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Form 3520</w:t>
            </w:r>
          </w:p>
        </w:tc>
        <w:tc>
          <w:tcPr>
            <w:tcW w:w="19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Erbschaft oder Schenkung von Ausländern über 100.000 $ im Jahr</w:t>
            </w:r>
          </w:p>
        </w:tc>
        <w:tc>
          <w:tcPr>
            <w:tcW w:w="13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 der Steuererklärung</w:t>
            </w:r>
          </w:p>
        </w:tc>
        <w:tc>
          <w:tcPr>
            <w:tcW w:w="2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5 % je Monat, höchstens 25 %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FBAR-Beträge stammen von Januar 2025 und gelten nach einer Vorgabe des Weißen Hauses auch für 2026 unverändert.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Die FBAR ist keine Steuererklärung, sondern eine eigene elektronische Meldung an die Behörde FinCEN. Gezählt wird die Summe der Höchststände aller Auslandskonten: Girokonto, Tagesgeld, Depot, Bausparvertrag, oft auch Versicherungen mit Barwert. Schon 6.000 € auf dem Giro- und 5.000 € auf dem Tagesgeldkonto liegen über der Grenze. Melde jedes Jahr, auch bei winzigen Zinsen. Nach dem Urteil </w:t>
            </w:r>
            <w:r>
              <w:rPr>
                <w:rFonts w:eastAsia="Cambria" w:cs="Cambria"/>
                <w:b w:val="false"/>
                <w:bCs w:val="false"/>
                <w:i/>
                <w:iCs/>
                <w:sz w:val="20"/>
                <w:szCs w:val="20"/>
              </w:rPr>
              <w:t>Bittner v. United States</w:t>
            </w:r>
            <w:r>
              <w:rPr>
                <w:rFonts w:eastAsia="Cambria" w:cs="Cambria"/>
                <w:b w:val="false"/>
                <w:bCs w:val="false"/>
                <w:i w:val="false"/>
                <w:iCs w:val="false"/>
                <w:sz w:val="20"/>
                <w:szCs w:val="20"/>
              </w:rPr>
              <w:t xml:space="preserve"> (2023) gilt die Strafe für nicht vorsätzliche Fehler je Bericht, nicht je Konto. Wer Versäumnisse entdeckt, holt vor einer Nachmeldung Rat bei einem auf Auslandsfälle spezialisierten Steuerexperten oder Anwalt.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FATCA wirkt in zwei Richtungen. Deutsche Banken melden Konten von US-Personen über das BZSt an die IRS und fragen dafür nach deiner Steuer-Identifikationsnummer, in den USA der SSN. Ergänzend reichst du Form 8938 mit der Steuererklärung ein; sie ersetzt die FBAR nicht, beide können gleichzeitig nötig sein. Erfasst sind Konten, Wertpapiere und Versicherungen mit Barwert, nicht aber eine direkt gehaltene Immobilie in Deutschland. Fehlt ein Formular, kann die Verjährung für die gesamte Erklärung offen bleiben.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Deutsche Fonds und ETFs gelten für US-Steuerpflichtige in der Regel als </w:t>
            </w:r>
            <w:r>
              <w:rPr>
                <w:rFonts w:eastAsia="Cambria" w:cs="Cambria"/>
                <w:b w:val="false"/>
                <w:bCs w:val="false"/>
                <w:i/>
                <w:iCs/>
                <w:sz w:val="20"/>
                <w:szCs w:val="20"/>
              </w:rPr>
              <w:t>PFIC</w:t>
            </w:r>
            <w:r>
              <w:rPr>
                <w:rFonts w:eastAsia="Cambria" w:cs="Cambria"/>
                <w:b w:val="false"/>
                <w:bCs w:val="false"/>
                <w:i w:val="false"/>
                <w:iCs w:val="false"/>
                <w:sz w:val="20"/>
                <w:szCs w:val="20"/>
              </w:rPr>
              <w:t xml:space="preserve"> (</w:t>
            </w:r>
            <w:r>
              <w:rPr>
                <w:rFonts w:eastAsia="Cambria" w:cs="Cambria"/>
                <w:b w:val="false"/>
                <w:bCs w:val="false"/>
                <w:i/>
                <w:iCs/>
                <w:sz w:val="20"/>
                <w:szCs w:val="20"/>
              </w:rPr>
              <w:t>Passive Foreign Investment Company</w:t>
            </w:r>
            <w:r>
              <w:rPr>
                <w:rFonts w:eastAsia="Cambria" w:cs="Cambria"/>
                <w:b w:val="false"/>
                <w:bCs w:val="false"/>
                <w:i w:val="false"/>
                <w:iCs w:val="false"/>
                <w:sz w:val="20"/>
                <w:szCs w:val="20"/>
              </w:rPr>
              <w:t xml:space="preserve">, passive ausländische Kapitalgesellschaft). Im Standardregime werden Gewinne und Ausschüttungen auf die Haltejahre verteilt und ältere Jahre zum Höchstsatz plus Zinsen besteuert; der günstige Kapitalgewinnsatz entfällt. Die Alternativen (laufende Versteuerung per </w:t>
            </w:r>
            <w:r>
              <w:rPr>
                <w:rFonts w:eastAsia="Cambria" w:cs="Cambria"/>
                <w:b w:val="false"/>
                <w:bCs w:val="false"/>
                <w:i/>
                <w:iCs/>
                <w:sz w:val="20"/>
                <w:szCs w:val="20"/>
              </w:rPr>
              <w:t>QEF</w:t>
            </w:r>
            <w:r>
              <w:rPr>
                <w:rFonts w:eastAsia="Cambria" w:cs="Cambria"/>
                <w:b w:val="false"/>
                <w:bCs w:val="false"/>
                <w:i w:val="false"/>
                <w:iCs w:val="false"/>
                <w:sz w:val="20"/>
                <w:szCs w:val="20"/>
              </w:rPr>
              <w:t xml:space="preserve">-Wahl, jährliche Bewertung per </w:t>
            </w:r>
            <w:r>
              <w:rPr>
                <w:rFonts w:eastAsia="Cambria" w:cs="Cambria"/>
                <w:b w:val="false"/>
                <w:bCs w:val="false"/>
                <w:i/>
                <w:iCs/>
                <w:sz w:val="20"/>
                <w:szCs w:val="20"/>
              </w:rPr>
              <w:t>Mark-to-Market</w:t>
            </w:r>
            <w:r>
              <w:rPr>
                <w:rFonts w:eastAsia="Cambria" w:cs="Cambria"/>
                <w:b w:val="false"/>
                <w:bCs w:val="false"/>
                <w:i w:val="false"/>
                <w:iCs w:val="false"/>
                <w:sz w:val="20"/>
                <w:szCs w:val="20"/>
              </w:rPr>
              <w:t>) scheitern bei deutschen Fonds oft an fehlenden Unterlagen oder der Börsenzulassung. Kläre deshalb vor dem Zuzug, ob du Fonds verkaufst (deutsche Steuer vorher prüfen), und kaufe danach nur in den USA aufgelegte ETFs (Kapitel </w:t>
            </w:r>
            <w:hyperlink w:anchor="k17">
              <w:r>
                <w:rPr>
                  <w:rStyle w:val="ListLabel114"/>
                  <w:rFonts w:eastAsia="Cambria" w:cs="Cambria"/>
                  <w:b w:val="false"/>
                  <w:bCs w:val="false"/>
                  <w:i w:val="false"/>
                  <w:iCs w:val="false"/>
                  <w:sz w:val="20"/>
                  <w:szCs w:val="20"/>
                </w:rPr>
                <w:t>17</w:t>
              </w:r>
            </w:hyperlink>
            <w:r>
              <w:rPr>
                <w:rFonts w:eastAsia="Cambria" w:cs="Cambria"/>
                <w:b w:val="false"/>
                <w:bCs w:val="false"/>
                <w:i w:val="false"/>
                <w:iCs w:val="false"/>
                <w:sz w:val="20"/>
                <w:szCs w:val="20"/>
              </w:rPr>
              <w:t xml:space="preserve"> und </w:t>
            </w:r>
            <w:hyperlink w:anchor="k39">
              <w:r>
                <w:rPr>
                  <w:rStyle w:val="ListLabel114"/>
                  <w:rFonts w:eastAsia="Cambria" w:cs="Cambria"/>
                  <w:b w:val="false"/>
                  <w:bCs w:val="false"/>
                  <w:i w:val="false"/>
                  <w:iCs w:val="false"/>
                  <w:sz w:val="20"/>
                  <w:szCs w:val="20"/>
                </w:rPr>
                <w:t>39</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Form 3520 fällt meist keine US-Steuer an; die Meldung ist trotzdem Pflicht. Für Riester, Rürup, Kapitallebensversicherung und Bausparvertrag gibt es keine eindeutige IRS-Leitlinie: Behandle sie als Einzelfall für einen Berater mit Auslandserfahrung.</w:t>
      </w:r>
    </w:p>
    <w:p>
      <w:pPr>
        <w:pStyle w:val="Heading3"/>
        <w:keepNext w:val="true"/>
        <w:spacing w:before="280" w:after="100"/>
        <w:jc w:val="center"/>
        <w:rPr/>
      </w:pPr>
      <w:r>
        <w:rPr>
          <w:rFonts w:eastAsia="Amazon Ember" w:cs="Amazon Ember" w:ascii="Amazon Ember" w:hAnsi="Amazon Ember"/>
          <w:b/>
          <w:bCs/>
          <w:color w:val="0000FF"/>
          <w:sz w:val="36"/>
          <w:szCs w:val="36"/>
        </w:rPr>
        <w:t>Bundesstaaten und Kommunen: Was du zusätzlich zahlst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regelt jeder Bundesstaat selbst. Die Tabelle zeigt neun Beispiele (2026). Die Sales Tax ist der Durchschnitt aus Staats- und Ortssätzen (Stand 1. Juli 2026), die Grundsteuer der effektive Jahressatz in Prozent des Hauswerts (Spannen aus Census-Daten 2024).</w:t>
      </w:r>
    </w:p>
    <w:tbl>
      <w:tblPr>
        <w:tblW w:w="6480" w:type="dxa"/>
        <w:jc w:val="left"/>
        <w:tblInd w:w="0" w:type="dxa"/>
        <w:tblLayout w:type="fixed"/>
        <w:tblCellMar>
          <w:top w:w="50" w:type="dxa"/>
          <w:left w:w="80" w:type="dxa"/>
          <w:bottom w:w="50" w:type="dxa"/>
          <w:right w:w="80" w:type="dxa"/>
        </w:tblCellMar>
      </w:tblPr>
      <w:tblGrid>
        <w:gridCol w:w="1259"/>
        <w:gridCol w:w="2989"/>
        <w:gridCol w:w="1116"/>
        <w:gridCol w:w="1115"/>
      </w:tblGrid>
      <w:tr>
        <w:trPr>
          <w:tblHeader w:val="true"/>
          <w:cantSplit w:val="true"/>
        </w:trPr>
        <w:tc>
          <w:tcPr>
            <w:tcW w:w="125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Staat</w:t>
            </w:r>
          </w:p>
        </w:tc>
        <w:tc>
          <w:tcPr>
            <w:tcW w:w="298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Einkommensteuer</w:t>
            </w:r>
          </w:p>
        </w:tc>
        <w:tc>
          <w:tcPr>
            <w:tcW w:w="111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Sales Tax</w:t>
            </w:r>
          </w:p>
        </w:tc>
        <w:tc>
          <w:tcPr>
            <w:tcW w:w="111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Grundsteuer</w:t>
            </w:r>
          </w:p>
        </w:tc>
      </w:tr>
      <w:tr>
        <w:trPr>
          <w:cantSplit w:val="true"/>
        </w:trPr>
        <w:tc>
          <w:tcPr>
            <w:tcW w:w="12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Texas</w:t>
            </w:r>
          </w:p>
        </w:tc>
        <w:tc>
          <w:tcPr>
            <w:tcW w:w="2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w:t>
            </w:r>
          </w:p>
        </w:tc>
        <w:tc>
          <w:tcPr>
            <w:tcW w:w="11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8,20 %</w:t>
            </w:r>
          </w:p>
        </w:tc>
        <w:tc>
          <w:tcPr>
            <w:tcW w:w="11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1,2–1,5 %</w:t>
            </w:r>
          </w:p>
        </w:tc>
      </w:tr>
      <w:tr>
        <w:trPr>
          <w:cantSplit w:val="true"/>
        </w:trPr>
        <w:tc>
          <w:tcPr>
            <w:tcW w:w="12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Washington</w:t>
            </w:r>
          </w:p>
        </w:tc>
        <w:tc>
          <w:tcPr>
            <w:tcW w:w="2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auf Löhne</w:t>
            </w:r>
          </w:p>
        </w:tc>
        <w:tc>
          <w:tcPr>
            <w:tcW w:w="11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9,57 %</w:t>
            </w:r>
          </w:p>
        </w:tc>
        <w:tc>
          <w:tcPr>
            <w:tcW w:w="11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0,7–0,8 %</w:t>
            </w:r>
          </w:p>
        </w:tc>
      </w:tr>
      <w:tr>
        <w:trPr>
          <w:cantSplit w:val="true"/>
        </w:trPr>
        <w:tc>
          <w:tcPr>
            <w:tcW w:w="12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Florida</w:t>
            </w:r>
          </w:p>
        </w:tc>
        <w:tc>
          <w:tcPr>
            <w:tcW w:w="2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w:t>
            </w:r>
          </w:p>
        </w:tc>
        <w:tc>
          <w:tcPr>
            <w:tcW w:w="11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6,98 %</w:t>
            </w:r>
          </w:p>
        </w:tc>
        <w:tc>
          <w:tcPr>
            <w:tcW w:w="11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0,8 %</w:t>
            </w:r>
          </w:p>
        </w:tc>
      </w:tr>
      <w:tr>
        <w:trPr>
          <w:cantSplit w:val="true"/>
        </w:trPr>
        <w:tc>
          <w:tcPr>
            <w:tcW w:w="12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Arizona</w:t>
            </w:r>
          </w:p>
        </w:tc>
        <w:tc>
          <w:tcPr>
            <w:tcW w:w="2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2,5 % flach</w:t>
            </w:r>
          </w:p>
        </w:tc>
        <w:tc>
          <w:tcPr>
            <w:tcW w:w="11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8,54 %</w:t>
            </w:r>
          </w:p>
        </w:tc>
        <w:tc>
          <w:tcPr>
            <w:tcW w:w="11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0,4 %</w:t>
            </w:r>
          </w:p>
        </w:tc>
      </w:tr>
      <w:tr>
        <w:trPr>
          <w:cantSplit w:val="true"/>
        </w:trPr>
        <w:tc>
          <w:tcPr>
            <w:tcW w:w="12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North Carolina</w:t>
            </w:r>
          </w:p>
        </w:tc>
        <w:tc>
          <w:tcPr>
            <w:tcW w:w="2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3,99 % flach</w:t>
            </w:r>
          </w:p>
        </w:tc>
        <w:tc>
          <w:tcPr>
            <w:tcW w:w="11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7,10 %</w:t>
            </w:r>
          </w:p>
        </w:tc>
        <w:tc>
          <w:tcPr>
            <w:tcW w:w="11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0,6 %</w:t>
            </w:r>
          </w:p>
        </w:tc>
      </w:tr>
      <w:tr>
        <w:trPr>
          <w:cantSplit w:val="true"/>
        </w:trPr>
        <w:tc>
          <w:tcPr>
            <w:tcW w:w="12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Michigan</w:t>
            </w:r>
          </w:p>
        </w:tc>
        <w:tc>
          <w:tcPr>
            <w:tcW w:w="2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4,25 % flach, dazu Stadtsteuern</w:t>
            </w:r>
          </w:p>
        </w:tc>
        <w:tc>
          <w:tcPr>
            <w:tcW w:w="11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6,00 %</w:t>
            </w:r>
          </w:p>
        </w:tc>
        <w:tc>
          <w:tcPr>
            <w:tcW w:w="11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1,1–1,2 %</w:t>
            </w:r>
          </w:p>
        </w:tc>
      </w:tr>
      <w:tr>
        <w:trPr>
          <w:cantSplit w:val="true"/>
        </w:trPr>
        <w:tc>
          <w:tcPr>
            <w:tcW w:w="12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Illinois</w:t>
            </w:r>
          </w:p>
        </w:tc>
        <w:tc>
          <w:tcPr>
            <w:tcW w:w="2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4,95 % flach</w:t>
            </w:r>
          </w:p>
        </w:tc>
        <w:tc>
          <w:tcPr>
            <w:tcW w:w="11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8,98 %</w:t>
            </w:r>
          </w:p>
        </w:tc>
        <w:tc>
          <w:tcPr>
            <w:tcW w:w="11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1,8–2,0 %</w:t>
            </w:r>
          </w:p>
        </w:tc>
      </w:tr>
      <w:tr>
        <w:trPr>
          <w:cantSplit w:val="true"/>
        </w:trPr>
        <w:tc>
          <w:tcPr>
            <w:tcW w:w="12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 Jersey</w:t>
            </w:r>
          </w:p>
        </w:tc>
        <w:tc>
          <w:tcPr>
            <w:tcW w:w="2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10,75 %</w:t>
            </w:r>
          </w:p>
        </w:tc>
        <w:tc>
          <w:tcPr>
            <w:tcW w:w="11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6,60 %</w:t>
            </w:r>
          </w:p>
        </w:tc>
        <w:tc>
          <w:tcPr>
            <w:tcW w:w="11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1,7–1,9 %</w:t>
            </w:r>
          </w:p>
        </w:tc>
      </w:tr>
      <w:tr>
        <w:trPr>
          <w:cantSplit w:val="true"/>
        </w:trPr>
        <w:tc>
          <w:tcPr>
            <w:tcW w:w="12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Kalifornien</w:t>
            </w:r>
          </w:p>
        </w:tc>
        <w:tc>
          <w:tcPr>
            <w:tcW w:w="2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1–12,3 % (+1 % ab 1 Mio. $), dazu SDI 1,3 %</w:t>
            </w:r>
          </w:p>
        </w:tc>
        <w:tc>
          <w:tcPr>
            <w:tcW w:w="11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9,03 %</w:t>
            </w:r>
          </w:p>
        </w:tc>
        <w:tc>
          <w:tcPr>
            <w:tcW w:w="11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0,7–0,8 %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Ohne Einkommensteuer heißt nicht steuerfrei. Texas gleicht das über hohe Grundsteuern aus. Washington hat eine der höchsten Verkaufssteuern, seit 1. Oktober 2025 auch auf viele Dienstleistungen, und besteuert Kapitalgewinne (7 %, über 1 Mio. $ Gewinn 9,9 %; Immobilien und Altersvorsorge ausgenommen). Eine Einkommensteuer von 9,9 % auf Einkommen über 1 Mio. $ ab 2028 ist beschlossen; eine Klage wird erwartet, der Ausgang ist offen.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w:t>
      </w:r>
      <w:r>
        <w:rPr>
          <w:rFonts w:eastAsia="Cambria" w:cs="Cambria"/>
          <w:b w:val="false"/>
          <w:bCs w:val="false"/>
          <w:i/>
          <w:iCs/>
          <w:sz w:val="22"/>
          <w:szCs w:val="22"/>
        </w:rPr>
        <w:t>Sales Tax</w:t>
      </w:r>
      <w:r>
        <w:rPr>
          <w:rFonts w:eastAsia="Cambria" w:cs="Cambria"/>
          <w:b w:val="false"/>
          <w:bCs w:val="false"/>
          <w:i w:val="false"/>
          <w:iCs w:val="false"/>
          <w:sz w:val="22"/>
          <w:szCs w:val="22"/>
        </w:rPr>
        <w:t xml:space="preserve"> steht nicht im Preis: Die Kasse rechnet sie obendrauf. Die Sätze reichen von 0 % (Delaware, Montana, New Hampshire, Oregon) bis gut 10 % (Louisiana im Durchschnitt 10,13 %). Ob Lebensmittel und Medikamente ermäßigt sind, entscheidet der Staat. Bei den Ortssteuern lohnt der Blick auf Stadt und Landkreis: Michigan erlaubt Städten eine Einkommensteuer, Einwohner zahlen 1–2,4 % (Detroit 2,4 %), Pendler etwa die Hälfte. Ähnliches gilt in Ohio (meist 1–3 %, oft am Arbeitsort), Pennsylvania, Maryland und Indiana; New York City erhebt grob 3–4 %. Die Grundsteuer hängt von Landkreis, Bewertung und Freibeträgen ab; Neukäufer zahlen oft mehr als langjährige Nachbarn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Ein Steuervorteil kann durch höhere Wohnkosten aufgezehrt werden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Beispielrechnung: Von brutto zu netto</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Rechnung ist eine Näherung für 2026. Annahmen: ein ganzes Jahr ansässig, nur Standardabzug, kein 401(k), kein HSA, keine Prämie für die Krankenversicherung, keine Miete, keine Kinderbetreuung.</w:t>
      </w:r>
    </w:p>
    <w:p>
      <w:pPr>
        <w:pStyle w:val="Normal"/>
        <w:keepNext w:val="false"/>
        <w:keepLines w:val="false"/>
        <w:spacing w:lineRule="exact" w:line="288" w:before="0" w:after="140"/>
        <w:jc w:val="left"/>
        <w:rPr/>
      </w:pPr>
      <w:r>
        <w:rPr>
          <w:rFonts w:eastAsia="Cambria" w:cs="Cambria"/>
          <w:b/>
          <w:bCs/>
          <w:i w:val="false"/>
          <w:iCs w:val="false"/>
          <w:sz w:val="22"/>
          <w:szCs w:val="22"/>
        </w:rPr>
        <w:t>Einzelperson mit 120.000 $.</w:t>
      </w:r>
      <w:r>
        <w:rPr>
          <w:rFonts w:eastAsia="Cambria" w:cs="Cambria"/>
          <w:b w:val="false"/>
          <w:bCs w:val="false"/>
          <w:i w:val="false"/>
          <w:iCs w:val="false"/>
          <w:sz w:val="22"/>
          <w:szCs w:val="22"/>
        </w:rPr>
        <w:t xml:space="preserve"> Bund: 120.000 − 16.100 = 103.900 $ zu versteuern. 10 % auf 12.400 $ (1.240 $) + 12 % auf 38.000 $ (4.560 $) + 22 % auf 53.500 $ (11.770 $) ergeben 17.570 $. FICA: 7,65 % = 9.180 $. Staat: Texas 0 $. Washington nur Umlagen: Pflegeabgabe </w:t>
      </w:r>
      <w:r>
        <w:rPr>
          <w:rFonts w:eastAsia="Cambria" w:cs="Cambria"/>
          <w:b w:val="false"/>
          <w:bCs w:val="false"/>
          <w:i/>
          <w:iCs/>
          <w:sz w:val="22"/>
          <w:szCs w:val="22"/>
        </w:rPr>
        <w:t>WA Cares</w:t>
      </w:r>
      <w:r>
        <w:rPr>
          <w:rFonts w:eastAsia="Cambria" w:cs="Cambria"/>
          <w:b w:val="false"/>
          <w:bCs w:val="false"/>
          <w:i w:val="false"/>
          <w:iCs w:val="false"/>
          <w:sz w:val="22"/>
          <w:szCs w:val="22"/>
        </w:rPr>
        <w:t xml:space="preserve"> 696 $ + Family Leave 969 $. Michigan: (120.000 − 5.800 $ Freibetrag) × 4,25 % = 4.854 $. Kalifornien: 6.915 $ Steuer nach Abzügen plus 1.560 $ SDI.</w:t>
      </w:r>
    </w:p>
    <w:tbl>
      <w:tblPr>
        <w:tblW w:w="6480" w:type="dxa"/>
        <w:jc w:val="left"/>
        <w:tblInd w:w="0" w:type="dxa"/>
        <w:tblLayout w:type="fixed"/>
        <w:tblCellMar>
          <w:top w:w="50" w:type="dxa"/>
          <w:left w:w="80" w:type="dxa"/>
          <w:bottom w:w="50" w:type="dxa"/>
          <w:right w:w="80" w:type="dxa"/>
        </w:tblCellMar>
      </w:tblPr>
      <w:tblGrid>
        <w:gridCol w:w="1255"/>
        <w:gridCol w:w="1572"/>
        <w:gridCol w:w="1256"/>
        <w:gridCol w:w="2396"/>
      </w:tblGrid>
      <w:tr>
        <w:trPr>
          <w:tblHeader w:val="true"/>
          <w:cantSplit w:val="true"/>
        </w:trPr>
        <w:tc>
          <w:tcPr>
            <w:tcW w:w="125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Staat</w:t>
            </w:r>
          </w:p>
        </w:tc>
        <w:tc>
          <w:tcPr>
            <w:tcW w:w="157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Bund + FICA (in $)</w:t>
            </w:r>
          </w:p>
        </w:tc>
        <w:tc>
          <w:tcPr>
            <w:tcW w:w="125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Staat (in $)</w:t>
            </w:r>
          </w:p>
        </w:tc>
        <w:tc>
          <w:tcPr>
            <w:tcW w:w="239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Netto (in $, Anteil)</w:t>
            </w:r>
          </w:p>
        </w:tc>
      </w:tr>
      <w:tr>
        <w:trPr>
          <w:cantSplit w:val="true"/>
        </w:trPr>
        <w:tc>
          <w:tcPr>
            <w:tcW w:w="12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Texas</w:t>
            </w:r>
          </w:p>
        </w:tc>
        <w:tc>
          <w:tcPr>
            <w:tcW w:w="15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26.750</w:t>
            </w:r>
          </w:p>
        </w:tc>
        <w:tc>
          <w:tcPr>
            <w:tcW w:w="12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w:t>
            </w:r>
          </w:p>
        </w:tc>
        <w:tc>
          <w:tcPr>
            <w:tcW w:w="23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93.250 (77,7 %)</w:t>
            </w:r>
          </w:p>
        </w:tc>
      </w:tr>
      <w:tr>
        <w:trPr>
          <w:cantSplit w:val="true"/>
        </w:trPr>
        <w:tc>
          <w:tcPr>
            <w:tcW w:w="12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Washington</w:t>
            </w:r>
          </w:p>
        </w:tc>
        <w:tc>
          <w:tcPr>
            <w:tcW w:w="15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26.750</w:t>
            </w:r>
          </w:p>
        </w:tc>
        <w:tc>
          <w:tcPr>
            <w:tcW w:w="12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1.665</w:t>
            </w:r>
          </w:p>
        </w:tc>
        <w:tc>
          <w:tcPr>
            <w:tcW w:w="23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91.585 (76,3 %)</w:t>
            </w:r>
          </w:p>
        </w:tc>
      </w:tr>
      <w:tr>
        <w:trPr>
          <w:cantSplit w:val="true"/>
        </w:trPr>
        <w:tc>
          <w:tcPr>
            <w:tcW w:w="12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Michigan</w:t>
            </w:r>
          </w:p>
        </w:tc>
        <w:tc>
          <w:tcPr>
            <w:tcW w:w="15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26.750</w:t>
            </w:r>
          </w:p>
        </w:tc>
        <w:tc>
          <w:tcPr>
            <w:tcW w:w="12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4.854</w:t>
            </w:r>
          </w:p>
        </w:tc>
        <w:tc>
          <w:tcPr>
            <w:tcW w:w="23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88.396 (73,7 %)</w:t>
            </w:r>
          </w:p>
        </w:tc>
      </w:tr>
      <w:tr>
        <w:trPr>
          <w:cantSplit w:val="true"/>
        </w:trPr>
        <w:tc>
          <w:tcPr>
            <w:tcW w:w="12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Kalifornien</w:t>
            </w:r>
          </w:p>
        </w:tc>
        <w:tc>
          <w:tcPr>
            <w:tcW w:w="15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26.750</w:t>
            </w:r>
          </w:p>
        </w:tc>
        <w:tc>
          <w:tcPr>
            <w:tcW w:w="12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8.475</w:t>
            </w:r>
          </w:p>
        </w:tc>
        <w:tc>
          <w:tcPr>
            <w:tcW w:w="23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84.775 (70,6 %)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Inhaber eines Nichteinwanderervisums wie H-1B sind seit 1. Januar 2026 von </w:t>
      </w:r>
      <w:r>
        <w:rPr>
          <w:rFonts w:eastAsia="Cambria" w:cs="Cambria"/>
          <w:b w:val="false"/>
          <w:bCs w:val="false"/>
          <w:i/>
          <w:iCs/>
          <w:sz w:val="22"/>
          <w:szCs w:val="22"/>
        </w:rPr>
        <w:t>WA Cares</w:t>
      </w:r>
      <w:r>
        <w:rPr>
          <w:rFonts w:eastAsia="Cambria" w:cs="Cambria"/>
          <w:b w:val="false"/>
          <w:bCs w:val="false"/>
          <w:i w:val="false"/>
          <w:iCs w:val="false"/>
          <w:sz w:val="22"/>
          <w:szCs w:val="22"/>
        </w:rPr>
        <w:t xml:space="preserve"> befreit; in Washington bleiben ihnen dann 92.281 $ (76,9 %).</w:t>
      </w:r>
    </w:p>
    <w:p>
      <w:pPr>
        <w:pStyle w:val="Normal"/>
        <w:keepNext w:val="false"/>
        <w:keepLines w:val="false"/>
        <w:spacing w:lineRule="exact" w:line="288" w:before="0" w:after="140"/>
        <w:jc w:val="left"/>
        <w:rPr/>
      </w:pPr>
      <w:r>
        <w:rPr>
          <w:rFonts w:eastAsia="Cambria" w:cs="Cambria"/>
          <w:b/>
          <w:bCs/>
          <w:i w:val="false"/>
          <w:iCs w:val="false"/>
          <w:sz w:val="22"/>
          <w:szCs w:val="22"/>
        </w:rPr>
        <w:t>Ehepaar mit 150.000 $, ein Einkommen, zwei Kinder unter 17.</w:t>
      </w:r>
      <w:r>
        <w:rPr>
          <w:rFonts w:eastAsia="Cambria" w:cs="Cambria"/>
          <w:b w:val="false"/>
          <w:bCs w:val="false"/>
          <w:i w:val="false"/>
          <w:iCs w:val="false"/>
          <w:sz w:val="22"/>
          <w:szCs w:val="22"/>
        </w:rPr>
        <w:t xml:space="preserve"> Bund: 150.000 − 32.200 = 117.800 $. 10 % auf 24.800 $ (2.480 $) + 12 % auf 76.000 $ (9.120 $) + 22 % auf 17.000 $ (3.740 $) ergeben 15.340 $. Davon ziehst du die Gutschrift ab: 2 × 2.200 $ bei Kindern mit SSN (10.940 $) oder 2 × 500 $ bei Kindern mit ITIN (14.340 $). FICA: 11.475 $.</w:t>
      </w:r>
    </w:p>
    <w:tbl>
      <w:tblPr>
        <w:tblW w:w="6480" w:type="dxa"/>
        <w:jc w:val="left"/>
        <w:tblInd w:w="0" w:type="dxa"/>
        <w:tblLayout w:type="fixed"/>
        <w:tblCellMar>
          <w:top w:w="50" w:type="dxa"/>
          <w:left w:w="80" w:type="dxa"/>
          <w:bottom w:w="50" w:type="dxa"/>
          <w:right w:w="80" w:type="dxa"/>
        </w:tblCellMar>
      </w:tblPr>
      <w:tblGrid>
        <w:gridCol w:w="949"/>
        <w:gridCol w:w="1105"/>
        <w:gridCol w:w="2174"/>
        <w:gridCol w:w="2251"/>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Staat</w:t>
            </w:r>
          </w:p>
        </w:tc>
        <w:tc>
          <w:tcPr>
            <w:tcW w:w="110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Staatssteuer (in $)</w:t>
            </w:r>
          </w:p>
        </w:tc>
        <w:tc>
          <w:tcPr>
            <w:tcW w:w="217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Netto mit Gutschrift (in $)</w:t>
            </w:r>
          </w:p>
        </w:tc>
        <w:tc>
          <w:tcPr>
            <w:tcW w:w="225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Netto bei ITIN-Kindern (in $)</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Texas</w:t>
            </w:r>
          </w:p>
        </w:tc>
        <w:tc>
          <w:tcPr>
            <w:tcW w:w="11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w:t>
            </w:r>
          </w:p>
        </w:tc>
        <w:tc>
          <w:tcPr>
            <w:tcW w:w="21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127.585 (85,1 %)</w:t>
            </w:r>
          </w:p>
        </w:tc>
        <w:tc>
          <w:tcPr>
            <w:tcW w:w="22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124.185 (82,8 %)</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Washington</w:t>
            </w:r>
          </w:p>
        </w:tc>
        <w:tc>
          <w:tcPr>
            <w:tcW w:w="11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2.081</w:t>
            </w:r>
          </w:p>
        </w:tc>
        <w:tc>
          <w:tcPr>
            <w:tcW w:w="21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125.504 (83,7 %)</w:t>
            </w:r>
          </w:p>
        </w:tc>
        <w:tc>
          <w:tcPr>
            <w:tcW w:w="22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122.104 (81,4 %)</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Michigan</w:t>
            </w:r>
          </w:p>
        </w:tc>
        <w:tc>
          <w:tcPr>
            <w:tcW w:w="11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5.389</w:t>
            </w:r>
          </w:p>
        </w:tc>
        <w:tc>
          <w:tcPr>
            <w:tcW w:w="21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122.196 (81,5 %)</w:t>
            </w:r>
          </w:p>
        </w:tc>
        <w:tc>
          <w:tcPr>
            <w:tcW w:w="22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118.796 (79,2 %)</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Kalifornien</w:t>
            </w:r>
          </w:p>
        </w:tc>
        <w:tc>
          <w:tcPr>
            <w:tcW w:w="11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6.549</w:t>
            </w:r>
          </w:p>
        </w:tc>
        <w:tc>
          <w:tcPr>
            <w:tcW w:w="21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121.036 (80,7 %)</w:t>
            </w:r>
          </w:p>
        </w:tc>
        <w:tc>
          <w:tcPr>
            <w:tcW w:w="22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117.636 (78,4 %)</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(fiktives Beispiel) zieht nach Michigan. Markus verdient 150.000 $, Anna arbeitet zunächst nicht. Lena (9) und Jonas (5) reisen mit H-4-Status ein und haben nur eine ITIN. Die Brandts hatten mit 2 × 2.200 $ Kindergutschrift geplant, bekommen aber 2 × 500 $: 3.400 $ weniger. Netto bleiben nach der Näherung rund 118.800 $ statt 122.200 $, jeweils ohne Krankenversicherung, 401(k) und mögliche Stadtsteuer. Die Familie streicht die Gutschrift aus dem Budget und klärt, ob die Kinder später eine SSN erhalten.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Was an der Rechnung Näherung ist: Kalifornien rechnet mit Tarif und Abzügen von 2025; die Indexierung senkt die Steuer für 2026 voraussichtlich um 50–150 $. Für Michigan gilt der Freibetrag von 2025. Stadtsteuern fehlen (Detroit: bei 120.000 $ zusätzlich 2.880 $). Ebenfalls nicht enthalten: Krankenversicherung (Arbeitnehmeranteil 2025 im Schnitt 1.440 $ für Einzelpersonen, 6.850 $ für Familien;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401(k), Einzelabzüge, Kinderbetreuung. In Washington ist die Family-Leave-Umlage mit dem Arbeitnehmeranteil von 71,43 % angesetzt.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Zum Vergleich mit Deutschland (grobe eigene Rechnung, Steuerklasse I, ledig, ohne Kirchensteuer): Bei 120.000 € brutto betragen die Sozialabgaben rund 18.500 € (15 %) und die Steuern samt Solidaritätszuschlag rund 33.000 € (27,5 %); netto bleiben rund 57 %. Bei 60.000 € brutto liegen die Sozialabgaben bei etwa 22 %. Zur groben Orientierung: 1 € entsprach im Herbst 2026 etwa 1,1–1,2 $ (EZB-Kurs 18. September 2026: 1,1460 $; bitte tagesaktuell prüfen). 120.000 $ sind demnach rund 104.700 €, von denen in Deutschland etwa 58 % bleiben. Der Vergleich hinkt: Die deutschen Abgaben schließen Kranken-, Pflege- und Arbeitslosenversicherung ein, in den USA kommen Prämie und Eigenbeteiligung der Krankenversicherung hinzu. Eine beitragsfreie Familienmitversicherung gibt es dort nicht; dem Kindergeld entspricht die Kindergutschrift.</w:t>
      </w:r>
    </w:p>
    <w:p>
      <w:pPr>
        <w:pStyle w:val="Heading3"/>
        <w:keepNext w:val="true"/>
        <w:spacing w:before="280" w:after="100"/>
        <w:jc w:val="center"/>
        <w:rPr/>
      </w:pPr>
      <w:r>
        <w:rPr>
          <w:rFonts w:eastAsia="Amazon Ember" w:cs="Amazon Ember" w:ascii="Amazon Ember" w:hAnsi="Amazon Ember"/>
          <w:b/>
          <w:bCs/>
          <w:color w:val="0000FF"/>
          <w:sz w:val="36"/>
          <w:szCs w:val="36"/>
        </w:rPr>
        <w:t>Studierende: Nichtansässig mit Form 8843</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mit F-1-, J-1-, M-1- oder Q-Visum studiert, hat eine Sonderregel: Die Anwesenheitstage zählen fünf Kalenderjahre lang nicht für den </w:t>
      </w:r>
      <w:r>
        <w:rPr>
          <w:rFonts w:eastAsia="Cambria" w:cs="Cambria"/>
          <w:b w:val="false"/>
          <w:bCs w:val="false"/>
          <w:i/>
          <w:iCs/>
          <w:sz w:val="22"/>
          <w:szCs w:val="22"/>
        </w:rPr>
        <w:t>Substantial Presence Test</w:t>
      </w:r>
      <w:r>
        <w:rPr>
          <w:rFonts w:eastAsia="Cambria" w:cs="Cambria"/>
          <w:b w:val="false"/>
          <w:bCs w:val="false"/>
          <w:i w:val="false"/>
          <w:iCs w:val="false"/>
          <w:sz w:val="22"/>
          <w:szCs w:val="22"/>
        </w:rPr>
        <w:t>, wobei jedes angefangene Kalenderjahr zählt. Für J- und Q-Lehrende und Forschende gilt die Ausnahme höchstens in zwei von sechs Jahren. In dieser Zeit bist du meist nichtansässig, erklärst nur US-Einkünfte (Stipendium, Assistenzstelle, Nebenjob) mit Form 1040-NR und reichst jedes Jahr Form 8843 ein, auch ohne Einkommen. Beginnt dein Studium im August, ist schon dieses Jahr das erste; ab dem sechsten Kalenderjahr kannst du ansässig sein, etwa beim Wechsel in den H-1B-Status (Kapitel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Zwei Erleichterungen gibt es: Nichtansässige Studierende mit erlaubter Arbeit sind von FICA befreit (Angehörige mit F-2 oder J-2 nicht), und das DBA (Artikel 20) stellt Unterhaltszahlungen aus Deutschland steuerfrei sowie bis zu vier Jahre lang Arbeitseinkommen bis 9.000 $ pro Jahr; das gilt nicht für US-Bürger und Green-Card-Inhaber. Gängige Software wie TurboTax kann kein Form 1040-NR; nutze Software für Nichtansässige wie Sprintax oder einen Steuerexperten.</w:t>
      </w:r>
    </w:p>
    <w:p>
      <w:pPr>
        <w:pStyle w:val="Heading3"/>
        <w:keepNext w:val="true"/>
        <w:spacing w:before="280" w:after="100"/>
        <w:jc w:val="center"/>
        <w:rPr/>
      </w:pPr>
      <w:r>
        <w:rPr>
          <w:rFonts w:eastAsia="Amazon Ember" w:cs="Amazon Ember" w:ascii="Amazon Ember" w:hAnsi="Amazon Ember"/>
          <w:b/>
          <w:bCs/>
          <w:color w:val="0000FF"/>
          <w:sz w:val="36"/>
          <w:szCs w:val="36"/>
        </w:rPr>
        <w:t>Steuerexperten, Software und Kosten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Im einfachen Fall (nur Lohn laut W-2, Standardabzug, keine Auslandskonten) genügt Software. Die IRS bietet kostenlose Software bis 89.000 $ Einkommen (Wert für 2025) und ausfüllbare Formulare für alle (</w:t>
      </w:r>
      <w:r>
        <w:rPr>
          <w:rFonts w:eastAsia="Cambria" w:cs="Cambria"/>
          <w:b w:val="false"/>
          <w:bCs w:val="false"/>
          <w:i/>
          <w:iCs/>
          <w:sz w:val="22"/>
          <w:szCs w:val="22"/>
        </w:rPr>
        <w:t>Free File</w:t>
      </w:r>
      <w:r>
        <w:rPr>
          <w:rFonts w:eastAsia="Cambria" w:cs="Cambria"/>
          <w:b w:val="false"/>
          <w:bCs w:val="false"/>
          <w:i w:val="false"/>
          <w:iCs w:val="false"/>
          <w:sz w:val="22"/>
          <w:szCs w:val="22"/>
        </w:rPr>
        <w:t xml:space="preserve">). Im Einreisejahr, bei Auslandsvermögen oder Aktienvergütung lohnt ein Profi. Ein </w:t>
      </w:r>
      <w:r>
        <w:rPr>
          <w:rFonts w:eastAsia="Cambria" w:cs="Cambria"/>
          <w:b w:val="false"/>
          <w:bCs w:val="false"/>
          <w:i/>
          <w:iCs/>
          <w:sz w:val="22"/>
          <w:szCs w:val="22"/>
        </w:rPr>
        <w:t>CPA</w:t>
      </w:r>
      <w:r>
        <w:rPr>
          <w:rFonts w:eastAsia="Cambria" w:cs="Cambria"/>
          <w:b w:val="false"/>
          <w:bCs w:val="false"/>
          <w:i w:val="false"/>
          <w:iCs w:val="false"/>
          <w:sz w:val="22"/>
          <w:szCs w:val="22"/>
        </w:rPr>
        <w:t xml:space="preserve"> (</w:t>
      </w:r>
      <w:r>
        <w:rPr>
          <w:rFonts w:eastAsia="Cambria" w:cs="Cambria"/>
          <w:b w:val="false"/>
          <w:bCs w:val="false"/>
          <w:i/>
          <w:iCs/>
          <w:sz w:val="22"/>
          <w:szCs w:val="22"/>
        </w:rPr>
        <w:t>Certified Public Accountant</w:t>
      </w:r>
      <w:r>
        <w:rPr>
          <w:rFonts w:eastAsia="Cambria" w:cs="Cambria"/>
          <w:b w:val="false"/>
          <w:bCs w:val="false"/>
          <w:i w:val="false"/>
          <w:iCs w:val="false"/>
          <w:sz w:val="22"/>
          <w:szCs w:val="22"/>
        </w:rPr>
        <w:t xml:space="preserve">) ist ein staatlich zugelassener Wirtschafts- und Steuerexperte, ein </w:t>
      </w:r>
      <w:r>
        <w:rPr>
          <w:rFonts w:eastAsia="Cambria" w:cs="Cambria"/>
          <w:b w:val="false"/>
          <w:bCs w:val="false"/>
          <w:i/>
          <w:iCs/>
          <w:sz w:val="22"/>
          <w:szCs w:val="22"/>
        </w:rPr>
        <w:t>Enrolled Agent</w:t>
      </w:r>
      <w:r>
        <w:rPr>
          <w:rFonts w:eastAsia="Cambria" w:cs="Cambria"/>
          <w:b w:val="false"/>
          <w:bCs w:val="false"/>
          <w:i w:val="false"/>
          <w:iCs w:val="false"/>
          <w:sz w:val="22"/>
          <w:szCs w:val="22"/>
        </w:rPr>
        <w:t xml:space="preserve"> (EA) ein von der IRS geprüfter Steuerspezialist. Einfache Steuerersteller (</w:t>
      </w:r>
      <w:r>
        <w:rPr>
          <w:rFonts w:eastAsia="Cambria" w:cs="Cambria"/>
          <w:b w:val="false"/>
          <w:bCs w:val="false"/>
          <w:i/>
          <w:iCs/>
          <w:sz w:val="22"/>
          <w:szCs w:val="22"/>
        </w:rPr>
        <w:t>Unenrolled Preparer</w:t>
      </w:r>
      <w:r>
        <w:rPr>
          <w:rFonts w:eastAsia="Cambria" w:cs="Cambria"/>
          <w:b w:val="false"/>
          <w:bCs w:val="false"/>
          <w:i w:val="false"/>
          <w:iCs w:val="false"/>
          <w:sz w:val="22"/>
          <w:szCs w:val="22"/>
        </w:rPr>
        <w:t>) brauchen nur eine Registriernummer (</w:t>
      </w:r>
      <w:r>
        <w:rPr>
          <w:rFonts w:eastAsia="Cambria" w:cs="Cambria"/>
          <w:b w:val="false"/>
          <w:bCs w:val="false"/>
          <w:i/>
          <w:iCs/>
          <w:sz w:val="22"/>
          <w:szCs w:val="22"/>
        </w:rPr>
        <w:t>PTIN</w:t>
      </w:r>
      <w:r>
        <w:rPr>
          <w:rFonts w:eastAsia="Cambria" w:cs="Cambria"/>
          <w:b w:val="false"/>
          <w:bCs w:val="false"/>
          <w:i w:val="false"/>
          <w:iCs w:val="false"/>
          <w:sz w:val="22"/>
          <w:szCs w:val="22"/>
        </w:rPr>
        <w:t>), aber keine Mindestqualifikation.</w:t>
      </w:r>
    </w:p>
    <w:tbl>
      <w:tblPr>
        <w:tblW w:w="6480" w:type="dxa"/>
        <w:jc w:val="left"/>
        <w:tblInd w:w="0" w:type="dxa"/>
        <w:tblLayout w:type="fixed"/>
        <w:tblCellMar>
          <w:top w:w="50" w:type="dxa"/>
          <w:left w:w="80" w:type="dxa"/>
          <w:bottom w:w="50" w:type="dxa"/>
          <w:right w:w="80" w:type="dxa"/>
        </w:tblCellMar>
      </w:tblPr>
      <w:tblGrid>
        <w:gridCol w:w="2610"/>
        <w:gridCol w:w="2198"/>
        <w:gridCol w:w="1672"/>
      </w:tblGrid>
      <w:tr>
        <w:trPr>
          <w:tblHeader w:val="true"/>
          <w:cantSplit w:val="true"/>
        </w:trPr>
        <w:tc>
          <w:tcPr>
            <w:tcW w:w="261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Situation</w:t>
            </w:r>
          </w:p>
        </w:tc>
        <w:tc>
          <w:tcPr>
            <w:tcW w:w="219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Wer</w:t>
            </w:r>
          </w:p>
        </w:tc>
        <w:tc>
          <w:tcPr>
            <w:tcW w:w="167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Grobe Kosten</w:t>
            </w:r>
          </w:p>
        </w:tc>
      </w:tr>
      <w:tr>
        <w:trPr>
          <w:cantSplit w:val="true"/>
        </w:trPr>
        <w:tc>
          <w:tcPr>
            <w:tcW w:w="26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Einfacher Fall</w:t>
            </w:r>
          </w:p>
        </w:tc>
        <w:tc>
          <w:tcPr>
            <w:tcW w:w="21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Software</w:t>
            </w:r>
          </w:p>
        </w:tc>
        <w:tc>
          <w:tcPr>
            <w:tcW w:w="16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0–150 $ (Bund) plus Staat</w:t>
            </w:r>
          </w:p>
        </w:tc>
      </w:tr>
      <w:tr>
        <w:trPr>
          <w:cantSplit w:val="true"/>
        </w:trPr>
        <w:tc>
          <w:tcPr>
            <w:tcW w:w="26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Einfacher Fall</w:t>
            </w:r>
          </w:p>
        </w:tc>
        <w:tc>
          <w:tcPr>
            <w:tcW w:w="21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CPA oder EA</w:t>
            </w:r>
          </w:p>
        </w:tc>
        <w:tc>
          <w:tcPr>
            <w:tcW w:w="16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300–800 $</w:t>
            </w:r>
          </w:p>
        </w:tc>
      </w:tr>
      <w:tr>
        <w:trPr>
          <w:cantSplit w:val="true"/>
        </w:trPr>
        <w:tc>
          <w:tcPr>
            <w:tcW w:w="26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Erstjahr mit Doppelstatus, FBAR, Form 8938</w:t>
            </w:r>
          </w:p>
        </w:tc>
        <w:tc>
          <w:tcPr>
            <w:tcW w:w="21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CPA oder EA mit Auslandserfahrung</w:t>
            </w:r>
          </w:p>
        </w:tc>
        <w:tc>
          <w:tcPr>
            <w:tcW w:w="16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800–2.500 $</w:t>
            </w:r>
          </w:p>
        </w:tc>
      </w:tr>
      <w:tr>
        <w:trPr>
          <w:cantSplit w:val="true"/>
        </w:trPr>
        <w:tc>
          <w:tcPr>
            <w:tcW w:w="26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Immobilie, Fonds, Nachmeldung</w:t>
            </w:r>
          </w:p>
        </w:tc>
        <w:tc>
          <w:tcPr>
            <w:tcW w:w="21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Berater für grenzüberschreitende Fälle</w:t>
            </w:r>
          </w:p>
        </w:tc>
        <w:tc>
          <w:tcPr>
            <w:tcW w:w="16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1.500–4.000 $ und mehr</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sind grobe Erfahrungswerte, keine amtlichen Zahlen; jedes Form 8621 kostet meist 100–300 $ extra. Hole Angebote ein und frage nach Erfahrung mit dem DBA Deutschland–USA, PFIC und Form 3520. Warnzeichen sind ein Honorar als Prozentsatz der Erstattung und Steuerersteller ohne PTIN oder Unterschrift (</w:t>
      </w:r>
      <w:r>
        <w:rPr>
          <w:rFonts w:eastAsia="Cambria" w:cs="Cambria"/>
          <w:b w:val="false"/>
          <w:bCs w:val="false"/>
          <w:i/>
          <w:iCs/>
          <w:sz w:val="22"/>
          <w:szCs w:val="22"/>
        </w:rPr>
        <w:t>Ghost Preparer</w:t>
      </w:r>
      <w:r>
        <w:rPr>
          <w:rFonts w:eastAsia="Cambria" w:cs="Cambria"/>
          <w:b w:val="false"/>
          <w:bCs w:val="false"/>
          <w:i w:val="false"/>
          <w:iCs w:val="false"/>
          <w:sz w:val="22"/>
          <w:szCs w:val="22"/>
        </w:rPr>
        <w:t>) – wer beim Erstgespräch mehr Fragen zu deiner erhofften Erstattung stellt als zu deinen tatsächlichen Einkünften, verfolgt andere Interessen als du. Prüfe Zulassungen im IRS-Verzeichnis; frage im Vertragsgespräch, ob die Relocation-Leistung eine Steuerberatung einschließt.</w:t>
      </w:r>
    </w:p>
    <w:p>
      <w:pPr>
        <w:pStyle w:val="Heading3"/>
        <w:keepNext w:val="true"/>
        <w:spacing w:before="280" w:after="100"/>
        <w:jc w:val="center"/>
        <w:rPr/>
      </w:pPr>
      <w:r>
        <w:rPr>
          <w:rFonts w:eastAsia="Amazon Ember" w:cs="Amazon Ember" w:ascii="Amazon Ember" w:hAnsi="Amazon Ember"/>
          <w:b/>
          <w:bCs/>
          <w:color w:val="0000FF"/>
          <w:sz w:val="36"/>
          <w:szCs w:val="36"/>
        </w:rPr>
        <w:t>Fristen, Strafen und Betrug</w:t>
      </w:r>
    </w:p>
    <w:p>
      <w:pPr>
        <w:pStyle w:val="ListParagraph"/>
        <w:numPr>
          <w:ilvl w:val="0"/>
          <w:numId w:val="1"/>
        </w:numPr>
        <w:spacing w:lineRule="exact" w:line="288" w:before="0" w:after="60"/>
        <w:rPr/>
      </w:pPr>
      <w:r>
        <w:rPr>
          <w:rFonts w:eastAsia="Cambria" w:cs="Cambria"/>
          <w:b/>
          <w:bCs/>
          <w:i w:val="false"/>
          <w:iCs w:val="false"/>
          <w:sz w:val="22"/>
          <w:szCs w:val="22"/>
        </w:rPr>
        <w:t>31. Januar:</w:t>
      </w:r>
      <w:r>
        <w:rPr>
          <w:rFonts w:eastAsia="Cambria" w:cs="Cambria"/>
          <w:b w:val="false"/>
          <w:bCs w:val="false"/>
          <w:i w:val="false"/>
          <w:iCs w:val="false"/>
          <w:sz w:val="22"/>
          <w:szCs w:val="22"/>
        </w:rPr>
        <w:t xml:space="preserve"> Der Arbeitgeber stellt das W-2 aus.</w:t>
      </w:r>
    </w:p>
    <w:p>
      <w:pPr>
        <w:pStyle w:val="ListParagraph"/>
        <w:numPr>
          <w:ilvl w:val="0"/>
          <w:numId w:val="1"/>
        </w:numPr>
        <w:spacing w:lineRule="exact" w:line="288" w:before="0" w:after="60"/>
        <w:rPr/>
      </w:pPr>
      <w:r>
        <w:rPr>
          <w:rFonts w:eastAsia="Cambria" w:cs="Cambria"/>
          <w:b/>
          <w:bCs/>
          <w:i w:val="false"/>
          <w:iCs w:val="false"/>
          <w:sz w:val="22"/>
          <w:szCs w:val="22"/>
        </w:rPr>
        <w:t>15. April 2027:</w:t>
      </w:r>
      <w:r>
        <w:rPr>
          <w:rFonts w:eastAsia="Cambria" w:cs="Cambria"/>
          <w:b w:val="false"/>
          <w:bCs w:val="false"/>
          <w:i w:val="false"/>
          <w:iCs w:val="false"/>
          <w:sz w:val="22"/>
          <w:szCs w:val="22"/>
        </w:rPr>
        <w:t xml:space="preserve"> Erklärung für 2026 und Zahlung fällig. Mit Form 4868 verlängerst du die Erklärung bis 15. Oktober 2027; gezahlt wird trotzdem am 15. April, sonst laufen Zinsen.</w:t>
      </w:r>
    </w:p>
    <w:p>
      <w:pPr>
        <w:pStyle w:val="ListParagraph"/>
        <w:numPr>
          <w:ilvl w:val="0"/>
          <w:numId w:val="1"/>
        </w:numPr>
        <w:spacing w:lineRule="exact" w:line="288" w:before="0" w:after="60"/>
        <w:rPr/>
      </w:pPr>
      <w:r>
        <w:rPr>
          <w:rFonts w:eastAsia="Cambria" w:cs="Cambria"/>
          <w:b/>
          <w:bCs/>
          <w:i w:val="false"/>
          <w:iCs w:val="false"/>
          <w:sz w:val="22"/>
          <w:szCs w:val="22"/>
        </w:rPr>
        <w:t>15. Juni:</w:t>
      </w:r>
      <w:r>
        <w:rPr>
          <w:rFonts w:eastAsia="Cambria" w:cs="Cambria"/>
          <w:b w:val="false"/>
          <w:bCs w:val="false"/>
          <w:i w:val="false"/>
          <w:iCs w:val="false"/>
          <w:sz w:val="22"/>
          <w:szCs w:val="22"/>
        </w:rPr>
        <w:t xml:space="preserve"> Frist für Nichtansässige ohne Lohn; wer am 15. April außerhalb der USA lebt, hat automatisch bis 15. Juni.</w:t>
      </w:r>
    </w:p>
    <w:p>
      <w:pPr>
        <w:pStyle w:val="ListParagraph"/>
        <w:numPr>
          <w:ilvl w:val="0"/>
          <w:numId w:val="1"/>
        </w:numPr>
        <w:spacing w:lineRule="exact" w:line="288" w:before="0" w:after="60"/>
        <w:rPr/>
      </w:pPr>
      <w:r>
        <w:rPr>
          <w:rFonts w:eastAsia="Cambria" w:cs="Cambria"/>
          <w:b/>
          <w:bCs/>
          <w:i w:val="false"/>
          <w:iCs w:val="false"/>
          <w:sz w:val="22"/>
          <w:szCs w:val="22"/>
        </w:rPr>
        <w:t>15. Oktober:</w:t>
      </w:r>
      <w:r>
        <w:rPr>
          <w:rFonts w:eastAsia="Cambria" w:cs="Cambria"/>
          <w:b w:val="false"/>
          <w:bCs w:val="false"/>
          <w:i w:val="false"/>
          <w:iCs w:val="false"/>
          <w:sz w:val="22"/>
          <w:szCs w:val="22"/>
        </w:rPr>
        <w:t xml:space="preserve"> FBAR automatisch verlängert. Für 2025 endet die verlängerte Steuerfrist am 15. Oktober 2026.</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verspäteter Erklärung fallen 5 % der offenen Steuer je Monat an, höchstens 25 %; bei mehr als 60 Tagen Verzug mindestens 525 $ (oder die Steuerschuld, wenn sie kleiner ist). Verspätete Zahlung kostet 0,5 % je Monat, dazu Zinsen von 7 % (viertes Quartal 2026). Bei zu niedriger Steuer droht oft ein Zuschlag von 20 %. Erleichterung ist bei nachvollziehbarem Grund (</w:t>
      </w:r>
      <w:r>
        <w:rPr>
          <w:rFonts w:eastAsia="Cambria" w:cs="Cambria"/>
          <w:b w:val="false"/>
          <w:bCs w:val="false"/>
          <w:i/>
          <w:iCs/>
          <w:sz w:val="22"/>
          <w:szCs w:val="22"/>
        </w:rPr>
        <w:t>Reasonable Cause</w:t>
      </w:r>
      <w:r>
        <w:rPr>
          <w:rFonts w:eastAsia="Cambria" w:cs="Cambria"/>
          <w:b w:val="false"/>
          <w:bCs w:val="false"/>
          <w:i w:val="false"/>
          <w:iCs w:val="false"/>
          <w:sz w:val="22"/>
          <w:szCs w:val="22"/>
        </w:rPr>
        <w:t>) oder als Erstverstoß (</w:t>
      </w:r>
      <w:r>
        <w:rPr>
          <w:rFonts w:eastAsia="Cambria" w:cs="Cambria"/>
          <w:b w:val="false"/>
          <w:bCs w:val="false"/>
          <w:i/>
          <w:iCs/>
          <w:sz w:val="22"/>
          <w:szCs w:val="22"/>
        </w:rPr>
        <w:t>First-Time Abatement</w:t>
      </w:r>
      <w:r>
        <w:rPr>
          <w:rFonts w:eastAsia="Cambria" w:cs="Cambria"/>
          <w:b w:val="false"/>
          <w:bCs w:val="false"/>
          <w:i w:val="false"/>
          <w:iCs w:val="false"/>
          <w:sz w:val="22"/>
          <w:szCs w:val="22"/>
        </w:rPr>
        <w:t>) möglich.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Betrüger geben sich am Telefon als IRS aus, drohen mit Verhaftung oder Abschiebung und verlangen sofortige Zahlung. Neuankömmlinge sind beliebte Ziele. Die IRS meldet sich zuerst per Post, droht nicht und lässt Rückfragen zu. Lege auf, prüfe den Vorgang auf irs.gov und melde Phishing an phishing@irs.gov.</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Hoher Standardabzug und niedrige Einstiegssätze: von 120.000 $ bleiben je nach Staat 71–78 % (vor Krankenversicherung)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Selbstveranlagung: Rechnung, Fristen und Fehler liegen bei dir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Staaten ohne Einkommensteuer wie Texas, Florida und Washington (auf Löhne)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Weltweites Einkommen und Meldepflichten (FBAR, Form 8938, PFIC) mit hohen Strafen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Rentenversicherung und Medicare zusammen nur 7,65 %</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Krankenversicherung, Sales Tax und Grundsteuer kommen obendrauf; Preise stehen ohne Steuer im Regal</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401(k) und HSA senken die Steuer, der Arbeitgeber-Match ist Zusatzgehalt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 ohne SSN: nur 500 statt 2.200 $ Gutschrift je Kind</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Anrechnung und Abkommen verhindern Doppelbesteuerung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Einreisejahr und Steuerexperte kosten Zeit und 800–2.500 $</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Erstattung per E-Filing oft nach wenigen Wochen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Zusätzliche Staatserklärung, teils Stadtsteuern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Vor dem Abflug listest du alle deutschen Konten, Depots, Fonds und Versicherungen mit den Höchstständen und klärst die Fonds mit einem Berater beider Länder. Nach der Landung füllst du den W-4 aus, zählst Tage, klärst die SSN für die ganze Familie (Kapitel </w:t>
      </w:r>
      <w:hyperlink w:anchor="k24">
        <w:r>
          <w:rPr>
            <w:rStyle w:val="ListLabel115"/>
            <w:rFonts w:eastAsia="Cambria" w:cs="Cambria"/>
            <w:b w:val="false"/>
            <w:bCs w:val="false"/>
            <w:i w:val="false"/>
            <w:iCs w:val="false"/>
            <w:sz w:val="22"/>
            <w:szCs w:val="22"/>
          </w:rPr>
          <w:t>24</w:t>
        </w:r>
      </w:hyperlink>
      <w:r>
        <w:rPr>
          <w:rFonts w:eastAsia="Cambria" w:cs="Cambria"/>
          <w:b w:val="false"/>
          <w:bCs w:val="false"/>
          <w:i w:val="false"/>
          <w:iCs w:val="false"/>
          <w:sz w:val="22"/>
          <w:szCs w:val="22"/>
        </w:rPr>
        <w:t>) und bildest eine Rücklage für die erste Nachzahlung. Im Frühjahr folgen Erklärung, FBAR und Formulare. Konto und Kredit baust du nach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 xml:space="preserve"> auf, die Vorsorge steht in Kapitel </w:t>
      </w:r>
      <w:hyperlink w:anchor="k39">
        <w:r>
          <w:rPr>
            <w:rStyle w:val="ListLabel115"/>
            <w:rFonts w:eastAsia="Cambria" w:cs="Cambria"/>
            <w:b w:val="false"/>
            <w:bCs w:val="false"/>
            <w:i w:val="false"/>
            <w:iCs w:val="false"/>
            <w:sz w:val="22"/>
            <w:szCs w:val="22"/>
          </w:rPr>
          <w:t>39</w:t>
        </w:r>
      </w:hyperlink>
      <w:r>
        <w:rPr>
          <w:rFonts w:eastAsia="Cambria" w:cs="Cambria"/>
          <w:b w:val="false"/>
          <w:bCs w:val="false"/>
          <w:i w:val="false"/>
          <w:iCs w:val="false"/>
          <w:sz w:val="22"/>
          <w:szCs w:val="22"/>
        </w:rPr>
        <w:t>, die Rückkehr in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dem Abflug alle deutschen Konten, Depots, Fonds, Bausparverträge und Versicherungen mit Höchstständen auflisten (Grundlage für FBAR und Form 8938).</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Deutsche Fonds und ETFs vor dem Zuzug mit einem Berater beider Länder klären (PFIC).</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Ab dem ersten Tag einen Kalender mit Einreisen und Ausreisen führen; Green-Card-Datum notieren.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Arbeitgeber fragen: Steuerberatung im Relocation-Paket? Gross-up für Umzugskosten?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Form W-4 am ersten Arbeitstag ausfüllen und nach Bonus, RSUs oder Jobwechsel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Klären, ob die Kinder eine SSN mit Arbeitserlaubnis erhalten können (Kinder-Steuergutschrift).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Rücklage für eine Nachzahlung im ersten April bilden.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Steuerexperten (CPA oder EA) mit Auslandserfahrung früh buchen und die Zulassung im IRS-Verzeichnis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Bis 15. April erklären oder Form 4868 einreichen und trotzdem zahlen.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Jedes Jahr FBAR (15. April, automatisch 15. Oktober) und bei Bedarf Form 8938, 8621 und 3520 abgeben.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Studierende: Form 8843 jährlich einreichen, auch ohne Einkommen.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IRS — Besteuerung von Nichtansässigen (</w:t>
      </w:r>
      <w:hyperlink r:id="rId265">
        <w:r>
          <w:rPr>
            <w:rStyle w:val="ListLabel113"/>
            <w:rFonts w:eastAsia="Cambria" w:cs="Cambria"/>
            <w:b w:val="false"/>
            <w:bCs w:val="false"/>
            <w:i w:val="false"/>
            <w:iCs w:val="false"/>
            <w:color w:val="0563C1"/>
            <w:sz w:val="22"/>
            <w:szCs w:val="22"/>
            <w:u w:val="single"/>
          </w:rPr>
          <w:t>irs.gov/individuals/international-taxpayers/taxation-of-nonresident-aliens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Publication 519, Steuerleitfaden für Ausländer (</w:t>
      </w:r>
      <w:hyperlink r:id="rId266">
        <w:r>
          <w:rPr>
            <w:rStyle w:val="ListLabel113"/>
            <w:rFonts w:eastAsia="Cambria" w:cs="Cambria"/>
            <w:b w:val="false"/>
            <w:bCs w:val="false"/>
            <w:i w:val="false"/>
            <w:iCs w:val="false"/>
            <w:color w:val="0563C1"/>
            <w:sz w:val="22"/>
            <w:szCs w:val="22"/>
            <w:u w:val="single"/>
          </w:rPr>
          <w:t>irs.gov/publications/p519</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Child Tax Credit (</w:t>
      </w:r>
      <w:hyperlink r:id="rId267">
        <w:r>
          <w:rPr>
            <w:rStyle w:val="ListLabel113"/>
            <w:rFonts w:eastAsia="Cambria" w:cs="Cambria"/>
            <w:b w:val="false"/>
            <w:bCs w:val="false"/>
            <w:i w:val="false"/>
            <w:iCs w:val="false"/>
            <w:color w:val="0563C1"/>
            <w:sz w:val="22"/>
            <w:szCs w:val="22"/>
            <w:u w:val="single"/>
          </w:rPr>
          <w:t>irs.gov/credits-deductions/individuals/child-tax-credit</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FBAR (</w:t>
      </w:r>
      <w:hyperlink r:id="rId268">
        <w:r>
          <w:rPr>
            <w:rStyle w:val="ListLabel113"/>
            <w:rFonts w:eastAsia="Cambria" w:cs="Cambria"/>
            <w:b w:val="false"/>
            <w:bCs w:val="false"/>
            <w:i w:val="false"/>
            <w:iCs w:val="false"/>
            <w:color w:val="0563C1"/>
            <w:sz w:val="22"/>
            <w:szCs w:val="22"/>
            <w:u w:val="single"/>
          </w:rPr>
          <w:t>irs.gov/businesses/small-businesses-self-employed/report-of-foreign-bank-and-financial-accounts-fbar</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Vergleich Form 8938 und FBAR (</w:t>
      </w:r>
      <w:hyperlink r:id="rId269">
        <w:r>
          <w:rPr>
            <w:rStyle w:val="ListLabel113"/>
            <w:rFonts w:eastAsia="Cambria" w:cs="Cambria"/>
            <w:b w:val="false"/>
            <w:bCs w:val="false"/>
            <w:i w:val="false"/>
            <w:iCs w:val="false"/>
            <w:color w:val="0563C1"/>
            <w:sz w:val="22"/>
            <w:szCs w:val="22"/>
            <w:u w:val="single"/>
          </w:rPr>
          <w:t>irs.gov/businesses/comparison-of-form-8938-and-fbar-requirements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Doppelbesteuerungsabkommen Deutschland–USA (</w:t>
      </w:r>
      <w:hyperlink r:id="rId270">
        <w:r>
          <w:rPr>
            <w:rStyle w:val="ListLabel113"/>
            <w:rFonts w:eastAsia="Cambria" w:cs="Cambria"/>
            <w:b w:val="false"/>
            <w:bCs w:val="false"/>
            <w:i w:val="false"/>
            <w:iCs w:val="false"/>
            <w:color w:val="0563C1"/>
            <w:sz w:val="22"/>
            <w:szCs w:val="22"/>
            <w:u w:val="single"/>
          </w:rPr>
          <w:t>irs.gov/pub/irs-trty/germany.pdf</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Strafen bei verspäteter Erklärung (</w:t>
      </w:r>
      <w:hyperlink r:id="rId271">
        <w:r>
          <w:rPr>
            <w:rStyle w:val="ListLabel113"/>
            <w:rFonts w:eastAsia="Cambria" w:cs="Cambria"/>
            <w:b w:val="false"/>
            <w:bCs w:val="false"/>
            <w:i w:val="false"/>
            <w:iCs w:val="false"/>
            <w:color w:val="0563C1"/>
            <w:sz w:val="22"/>
            <w:szCs w:val="22"/>
            <w:u w:val="single"/>
          </w:rPr>
          <w:t>irs.gov/payments/failure-to-file-penalty</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Steuerexperten und Betrugswarnungen (</w:t>
      </w:r>
      <w:hyperlink r:id="rId272">
        <w:r>
          <w:rPr>
            <w:rStyle w:val="ListLabel113"/>
            <w:rFonts w:eastAsia="Cambria" w:cs="Cambria"/>
            <w:b w:val="false"/>
            <w:bCs w:val="false"/>
            <w:i w:val="false"/>
            <w:iCs w:val="false"/>
            <w:color w:val="0563C1"/>
            <w:sz w:val="22"/>
            <w:szCs w:val="22"/>
            <w:u w:val="single"/>
          </w:rPr>
          <w:t>irs.gov/tax-professionals/choosing-a-tax-professional</w:t>
        </w:r>
      </w:hyperlink>
      <w:r>
        <w:rPr>
          <w:rFonts w:eastAsia="Cambria" w:cs="Cambria"/>
          <w:b w:val="false"/>
          <w:bCs w:val="false"/>
          <w:i w:val="false"/>
          <w:iCs w:val="false"/>
          <w:sz w:val="22"/>
          <w:szCs w:val="22"/>
        </w:rPr>
        <w:t xml:space="preserve"> und </w:t>
      </w:r>
      <w:hyperlink r:id="rId273">
        <w:r>
          <w:rPr>
            <w:rStyle w:val="ListLabel113"/>
            <w:rFonts w:eastAsia="Cambria" w:cs="Cambria"/>
            <w:b w:val="false"/>
            <w:bCs w:val="false"/>
            <w:i w:val="false"/>
            <w:iCs w:val="false"/>
            <w:color w:val="0563C1"/>
            <w:sz w:val="22"/>
            <w:szCs w:val="22"/>
            <w:u w:val="single"/>
          </w:rPr>
          <w:t>irs.gov/newsroom/tax-scams-consumer-alerts</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Alle Beträge gelten für das Steuerjahr 2026, sofern nicht anders genannt; die IRS veröffentlicht die Werte für 2027 meist im Oktober oder November. Schnell ändern sich Staatssätze (Georgia, Colorado), der Rechtsstand der geplanten Einkommensteuer in Washington, die Abzüge für Trinkgelder und Überstunden (befristet bis 2028) und die Strafbeträge. Prüfe vor jeder Entscheidung irs.gov und die Steuerbehörde deines Bundesstaats.</w:t>
            </w:r>
          </w:p>
        </w:tc>
      </w:tr>
    </w:tbl>
    <w:p>
      <w:pPr>
        <w:sectPr>
          <w:footerReference w:type="even" r:id="rId274"/>
          <w:footerReference w:type="default" r:id="rId275"/>
          <w:footerReference w:type="first" r:id="rId276"/>
          <w:type w:val="nextPage"/>
          <w:pgSz w:w="8640" w:h="12983"/>
          <w:pgMar w:left="1080" w:right="1080" w:gutter="0" w:header="0" w:top="1080" w:footer="708" w:bottom="1100"/>
          <w:pgNumType w:fmt="decimal"/>
          <w:formProt w:val="false"/>
          <w:textDirection w:val="lrTb"/>
          <w:docGrid w:type="default" w:linePitch="360" w:charSpace="4096"/>
        </w:sectPr>
        <w:pStyle w:val="Normal"/>
        <w:spacing w:lineRule="exact" w:line="220" w:before="0" w:after="0"/>
        <w:rPr/>
      </w:pPr>
      <w:r>
        <w:rPr/>
      </w:r>
    </w:p>
    <w:p>
      <w:pPr>
        <w:pStyle w:val="Heading1"/>
        <w:spacing w:before="0" w:after="360"/>
        <w:jc w:val="center"/>
        <w:rPr/>
      </w:pPr>
      <w:bookmarkStart w:id="71" w:name="__RefHeading___Toc56495_3769931028"/>
      <w:bookmarkEnd w:id="71"/>
      <w:r>
        <w:rPr>
          <w:rFonts w:eastAsia="Amazon Ember" w:cs="Amazon Ember" w:ascii="Amazon Ember" w:hAnsi="Amazon Ember"/>
          <w:b/>
          <w:bCs/>
          <w:color w:val="0000FF"/>
        </w:rPr>
        <w:t>TEIL VII — Arbeiten in den USA</w:t>
      </w:r>
    </w:p>
    <w:p>
      <w:pPr>
        <w:sectPr>
          <w:footerReference w:type="even" r:id="rId277"/>
          <w:footerReference w:type="default" r:id="rId278"/>
          <w:footerReference w:type="first" r:id="rId279"/>
          <w:type w:val="nextPage"/>
          <w:pgSz w:w="8640" w:h="12983"/>
          <w:pgMar w:left="1080" w:right="1080" w:gutter="0" w:header="0" w:top="1080" w:footer="708" w:bottom="1100"/>
          <w:pgNumType w:fmt="decimal"/>
          <w:formProt w:val="false"/>
          <w:vAlign w:val="center"/>
          <w:textDirection w:val="lrTb"/>
          <w:docGrid w:type="default" w:linePitch="360" w:charSpace="4096"/>
        </w:sectPr>
        <w:pStyle w:val="Normal"/>
        <w:spacing w:lineRule="exact" w:line="300" w:before="0" w:after="160"/>
        <w:ind w:left="400" w:right="400"/>
        <w:jc w:val="center"/>
        <w:rPr/>
      </w:pPr>
      <w:r>
        <w:rPr>
          <w:rFonts w:eastAsia="Cambria" w:cs="Cambria"/>
          <w:b w:val="false"/>
          <w:bCs w:val="false"/>
          <w:i/>
          <w:iCs/>
          <w:sz w:val="24"/>
          <w:szCs w:val="24"/>
        </w:rPr>
        <w:t>Anderes Arbeitsrecht, andere Regeln, anderes Selbstverständnis. Was du wissen musst, wenn du Karriere machst und wenn der Job wechselt.</w:t>
      </w:r>
      <w:r>
        <w:br w:type="page"/>
      </w:r>
    </w:p>
    <w:p>
      <w:pPr>
        <w:pStyle w:val="Heading2"/>
        <w:keepNext w:val="true"/>
        <w:spacing w:before="0" w:after="300"/>
        <w:jc w:val="center"/>
        <w:rPr/>
      </w:pPr>
      <w:bookmarkStart w:id="72" w:name="__RefHeading___Toc56497_3769931028"/>
      <w:bookmarkStart w:id="73" w:name="k29"/>
      <w:bookmarkEnd w:id="72"/>
      <w:r>
        <w:rPr>
          <w:rFonts w:eastAsia="Amazon Ember" w:cs="Amazon Ember" w:ascii="Amazon Ember" w:hAnsi="Amazon Ember"/>
          <w:b/>
          <w:bCs/>
          <w:color w:val="0000FF"/>
          <w:sz w:val="36"/>
          <w:szCs w:val="36"/>
        </w:rPr>
        <w:t>Kapitel 29: Die Arbeitswelt in den USA: Recht, Kultur, Gehalt</w:t>
      </w:r>
      <w:bookmarkEnd w:id="73"/>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Angebot passt auf zwei Seiten: Grundgehalt, Bonus, Aktien, Startdatum und der Satz „Employment with the Company is at-will“. Kein Tarifvertrag, keine Kündigungsfrist, kein Betriebsrat, kein Wort zu Urlaubstagen. Es fehlt nichts. Was in Deutschland Gesetz oder Tarifvertrag regelt, steht in den USA im Recht des Bundesstaats, in der Firmenrichtlinie und in dem, was du verhandelst.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Fast überall gilt </w:t>
            </w:r>
            <w:r>
              <w:rPr>
                <w:rFonts w:eastAsia="Cambria" w:cs="Cambria"/>
                <w:b w:val="false"/>
                <w:bCs w:val="false"/>
                <w:i/>
                <w:iCs/>
                <w:sz w:val="20"/>
                <w:szCs w:val="20"/>
              </w:rPr>
              <w:t>At-will Employment</w:t>
            </w:r>
            <w:r>
              <w:rPr>
                <w:rFonts w:eastAsia="Cambria" w:cs="Cambria"/>
                <w:b w:val="false"/>
                <w:bCs w:val="false"/>
                <w:i w:val="false"/>
                <w:iCs w:val="false"/>
                <w:sz w:val="20"/>
                <w:szCs w:val="20"/>
              </w:rPr>
              <w:t xml:space="preserve"> (Kündigung ohne Grund, für beide Seiten). Ausnahmen betreffen vor allem Diskriminierung, Vergeltung und Vertragsbruch.</w:t>
            </w:r>
          </w:p>
          <w:p>
            <w:pPr>
              <w:pStyle w:val="ListParagraph"/>
              <w:numPr>
                <w:ilvl w:val="0"/>
                <w:numId w:val="1"/>
              </w:numPr>
              <w:spacing w:lineRule="exact" w:line="264" w:before="0" w:after="50"/>
              <w:rPr/>
            </w:pPr>
            <w:r>
              <w:rPr>
                <w:rFonts w:eastAsia="Cambria" w:cs="Cambria"/>
                <w:b w:val="false"/>
                <w:bCs w:val="false"/>
                <w:i w:val="false"/>
                <w:iCs w:val="false"/>
                <w:sz w:val="20"/>
                <w:szCs w:val="20"/>
              </w:rPr>
              <w:t>Urlaub, Krankheitstage und Kündigungsfrist regeln Offer Letter und Firmenrichtlinie: im Schnitt 11 bezahlte Urlaubstage im ersten Jahr (BLS, 2025).</w:t>
            </w:r>
          </w:p>
          <w:p>
            <w:pPr>
              <w:pStyle w:val="ListParagraph"/>
              <w:numPr>
                <w:ilvl w:val="0"/>
                <w:numId w:val="1"/>
              </w:numPr>
              <w:spacing w:lineRule="exact" w:line="264" w:before="0" w:after="50"/>
              <w:rPr/>
            </w:pPr>
            <w:r>
              <w:rPr>
                <w:rFonts w:eastAsia="Cambria" w:cs="Cambria"/>
                <w:b w:val="false"/>
                <w:bCs w:val="false"/>
                <w:i w:val="false"/>
                <w:iCs w:val="false"/>
                <w:sz w:val="20"/>
                <w:szCs w:val="20"/>
              </w:rPr>
              <w:t>Verhandle die Gesamtvergütung: Bonus, Aktien, 401(k)-Match und Sign-on-Bonus machen im Rechenbeispiel bis zu 41 % des Grundgehalts aus.</w:t>
            </w:r>
          </w:p>
          <w:p>
            <w:pPr>
              <w:pStyle w:val="ListParagraph"/>
              <w:numPr>
                <w:ilvl w:val="0"/>
                <w:numId w:val="1"/>
              </w:numPr>
              <w:spacing w:lineRule="exact" w:line="264" w:before="0" w:after="50"/>
              <w:rPr/>
            </w:pPr>
            <w:r>
              <w:rPr>
                <w:rFonts w:eastAsia="Cambria" w:cs="Cambria"/>
                <w:b w:val="false"/>
                <w:bCs w:val="false"/>
                <w:i w:val="false"/>
                <w:iCs w:val="false"/>
                <w:sz w:val="20"/>
                <w:szCs w:val="20"/>
              </w:rPr>
              <w:t>Ein bundesweites Verbot von Wettbewerbsverboten gibt es nicht (Stand September 2026): Kalifornien erklärt sie für nichtig, Michigan erlaubt sie im Grundsatz.</w:t>
            </w:r>
          </w:p>
          <w:p>
            <w:pPr>
              <w:pStyle w:val="ListParagraph"/>
              <w:numPr>
                <w:ilvl w:val="0"/>
                <w:numId w:val="1"/>
              </w:numPr>
              <w:spacing w:lineRule="exact" w:line="264" w:before="0" w:after="50"/>
              <w:rPr/>
            </w:pPr>
            <w:r>
              <w:rPr>
                <w:rFonts w:eastAsia="Cambria" w:cs="Cambria"/>
                <w:b w:val="false"/>
                <w:bCs w:val="false"/>
                <w:i w:val="false"/>
                <w:iCs w:val="false"/>
                <w:sz w:val="20"/>
                <w:szCs w:val="20"/>
              </w:rPr>
              <w:t>Ein US-</w:t>
            </w:r>
            <w:r>
              <w:rPr>
                <w:rFonts w:eastAsia="Cambria" w:cs="Cambria"/>
                <w:b w:val="false"/>
                <w:bCs w:val="false"/>
                <w:i/>
                <w:iCs/>
                <w:sz w:val="20"/>
                <w:szCs w:val="20"/>
              </w:rPr>
              <w:t>Resume</w:t>
            </w:r>
            <w:r>
              <w:rPr>
                <w:rFonts w:eastAsia="Cambria" w:cs="Cambria"/>
                <w:b w:val="false"/>
                <w:bCs w:val="false"/>
                <w:i w:val="false"/>
                <w:iCs w:val="false"/>
                <w:sz w:val="20"/>
                <w:szCs w:val="20"/>
              </w:rPr>
              <w:t xml:space="preserve"> ist kurz, ohne Foto und Geburtsdatum und zählt Ergebnisse statt Aufgaben; deutsche Bescheidenheit kostet Gehalt.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Ein </w:t>
            </w:r>
            <w:r>
              <w:rPr>
                <w:rFonts w:eastAsia="Cambria" w:cs="Cambria"/>
                <w:b w:val="false"/>
                <w:bCs w:val="false"/>
                <w:i/>
                <w:iCs/>
                <w:sz w:val="20"/>
                <w:szCs w:val="20"/>
              </w:rPr>
              <w:t>PIP</w:t>
            </w:r>
            <w:r>
              <w:rPr>
                <w:rFonts w:eastAsia="Cambria" w:cs="Cambria"/>
                <w:b w:val="false"/>
                <w:bCs w:val="false"/>
                <w:i w:val="false"/>
                <w:iCs w:val="false"/>
                <w:sz w:val="20"/>
                <w:szCs w:val="20"/>
              </w:rPr>
              <w:t xml:space="preserve"> (Verbesserungsplan) ist für Visa-Inhaber ein Alarmsignal.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At-will Employment: Kündigung ohne Grund, mit Ausnahmen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In 49 Bundesstaaten und Washington, D.C. gilt </w:t>
      </w:r>
      <w:r>
        <w:rPr>
          <w:rFonts w:eastAsia="Cambria" w:cs="Cambria"/>
          <w:b w:val="false"/>
          <w:bCs w:val="false"/>
          <w:i/>
          <w:iCs/>
          <w:sz w:val="22"/>
          <w:szCs w:val="22"/>
        </w:rPr>
        <w:t>At-will Employment</w:t>
      </w:r>
      <w:r>
        <w:rPr>
          <w:rFonts w:eastAsia="Cambria" w:cs="Cambria"/>
          <w:b w:val="false"/>
          <w:bCs w:val="false"/>
          <w:i w:val="false"/>
          <w:iCs w:val="false"/>
          <w:sz w:val="22"/>
          <w:szCs w:val="22"/>
        </w:rPr>
        <w:t>: Ein Arbeitsverhältnis ohne feste Laufzeit kann jede Seite jederzeit beenden, mit oder ohne Begründung; nur Montana verlangt nach der Probezeit einen guten Grund. Der Arbeitgeber braucht keine Sozialauswahl, keine Betriebsratsanhörung und keine gesetzliche Kündigungsfrist, üblich sind zwei Wochen aus Höflichkeit – dieselbe Freiheit hast du. In Deutschland greift dagegen das Kündigungsschutzgesetz in Betrieben ab zehn Beschäftigten nach sechs Monaten; Betriebsräte nach deutschem Muster gibt es nicht, nur etwa jeder zehnte Beschäftigte ist gewerkschaftlich organisiert.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Ohne Kündigungsschutzgesetz braucht es zumindest einen nachvollziehbaren Grund, denkt man aus deutscher Gewohnheit. Tatsächlich reicht im Kündigungsgespräch ein Satz wie „it’s not a good fit“ – mehr Begründung schuldet dir niemand, und du schuldest sie umgekehrt auch nicht.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Verboten ist die Kündigung nur aus bestimmten Gründen:</w:t>
      </w:r>
    </w:p>
    <w:p>
      <w:pPr>
        <w:pStyle w:val="ListParagraph"/>
        <w:numPr>
          <w:ilvl w:val="0"/>
          <w:numId w:val="1"/>
        </w:numPr>
        <w:spacing w:lineRule="exact" w:line="288" w:before="0" w:after="60"/>
        <w:rPr/>
      </w:pPr>
      <w:r>
        <w:rPr>
          <w:rFonts w:eastAsia="Cambria" w:cs="Cambria"/>
          <w:b/>
          <w:bCs/>
          <w:i w:val="false"/>
          <w:iCs w:val="false"/>
          <w:sz w:val="22"/>
          <w:szCs w:val="22"/>
        </w:rPr>
        <w:t>Diskriminierung</w:t>
      </w:r>
      <w:r>
        <w:rPr>
          <w:rFonts w:eastAsia="Cambria" w:cs="Cambria"/>
          <w:b w:val="false"/>
          <w:bCs w:val="false"/>
          <w:i w:val="false"/>
          <w:iCs w:val="false"/>
          <w:sz w:val="22"/>
          <w:szCs w:val="22"/>
        </w:rPr>
        <w:t xml:space="preserve"> wegen Hautfarbe, nationaler Herkunft, Religion, Geschlecht (auch Schwangerschaft), Behinderung oder eines Lebensalters ab 40 Jahren.</w:t>
      </w:r>
    </w:p>
    <w:p>
      <w:pPr>
        <w:pStyle w:val="ListParagraph"/>
        <w:numPr>
          <w:ilvl w:val="0"/>
          <w:numId w:val="1"/>
        </w:numPr>
        <w:spacing w:lineRule="exact" w:line="288" w:before="0" w:after="60"/>
        <w:rPr/>
      </w:pPr>
      <w:r>
        <w:rPr>
          <w:rFonts w:eastAsia="Cambria" w:cs="Cambria"/>
          <w:b/>
          <w:bCs/>
          <w:i w:val="false"/>
          <w:iCs w:val="false"/>
          <w:sz w:val="22"/>
          <w:szCs w:val="22"/>
        </w:rPr>
        <w:t>Vergeltung</w:t>
      </w:r>
      <w:r>
        <w:rPr>
          <w:rFonts w:eastAsia="Cambria" w:cs="Cambria"/>
          <w:b w:val="false"/>
          <w:bCs w:val="false"/>
          <w:i w:val="false"/>
          <w:iCs w:val="false"/>
          <w:sz w:val="22"/>
          <w:szCs w:val="22"/>
        </w:rPr>
        <w:t xml:space="preserve"> (</w:t>
      </w:r>
      <w:r>
        <w:rPr>
          <w:rFonts w:eastAsia="Cambria" w:cs="Cambria"/>
          <w:b w:val="false"/>
          <w:bCs w:val="false"/>
          <w:i/>
          <w:iCs/>
          <w:sz w:val="22"/>
          <w:szCs w:val="22"/>
        </w:rPr>
        <w:t>Retaliation</w:t>
      </w:r>
      <w:r>
        <w:rPr>
          <w:rFonts w:eastAsia="Cambria" w:cs="Cambria"/>
          <w:b w:val="false"/>
          <w:bCs w:val="false"/>
          <w:i w:val="false"/>
          <w:iCs w:val="false"/>
          <w:sz w:val="22"/>
          <w:szCs w:val="22"/>
        </w:rPr>
        <w:t>), weil du dich über Diskriminierung, Lohnverstöße oder Sicherheitsmängel beschwert hast.</w:t>
      </w:r>
    </w:p>
    <w:p>
      <w:pPr>
        <w:pStyle w:val="ListParagraph"/>
        <w:numPr>
          <w:ilvl w:val="0"/>
          <w:numId w:val="1"/>
        </w:numPr>
        <w:spacing w:lineRule="exact" w:line="288" w:before="0" w:after="60"/>
        <w:rPr/>
      </w:pPr>
      <w:r>
        <w:rPr>
          <w:rFonts w:eastAsia="Cambria" w:cs="Cambria"/>
          <w:b/>
          <w:bCs/>
          <w:i w:val="false"/>
          <w:iCs w:val="false"/>
          <w:sz w:val="22"/>
          <w:szCs w:val="22"/>
        </w:rPr>
        <w:t>Geschützte Rechte</w:t>
      </w:r>
      <w:r>
        <w:rPr>
          <w:rFonts w:eastAsia="Cambria" w:cs="Cambria"/>
          <w:b w:val="false"/>
          <w:bCs w:val="false"/>
          <w:i w:val="false"/>
          <w:iCs w:val="false"/>
          <w:sz w:val="22"/>
          <w:szCs w:val="22"/>
        </w:rPr>
        <w:t>, etwa Familienurlaub nach der FMLA (siehe unten), Wehrdienst oder ein Antrag nach einem Arbeitsunfall.</w:t>
      </w:r>
    </w:p>
    <w:p>
      <w:pPr>
        <w:pStyle w:val="ListParagraph"/>
        <w:numPr>
          <w:ilvl w:val="0"/>
          <w:numId w:val="1"/>
        </w:numPr>
        <w:spacing w:lineRule="exact" w:line="288" w:before="0" w:after="60"/>
        <w:rPr/>
      </w:pPr>
      <w:r>
        <w:rPr>
          <w:rFonts w:eastAsia="Cambria" w:cs="Cambria"/>
          <w:b/>
          <w:bCs/>
          <w:i w:val="false"/>
          <w:iCs w:val="false"/>
          <w:sz w:val="22"/>
          <w:szCs w:val="22"/>
        </w:rPr>
        <w:t>Vertragsbruch:</w:t>
      </w:r>
      <w:r>
        <w:rPr>
          <w:rFonts w:eastAsia="Cambria" w:cs="Cambria"/>
          <w:b w:val="false"/>
          <w:bCs w:val="false"/>
          <w:i w:val="false"/>
          <w:iCs w:val="false"/>
          <w:sz w:val="22"/>
          <w:szCs w:val="22"/>
        </w:rPr>
        <w:t xml:space="preserve"> Ein Vertrag mit fester Laufzeit oder Kündigung nur aus wichtigem Grund (</w:t>
      </w:r>
      <w:r>
        <w:rPr>
          <w:rFonts w:eastAsia="Cambria" w:cs="Cambria"/>
          <w:b w:val="false"/>
          <w:bCs w:val="false"/>
          <w:i/>
          <w:iCs/>
          <w:sz w:val="22"/>
          <w:szCs w:val="22"/>
        </w:rPr>
        <w:t>For Cause</w:t>
      </w:r>
      <w:r>
        <w:rPr>
          <w:rFonts w:eastAsia="Cambria" w:cs="Cambria"/>
          <w:b w:val="false"/>
          <w:bCs w:val="false"/>
          <w:i w:val="false"/>
          <w:iCs w:val="false"/>
          <w:sz w:val="22"/>
          <w:szCs w:val="22"/>
        </w:rPr>
        <w:t>) gilt; auch Tarifverträge setzen Grenzen.</w:t>
      </w:r>
    </w:p>
    <w:p>
      <w:pPr>
        <w:pStyle w:val="ListParagraph"/>
        <w:numPr>
          <w:ilvl w:val="0"/>
          <w:numId w:val="1"/>
        </w:numPr>
        <w:spacing w:lineRule="exact" w:line="288" w:before="0" w:after="60"/>
        <w:rPr/>
      </w:pPr>
      <w:r>
        <w:rPr>
          <w:rFonts w:eastAsia="Cambria" w:cs="Cambria"/>
          <w:b/>
          <w:bCs/>
          <w:i w:val="false"/>
          <w:iCs w:val="false"/>
          <w:sz w:val="22"/>
          <w:szCs w:val="22"/>
        </w:rPr>
        <w:t>Verstoß gegen die öffentliche Ordnung</w:t>
      </w:r>
      <w:r>
        <w:rPr>
          <w:rFonts w:eastAsia="Cambria" w:cs="Cambria"/>
          <w:b w:val="false"/>
          <w:bCs w:val="false"/>
          <w:i w:val="false"/>
          <w:iCs w:val="false"/>
          <w:sz w:val="22"/>
          <w:szCs w:val="22"/>
        </w:rPr>
        <w:t>, etwa eine Kündigung, weil du dich weigerst, ein Gesetz zu brechen.</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Beweislast liegt bei dir, geklagt wird erst nach der Kündigung. Bei Diskriminierung ist die Bundesbehörde EEOC (</w:t>
      </w:r>
      <w:r>
        <w:rPr>
          <w:rFonts w:eastAsia="Cambria" w:cs="Cambria"/>
          <w:b w:val="false"/>
          <w:bCs w:val="false"/>
          <w:i/>
          <w:iCs/>
          <w:sz w:val="22"/>
          <w:szCs w:val="22"/>
        </w:rPr>
        <w:t>Equal Employment Opportunity Commission</w:t>
      </w:r>
      <w:r>
        <w:rPr>
          <w:rFonts w:eastAsia="Cambria" w:cs="Cambria"/>
          <w:b w:val="false"/>
          <w:bCs w:val="false"/>
          <w:i w:val="false"/>
          <w:iCs w:val="false"/>
          <w:sz w:val="22"/>
          <w:szCs w:val="22"/>
        </w:rPr>
        <w:t>) erste Adresse, meist binnen 180 bis 300 Tagen. Eine Abfindung gibt es nicht per Gesetz; sie wird verhandelt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At-will gilt schon vor dem ersten Arbeitstag: Ein Arbeitgeber kann sein Angebot zurückziehen, etwa bei Einstellungsstopp oder nicht bestandenem </w:t>
            </w:r>
            <w:r>
              <w:rPr>
                <w:rFonts w:eastAsia="Cambria" w:cs="Cambria"/>
                <w:b w:val="false"/>
                <w:bCs w:val="false"/>
                <w:i/>
                <w:iCs/>
                <w:sz w:val="20"/>
                <w:szCs w:val="20"/>
              </w:rPr>
              <w:t>Background Check</w:t>
            </w:r>
            <w:r>
              <w:rPr>
                <w:rFonts w:eastAsia="Cambria" w:cs="Cambria"/>
                <w:b w:val="false"/>
                <w:bCs w:val="false"/>
                <w:i w:val="false"/>
                <w:iCs w:val="false"/>
                <w:sz w:val="20"/>
                <w:szCs w:val="20"/>
              </w:rPr>
              <w:t xml:space="preserve"> (Überprüfung der Vorgeschichte). Kündige den deutschen Job erst, wenn Visum und Startdatum feststehen (Kapitel </w:t>
            </w:r>
            <w:hyperlink w:anchor="k15">
              <w:r>
                <w:rPr>
                  <w:rStyle w:val="ListLabel114"/>
                  <w:rFonts w:eastAsia="Cambria" w:cs="Cambria"/>
                  <w:b w:val="false"/>
                  <w:bCs w:val="false"/>
                  <w:i w:val="false"/>
                  <w:iCs w:val="false"/>
                  <w:sz w:val="20"/>
                  <w:szCs w:val="20"/>
                </w:rPr>
                <w:t>15</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Offer Letter und Arbeitsvertrag: was drinsteht, was fehlt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w:t>
      </w:r>
      <w:r>
        <w:rPr>
          <w:rFonts w:eastAsia="Cambria" w:cs="Cambria"/>
          <w:b w:val="false"/>
          <w:bCs w:val="false"/>
          <w:i/>
          <w:iCs/>
          <w:sz w:val="22"/>
          <w:szCs w:val="22"/>
        </w:rPr>
        <w:t>Offer Letter</w:t>
      </w:r>
      <w:r>
        <w:rPr>
          <w:rFonts w:eastAsia="Cambria" w:cs="Cambria"/>
          <w:b w:val="false"/>
          <w:bCs w:val="false"/>
          <w:i w:val="false"/>
          <w:iCs w:val="false"/>
          <w:sz w:val="22"/>
          <w:szCs w:val="22"/>
        </w:rPr>
        <w:t xml:space="preserve"> (Angebotsschreiben) umfasst meist ein bis drei Seiten: Position, Standort, Startdatum, Grundgehalt, Bonus- und Aktienzusagen, Verweis auf die Benefits, At-will-Klausel. Bedingungen sind die Überprüfung der Vorgeschichte, der Nachweis der Arbeitsberechtigung (</w:t>
      </w:r>
      <w:r>
        <w:rPr>
          <w:rFonts w:eastAsia="Cambria" w:cs="Cambria"/>
          <w:b w:val="false"/>
          <w:bCs w:val="false"/>
          <w:i/>
          <w:iCs/>
          <w:sz w:val="22"/>
          <w:szCs w:val="22"/>
        </w:rPr>
        <w:t>Form I-9</w:t>
      </w:r>
      <w:r>
        <w:rPr>
          <w:rFonts w:eastAsia="Cambria" w:cs="Cambria"/>
          <w:b w:val="false"/>
          <w:bCs w:val="false"/>
          <w:i w:val="false"/>
          <w:iCs w:val="false"/>
          <w:sz w:val="22"/>
          <w:szCs w:val="22"/>
        </w:rPr>
        <w:t>) und bei dir die Genehmigung der H-1B-Petition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Oft kommen weitere Papiere dazu: die Bestätigung des Firmenhandbuchs (</w:t>
      </w:r>
      <w:r>
        <w:rPr>
          <w:rFonts w:eastAsia="Cambria" w:cs="Cambria"/>
          <w:b w:val="false"/>
          <w:bCs w:val="false"/>
          <w:i/>
          <w:iCs/>
          <w:sz w:val="22"/>
          <w:szCs w:val="22"/>
        </w:rPr>
        <w:t>Employee Handbook</w:t>
      </w:r>
      <w:r>
        <w:rPr>
          <w:rFonts w:eastAsia="Cambria" w:cs="Cambria"/>
          <w:b w:val="false"/>
          <w:bCs w:val="false"/>
          <w:i w:val="false"/>
          <w:iCs w:val="false"/>
          <w:sz w:val="22"/>
          <w:szCs w:val="22"/>
        </w:rPr>
        <w:t>), das die Firma einseitig ändern darf; eine Schiedsvereinbarung (</w:t>
      </w:r>
      <w:r>
        <w:rPr>
          <w:rFonts w:eastAsia="Cambria" w:cs="Cambria"/>
          <w:b w:val="false"/>
          <w:bCs w:val="false"/>
          <w:i/>
          <w:iCs/>
          <w:sz w:val="22"/>
          <w:szCs w:val="22"/>
        </w:rPr>
        <w:t>Arbitration Agreement</w:t>
      </w:r>
      <w:r>
        <w:rPr>
          <w:rFonts w:eastAsia="Cambria" w:cs="Cambria"/>
          <w:b w:val="false"/>
          <w:bCs w:val="false"/>
          <w:i w:val="false"/>
          <w:iCs w:val="false"/>
          <w:sz w:val="22"/>
          <w:szCs w:val="22"/>
        </w:rPr>
        <w:t>), die Streit vor ein privates statt ein staatliches Gericht bringt; dazu Geheimhaltung, Erfindungszuweisung und Wettbewerbsverbot (nächster Abschnitt).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Kündigungsfrist, Urlaubstage, Lohnfortzahlung bei Krankheit und Probezeit stehen meist nur als „nach Firmenrichtlinie“ darin. Lass dir schriftlich bestätigen: Titel und Level, Bonusziel und Auszahlungsregeln, Aktienmenge und Zuteilungsplan, 401(k)-Match, Beginn der Krankenversicherung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Sign-on und Umzugspaket samt Rückzahlungsklausel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wer die Visa- und Green-Card-Kosten trägt und wann das Verfahren startet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xml:space="preserve"> bis </w:t>
      </w:r>
      <w:hyperlink w:anchor="k7">
        <w:r>
          <w:rPr>
            <w:rStyle w:val="ListLabel115"/>
            <w:rFonts w:eastAsia="Cambria" w:cs="Cambria"/>
            <w:b w:val="false"/>
            <w:bCs w:val="false"/>
            <w:i w:val="false"/>
            <w:iCs w:val="false"/>
            <w:sz w:val="22"/>
            <w:szCs w:val="22"/>
          </w:rPr>
          <w:t>7</w:t>
        </w:r>
      </w:hyperlink>
      <w:r>
        <w:rPr>
          <w:rFonts w:eastAsia="Cambria" w:cs="Cambria"/>
          <w:b w:val="false"/>
          <w:bCs w:val="false"/>
          <w:i w:val="false"/>
          <w:iCs w:val="false"/>
          <w:sz w:val="22"/>
          <w:szCs w:val="22"/>
        </w:rPr>
        <w:t>). Bei Führungsposten, Aktienzusagen oder Wettbewerbsverbot lohnt die Prüfung durch eine Fachanwältin für Arbeitsrecht (</w:t>
      </w:r>
      <w:r>
        <w:rPr>
          <w:rFonts w:eastAsia="Cambria" w:cs="Cambria"/>
          <w:b w:val="false"/>
          <w:bCs w:val="false"/>
          <w:i/>
          <w:iCs/>
          <w:sz w:val="22"/>
          <w:szCs w:val="22"/>
        </w:rPr>
        <w:t>Employment Attorney</w:t>
      </w:r>
      <w:r>
        <w:rPr>
          <w:rFonts w:eastAsia="Cambria" w:cs="Cambria"/>
          <w:b w:val="false"/>
          <w:bCs w:val="false"/>
          <w:i w:val="false"/>
          <w:iCs w:val="false"/>
          <w:sz w:val="22"/>
          <w:szCs w:val="22"/>
        </w:rPr>
        <w:t>); vereinbare das Honorar vorab.</w:t>
      </w:r>
    </w:p>
    <w:p>
      <w:pPr>
        <w:pStyle w:val="Heading3"/>
        <w:keepNext w:val="true"/>
        <w:spacing w:before="280" w:after="100"/>
        <w:jc w:val="center"/>
        <w:rPr/>
      </w:pPr>
      <w:r>
        <w:rPr>
          <w:rFonts w:eastAsia="Amazon Ember" w:cs="Amazon Ember" w:ascii="Amazon Ember" w:hAnsi="Amazon Ember"/>
          <w:b/>
          <w:bCs/>
          <w:color w:val="0000FF"/>
          <w:sz w:val="36"/>
          <w:szCs w:val="36"/>
        </w:rPr>
        <w:t>Wettbewerbsverbot, NDA und Erfindungen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Wettbewerbsverbot (</w:t>
      </w:r>
      <w:r>
        <w:rPr>
          <w:rFonts w:eastAsia="Cambria" w:cs="Cambria"/>
          <w:b w:val="false"/>
          <w:bCs w:val="false"/>
          <w:i/>
          <w:iCs/>
          <w:sz w:val="22"/>
          <w:szCs w:val="22"/>
        </w:rPr>
        <w:t>Non-compete Agreement</w:t>
      </w:r>
      <w:r>
        <w:rPr>
          <w:rFonts w:eastAsia="Cambria" w:cs="Cambria"/>
          <w:b w:val="false"/>
          <w:bCs w:val="false"/>
          <w:i w:val="false"/>
          <w:iCs w:val="false"/>
          <w:sz w:val="22"/>
          <w:szCs w:val="22"/>
        </w:rPr>
        <w:t>) untersagt dir nach dem Ausscheiden für begrenzte Zeit, meist in einem Gebiet, die Arbeit bei einem Konkurrenten. In Deutschland gilt es nur mit Karenzentschädigung (mindestens die Hälfte der letzten Bezüge) und höchstens zwei Jahre (§§ 74 ff. HGB); das US-Recht schreibt keine Entschädigung vor.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Auf Bundesebene beschloss die Handelsbehörde FTC im April 2024 ein Verbot. Ein Gericht in Texas stoppte es im August 2024, die FTC nahm ihre Berufung im September 2025 zurück und strich die Regel am 12. Februar 2026 aus den Bundesvorschriften. Von Verkündung bis Streichung hielt das bundesweite Verbot keine zwei Jahre – für eine Bundesregel fast schon eine Eintagsfliege. Sie geht nur noch einzelne Fälle an. Es entscheidet also der Bundesstaat (Stand September 2026):</w:t>
      </w:r>
    </w:p>
    <w:p>
      <w:pPr>
        <w:pStyle w:val="ListParagraph"/>
        <w:numPr>
          <w:ilvl w:val="0"/>
          <w:numId w:val="1"/>
        </w:numPr>
        <w:spacing w:lineRule="exact" w:line="288" w:before="0" w:after="60"/>
        <w:rPr/>
      </w:pPr>
      <w:r>
        <w:rPr>
          <w:rFonts w:eastAsia="Cambria" w:cs="Cambria"/>
          <w:b/>
          <w:bCs/>
          <w:i w:val="false"/>
          <w:iCs w:val="false"/>
          <w:sz w:val="22"/>
          <w:szCs w:val="22"/>
        </w:rPr>
        <w:t>Verboten, mit engen Ausnahmen (etwa beim Firmenverkauf):</w:t>
      </w:r>
      <w:r>
        <w:rPr>
          <w:rFonts w:eastAsia="Cambria" w:cs="Cambria"/>
          <w:b w:val="false"/>
          <w:bCs w:val="false"/>
          <w:i w:val="false"/>
          <w:iCs w:val="false"/>
          <w:sz w:val="22"/>
          <w:szCs w:val="22"/>
        </w:rPr>
        <w:t xml:space="preserve"> Kalifornien, Minnesota (Verträge ab 1. Juli 2023), North Dakota, Oklahoma, Wyoming (ab 1. Juli 2025).</w:t>
      </w:r>
    </w:p>
    <w:p>
      <w:pPr>
        <w:pStyle w:val="ListParagraph"/>
        <w:numPr>
          <w:ilvl w:val="0"/>
          <w:numId w:val="1"/>
        </w:numPr>
        <w:spacing w:lineRule="exact" w:line="288" w:before="0" w:after="60"/>
        <w:rPr/>
      </w:pPr>
      <w:r>
        <w:rPr>
          <w:rFonts w:eastAsia="Cambria" w:cs="Cambria"/>
          <w:b/>
          <w:bCs/>
          <w:i w:val="false"/>
          <w:iCs w:val="false"/>
          <w:sz w:val="22"/>
          <w:szCs w:val="22"/>
        </w:rPr>
        <w:t>Nur oberhalb einer Gehaltsschwelle oder mit Auflagen:</w:t>
      </w:r>
      <w:r>
        <w:rPr>
          <w:rFonts w:eastAsia="Cambria" w:cs="Cambria"/>
          <w:b w:val="false"/>
          <w:bCs w:val="false"/>
          <w:i w:val="false"/>
          <w:iCs w:val="false"/>
          <w:sz w:val="22"/>
          <w:szCs w:val="22"/>
        </w:rPr>
        <w:t xml:space="preserve"> Illinois (75.000 $, ab 1. Januar 2027 80.000 $), Colorado, Oregon und Washington. Für Washington nennen Kanzleiübersichten vom Juli 2026 ein Totalverbot ab 30. Juni 2027.</w:t>
      </w:r>
    </w:p>
    <w:p>
      <w:pPr>
        <w:pStyle w:val="ListParagraph"/>
        <w:numPr>
          <w:ilvl w:val="0"/>
          <w:numId w:val="1"/>
        </w:numPr>
        <w:spacing w:lineRule="exact" w:line="288" w:before="0" w:after="60"/>
        <w:rPr/>
      </w:pPr>
      <w:r>
        <w:rPr>
          <w:rFonts w:eastAsia="Cambria" w:cs="Cambria"/>
          <w:b/>
          <w:bCs/>
          <w:i w:val="false"/>
          <w:iCs w:val="false"/>
          <w:sz w:val="22"/>
          <w:szCs w:val="22"/>
        </w:rPr>
        <w:t>Grundsätzlich durchsetzbar, wenn angemessen:</w:t>
      </w:r>
      <w:r>
        <w:rPr>
          <w:rFonts w:eastAsia="Cambria" w:cs="Cambria"/>
          <w:b w:val="false"/>
          <w:bCs w:val="false"/>
          <w:i w:val="false"/>
          <w:iCs w:val="false"/>
          <w:sz w:val="22"/>
          <w:szCs w:val="22"/>
        </w:rPr>
        <w:t xml:space="preserve"> Michigan, Texas und die meisten übrigen Staaten. Florida stärkt sie seit 1. Juli 2025 für Beschäftigte mit mehr als dem Doppelten des durchschnittlichen Jahreslohns im County (</w:t>
      </w:r>
      <w:r>
        <w:rPr>
          <w:rFonts w:eastAsia="Cambria" w:cs="Cambria"/>
          <w:b w:val="false"/>
          <w:bCs w:val="false"/>
          <w:i/>
          <w:iCs/>
          <w:sz w:val="22"/>
          <w:szCs w:val="22"/>
        </w:rPr>
        <w:t>CHOICE Act</w:t>
      </w:r>
      <w:r>
        <w:rPr>
          <w:rFonts w:eastAsia="Cambria" w:cs="Cambria"/>
          <w:b w:val="false"/>
          <w:bCs w:val="false"/>
          <w:i w:val="false"/>
          <w:iCs w:val="false"/>
          <w:sz w:val="22"/>
          <w:szCs w:val="22"/>
        </w:rPr>
        <w:t>, bis zu vier Jahre).</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Eine Geheimhaltungsvereinbarung (</w:t>
      </w:r>
      <w:r>
        <w:rPr>
          <w:rFonts w:eastAsia="Cambria" w:cs="Cambria"/>
          <w:b w:val="false"/>
          <w:bCs w:val="false"/>
          <w:i/>
          <w:iCs/>
          <w:sz w:val="22"/>
          <w:szCs w:val="22"/>
        </w:rPr>
        <w:t>NDA</w:t>
      </w:r>
      <w:r>
        <w:rPr>
          <w:rFonts w:eastAsia="Cambria" w:cs="Cambria"/>
          <w:b w:val="false"/>
          <w:bCs w:val="false"/>
          <w:i w:val="false"/>
          <w:iCs w:val="false"/>
          <w:sz w:val="22"/>
          <w:szCs w:val="22"/>
        </w:rPr>
        <w:t xml:space="preserve">, </w:t>
      </w:r>
      <w:r>
        <w:rPr>
          <w:rFonts w:eastAsia="Cambria" w:cs="Cambria"/>
          <w:b w:val="false"/>
          <w:bCs w:val="false"/>
          <w:i/>
          <w:iCs/>
          <w:sz w:val="22"/>
          <w:szCs w:val="22"/>
        </w:rPr>
        <w:t>Non-Disclosure Agreement</w:t>
      </w:r>
      <w:r>
        <w:rPr>
          <w:rFonts w:eastAsia="Cambria" w:cs="Cambria"/>
          <w:b w:val="false"/>
          <w:bCs w:val="false"/>
          <w:i w:val="false"/>
          <w:iCs w:val="false"/>
          <w:sz w:val="22"/>
          <w:szCs w:val="22"/>
        </w:rPr>
        <w:t>) ist Standard und unproblematisch, solange sie Betriebsgeheimnisse und Kundendaten schützt. Bei der Erfindungszuweisung (</w:t>
      </w:r>
      <w:r>
        <w:rPr>
          <w:rFonts w:eastAsia="Cambria" w:cs="Cambria"/>
          <w:b w:val="false"/>
          <w:bCs w:val="false"/>
          <w:i/>
          <w:iCs/>
          <w:sz w:val="22"/>
          <w:szCs w:val="22"/>
        </w:rPr>
        <w:t>Invention Assignment</w:t>
      </w:r>
      <w:r>
        <w:rPr>
          <w:rFonts w:eastAsia="Cambria" w:cs="Cambria"/>
          <w:b w:val="false"/>
          <w:bCs w:val="false"/>
          <w:i w:val="false"/>
          <w:iCs w:val="false"/>
          <w:sz w:val="22"/>
          <w:szCs w:val="22"/>
        </w:rPr>
        <w:t>) gehört der Firma, was du im Job oder mit Firmenmitteln entwickelst; Kalifornien und einige weitere Staaten schützen private Erfindungen außerhalb des Geschäftsfelds. Trage eigene Projekte, Open-Source-Beiträge und Patente vor der Unterschrift als Ausnahme ein (</w:t>
      </w:r>
      <w:r>
        <w:rPr>
          <w:rFonts w:eastAsia="Cambria" w:cs="Cambria"/>
          <w:b w:val="false"/>
          <w:bCs w:val="false"/>
          <w:i/>
          <w:iCs/>
          <w:sz w:val="22"/>
          <w:szCs w:val="22"/>
        </w:rPr>
        <w:t>Prior Inventions</w:t>
      </w:r>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Wettbewerbsverbot kann den Wechsel im 60-Tage-Fenster nach einer Entlassung blockieren (Kapitel </w:t>
            </w:r>
            <w:hyperlink w:anchor="k30">
              <w:r>
                <w:rPr>
                  <w:rStyle w:val="ListLabel114"/>
                  <w:rFonts w:eastAsia="Cambria" w:cs="Cambria"/>
                  <w:b w:val="false"/>
                  <w:bCs w:val="false"/>
                  <w:i w:val="false"/>
                  <w:iCs w:val="false"/>
                  <w:sz w:val="20"/>
                  <w:szCs w:val="20"/>
                </w:rPr>
                <w:t>30</w:t>
              </w:r>
            </w:hyperlink>
            <w:r>
              <w:rPr>
                <w:rFonts w:eastAsia="Cambria" w:cs="Cambria"/>
                <w:b w:val="false"/>
                <w:bCs w:val="false"/>
                <w:i w:val="false"/>
                <w:iCs w:val="false"/>
                <w:sz w:val="20"/>
                <w:szCs w:val="20"/>
              </w:rPr>
              <w:t>). Verhandle Dauer, Gebiet und die Definition des Wettbewerbers, bevor du unterschreibst.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Das ist keine Rechtsberatung. Arbeitsrecht ist überwiegend Landesrecht und ändert sich; lass Verträge mit Wettbewerbsverbot, Aktienzusagen oder Schiedsklausel anwaltlich prüfen.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Gesamtvergütung: Gehalt, Bonus, RSUs, 401(k), Sign-on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Angebote nennen das Jahresbrutto; ausgezahlt wird alle zwei Wochen (26 Zahlungen) oder zweimal im Monat (24). Ein 13. Gehalt gibt es nicht: Wer im Dezember darauf wartet, wartet auf einen Zug, der in diesem Land nie fährt. Die Gesamtvergütung (</w:t>
      </w:r>
      <w:r>
        <w:rPr>
          <w:rFonts w:eastAsia="Cambria" w:cs="Cambria"/>
          <w:b w:val="false"/>
          <w:bCs w:val="false"/>
          <w:i/>
          <w:iCs/>
          <w:sz w:val="22"/>
          <w:szCs w:val="22"/>
        </w:rPr>
        <w:t>Total Compensation</w:t>
      </w:r>
      <w:r>
        <w:rPr>
          <w:rFonts w:eastAsia="Cambria" w:cs="Cambria"/>
          <w:b w:val="false"/>
          <w:bCs w:val="false"/>
          <w:i w:val="false"/>
          <w:iCs w:val="false"/>
          <w:sz w:val="22"/>
          <w:szCs w:val="22"/>
        </w:rPr>
        <w:t>) besteht aus Bausteinen:</w:t>
      </w:r>
    </w:p>
    <w:p>
      <w:pPr>
        <w:pStyle w:val="ListParagraph"/>
        <w:numPr>
          <w:ilvl w:val="0"/>
          <w:numId w:val="1"/>
        </w:numPr>
        <w:spacing w:lineRule="exact" w:line="288" w:before="0" w:after="60"/>
        <w:rPr/>
      </w:pPr>
      <w:r>
        <w:rPr>
          <w:rFonts w:eastAsia="Cambria" w:cs="Cambria"/>
          <w:b/>
          <w:bCs/>
          <w:i w:val="false"/>
          <w:iCs w:val="false"/>
          <w:sz w:val="22"/>
          <w:szCs w:val="22"/>
        </w:rPr>
        <w:t>Grundgehalt</w:t>
      </w:r>
      <w:r>
        <w:rPr>
          <w:rFonts w:eastAsia="Cambria" w:cs="Cambria"/>
          <w:b w:val="false"/>
          <w:bCs w:val="false"/>
          <w:i w:val="false"/>
          <w:iCs w:val="false"/>
          <w:sz w:val="22"/>
          <w:szCs w:val="22"/>
        </w:rPr>
        <w:t xml:space="preserve"> (</w:t>
      </w:r>
      <w:r>
        <w:rPr>
          <w:rFonts w:eastAsia="Cambria" w:cs="Cambria"/>
          <w:b w:val="false"/>
          <w:bCs w:val="false"/>
          <w:i/>
          <w:iCs/>
          <w:sz w:val="22"/>
          <w:szCs w:val="22"/>
        </w:rPr>
        <w:t>Base Salary</w:t>
      </w:r>
      <w:r>
        <w:rPr>
          <w:rFonts w:eastAsia="Cambria" w:cs="Cambria"/>
          <w:b w:val="false"/>
          <w:bCs w:val="false"/>
          <w:i w:val="false"/>
          <w:iCs w:val="false"/>
          <w:sz w:val="22"/>
          <w:szCs w:val="22"/>
        </w:rPr>
        <w:t>): der planbare Kern.</w:t>
      </w:r>
    </w:p>
    <w:p>
      <w:pPr>
        <w:pStyle w:val="ListParagraph"/>
        <w:numPr>
          <w:ilvl w:val="0"/>
          <w:numId w:val="1"/>
        </w:numPr>
        <w:spacing w:lineRule="exact" w:line="288" w:before="0" w:after="60"/>
        <w:rPr/>
      </w:pPr>
      <w:r>
        <w:rPr>
          <w:rFonts w:eastAsia="Cambria" w:cs="Cambria"/>
          <w:b/>
          <w:bCs/>
          <w:i w:val="false"/>
          <w:iCs w:val="false"/>
          <w:sz w:val="22"/>
          <w:szCs w:val="22"/>
        </w:rPr>
        <w:t>Bonus:</w:t>
      </w:r>
      <w:r>
        <w:rPr>
          <w:rFonts w:eastAsia="Cambria" w:cs="Cambria"/>
          <w:b w:val="false"/>
          <w:bCs w:val="false"/>
          <w:i w:val="false"/>
          <w:iCs w:val="false"/>
          <w:sz w:val="22"/>
          <w:szCs w:val="22"/>
        </w:rPr>
        <w:t xml:space="preserve"> meist ein Zielwert in Prozent des Grundgehalts; die Auszahlung folgt Firmenergebnis und Bewertung, oft nur bei Anstellung am Stichtag.</w:t>
      </w:r>
    </w:p>
    <w:p>
      <w:pPr>
        <w:pStyle w:val="ListParagraph"/>
        <w:numPr>
          <w:ilvl w:val="0"/>
          <w:numId w:val="1"/>
        </w:numPr>
        <w:spacing w:lineRule="exact" w:line="288" w:before="0" w:after="60"/>
        <w:rPr/>
      </w:pPr>
      <w:r>
        <w:rPr>
          <w:rFonts w:eastAsia="Cambria" w:cs="Cambria"/>
          <w:b/>
          <w:bCs/>
          <w:i w:val="false"/>
          <w:iCs w:val="false"/>
          <w:sz w:val="22"/>
          <w:szCs w:val="22"/>
        </w:rPr>
        <w:t>Sign-on-Bonus:</w:t>
      </w:r>
      <w:r>
        <w:rPr>
          <w:rFonts w:eastAsia="Cambria" w:cs="Cambria"/>
          <w:b w:val="false"/>
          <w:bCs w:val="false"/>
          <w:i w:val="false"/>
          <w:iCs w:val="false"/>
          <w:sz w:val="22"/>
          <w:szCs w:val="22"/>
        </w:rPr>
        <w:t xml:space="preserve"> Einmalzahlung zum Start, meist mit Rückzahlung bei eigener Kündigung binnen zwölf bis 24 Monaten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RSUs</w:t>
      </w:r>
      <w:r>
        <w:rPr>
          <w:rFonts w:eastAsia="Cambria" w:cs="Cambria"/>
          <w:b w:val="false"/>
          <w:bCs w:val="false"/>
          <w:i w:val="false"/>
          <w:iCs w:val="false"/>
          <w:sz w:val="22"/>
          <w:szCs w:val="22"/>
        </w:rPr>
        <w:t xml:space="preserve"> (</w:t>
      </w:r>
      <w:r>
        <w:rPr>
          <w:rFonts w:eastAsia="Cambria" w:cs="Cambria"/>
          <w:b w:val="false"/>
          <w:bCs w:val="false"/>
          <w:i/>
          <w:iCs/>
          <w:sz w:val="22"/>
          <w:szCs w:val="22"/>
        </w:rPr>
        <w:t>Restricted Stock Units</w:t>
      </w:r>
      <w:r>
        <w:rPr>
          <w:rFonts w:eastAsia="Cambria" w:cs="Cambria"/>
          <w:b w:val="false"/>
          <w:bCs w:val="false"/>
          <w:i w:val="false"/>
          <w:iCs w:val="false"/>
          <w:sz w:val="22"/>
          <w:szCs w:val="22"/>
        </w:rPr>
        <w:t>, Aktienzuteilung): Zusage auf Firmenaktien, die meist über vier Jahre zufließen (</w:t>
      </w:r>
      <w:r>
        <w:rPr>
          <w:rFonts w:eastAsia="Cambria" w:cs="Cambria"/>
          <w:b w:val="false"/>
          <w:bCs w:val="false"/>
          <w:i/>
          <w:iCs/>
          <w:sz w:val="22"/>
          <w:szCs w:val="22"/>
        </w:rPr>
        <w:t>Vesting</w:t>
      </w:r>
      <w:r>
        <w:rPr>
          <w:rFonts w:eastAsia="Cambria" w:cs="Cambria"/>
          <w:b w:val="false"/>
          <w:bCs w:val="false"/>
          <w:i w:val="false"/>
          <w:iCs w:val="false"/>
          <w:sz w:val="22"/>
          <w:szCs w:val="22"/>
        </w:rPr>
        <w:t>), oft nach einem Jahr Sperrfrist. Mit dem Zufluss zählt der Aktienwert als Lohn und wird versteuert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Noch nicht zugeflossene Aktien verfallen, wenn du gehst; ihr Wert schwankt mit dem Kurs.</w:t>
      </w:r>
    </w:p>
    <w:p>
      <w:pPr>
        <w:pStyle w:val="ListParagraph"/>
        <w:numPr>
          <w:ilvl w:val="0"/>
          <w:numId w:val="1"/>
        </w:numPr>
        <w:spacing w:lineRule="exact" w:line="288" w:before="0" w:after="60"/>
        <w:rPr/>
      </w:pPr>
      <w:r>
        <w:rPr>
          <w:rFonts w:eastAsia="Cambria" w:cs="Cambria"/>
          <w:b/>
          <w:bCs/>
          <w:i w:val="false"/>
          <w:iCs w:val="false"/>
          <w:sz w:val="22"/>
          <w:szCs w:val="22"/>
        </w:rPr>
        <w:t>Aktienoptionen</w:t>
      </w:r>
      <w:r>
        <w:rPr>
          <w:rFonts w:eastAsia="Cambria" w:cs="Cambria"/>
          <w:b w:val="false"/>
          <w:bCs w:val="false"/>
          <w:i w:val="false"/>
          <w:iCs w:val="false"/>
          <w:sz w:val="22"/>
          <w:szCs w:val="22"/>
        </w:rPr>
        <w:t xml:space="preserve"> (</w:t>
      </w:r>
      <w:r>
        <w:rPr>
          <w:rFonts w:eastAsia="Cambria" w:cs="Cambria"/>
          <w:b w:val="false"/>
          <w:bCs w:val="false"/>
          <w:i/>
          <w:iCs/>
          <w:sz w:val="22"/>
          <w:szCs w:val="22"/>
        </w:rPr>
        <w:t>Stock Options</w:t>
      </w:r>
      <w:r>
        <w:rPr>
          <w:rFonts w:eastAsia="Cambria" w:cs="Cambria"/>
          <w:b w:val="false"/>
          <w:bCs w:val="false"/>
          <w:i w:val="false"/>
          <w:iCs w:val="false"/>
          <w:sz w:val="22"/>
          <w:szCs w:val="22"/>
        </w:rPr>
        <w:t xml:space="preserve">) und </w:t>
      </w:r>
      <w:r>
        <w:rPr>
          <w:rFonts w:eastAsia="Cambria" w:cs="Cambria"/>
          <w:b w:val="false"/>
          <w:bCs w:val="false"/>
          <w:i/>
          <w:iCs/>
          <w:sz w:val="22"/>
          <w:szCs w:val="22"/>
        </w:rPr>
        <w:t>ESPP</w:t>
      </w:r>
      <w:r>
        <w:rPr>
          <w:rFonts w:eastAsia="Cambria" w:cs="Cambria"/>
          <w:b w:val="false"/>
          <w:bCs w:val="false"/>
          <w:i w:val="false"/>
          <w:iCs w:val="false"/>
          <w:sz w:val="22"/>
          <w:szCs w:val="22"/>
        </w:rPr>
        <w:t xml:space="preserve"> (Aktienkauf mit Rabatt bis 15 %): vor allem bei Start-ups und Konzernen; Wert ungewiss, Besteuerung kompliziert.</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w:t>
      </w:r>
      <w:r>
        <w:rPr>
          <w:rFonts w:eastAsia="Cambria" w:cs="Cambria"/>
          <w:b w:val="false"/>
          <w:bCs w:val="false"/>
          <w:i/>
          <w:iCs/>
          <w:sz w:val="22"/>
          <w:szCs w:val="22"/>
        </w:rPr>
        <w:t>401(k)</w:t>
      </w:r>
      <w:r>
        <w:rPr>
          <w:rFonts w:eastAsia="Cambria" w:cs="Cambria"/>
          <w:b w:val="false"/>
          <w:bCs w:val="false"/>
          <w:i w:val="false"/>
          <w:iCs w:val="false"/>
          <w:sz w:val="22"/>
          <w:szCs w:val="22"/>
        </w:rPr>
        <w:t xml:space="preserve"> ist die betriebliche Altersvorsorge: Du zahlst vom Bruttolohn ein (2026 bis 24.500 $), der Arbeitgeber legt einen Zuschuss dazu (</w:t>
      </w:r>
      <w:r>
        <w:rPr>
          <w:rFonts w:eastAsia="Cambria" w:cs="Cambria"/>
          <w:b w:val="false"/>
          <w:bCs w:val="false"/>
          <w:i/>
          <w:iCs/>
          <w:sz w:val="22"/>
          <w:szCs w:val="22"/>
        </w:rPr>
        <w:t>Match</w:t>
      </w:r>
      <w:r>
        <w:rPr>
          <w:rFonts w:eastAsia="Cambria" w:cs="Cambria"/>
          <w:b w:val="false"/>
          <w:bCs w:val="false"/>
          <w:i w:val="false"/>
          <w:iCs w:val="false"/>
          <w:sz w:val="22"/>
          <w:szCs w:val="22"/>
        </w:rPr>
        <w:t>). Häufigste Formel nach Vanguard: 50 Cent je Dollar auf die ersten 6 % des Gehalts, also 3 % vom Gehalt; im Schnitt liegt der Arbeitgeberbeitrag bei rund 4,7 %. Ob der Match sofort dir gehört oder erst nach Jahren, regelt der Plan; das Gesetz erlaubt höchstens drei Jahre (auf einmal) oder sechs Jahre (gestaffelt). Weiteres: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xml:space="preserve"> und </w:t>
      </w:r>
      <w:hyperlink w:anchor="k39">
        <w:r>
          <w:rPr>
            <w:rStyle w:val="ListLabel115"/>
            <w:rFonts w:eastAsia="Cambria" w:cs="Cambria"/>
            <w:b w:val="false"/>
            <w:bCs w:val="false"/>
            <w:i w:val="false"/>
            <w:iCs w:val="false"/>
            <w:sz w:val="22"/>
            <w:szCs w:val="22"/>
          </w:rPr>
          <w:t>39</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Zahle mindestens so viel ein, dass du den vollen Match erhältst. Sonst verschenkst du Gehalt: Bei 3 % Match auf 112.000 $ sind es 3.360 $ im Jahr.</w:t>
            </w:r>
          </w:p>
        </w:tc>
      </w:tr>
    </w:tbl>
    <w:p>
      <w:pPr>
        <w:pStyle w:val="Normal"/>
        <w:spacing w:lineRule="exact" w:line="220" w:before="0" w:after="0"/>
        <w:rPr/>
      </w:pPr>
      <w:r>
        <w:rPr/>
      </w:r>
    </w:p>
    <w:tbl>
      <w:tblPr>
        <w:tblW w:w="6480" w:type="dxa"/>
        <w:jc w:val="left"/>
        <w:tblInd w:w="0" w:type="dxa"/>
        <w:tblLayout w:type="fixed"/>
        <w:tblCellMar>
          <w:top w:w="50" w:type="dxa"/>
          <w:left w:w="80" w:type="dxa"/>
          <w:bottom w:w="50" w:type="dxa"/>
          <w:right w:w="80" w:type="dxa"/>
        </w:tblCellMar>
      </w:tblPr>
      <w:tblGrid>
        <w:gridCol w:w="1785"/>
        <w:gridCol w:w="2443"/>
        <w:gridCol w:w="2252"/>
      </w:tblGrid>
      <w:tr>
        <w:trPr>
          <w:tblHeader w:val="true"/>
          <w:cantSplit w:val="true"/>
        </w:trPr>
        <w:tc>
          <w:tcPr>
            <w:tcW w:w="178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Baustein</w:t>
            </w:r>
          </w:p>
        </w:tc>
        <w:tc>
          <w:tcPr>
            <w:tcW w:w="244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Angebot A: Maschinenbau, Michigan</w:t>
            </w:r>
          </w:p>
        </w:tc>
        <w:tc>
          <w:tcPr>
            <w:tcW w:w="225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Angebot B: Software, Seattle</w:t>
            </w:r>
          </w:p>
        </w:tc>
      </w:tr>
      <w:tr>
        <w:trPr>
          <w:cantSplit w:val="true"/>
        </w:trPr>
        <w:tc>
          <w:tcPr>
            <w:tcW w:w="17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Grundgehalt</w:t>
            </w:r>
          </w:p>
        </w:tc>
        <w:tc>
          <w:tcPr>
            <w:tcW w:w="24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112.000 $</w:t>
            </w:r>
          </w:p>
        </w:tc>
        <w:tc>
          <w:tcPr>
            <w:tcW w:w="22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150.000 $</w:t>
            </w:r>
          </w:p>
        </w:tc>
      </w:tr>
      <w:tr>
        <w:trPr>
          <w:cantSplit w:val="true"/>
        </w:trPr>
        <w:tc>
          <w:tcPr>
            <w:tcW w:w="17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Bonus (Ziel)</w:t>
            </w:r>
          </w:p>
        </w:tc>
        <w:tc>
          <w:tcPr>
            <w:tcW w:w="24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8 % = 8.960 $</w:t>
            </w:r>
          </w:p>
        </w:tc>
        <w:tc>
          <w:tcPr>
            <w:tcW w:w="22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10 % = 15.000 $</w:t>
            </w:r>
          </w:p>
        </w:tc>
      </w:tr>
      <w:tr>
        <w:trPr>
          <w:cantSplit w:val="true"/>
        </w:trPr>
        <w:tc>
          <w:tcPr>
            <w:tcW w:w="17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RSUs pro Jahr</w:t>
            </w:r>
          </w:p>
        </w:tc>
        <w:tc>
          <w:tcPr>
            <w:tcW w:w="24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w:t>
            </w:r>
          </w:p>
        </w:tc>
        <w:tc>
          <w:tcPr>
            <w:tcW w:w="22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40.000 $</w:t>
            </w:r>
          </w:p>
        </w:tc>
      </w:tr>
      <w:tr>
        <w:trPr>
          <w:cantSplit w:val="true"/>
        </w:trPr>
        <w:tc>
          <w:tcPr>
            <w:tcW w:w="17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401(k)-Match</w:t>
            </w:r>
          </w:p>
        </w:tc>
        <w:tc>
          <w:tcPr>
            <w:tcW w:w="24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3 % = 3.360 $</w:t>
            </w:r>
          </w:p>
        </w:tc>
        <w:tc>
          <w:tcPr>
            <w:tcW w:w="22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4 % = 6.000 $</w:t>
            </w:r>
          </w:p>
        </w:tc>
      </w:tr>
      <w:tr>
        <w:trPr>
          <w:cantSplit w:val="true"/>
        </w:trPr>
        <w:tc>
          <w:tcPr>
            <w:tcW w:w="17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Summe pro Jahr</w:t>
            </w:r>
          </w:p>
        </w:tc>
        <w:tc>
          <w:tcPr>
            <w:tcW w:w="24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124.320 $</w:t>
            </w:r>
          </w:p>
        </w:tc>
        <w:tc>
          <w:tcPr>
            <w:tcW w:w="22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211.000 $</w:t>
            </w:r>
          </w:p>
        </w:tc>
      </w:tr>
      <w:tr>
        <w:trPr>
          <w:cantSplit w:val="true"/>
        </w:trPr>
        <w:tc>
          <w:tcPr>
            <w:tcW w:w="17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Einmalig: Sign-on</w:t>
            </w:r>
          </w:p>
        </w:tc>
        <w:tc>
          <w:tcPr>
            <w:tcW w:w="24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10.000 $</w:t>
            </w:r>
          </w:p>
        </w:tc>
        <w:tc>
          <w:tcPr>
            <w:tcW w:w="22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20.000 $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Werte sind angenommen. Planbar sind nur Grundgehalt und Match (115.360 $ bzw. 156.000 $); Bonus und Aktien schwanken. Zum Maßstab: Der Median für Maschinenbauingenieure lag im Mai 2025 bei 104.110 $ (BLS). Dazu kommt die Krankenversicherung, der größte unsichtbare Baustein: Der Arbeitgeber zahlt im Schnitt rund 7.900 $ der Jahresprämie einer Einzelperson und rund 20.100 $ der Familienprämie (KFF 2025,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Bei H-1B muss er dir mindestens den Lohn der LCA zahlen und Nebenleistungen nach denselben Kriterien anbieten wie US-Beschäftigten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Zur groben Orientierung: 1 € entsprach im Herbst 2026 etwa 1,1–1,2 $ (bitte tagesaktuell prüfen); 112.000 $ sind dann rund 93.000–102.000 €. Was netto bleibt, zeigt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bei 120.000 $ brutto ledig etwa 71–78 %, je nach Bundesstaat und ohne Krankenversicherung.</w:t>
      </w:r>
    </w:p>
    <w:p>
      <w:pPr>
        <w:pStyle w:val="Heading3"/>
        <w:keepNext w:val="true"/>
        <w:spacing w:before="280" w:after="100"/>
        <w:jc w:val="center"/>
        <w:rPr/>
      </w:pPr>
      <w:r>
        <w:rPr>
          <w:rFonts w:eastAsia="Amazon Ember" w:cs="Amazon Ember" w:ascii="Amazon Ember" w:hAnsi="Amazon Ember"/>
          <w:b/>
          <w:bCs/>
          <w:color w:val="0000FF"/>
          <w:sz w:val="36"/>
          <w:szCs w:val="36"/>
        </w:rPr>
        <w:t>Gehaltsverhandlung und Transparenzgesetze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den USA rechnet ein Recruiter mit einem Gegenangebot; das erste ist selten das letzte. Wer ohne Rückfrage annimmt, lässt Spielraum liegen, und das Startgehalt wirkt auf spätere Erhöhungen nach. So gehst du vor:</w:t>
      </w:r>
    </w:p>
    <w:p>
      <w:pPr>
        <w:pStyle w:val="ListParagraph"/>
        <w:numPr>
          <w:ilvl w:val="0"/>
          <w:numId w:val="167"/>
        </w:numPr>
        <w:spacing w:lineRule="exact" w:line="288" w:before="0" w:after="60"/>
        <w:rPr/>
      </w:pPr>
      <w:r>
        <w:rPr>
          <w:rFonts w:eastAsia="Cambria" w:cs="Cambria"/>
          <w:b w:val="false"/>
          <w:bCs w:val="false"/>
          <w:i w:val="false"/>
          <w:iCs w:val="false"/>
          <w:sz w:val="22"/>
          <w:szCs w:val="22"/>
        </w:rPr>
        <w:t>Recherchiere die Spanne: Stellenanzeigen mit Gehaltsangabe, BLS-Lohnstatistik (bls.gov/oes), Gehaltsportale; achte auf Region und Erfahrung.</w:t>
      </w:r>
    </w:p>
    <w:p>
      <w:pPr>
        <w:pStyle w:val="ListParagraph"/>
        <w:numPr>
          <w:ilvl w:val="0"/>
          <w:numId w:val="168"/>
        </w:numPr>
        <w:spacing w:lineRule="exact" w:line="288" w:before="0" w:after="60"/>
        <w:rPr/>
      </w:pPr>
      <w:r>
        <w:rPr>
          <w:rFonts w:eastAsia="Cambria" w:cs="Cambria"/>
          <w:b w:val="false"/>
          <w:bCs w:val="false"/>
          <w:i w:val="false"/>
          <w:iCs w:val="false"/>
          <w:sz w:val="22"/>
          <w:szCs w:val="22"/>
        </w:rPr>
        <w:t xml:space="preserve">Verhandle das Level: Titel und Einstufung (etwa </w:t>
      </w:r>
      <w:r>
        <w:rPr>
          <w:rFonts w:eastAsia="Cambria" w:cs="Cambria"/>
          <w:b w:val="false"/>
          <w:bCs w:val="false"/>
          <w:i/>
          <w:iCs/>
          <w:sz w:val="22"/>
          <w:szCs w:val="22"/>
        </w:rPr>
        <w:t>Engineer II</w:t>
      </w:r>
      <w:r>
        <w:rPr>
          <w:rFonts w:eastAsia="Cambria" w:cs="Cambria"/>
          <w:b w:val="false"/>
          <w:bCs w:val="false"/>
          <w:i w:val="false"/>
          <w:iCs w:val="false"/>
          <w:sz w:val="22"/>
          <w:szCs w:val="22"/>
        </w:rPr>
        <w:t xml:space="preserve"> oder </w:t>
      </w:r>
      <w:r>
        <w:rPr>
          <w:rFonts w:eastAsia="Cambria" w:cs="Cambria"/>
          <w:b w:val="false"/>
          <w:bCs w:val="false"/>
          <w:i/>
          <w:iCs/>
          <w:sz w:val="22"/>
          <w:szCs w:val="22"/>
        </w:rPr>
        <w:t>Senior Engineer</w:t>
      </w:r>
      <w:r>
        <w:rPr>
          <w:rFonts w:eastAsia="Cambria" w:cs="Cambria"/>
          <w:b w:val="false"/>
          <w:bCs w:val="false"/>
          <w:i w:val="false"/>
          <w:iCs w:val="false"/>
          <w:sz w:val="22"/>
          <w:szCs w:val="22"/>
        </w:rPr>
        <w:t>) bestimmen das Gehaltsband für Jahre.</w:t>
      </w:r>
    </w:p>
    <w:p>
      <w:pPr>
        <w:pStyle w:val="ListParagraph"/>
        <w:numPr>
          <w:ilvl w:val="0"/>
          <w:numId w:val="169"/>
        </w:numPr>
        <w:spacing w:lineRule="exact" w:line="288" w:before="0" w:after="60"/>
        <w:rPr/>
      </w:pPr>
      <w:r>
        <w:rPr>
          <w:rFonts w:eastAsia="Cambria" w:cs="Cambria"/>
          <w:b w:val="false"/>
          <w:bCs w:val="false"/>
          <w:i w:val="false"/>
          <w:iCs w:val="false"/>
          <w:sz w:val="22"/>
          <w:szCs w:val="22"/>
        </w:rPr>
        <w:t>Frage zuerst nach der budgetierten Spanne, statt selbst zu nennen. Musst du doch, dann eine Spanne, deren Untergrenze du akzeptierst.</w:t>
      </w:r>
    </w:p>
    <w:p>
      <w:pPr>
        <w:pStyle w:val="ListParagraph"/>
        <w:numPr>
          <w:ilvl w:val="0"/>
          <w:numId w:val="170"/>
        </w:numPr>
        <w:spacing w:lineRule="exact" w:line="288" w:before="0" w:after="60"/>
        <w:rPr/>
      </w:pPr>
      <w:r>
        <w:rPr>
          <w:rFonts w:eastAsia="Cambria" w:cs="Cambria"/>
          <w:b w:val="false"/>
          <w:bCs w:val="false"/>
          <w:i w:val="false"/>
          <w:iCs w:val="false"/>
          <w:sz w:val="22"/>
          <w:szCs w:val="22"/>
        </w:rPr>
        <w:t>Sprich das ganze Paket an: Sign-on, Aktien, Bonusziel, Startdatum, Urlaub, Umzugspaket, Homeoffice. Ist das Grundgehalt starr, sind Sign-on und Aktien oft beweglicher.</w:t>
      </w:r>
    </w:p>
    <w:p>
      <w:pPr>
        <w:pStyle w:val="ListParagraph"/>
        <w:numPr>
          <w:ilvl w:val="0"/>
          <w:numId w:val="171"/>
        </w:numPr>
        <w:spacing w:lineRule="exact" w:line="288" w:before="0" w:after="60"/>
        <w:rPr/>
      </w:pPr>
      <w:r>
        <w:rPr>
          <w:rFonts w:eastAsia="Cambria" w:cs="Cambria"/>
          <w:b w:val="false"/>
          <w:bCs w:val="false"/>
          <w:i w:val="false"/>
          <w:iCs w:val="false"/>
          <w:sz w:val="22"/>
          <w:szCs w:val="22"/>
        </w:rPr>
        <w:t>Bleibe höflich und konkret: „Thank you, I’m excited about the role. Based on my experience and the market range I’ve seen, I was hoping for a base salary of X. Is there flexibility?“</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Verhandle vor der Registrierung und der Petition. Gehalt und Stelle stehen dann in LCA und Petition; nach oben kannst du später jederzeit steigen, nach unten nicht unter den LCA-Lohn. Der Lohn beeinflusst auch die Lotterie: Level IV bekommt vier Lose, Level I eines (Kapitel </w:t>
            </w:r>
            <w:hyperlink w:anchor="k5">
              <w:r>
                <w:rPr>
                  <w:rStyle w:val="ListLabel114"/>
                  <w:rFonts w:eastAsia="Cambria" w:cs="Cambria"/>
                  <w:b w:val="false"/>
                  <w:bCs w:val="false"/>
                  <w:i w:val="false"/>
                  <w:iCs w:val="false"/>
                  <w:sz w:val="20"/>
                  <w:szCs w:val="20"/>
                </w:rPr>
                <w:t>5</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Transparenzgesetze.</w:t>
      </w:r>
      <w:r>
        <w:rPr>
          <w:rFonts w:eastAsia="Cambria" w:cs="Cambria"/>
          <w:b w:val="false"/>
          <w:bCs w:val="false"/>
          <w:i w:val="false"/>
          <w:iCs w:val="false"/>
          <w:sz w:val="22"/>
          <w:szCs w:val="22"/>
        </w:rPr>
        <w:t xml:space="preserve"> Gehaltsspannen in Stellenanzeigen verlangen Colorado (seit 2021), Kalifornien, Washington und New York (seit 2023), Illinois und Minnesota (seit 2025) sowie unter anderem Hawaii, Maryland, Massachusetts, New Jersey, Vermont und Washington, D.C.; Nevada und Rhode Island verlangen sie auf Nachfrage. Übersichten zählen Stand 2026 rund 18 Staaten plus D.C., teils erst ab einer Firmengröße (Illinois 15, Minnesota 30 Beschäftigte). In Texas, Florida, Georgia, Arizona und, nach den geprüften Übersichten, Michigan gibt es keine Pflicht. Viele Staaten (u. a. Kalifornien, Colorado, Illinois, Massachusetts, New York, Washington) verbieten die Frage nach deinem bisherigen Gehalt; in Deutschland ist sie üblich. Über dein Gehalt darfst du mit Kollegen sprechen: Das schützt Bundesrecht für die meisten Beschäftigten, nicht für Führungskräfte.</w:t>
      </w:r>
    </w:p>
    <w:p>
      <w:pPr>
        <w:pStyle w:val="Heading3"/>
        <w:keepNext w:val="true"/>
        <w:spacing w:before="280" w:after="100"/>
        <w:jc w:val="center"/>
        <w:rPr/>
      </w:pPr>
      <w:r>
        <w:rPr>
          <w:rFonts w:eastAsia="Amazon Ember" w:cs="Amazon Ember" w:ascii="Amazon Ember" w:hAnsi="Amazon Ember"/>
          <w:b/>
          <w:bCs/>
          <w:color w:val="0000FF"/>
          <w:sz w:val="36"/>
          <w:szCs w:val="36"/>
        </w:rPr>
        <w:t>Urlaub, Feiertage, Krankheit und Elternzeit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Bundesrecht gibt keinen Anspruch auf bezahlten Urlaub, bezahlte Feiertage oder bezahlte Krankheitstage. Es gilt, was Offer Letter und Firmenrichtlinie zusagen, oft als gemeinsamer Topf (</w:t>
      </w:r>
      <w:r>
        <w:rPr>
          <w:rFonts w:eastAsia="Cambria" w:cs="Cambria"/>
          <w:b w:val="false"/>
          <w:bCs w:val="false"/>
          <w:i/>
          <w:iCs/>
          <w:sz w:val="22"/>
          <w:szCs w:val="22"/>
        </w:rPr>
        <w:t>PTO</w:t>
      </w:r>
      <w:r>
        <w:rPr>
          <w:rFonts w:eastAsia="Cambria" w:cs="Cambria"/>
          <w:b w:val="false"/>
          <w:bCs w:val="false"/>
          <w:i w:val="false"/>
          <w:iCs w:val="false"/>
          <w:sz w:val="22"/>
          <w:szCs w:val="22"/>
        </w:rPr>
        <w:t xml:space="preserve">, </w:t>
      </w:r>
      <w:r>
        <w:rPr>
          <w:rFonts w:eastAsia="Cambria" w:cs="Cambria"/>
          <w:b w:val="false"/>
          <w:bCs w:val="false"/>
          <w:i/>
          <w:iCs/>
          <w:sz w:val="22"/>
          <w:szCs w:val="22"/>
        </w:rPr>
        <w:t>Paid Time Off</w:t>
      </w:r>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Wer für das höhere Gehalt in die USA geht, nimmt an, der Urlaub wachse automatisch mit. Tatsächlich ist oft das Gegenteil der Fall: Das dickere Gehalt kommt mit weniger freien Tagen, nicht mit mehr (siehe Tabelle).</w:t>
      </w:r>
    </w:p>
    <w:tbl>
      <w:tblPr>
        <w:tblW w:w="6480" w:type="dxa"/>
        <w:jc w:val="left"/>
        <w:tblInd w:w="0" w:type="dxa"/>
        <w:tblLayout w:type="fixed"/>
        <w:tblCellMar>
          <w:top w:w="50" w:type="dxa"/>
          <w:left w:w="80" w:type="dxa"/>
          <w:bottom w:w="50" w:type="dxa"/>
          <w:right w:w="80" w:type="dxa"/>
        </w:tblCellMar>
      </w:tblPr>
      <w:tblGrid>
        <w:gridCol w:w="949"/>
        <w:gridCol w:w="2718"/>
        <w:gridCol w:w="2813"/>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Thema</w:t>
            </w:r>
          </w:p>
        </w:tc>
        <w:tc>
          <w:tcPr>
            <w:tcW w:w="271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Deutschland</w:t>
            </w:r>
          </w:p>
        </w:tc>
        <w:tc>
          <w:tcPr>
            <w:tcW w:w="281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USA (Privatwirtschaft, BLS 2025)</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Urlaub</w:t>
            </w:r>
          </w:p>
        </w:tc>
        <w:tc>
          <w:tcPr>
            <w:tcW w:w="27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mindestens 20 Tage bei Fünftagewoche, meist 25–30</w:t>
            </w:r>
          </w:p>
        </w:tc>
        <w:tc>
          <w:tcPr>
            <w:tcW w:w="28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 Schnitt 11 Tage nach einem Jahr, 15 nach fünf, 18 nach zehn, 20 nach 20 Jahren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Feiertage</w:t>
            </w:r>
          </w:p>
        </w:tc>
        <w:tc>
          <w:tcPr>
            <w:tcW w:w="27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9–13, je Bundesland</w:t>
            </w:r>
          </w:p>
        </w:tc>
        <w:tc>
          <w:tcPr>
            <w:tcW w:w="28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 Schnitt 8 bezahlte; 81 % der Beschäftigten haben Anspruch</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Krankheit</w:t>
            </w:r>
          </w:p>
        </w:tc>
        <w:tc>
          <w:tcPr>
            <w:tcW w:w="27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Lohnfortzahlung bis zu sechs Wochen</w:t>
            </w:r>
          </w:p>
        </w:tc>
        <w:tc>
          <w:tcPr>
            <w:tcW w:w="28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80 % haben bezahlte Tage, im Schnitt 8; sonst Landesrecht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Elternzeit</w:t>
            </w:r>
          </w:p>
        </w:tc>
        <w:tc>
          <w:tcPr>
            <w:tcW w:w="27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Mutterschutz, Elterngeld, Elternzeit bis zu drei Jahre</w:t>
            </w:r>
          </w:p>
        </w:tc>
        <w:tc>
          <w:tcPr>
            <w:tcW w:w="28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bundesweit 12 Wochen unbezahlt (FMLA); bezahlt nur in einigen Staaten oder freiwillig</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Urlaub und Feiertage.</w:t>
      </w:r>
      <w:r>
        <w:rPr>
          <w:rFonts w:eastAsia="Cambria" w:cs="Cambria"/>
          <w:b w:val="false"/>
          <w:bCs w:val="false"/>
          <w:i w:val="false"/>
          <w:iCs w:val="false"/>
          <w:sz w:val="22"/>
          <w:szCs w:val="22"/>
        </w:rPr>
        <w:t xml:space="preserve"> Zwei Wochen am Stück sind in den USA schon ein langer Urlaub; plane ihn früh. In Kalifornien ist angesammelter Urlaub Lohn und beim Ausscheiden auszuzahlen, in vielen Staaten entscheidet die Firmenrichtlinie. Bei </w:t>
      </w:r>
      <w:r>
        <w:rPr>
          <w:rFonts w:eastAsia="Cambria" w:cs="Cambria"/>
          <w:b w:val="false"/>
          <w:bCs w:val="false"/>
          <w:i/>
          <w:iCs/>
          <w:sz w:val="22"/>
          <w:szCs w:val="22"/>
        </w:rPr>
        <w:t>Unlimited PTO</w:t>
      </w:r>
      <w:r>
        <w:rPr>
          <w:rFonts w:eastAsia="Cambria" w:cs="Cambria"/>
          <w:b w:val="false"/>
          <w:bCs w:val="false"/>
          <w:i w:val="false"/>
          <w:iCs w:val="false"/>
          <w:sz w:val="22"/>
          <w:szCs w:val="22"/>
        </w:rPr>
        <w:t xml:space="preserve"> gibt es keine feste Zahl an Tagen und kein Guthaben; frage, wie viele Tage die Kollegen wirklich nehmen. Die elf Bundesfeiertage sind kein Anspruch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Krankheit.</w:t>
      </w:r>
      <w:r>
        <w:rPr>
          <w:rFonts w:eastAsia="Cambria" w:cs="Cambria"/>
          <w:b w:val="false"/>
          <w:bCs w:val="false"/>
          <w:i w:val="false"/>
          <w:iCs w:val="false"/>
          <w:sz w:val="22"/>
          <w:szCs w:val="22"/>
        </w:rPr>
        <w:t xml:space="preserve"> Rund 20 Bundesstaaten und Washington, D.C. schreiben bezahlte Krankheitstage vor, darunter Arizona, Kalifornien, Colorado, Illinois, Michigan, Minnesota, New Jersey, New York und Washington; Texas, Florida, Georgia und North Carolina nicht. Michigan (seit Februar 2025) und Arizona rechnen nach Arbeitsstunden: eine Stunde je 30 gearbeitete Stunden.</w:t>
      </w:r>
    </w:p>
    <w:p>
      <w:pPr>
        <w:pStyle w:val="Normal"/>
        <w:keepNext w:val="false"/>
        <w:keepLines w:val="false"/>
        <w:spacing w:lineRule="exact" w:line="288" w:before="0" w:after="140"/>
        <w:jc w:val="left"/>
        <w:rPr/>
      </w:pPr>
      <w:r>
        <w:rPr>
          <w:rFonts w:eastAsia="Cambria" w:cs="Cambria"/>
          <w:b/>
          <w:bCs/>
          <w:i w:val="false"/>
          <w:iCs w:val="false"/>
          <w:sz w:val="22"/>
          <w:szCs w:val="22"/>
        </w:rPr>
        <w:t>Elternzeit.</w:t>
      </w:r>
      <w:r>
        <w:rPr>
          <w:rFonts w:eastAsia="Cambria" w:cs="Cambria"/>
          <w:b w:val="false"/>
          <w:bCs w:val="false"/>
          <w:i w:val="false"/>
          <w:iCs w:val="false"/>
          <w:sz w:val="22"/>
          <w:szCs w:val="22"/>
        </w:rPr>
        <w:t xml:space="preserve"> Der </w:t>
      </w:r>
      <w:r>
        <w:rPr>
          <w:rFonts w:eastAsia="Cambria" w:cs="Cambria"/>
          <w:b w:val="false"/>
          <w:bCs w:val="false"/>
          <w:i/>
          <w:iCs/>
          <w:sz w:val="22"/>
          <w:szCs w:val="22"/>
        </w:rPr>
        <w:t>Family and Medical Leave Act</w:t>
      </w:r>
      <w:r>
        <w:rPr>
          <w:rFonts w:eastAsia="Cambria" w:cs="Cambria"/>
          <w:b w:val="false"/>
          <w:bCs w:val="false"/>
          <w:i w:val="false"/>
          <w:iCs w:val="false"/>
          <w:sz w:val="22"/>
          <w:szCs w:val="22"/>
        </w:rPr>
        <w:t xml:space="preserve"> (FMLA) gibt bis zu 12 Wochen unbezahlte Freistellung für Geburt, Adoption oder Pflege, mit Rückkehrrecht auf dieselbe oder eine gleichwertige Stelle; die Krankenversicherung läuft weiter. Voraussetzung sind 12 Monate beim Arbeitgeber, 1.250 Arbeitsstunden im letzten Jahr und mindestens 50 Beschäftigte im Umkreis von 75 Meilen (ca. 120 km). Bezahlten Familienurlaub gibt es nur nach Landesrecht in 13 Bundesstaaten und D.C. (Stand 2026), etwa in Kalifornien (8 Wochen, bis zu 1.765 $ pro Woche) und New York (12 Wochen, 67 % des Lohns, bis zu 1.228,53 $ pro Woche). Michigan hat kein solches Programm; dort zählen FMLA und die Zusagen des Arbeitgebers.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FMLA verlangt zwölf Monate Betriebszugehörigkeit. Kommt im ersten Jahr im neuen Job ein Kind, gibt es keinen gesetzlichen Jobschutz, und die Krankenversicherung des Arbeitgebers beginnt oft erst nach der Wartefrist. Kläre Elternzeit-Regeln und Deckungsbeginn vor der Zusage (Kapitel </w:t>
            </w:r>
            <w:hyperlink w:anchor="k26">
              <w:r>
                <w:rPr>
                  <w:rStyle w:val="ListLabel114"/>
                  <w:rFonts w:eastAsia="Cambria" w:cs="Cambria"/>
                  <w:b w:val="false"/>
                  <w:bCs w:val="false"/>
                  <w:i w:val="false"/>
                  <w:iCs w:val="false"/>
                  <w:sz w:val="20"/>
                  <w:szCs w:val="20"/>
                </w:rPr>
                <w:t>26</w:t>
              </w:r>
            </w:hyperlink>
            <w:r>
              <w:rPr>
                <w:rFonts w:eastAsia="Cambria" w:cs="Cambria"/>
                <w:b w:val="false"/>
                <w:bCs w:val="false"/>
                <w:i w:val="false"/>
                <w:iCs w:val="false"/>
                <w:sz w:val="20"/>
                <w:szCs w:val="20"/>
              </w:rPr>
              <w:t xml:space="preserve"> und </w:t>
            </w:r>
            <w:hyperlink w:anchor="k38">
              <w:r>
                <w:rPr>
                  <w:rStyle w:val="ListLabel114"/>
                  <w:rFonts w:eastAsia="Cambria" w:cs="Cambria"/>
                  <w:b w:val="false"/>
                  <w:bCs w:val="false"/>
                  <w:i w:val="false"/>
                  <w:iCs w:val="false"/>
                  <w:sz w:val="20"/>
                  <w:szCs w:val="20"/>
                </w:rPr>
                <w:t>38</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Arbeitszeit und Erreichbarkeit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Arbeitszeitgesetz mit Höchstarbeitszeit und Ruhezeiten gibt es auf Bundesebene nicht. Der </w:t>
      </w:r>
      <w:r>
        <w:rPr>
          <w:rFonts w:eastAsia="Cambria" w:cs="Cambria"/>
          <w:b w:val="false"/>
          <w:bCs w:val="false"/>
          <w:i/>
          <w:iCs/>
          <w:sz w:val="22"/>
          <w:szCs w:val="22"/>
        </w:rPr>
        <w:t>Fair Labor Standards Act</w:t>
      </w:r>
      <w:r>
        <w:rPr>
          <w:rFonts w:eastAsia="Cambria" w:cs="Cambria"/>
          <w:b w:val="false"/>
          <w:bCs w:val="false"/>
          <w:i w:val="false"/>
          <w:iCs w:val="false"/>
          <w:sz w:val="22"/>
          <w:szCs w:val="22"/>
        </w:rPr>
        <w:t xml:space="preserve"> (FLSA) regelt Mindestlohn und Überstundenzuschlag, nicht die Länge des Arbeitstags. Entscheidend ist deine Einstufung: </w:t>
      </w:r>
      <w:r>
        <w:rPr>
          <w:rFonts w:eastAsia="Cambria" w:cs="Cambria"/>
          <w:b w:val="false"/>
          <w:bCs w:val="false"/>
          <w:i/>
          <w:iCs/>
          <w:sz w:val="22"/>
          <w:szCs w:val="22"/>
        </w:rPr>
        <w:t>Non-exempt</w:t>
      </w:r>
      <w:r>
        <w:rPr>
          <w:rFonts w:eastAsia="Cambria" w:cs="Cambria"/>
          <w:b w:val="false"/>
          <w:bCs w:val="false"/>
          <w:i w:val="false"/>
          <w:iCs w:val="false"/>
          <w:sz w:val="22"/>
          <w:szCs w:val="22"/>
        </w:rPr>
        <w:t xml:space="preserve"> Beschäftigte (meist Stundenlöhner) erhalten für Stunden über 40 pro Woche das 1,5-Fache, </w:t>
      </w:r>
      <w:r>
        <w:rPr>
          <w:rFonts w:eastAsia="Cambria" w:cs="Cambria"/>
          <w:b w:val="false"/>
          <w:bCs w:val="false"/>
          <w:i/>
          <w:iCs/>
          <w:sz w:val="22"/>
          <w:szCs w:val="22"/>
        </w:rPr>
        <w:t>exempt</w:t>
      </w:r>
      <w:r>
        <w:rPr>
          <w:rFonts w:eastAsia="Cambria" w:cs="Cambria"/>
          <w:b w:val="false"/>
          <w:bCs w:val="false"/>
          <w:i w:val="false"/>
          <w:iCs w:val="false"/>
          <w:sz w:val="22"/>
          <w:szCs w:val="22"/>
        </w:rPr>
        <w:t xml:space="preserve"> Beschäftigte (Gehaltsempfänger mit Fach- oder Führungsaufgaben) keine Überstundenvergütung. Ingenieure und Softwareentwickler sind meist exempt; die bundesweite Gehaltsschwelle liegt bei 684 $ pro Woche (35.568 $ im Jahr), einzelne Staaten setzen höhere Werte an (dol.gov/agencies/whd/overtime).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Vollzeitwoche hat 40 Stunden, in Technik und Entwicklung wird oft mehr erwartet. Präsenz- und Homeofficeregeln legt die Firma fest; bei H-1B gilt der Arbeitsort aus der LCA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 Ein Recht auf Nichterreichbarkeit gibt es nicht: Nachrichten in E-Mail und Chat werden am selben Tag beantwortet, Rufbereitschaft (</w:t>
      </w:r>
      <w:r>
        <w:rPr>
          <w:rFonts w:eastAsia="Cambria" w:cs="Cambria"/>
          <w:b w:val="false"/>
          <w:bCs w:val="false"/>
          <w:i/>
          <w:iCs/>
          <w:sz w:val="22"/>
          <w:szCs w:val="22"/>
        </w:rPr>
        <w:t>On-call</w:t>
      </w:r>
      <w:r>
        <w:rPr>
          <w:rFonts w:eastAsia="Cambria" w:cs="Cambria"/>
          <w:b w:val="false"/>
          <w:bCs w:val="false"/>
          <w:i w:val="false"/>
          <w:iCs w:val="false"/>
          <w:sz w:val="22"/>
          <w:szCs w:val="22"/>
        </w:rPr>
        <w:t>) ist in IT und Produktion verbreitet. Setze Grenzen selbst und sichtbar: feste Kalenderblöcke, Statusanzeige, im Urlaub eine Abwesenheitsnotiz mit Vertretung.</w:t>
      </w:r>
    </w:p>
    <w:p>
      <w:pPr>
        <w:pStyle w:val="Heading3"/>
        <w:keepNext w:val="true"/>
        <w:spacing w:before="280" w:after="100"/>
        <w:jc w:val="center"/>
        <w:rPr/>
      </w:pPr>
      <w:r>
        <w:rPr>
          <w:rFonts w:eastAsia="Amazon Ember" w:cs="Amazon Ember" w:ascii="Amazon Ember" w:hAnsi="Amazon Ember"/>
          <w:b/>
          <w:bCs/>
          <w:color w:val="0000FF"/>
          <w:sz w:val="36"/>
          <w:szCs w:val="36"/>
        </w:rPr>
        <w:t>Feedback, Performance Review und PIP</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Feedback kommt häufiger und freundlicher verpackt als in Deutschland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erst Lob, dann ein Entwicklungsfeld (</w:t>
      </w:r>
      <w:r>
        <w:rPr>
          <w:rFonts w:eastAsia="Cambria" w:cs="Cambria"/>
          <w:b w:val="false"/>
          <w:bCs w:val="false"/>
          <w:i/>
          <w:iCs/>
          <w:sz w:val="22"/>
          <w:szCs w:val="22"/>
        </w:rPr>
        <w:t>Area for Improvement</w:t>
      </w:r>
      <w:r>
        <w:rPr>
          <w:rFonts w:eastAsia="Cambria" w:cs="Cambria"/>
          <w:b w:val="false"/>
          <w:bCs w:val="false"/>
          <w:i w:val="false"/>
          <w:iCs w:val="false"/>
          <w:sz w:val="22"/>
          <w:szCs w:val="22"/>
        </w:rPr>
        <w:t xml:space="preserve">), dann ein Vorschlag – „Great job on the release, and one thing to think about for next time …“ ist die Formel, die in Reviews wiederkehrt wie ein Ritornell. „Meets Expectations“ ist die Norm und heißt: Du machst deinen Job. Wer wissen will, wo er steht, muss fragen, etwa im </w:t>
      </w:r>
      <w:r>
        <w:rPr>
          <w:rFonts w:eastAsia="Cambria" w:cs="Cambria"/>
          <w:b w:val="false"/>
          <w:bCs w:val="false"/>
          <w:i/>
          <w:iCs/>
          <w:sz w:val="22"/>
          <w:szCs w:val="22"/>
        </w:rPr>
        <w:t>1:1</w:t>
      </w:r>
      <w:r>
        <w:rPr>
          <w:rFonts w:eastAsia="Cambria" w:cs="Cambria"/>
          <w:b w:val="false"/>
          <w:bCs w:val="false"/>
          <w:i w:val="false"/>
          <w:iCs w:val="false"/>
          <w:sz w:val="22"/>
          <w:szCs w:val="22"/>
        </w:rPr>
        <w:t xml:space="preserve"> (Einzelgespräch mit der Führungskraft, meist wöchentlich oder zweiwöchentlich): „What would make me a strong candidate for promotion?“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w:t>
      </w:r>
      <w:r>
        <w:rPr>
          <w:rFonts w:eastAsia="Cambria" w:cs="Cambria"/>
          <w:b w:val="false"/>
          <w:bCs w:val="false"/>
          <w:i/>
          <w:iCs/>
          <w:sz w:val="22"/>
          <w:szCs w:val="22"/>
        </w:rPr>
        <w:t>Performance Review</w:t>
      </w:r>
      <w:r>
        <w:rPr>
          <w:rFonts w:eastAsia="Cambria" w:cs="Cambria"/>
          <w:b w:val="false"/>
          <w:bCs w:val="false"/>
          <w:i w:val="false"/>
          <w:iCs w:val="false"/>
          <w:sz w:val="22"/>
          <w:szCs w:val="22"/>
        </w:rPr>
        <w:t xml:space="preserve"> (Leistungsbeurteilung) läuft jährlich oder halbjährlich: Du schreibst eine Selbsteinschätzung mit messbaren Ergebnissen, oft ergänzt um Kollegen-Feedback, und die Führungskräfte stimmen die Bewertungen firmenintern ab. Die Note steuert Bonus, Gehaltserhöhung, Beförderung und oft neue Aktienzuteilungen. Wer seine Arbeit nicht selbst sichtbar macht, wird schlechter bewertet, auch bei guter Leistung.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w:t>
      </w:r>
      <w:r>
        <w:rPr>
          <w:rFonts w:eastAsia="Cambria" w:cs="Cambria"/>
          <w:b w:val="false"/>
          <w:bCs w:val="false"/>
          <w:i/>
          <w:iCs/>
          <w:sz w:val="22"/>
          <w:szCs w:val="22"/>
        </w:rPr>
        <w:t>PIP</w:t>
      </w:r>
      <w:r>
        <w:rPr>
          <w:rFonts w:eastAsia="Cambria" w:cs="Cambria"/>
          <w:b w:val="false"/>
          <w:bCs w:val="false"/>
          <w:i w:val="false"/>
          <w:iCs w:val="false"/>
          <w:sz w:val="22"/>
          <w:szCs w:val="22"/>
        </w:rPr>
        <w:t xml:space="preserve"> (</w:t>
      </w:r>
      <w:r>
        <w:rPr>
          <w:rFonts w:eastAsia="Cambria" w:cs="Cambria"/>
          <w:b w:val="false"/>
          <w:bCs w:val="false"/>
          <w:i/>
          <w:iCs/>
          <w:sz w:val="22"/>
          <w:szCs w:val="22"/>
        </w:rPr>
        <w:t>Performance Improvement Plan</w:t>
      </w:r>
      <w:r>
        <w:rPr>
          <w:rFonts w:eastAsia="Cambria" w:cs="Cambria"/>
          <w:b w:val="false"/>
          <w:bCs w:val="false"/>
          <w:i w:val="false"/>
          <w:iCs w:val="false"/>
          <w:sz w:val="22"/>
          <w:szCs w:val="22"/>
        </w:rPr>
        <w:t>) ist ein schriftlicher Plan über meist 30 bis 90 Tage mit messbaren Zielen. Er soll helfen, dient aber oft dazu, eine spätere Kündigung zu dokumentieren; nach At-will-Recht braucht die Firma ihn nicht.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PIP ist für Visa-Inhaber ein Alarmsignal, und die Personalabteilung (HR) vertritt den Arbeitgeber, nicht dich. Lass die Kriterien schriftlich präzisieren, dokumentiere Zwischenstände per E-Mail, aktualisiere parallel Resume und LinkedIn und sprich früh mit einem Einwanderungsanwalt über Portabilität und die 60 Tage (Kapitel </w:t>
            </w:r>
            <w:hyperlink w:anchor="k30">
              <w:r>
                <w:rPr>
                  <w:rStyle w:val="ListLabel114"/>
                  <w:rFonts w:eastAsia="Cambria" w:cs="Cambria"/>
                  <w:b w:val="false"/>
                  <w:bCs w:val="false"/>
                  <w:i w:val="false"/>
                  <w:iCs w:val="false"/>
                  <w:sz w:val="20"/>
                  <w:szCs w:val="20"/>
                </w:rPr>
                <w:t>30</w:t>
              </w:r>
            </w:hyperlink>
            <w:r>
              <w:rPr>
                <w:rFonts w:eastAsia="Cambria" w:cs="Cambria"/>
                <w:b w:val="false"/>
                <w:bCs w:val="false"/>
                <w:i w:val="false"/>
                <w:iCs w:val="false"/>
                <w:sz w:val="20"/>
                <w:szCs w:val="20"/>
              </w:rPr>
              <w:t>). Bei Hinweisen auf Diskriminierung oder Vergeltung: Fachanwältin für Arbeitsrecht und EEOC.</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Networking, LinkedIn, Vornamen und Meetings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Viele Stellen werden über Empfehlungen (</w:t>
      </w:r>
      <w:r>
        <w:rPr>
          <w:rFonts w:eastAsia="Cambria" w:cs="Cambria"/>
          <w:b w:val="false"/>
          <w:bCs w:val="false"/>
          <w:i/>
          <w:iCs/>
          <w:sz w:val="22"/>
          <w:szCs w:val="22"/>
        </w:rPr>
        <w:t>Referrals</w:t>
      </w:r>
      <w:r>
        <w:rPr>
          <w:rFonts w:eastAsia="Cambria" w:cs="Cambria"/>
          <w:b w:val="false"/>
          <w:bCs w:val="false"/>
          <w:i w:val="false"/>
          <w:iCs w:val="false"/>
          <w:sz w:val="22"/>
          <w:szCs w:val="22"/>
        </w:rPr>
        <w:t>) besetzt; Recruiter schätzen Kandidaten, für die ein Mitarbeiter bürgt, und zahlen dafür oft eine Prämie. Netzwerken gehört deshalb zur Jobsuche:</w:t>
      </w:r>
    </w:p>
    <w:p>
      <w:pPr>
        <w:pStyle w:val="ListParagraph"/>
        <w:numPr>
          <w:ilvl w:val="0"/>
          <w:numId w:val="1"/>
        </w:numPr>
        <w:spacing w:lineRule="exact" w:line="288" w:before="0" w:after="60"/>
        <w:rPr/>
      </w:pPr>
      <w:r>
        <w:rPr>
          <w:rFonts w:eastAsia="Cambria" w:cs="Cambria"/>
          <w:b/>
          <w:bCs/>
          <w:i w:val="false"/>
          <w:iCs w:val="false"/>
          <w:sz w:val="22"/>
          <w:szCs w:val="22"/>
        </w:rPr>
        <w:t>LinkedIn:</w:t>
      </w:r>
      <w:r>
        <w:rPr>
          <w:rFonts w:eastAsia="Cambria" w:cs="Cambria"/>
          <w:b w:val="false"/>
          <w:bCs w:val="false"/>
          <w:i w:val="false"/>
          <w:iCs w:val="false"/>
          <w:sz w:val="22"/>
          <w:szCs w:val="22"/>
        </w:rPr>
        <w:t xml:space="preserve"> Profil auf Englisch, mit Foto (dort üblich), einer Überschrift aus Rolle und Fachgebiet und Ergebnissen statt Aufgaben, denn Recruiter suchen per Stichwort. Schreibe Kontakte mit einer kurzen persönlichen Nachricht an; „Open to Work” stellst du nur für Recruiter sichtbar, solange du angestellt bist.</w:t>
      </w:r>
    </w:p>
    <w:p>
      <w:pPr>
        <w:pStyle w:val="ListParagraph"/>
        <w:numPr>
          <w:ilvl w:val="0"/>
          <w:numId w:val="1"/>
        </w:numPr>
        <w:spacing w:lineRule="exact" w:line="288" w:before="0" w:after="60"/>
        <w:rPr/>
      </w:pPr>
      <w:r>
        <w:rPr>
          <w:rFonts w:eastAsia="Cambria" w:cs="Cambria"/>
          <w:b/>
          <w:bCs/>
          <w:i w:val="false"/>
          <w:iCs w:val="false"/>
          <w:sz w:val="22"/>
          <w:szCs w:val="22"/>
        </w:rPr>
        <w:t>Informationsgespräche</w:t>
      </w:r>
      <w:r>
        <w:rPr>
          <w:rFonts w:eastAsia="Cambria" w:cs="Cambria"/>
          <w:b w:val="false"/>
          <w:bCs w:val="false"/>
          <w:i w:val="false"/>
          <w:iCs w:val="false"/>
          <w:sz w:val="22"/>
          <w:szCs w:val="22"/>
        </w:rPr>
        <w:t xml:space="preserve"> (</w:t>
      </w:r>
      <w:r>
        <w:rPr>
          <w:rFonts w:eastAsia="Cambria" w:cs="Cambria"/>
          <w:b w:val="false"/>
          <w:bCs w:val="false"/>
          <w:i/>
          <w:iCs/>
          <w:sz w:val="22"/>
          <w:szCs w:val="22"/>
        </w:rPr>
        <w:t>Informational Interviews</w:t>
      </w:r>
      <w:r>
        <w:rPr>
          <w:rFonts w:eastAsia="Cambria" w:cs="Cambria"/>
          <w:b w:val="false"/>
          <w:bCs w:val="false"/>
          <w:i w:val="false"/>
          <w:iCs w:val="false"/>
          <w:sz w:val="22"/>
          <w:szCs w:val="22"/>
        </w:rPr>
        <w:t>): 15–20 Minuten per Video mit jemandem in deiner Zielfirma für Einblick und Rat, nicht um einen Job zu erbitten. Amerikaner helfen dabei häufig.</w:t>
      </w:r>
    </w:p>
    <w:p>
      <w:pPr>
        <w:pStyle w:val="ListParagraph"/>
        <w:numPr>
          <w:ilvl w:val="0"/>
          <w:numId w:val="1"/>
        </w:numPr>
        <w:spacing w:lineRule="exact" w:line="288" w:before="0" w:after="60"/>
        <w:rPr/>
      </w:pPr>
      <w:r>
        <w:rPr>
          <w:rFonts w:eastAsia="Cambria" w:cs="Cambria"/>
          <w:b/>
          <w:bCs/>
          <w:i w:val="false"/>
          <w:iCs w:val="false"/>
          <w:sz w:val="22"/>
          <w:szCs w:val="22"/>
        </w:rPr>
        <w:t>Verbände und Alumni:</w:t>
      </w:r>
      <w:r>
        <w:rPr>
          <w:rFonts w:eastAsia="Cambria" w:cs="Cambria"/>
          <w:b w:val="false"/>
          <w:bCs w:val="false"/>
          <w:i w:val="false"/>
          <w:iCs w:val="false"/>
          <w:sz w:val="22"/>
          <w:szCs w:val="22"/>
        </w:rPr>
        <w:t xml:space="preserve"> Berufsverbände wie IEEE (Elektro, Informatik), ASME (Maschinenbau) und SAE (Fahrzeugtechnik), Ehemaligen-Netzwerke deiner Hochschule und die German American Chambers of Commerce.</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Im Büro zählt der Vorname, auch beim Vorstandschef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Titel wie „Dipl.-Ing.“ stehen nicht in der Anrede und selten in der Signatur; Ausnahmen sind Wissenschaft und Medizin. Ist dein Name schwer auszusprechen, schreibe die Aussprache in Signatur oder Slack-Profil.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Meetings beginnen oft mit zwei bis drei Minuten Small Talk. Erwartet wird, dass du dich äußerst: Wer schweigt, gilt nicht als weise, sondern als abwesend. Ideen dürfen unfertig sein, Entscheidungen fallen im Termin und werden per E-Mail mit Aufgaben und Verantwortlichen festgehalten (</w:t>
      </w:r>
      <w:r>
        <w:rPr>
          <w:rFonts w:eastAsia="Cambria" w:cs="Cambria"/>
          <w:b w:val="false"/>
          <w:bCs w:val="false"/>
          <w:i/>
          <w:iCs/>
          <w:sz w:val="22"/>
          <w:szCs w:val="22"/>
        </w:rPr>
        <w:t>Action Items</w:t>
      </w:r>
      <w:r>
        <w:rPr>
          <w:rFonts w:eastAsia="Cambria" w:cs="Cambria"/>
          <w:b w:val="false"/>
          <w:bCs w:val="false"/>
          <w:i w:val="false"/>
          <w:iCs w:val="false"/>
          <w:sz w:val="22"/>
          <w:szCs w:val="22"/>
        </w:rPr>
        <w:t>). „Let’s take this offline“ heißt: Das klären wir separat.</w:t>
      </w:r>
    </w:p>
    <w:p>
      <w:pPr>
        <w:pStyle w:val="Heading3"/>
        <w:keepNext w:val="true"/>
        <w:spacing w:before="280" w:after="100"/>
        <w:jc w:val="center"/>
        <w:rPr/>
      </w:pPr>
      <w:r>
        <w:rPr>
          <w:rFonts w:eastAsia="Amazon Ember" w:cs="Amazon Ember" w:ascii="Amazon Ember" w:hAnsi="Amazon Ember"/>
          <w:b/>
          <w:bCs/>
          <w:color w:val="0000FF"/>
          <w:sz w:val="36"/>
          <w:szCs w:val="36"/>
        </w:rPr>
        <w:t>Bewerbung: Resume statt Lebenslauf</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w:t>
      </w:r>
      <w:r>
        <w:rPr>
          <w:rFonts w:eastAsia="Cambria" w:cs="Cambria"/>
          <w:b w:val="false"/>
          <w:bCs w:val="false"/>
          <w:i/>
          <w:iCs/>
          <w:sz w:val="22"/>
          <w:szCs w:val="22"/>
        </w:rPr>
        <w:t>Resume</w:t>
      </w:r>
      <w:r>
        <w:rPr>
          <w:rFonts w:eastAsia="Cambria" w:cs="Cambria"/>
          <w:b w:val="false"/>
          <w:bCs w:val="false"/>
          <w:i w:val="false"/>
          <w:iCs w:val="false"/>
          <w:sz w:val="22"/>
          <w:szCs w:val="22"/>
        </w:rPr>
        <w:t xml:space="preserve"> ist kein übersetzter Lebenslauf, sondern kürzer, ergebnisorientiert und ohne persönliche Angaben. Das </w:t>
      </w:r>
      <w:r>
        <w:rPr>
          <w:rFonts w:eastAsia="Cambria" w:cs="Cambria"/>
          <w:b w:val="false"/>
          <w:bCs w:val="false"/>
          <w:i/>
          <w:iCs/>
          <w:sz w:val="22"/>
          <w:szCs w:val="22"/>
        </w:rPr>
        <w:t>CV</w:t>
      </w:r>
      <w:r>
        <w:rPr>
          <w:rFonts w:eastAsia="Cambria" w:cs="Cambria"/>
          <w:b w:val="false"/>
          <w:bCs w:val="false"/>
          <w:i w:val="false"/>
          <w:iCs w:val="false"/>
          <w:sz w:val="22"/>
          <w:szCs w:val="22"/>
        </w:rPr>
        <w:t xml:space="preserve"> (</w:t>
      </w:r>
      <w:r>
        <w:rPr>
          <w:rFonts w:eastAsia="Cambria" w:cs="Cambria"/>
          <w:b w:val="false"/>
          <w:bCs w:val="false"/>
          <w:i/>
          <w:iCs/>
          <w:sz w:val="22"/>
          <w:szCs w:val="22"/>
        </w:rPr>
        <w:t>Curriculum Vitae</w:t>
      </w:r>
      <w:r>
        <w:rPr>
          <w:rFonts w:eastAsia="Cambria" w:cs="Cambria"/>
          <w:b w:val="false"/>
          <w:bCs w:val="false"/>
          <w:i w:val="false"/>
          <w:iCs w:val="false"/>
          <w:sz w:val="22"/>
          <w:szCs w:val="22"/>
        </w:rPr>
        <w:t>) meint in den USA nur die lange akademische Fassung für Wissenschaft und Medizin.</w:t>
      </w:r>
    </w:p>
    <w:tbl>
      <w:tblPr>
        <w:tblW w:w="6480" w:type="dxa"/>
        <w:jc w:val="left"/>
        <w:tblInd w:w="0" w:type="dxa"/>
        <w:tblLayout w:type="fixed"/>
        <w:tblCellMar>
          <w:top w:w="50" w:type="dxa"/>
          <w:left w:w="80" w:type="dxa"/>
          <w:bottom w:w="50" w:type="dxa"/>
          <w:right w:w="80" w:type="dxa"/>
        </w:tblCellMar>
      </w:tblPr>
      <w:tblGrid>
        <w:gridCol w:w="949"/>
        <w:gridCol w:w="2200"/>
        <w:gridCol w:w="3331"/>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Merkmal</w:t>
            </w:r>
          </w:p>
        </w:tc>
        <w:tc>
          <w:tcPr>
            <w:tcW w:w="220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Deutscher Lebenslauf</w:t>
            </w:r>
          </w:p>
        </w:tc>
        <w:tc>
          <w:tcPr>
            <w:tcW w:w="333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US-Resume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Umfang</w:t>
            </w:r>
          </w:p>
        </w:tc>
        <w:tc>
          <w:tcPr>
            <w:tcW w:w="2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meist zwei Seiten</w:t>
            </w:r>
          </w:p>
        </w:tc>
        <w:tc>
          <w:tcPr>
            <w:tcW w:w="33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eine Seite bis etwa zehn Jahre Erfahrung, sonst zwei</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Persönliches</w:t>
            </w:r>
          </w:p>
        </w:tc>
        <w:tc>
          <w:tcPr>
            <w:tcW w:w="2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Foto, Geburtsdatum, Familienstand</w:t>
            </w:r>
          </w:p>
        </w:tc>
        <w:tc>
          <w:tcPr>
            <w:tcW w:w="33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weglassen; nur Name, Ort, E-Mail, Telefon, LinkedIn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Aufbau</w:t>
            </w:r>
          </w:p>
        </w:tc>
        <w:tc>
          <w:tcPr>
            <w:tcW w:w="2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Stationen mit Aufgaben</w:t>
            </w:r>
          </w:p>
        </w:tc>
        <w:tc>
          <w:tcPr>
            <w:tcW w:w="33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Kurzprofil (</w:t>
            </w:r>
            <w:r>
              <w:rPr>
                <w:rFonts w:eastAsia="Cambria" w:cs="Cambria"/>
                <w:b w:val="false"/>
                <w:bCs w:val="false"/>
                <w:i/>
                <w:iCs/>
                <w:sz w:val="18"/>
                <w:szCs w:val="18"/>
              </w:rPr>
              <w:t>Summary</w:t>
            </w:r>
            <w:r>
              <w:rPr>
                <w:rFonts w:eastAsia="Cambria" w:cs="Cambria"/>
                <w:b w:val="false"/>
                <w:bCs w:val="false"/>
                <w:i w:val="false"/>
                <w:iCs w:val="false"/>
                <w:sz w:val="18"/>
                <w:szCs w:val="18"/>
              </w:rPr>
              <w:t>), Stationen mit Stichpunkten zu Ergebnissen und Zahlen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Anlagen</w:t>
            </w:r>
          </w:p>
        </w:tc>
        <w:tc>
          <w:tcPr>
            <w:tcW w:w="2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Zeugnisse, Zertifikate, Anschreiben</w:t>
            </w:r>
          </w:p>
        </w:tc>
        <w:tc>
          <w:tcPr>
            <w:tcW w:w="33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keine; Referenzen erst auf Anfrage; </w:t>
            </w:r>
            <w:r>
              <w:rPr>
                <w:rFonts w:eastAsia="Cambria" w:cs="Cambria"/>
                <w:b w:val="false"/>
                <w:bCs w:val="false"/>
                <w:i/>
                <w:iCs/>
                <w:sz w:val="18"/>
                <w:szCs w:val="18"/>
              </w:rPr>
              <w:t>Cover Letter</w:t>
            </w:r>
            <w:r>
              <w:rPr>
                <w:rFonts w:eastAsia="Cambria" w:cs="Cambria"/>
                <w:b w:val="false"/>
                <w:bCs w:val="false"/>
                <w:i w:val="false"/>
                <w:iCs w:val="false"/>
                <w:sz w:val="18"/>
                <w:szCs w:val="18"/>
              </w:rPr>
              <w:t xml:space="preserve"> nur, wenn verlangt</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Schreibe Stichpunkte mit Verb und Ergebnis: „Reduced scrap rate by 12 % across two production lines“ statt „Verantwortlich für Qualitätssicherung“. Übernimm Stichwörter aus der Stellenanzeige, denn Bewerbungssysteme (</w:t>
      </w:r>
      <w:r>
        <w:rPr>
          <w:rFonts w:eastAsia="Cambria" w:cs="Cambria"/>
          <w:b w:val="false"/>
          <w:bCs w:val="false"/>
          <w:i/>
          <w:iCs/>
          <w:sz w:val="22"/>
          <w:szCs w:val="22"/>
        </w:rPr>
        <w:t>Applicant Tracking Systems</w:t>
      </w:r>
      <w:r>
        <w:rPr>
          <w:rFonts w:eastAsia="Cambria" w:cs="Cambria"/>
          <w:b w:val="false"/>
          <w:bCs w:val="false"/>
          <w:i w:val="false"/>
          <w:iCs w:val="false"/>
          <w:sz w:val="22"/>
          <w:szCs w:val="22"/>
        </w:rPr>
        <w:t>, ATS) filtern vorab; ein schlichtes Layout ohne Spalten und Grafiken hilft. Ein Arbeitszeugnis ist in den USA unbekannt; stattdessen nennst du gegen Ende des Verfahrens zwei bis drei Referenzen.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Kostenlose Resume-Hilfe muss keine bezahlte Beratung sein. CareerOneStop, ein Angebot des US-Arbeitsministeriums, bietet eine kostenlose Schritt-für-Schritt-Anleitung samt Musterlebensläufen (careeronestop.org/JobSearch/Resumes) und eine eigene Seite für Neuankömmlinge (Suchbegriff „New Americans careeronestop“). Über die </w:t>
            </w:r>
            <w:r>
              <w:rPr>
                <w:rFonts w:eastAsia="Cambria" w:cs="Cambria"/>
                <w:b w:val="false"/>
                <w:bCs w:val="false"/>
                <w:i/>
                <w:iCs/>
                <w:sz w:val="20"/>
                <w:szCs w:val="20"/>
              </w:rPr>
              <w:t>American Job Center</w:t>
            </w:r>
            <w:r>
              <w:rPr>
                <w:rFonts w:eastAsia="Cambria" w:cs="Cambria"/>
                <w:b w:val="false"/>
                <w:bCs w:val="false"/>
                <w:i w:val="false"/>
                <w:iCs w:val="false"/>
                <w:sz w:val="20"/>
                <w:szCs w:val="20"/>
              </w:rPr>
              <w:t>-Suche (careeronestop.org, ZIP-Code eingeben, oder 1-877-US-2JOBS) findest du eine staatlich geförderte Anlaufstelle in deiner Nähe mit kostenlosen Resume-Workshops und persönlichem Feedback – ganz ohne Termingebühr. Auch viele öffentliche Bibliotheken bieten kostenlose Bewerbungsberatung und LinkedIn-Learning-Zugang über den Bibliotheksausweis.</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Diplom und Berufsanerkennung.</w:t>
      </w:r>
      <w:r>
        <w:rPr>
          <w:rFonts w:eastAsia="Cambria" w:cs="Cambria"/>
          <w:b w:val="false"/>
          <w:bCs w:val="false"/>
          <w:i w:val="false"/>
          <w:iCs w:val="false"/>
          <w:sz w:val="22"/>
          <w:szCs w:val="22"/>
        </w:rPr>
        <w:t xml:space="preserve"> Nenne deinen Abschluss mit der Einstufung aus dem Bewertungsgutachten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 nicht nur als Abkürzung wie „Dipl.-Ing. (FH)“. Erkläre Ausbildungsberufe und den Meister kurz als Berufsausbildung (</w:t>
      </w:r>
      <w:r>
        <w:rPr>
          <w:rFonts w:eastAsia="Cambria" w:cs="Cambria"/>
          <w:b w:val="false"/>
          <w:bCs w:val="false"/>
          <w:i/>
          <w:iCs/>
          <w:sz w:val="22"/>
          <w:szCs w:val="22"/>
        </w:rPr>
        <w:t>Apprenticeship</w:t>
      </w:r>
      <w:r>
        <w:rPr>
          <w:rFonts w:eastAsia="Cambria" w:cs="Cambria"/>
          <w:b w:val="false"/>
          <w:bCs w:val="false"/>
          <w:i w:val="false"/>
          <w:iCs w:val="false"/>
          <w:sz w:val="22"/>
          <w:szCs w:val="22"/>
        </w:rPr>
        <w:t>) und Fachqualifikation. Für die meisten Ingenieur- und IT-Stellen ist der Abschluss ein Qualifikationsnachweis, keine Berufszulassung; Lizenzberufe wie Medizin, Pflege, Lehramt oder Elektrohandwerk regelt jeder Bundesstaat selbst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Der Interviewprozess</w:t>
      </w:r>
      <w:r>
        <w:rPr>
          <w:rFonts w:eastAsia="Cambria" w:cs="Cambria"/>
          <w:b w:val="false"/>
          <w:bCs w:val="false"/>
          <w:i w:val="false"/>
          <w:iCs w:val="false"/>
          <w:sz w:val="22"/>
          <w:szCs w:val="22"/>
        </w:rPr>
        <w:t xml:space="preserve"> dauert meist mehrere Wochen und läuft je nach Firma ähnlich ab:</w:t>
      </w:r>
    </w:p>
    <w:p>
      <w:pPr>
        <w:pStyle w:val="ListParagraph"/>
        <w:numPr>
          <w:ilvl w:val="0"/>
          <w:numId w:val="172"/>
        </w:numPr>
        <w:spacing w:lineRule="exact" w:line="288" w:before="0" w:after="60"/>
        <w:rPr/>
      </w:pPr>
      <w:r>
        <w:rPr>
          <w:rFonts w:eastAsia="Cambria" w:cs="Cambria"/>
          <w:b w:val="false"/>
          <w:bCs w:val="false"/>
          <w:i/>
          <w:iCs/>
          <w:sz w:val="22"/>
          <w:szCs w:val="22"/>
        </w:rPr>
        <w:t>Recruiter Screen</w:t>
      </w:r>
      <w:r>
        <w:rPr>
          <w:rFonts w:eastAsia="Cambria" w:cs="Cambria"/>
          <w:b w:val="false"/>
          <w:bCs w:val="false"/>
          <w:i w:val="false"/>
          <w:iCs w:val="false"/>
          <w:sz w:val="22"/>
          <w:szCs w:val="22"/>
        </w:rPr>
        <w:t>: 20–30 Minuten per Telefon oder Video zu Motivation, Gehaltsvorstellung und Arbeitsberechtigung.</w:t>
      </w:r>
    </w:p>
    <w:p>
      <w:pPr>
        <w:pStyle w:val="ListParagraph"/>
        <w:numPr>
          <w:ilvl w:val="0"/>
          <w:numId w:val="173"/>
        </w:numPr>
        <w:spacing w:lineRule="exact" w:line="288" w:before="0" w:after="60"/>
        <w:rPr/>
      </w:pPr>
      <w:r>
        <w:rPr>
          <w:rFonts w:eastAsia="Cambria" w:cs="Cambria"/>
          <w:b w:val="false"/>
          <w:bCs w:val="false"/>
          <w:i w:val="false"/>
          <w:iCs w:val="false"/>
          <w:sz w:val="22"/>
          <w:szCs w:val="22"/>
        </w:rPr>
        <w:t>Gespräch mit der Führungskraft (</w:t>
      </w:r>
      <w:r>
        <w:rPr>
          <w:rFonts w:eastAsia="Cambria" w:cs="Cambria"/>
          <w:b w:val="false"/>
          <w:bCs w:val="false"/>
          <w:i/>
          <w:iCs/>
          <w:sz w:val="22"/>
          <w:szCs w:val="22"/>
        </w:rPr>
        <w:t>Hiring Manager Interview</w:t>
      </w:r>
      <w:r>
        <w:rPr>
          <w:rFonts w:eastAsia="Cambria" w:cs="Cambria"/>
          <w:b w:val="false"/>
          <w:bCs w:val="false"/>
          <w:i w:val="false"/>
          <w:iCs w:val="false"/>
          <w:sz w:val="22"/>
          <w:szCs w:val="22"/>
        </w:rPr>
        <w:t>): Fachliches und Teamfit.</w:t>
      </w:r>
    </w:p>
    <w:p>
      <w:pPr>
        <w:pStyle w:val="ListParagraph"/>
        <w:numPr>
          <w:ilvl w:val="0"/>
          <w:numId w:val="174"/>
        </w:numPr>
        <w:spacing w:lineRule="exact" w:line="288" w:before="0" w:after="60"/>
        <w:rPr/>
      </w:pPr>
      <w:r>
        <w:rPr>
          <w:rFonts w:eastAsia="Cambria" w:cs="Cambria"/>
          <w:b w:val="false"/>
          <w:bCs w:val="false"/>
          <w:i w:val="false"/>
          <w:iCs w:val="false"/>
          <w:sz w:val="22"/>
          <w:szCs w:val="22"/>
        </w:rPr>
        <w:t>Fachtest: Programmieraufgabe, Fallstudie (</w:t>
      </w:r>
      <w:r>
        <w:rPr>
          <w:rFonts w:eastAsia="Cambria" w:cs="Cambria"/>
          <w:b w:val="false"/>
          <w:bCs w:val="false"/>
          <w:i/>
          <w:iCs/>
          <w:sz w:val="22"/>
          <w:szCs w:val="22"/>
        </w:rPr>
        <w:t>Case</w:t>
      </w:r>
      <w:r>
        <w:rPr>
          <w:rFonts w:eastAsia="Cambria" w:cs="Cambria"/>
          <w:b w:val="false"/>
          <w:bCs w:val="false"/>
          <w:i w:val="false"/>
          <w:iCs w:val="false"/>
          <w:sz w:val="22"/>
          <w:szCs w:val="22"/>
        </w:rPr>
        <w:t>) oder Hausaufgabe (</w:t>
      </w:r>
      <w:r>
        <w:rPr>
          <w:rFonts w:eastAsia="Cambria" w:cs="Cambria"/>
          <w:b w:val="false"/>
          <w:bCs w:val="false"/>
          <w:i/>
          <w:iCs/>
          <w:sz w:val="22"/>
          <w:szCs w:val="22"/>
        </w:rPr>
        <w:t>Take-home</w:t>
      </w:r>
      <w:r>
        <w:rPr>
          <w:rFonts w:eastAsia="Cambria" w:cs="Cambria"/>
          <w:b w:val="false"/>
          <w:bCs w:val="false"/>
          <w:i w:val="false"/>
          <w:iCs w:val="false"/>
          <w:sz w:val="22"/>
          <w:szCs w:val="22"/>
        </w:rPr>
        <w:t>).</w:t>
      </w:r>
    </w:p>
    <w:p>
      <w:pPr>
        <w:pStyle w:val="ListParagraph"/>
        <w:numPr>
          <w:ilvl w:val="0"/>
          <w:numId w:val="175"/>
        </w:numPr>
        <w:spacing w:lineRule="exact" w:line="288" w:before="0" w:after="60"/>
        <w:rPr/>
      </w:pPr>
      <w:r>
        <w:rPr>
          <w:rFonts w:eastAsia="Cambria" w:cs="Cambria"/>
          <w:b w:val="false"/>
          <w:bCs w:val="false"/>
          <w:i w:val="false"/>
          <w:iCs w:val="false"/>
          <w:sz w:val="22"/>
          <w:szCs w:val="22"/>
        </w:rPr>
        <w:t>Gesprächsrunde an einem Tag (</w:t>
      </w:r>
      <w:r>
        <w:rPr>
          <w:rFonts w:eastAsia="Cambria" w:cs="Cambria"/>
          <w:b w:val="false"/>
          <w:bCs w:val="false"/>
          <w:i/>
          <w:iCs/>
          <w:sz w:val="22"/>
          <w:szCs w:val="22"/>
        </w:rPr>
        <w:t>Onsite</w:t>
      </w:r>
      <w:r>
        <w:rPr>
          <w:rFonts w:eastAsia="Cambria" w:cs="Cambria"/>
          <w:b w:val="false"/>
          <w:bCs w:val="false"/>
          <w:i w:val="false"/>
          <w:iCs w:val="false"/>
          <w:sz w:val="22"/>
          <w:szCs w:val="22"/>
        </w:rPr>
        <w:t xml:space="preserve"> oder </w:t>
      </w:r>
      <w:r>
        <w:rPr>
          <w:rFonts w:eastAsia="Cambria" w:cs="Cambria"/>
          <w:b w:val="false"/>
          <w:bCs w:val="false"/>
          <w:i/>
          <w:iCs/>
          <w:sz w:val="22"/>
          <w:szCs w:val="22"/>
        </w:rPr>
        <w:t>Virtual Loop</w:t>
      </w:r>
      <w:r>
        <w:rPr>
          <w:rFonts w:eastAsia="Cambria" w:cs="Cambria"/>
          <w:b w:val="false"/>
          <w:bCs w:val="false"/>
          <w:i w:val="false"/>
          <w:iCs w:val="false"/>
          <w:sz w:val="22"/>
          <w:szCs w:val="22"/>
        </w:rPr>
        <w:t>): vier bis sechs Gespräche zu Fachthemen und Verhalten.</w:t>
      </w:r>
    </w:p>
    <w:p>
      <w:pPr>
        <w:pStyle w:val="ListParagraph"/>
        <w:numPr>
          <w:ilvl w:val="0"/>
          <w:numId w:val="176"/>
        </w:numPr>
        <w:spacing w:lineRule="exact" w:line="288" w:before="0" w:after="60"/>
        <w:rPr/>
      </w:pPr>
      <w:r>
        <w:rPr>
          <w:rFonts w:eastAsia="Cambria" w:cs="Cambria"/>
          <w:b w:val="false"/>
          <w:bCs w:val="false"/>
          <w:i w:val="false"/>
          <w:iCs w:val="false"/>
          <w:sz w:val="22"/>
          <w:szCs w:val="22"/>
        </w:rPr>
        <w:t>Angebot, Referenzen, Background Check.</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Verhaltensfragen („Tell me about a time when …“) beantwortest du nach der </w:t>
      </w:r>
      <w:r>
        <w:rPr>
          <w:rFonts w:eastAsia="Cambria" w:cs="Cambria"/>
          <w:b w:val="false"/>
          <w:bCs w:val="false"/>
          <w:i/>
          <w:iCs/>
          <w:sz w:val="22"/>
          <w:szCs w:val="22"/>
        </w:rPr>
        <w:t>STAR</w:t>
      </w:r>
      <w:r>
        <w:rPr>
          <w:rFonts w:eastAsia="Cambria" w:cs="Cambria"/>
          <w:b w:val="false"/>
          <w:bCs w:val="false"/>
          <w:i w:val="false"/>
          <w:iCs w:val="false"/>
          <w:sz w:val="22"/>
          <w:szCs w:val="22"/>
        </w:rPr>
        <w:t>-Methode: Situation, Aufgabe (</w:t>
      </w:r>
      <w:r>
        <w:rPr>
          <w:rFonts w:eastAsia="Cambria" w:cs="Cambria"/>
          <w:b w:val="false"/>
          <w:bCs w:val="false"/>
          <w:i/>
          <w:iCs/>
          <w:sz w:val="22"/>
          <w:szCs w:val="22"/>
        </w:rPr>
        <w:t>Task</w:t>
      </w:r>
      <w:r>
        <w:rPr>
          <w:rFonts w:eastAsia="Cambria" w:cs="Cambria"/>
          <w:b w:val="false"/>
          <w:bCs w:val="false"/>
          <w:i w:val="false"/>
          <w:iCs w:val="false"/>
          <w:sz w:val="22"/>
          <w:szCs w:val="22"/>
        </w:rPr>
        <w:t>), Handlung (</w:t>
      </w:r>
      <w:r>
        <w:rPr>
          <w:rFonts w:eastAsia="Cambria" w:cs="Cambria"/>
          <w:b w:val="false"/>
          <w:bCs w:val="false"/>
          <w:i/>
          <w:iCs/>
          <w:sz w:val="22"/>
          <w:szCs w:val="22"/>
        </w:rPr>
        <w:t>Action</w:t>
      </w:r>
      <w:r>
        <w:rPr>
          <w:rFonts w:eastAsia="Cambria" w:cs="Cambria"/>
          <w:b w:val="false"/>
          <w:bCs w:val="false"/>
          <w:i w:val="false"/>
          <w:iCs w:val="false"/>
          <w:sz w:val="22"/>
          <w:szCs w:val="22"/>
        </w:rPr>
        <w:t>), Ergebnis (</w:t>
      </w:r>
      <w:r>
        <w:rPr>
          <w:rFonts w:eastAsia="Cambria" w:cs="Cambria"/>
          <w:b w:val="false"/>
          <w:bCs w:val="false"/>
          <w:i/>
          <w:iCs/>
          <w:sz w:val="22"/>
          <w:szCs w:val="22"/>
        </w:rPr>
        <w:t>Result</w:t>
      </w:r>
      <w:r>
        <w:rPr>
          <w:rFonts w:eastAsia="Cambria" w:cs="Cambria"/>
          <w:b w:val="false"/>
          <w:bCs w:val="false"/>
          <w:i w:val="false"/>
          <w:iCs w:val="false"/>
          <w:sz w:val="22"/>
          <w:szCs w:val="22"/>
        </w:rPr>
        <w:t>), in der Ich-Form. Auf „Tell me about yourself“ gehört ein Kurzprofil von 60–90 Sekunden. Schicke nach jedem Gespräch binnen 24 Stunden eine kurze Dankes-E-Mail. Fragen nach Lebensalter, Familienstand, Kindern, Religion oder Herkunft sind für Arbeitgeber tabu; du darfst höflich ausweichen.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Auf die Frage „Will you now or in the future require sponsorship?“ antwortest du ehrlich mit Ja, wenn du ein Arbeitsvisum brauchst. Frage schon im ersten Gespräch, ob die Firma H-1B-Sponsoring anbietet: Viele Anzeigen schließen es aus, und ein frühes Ja spart beiden Seiten Zeit (Kapitel </w:t>
            </w:r>
            <w:hyperlink w:anchor="k5">
              <w:r>
                <w:rPr>
                  <w:rStyle w:val="ListLabel114"/>
                  <w:rFonts w:eastAsia="Cambria" w:cs="Cambria"/>
                  <w:b w:val="false"/>
                  <w:bCs w:val="false"/>
                  <w:i w:val="false"/>
                  <w:iCs w:val="false"/>
                  <w:sz w:val="20"/>
                  <w:szCs w:val="20"/>
                </w:rPr>
                <w:t>5</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Typische Stolpersteine deutscher Ingenieure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Vier Muster tauchen immer wieder auf:</w:t>
      </w:r>
    </w:p>
    <w:p>
      <w:pPr>
        <w:pStyle w:val="ListParagraph"/>
        <w:numPr>
          <w:ilvl w:val="0"/>
          <w:numId w:val="1"/>
        </w:numPr>
        <w:spacing w:lineRule="exact" w:line="288" w:before="0" w:after="60"/>
        <w:rPr/>
      </w:pPr>
      <w:r>
        <w:rPr>
          <w:rFonts w:eastAsia="Cambria" w:cs="Cambria"/>
          <w:b/>
          <w:bCs/>
          <w:i w:val="false"/>
          <w:iCs w:val="false"/>
          <w:sz w:val="22"/>
          <w:szCs w:val="22"/>
        </w:rPr>
        <w:t>Zu direkt.</w:t>
      </w:r>
      <w:r>
        <w:rPr>
          <w:rFonts w:eastAsia="Cambria" w:cs="Cambria"/>
          <w:b w:val="false"/>
          <w:bCs w:val="false"/>
          <w:i w:val="false"/>
          <w:iCs w:val="false"/>
          <w:sz w:val="22"/>
          <w:szCs w:val="22"/>
        </w:rPr>
        <w:t xml:space="preserve"> „Das funktioniert so nicht“ ist in Deutschland eine Sachaussage, in den USA klingt es nach Angriff. Formuliere als Frage und nenne den Nutzen: „Could we double-check the assumption? I’m getting a different result.“</w:t>
      </w:r>
    </w:p>
    <w:p>
      <w:pPr>
        <w:pStyle w:val="ListParagraph"/>
        <w:numPr>
          <w:ilvl w:val="0"/>
          <w:numId w:val="1"/>
        </w:numPr>
        <w:spacing w:lineRule="exact" w:line="288" w:before="0" w:after="60"/>
        <w:rPr/>
      </w:pPr>
      <w:r>
        <w:rPr>
          <w:rFonts w:eastAsia="Cambria" w:cs="Cambria"/>
          <w:b/>
          <w:bCs/>
          <w:i w:val="false"/>
          <w:iCs w:val="false"/>
          <w:sz w:val="22"/>
          <w:szCs w:val="22"/>
        </w:rPr>
        <w:t>Zu bescheiden.</w:t>
      </w:r>
      <w:r>
        <w:rPr>
          <w:rFonts w:eastAsia="Cambria" w:cs="Cambria"/>
          <w:b w:val="false"/>
          <w:bCs w:val="false"/>
          <w:i w:val="false"/>
          <w:iCs w:val="false"/>
          <w:sz w:val="22"/>
          <w:szCs w:val="22"/>
        </w:rPr>
        <w:t xml:space="preserve"> Wer „wir“ sagt, wo er „ich“ meint, und Erfolge nicht benennt, gilt als weniger erfolgreich. In Review, Gehaltsgespräch und Beförderungsrunde erwartet man „I did“ und Zahlen.</w:t>
      </w:r>
    </w:p>
    <w:p>
      <w:pPr>
        <w:pStyle w:val="ListParagraph"/>
        <w:numPr>
          <w:ilvl w:val="0"/>
          <w:numId w:val="1"/>
        </w:numPr>
        <w:spacing w:lineRule="exact" w:line="288" w:before="0" w:after="60"/>
        <w:rPr/>
      </w:pPr>
      <w:r>
        <w:rPr>
          <w:rFonts w:eastAsia="Cambria" w:cs="Cambria"/>
          <w:b/>
          <w:bCs/>
          <w:i w:val="false"/>
          <w:iCs w:val="false"/>
          <w:sz w:val="22"/>
          <w:szCs w:val="22"/>
        </w:rPr>
        <w:t>Zu gründlich.</w:t>
      </w:r>
      <w:r>
        <w:rPr>
          <w:rFonts w:eastAsia="Cambria" w:cs="Cambria"/>
          <w:b w:val="false"/>
          <w:bCs w:val="false"/>
          <w:i w:val="false"/>
          <w:iCs w:val="false"/>
          <w:sz w:val="22"/>
          <w:szCs w:val="22"/>
        </w:rPr>
        <w:t xml:space="preserve"> Viele US-Teams starten mit einem tragfähigen Zwischenstand und verbessern unterwegs; wer erst nach vollständiger Klärung liefert, wirkt langsam.</w:t>
      </w:r>
    </w:p>
    <w:p>
      <w:pPr>
        <w:pStyle w:val="ListParagraph"/>
        <w:numPr>
          <w:ilvl w:val="0"/>
          <w:numId w:val="1"/>
        </w:numPr>
        <w:spacing w:lineRule="exact" w:line="288" w:before="0" w:after="60"/>
        <w:rPr/>
      </w:pPr>
      <w:r>
        <w:rPr>
          <w:rFonts w:eastAsia="Cambria" w:cs="Cambria"/>
          <w:b/>
          <w:bCs/>
          <w:i w:val="false"/>
          <w:iCs w:val="false"/>
          <w:sz w:val="22"/>
          <w:szCs w:val="22"/>
        </w:rPr>
        <w:t>Zu zurückgezogen.</w:t>
      </w:r>
      <w:r>
        <w:rPr>
          <w:rFonts w:eastAsia="Cambria" w:cs="Cambria"/>
          <w:b w:val="false"/>
          <w:bCs w:val="false"/>
          <w:i w:val="false"/>
          <w:iCs w:val="false"/>
          <w:sz w:val="22"/>
          <w:szCs w:val="22"/>
        </w:rPr>
        <w:t xml:space="preserve"> Team-Lunch, Kaffeeküche und Feierabendtermine sind Teil der Arbeit, denn dort entstehen Beziehungen. Alkohol ist nie Pflicht.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Markus Brandt (fiktiv) sitzt im dritten Monat bei seinem Zulieferer im Großraum Detroit in einer Konstruktionsbesprechung. Ein Kollege stellt ein Konzept vor, Markus sagt „Das funktioniert so nicht“ und rechnet eine Toleranzkette vor. Er hat recht, aber der Kollege schweigt bis zum Ende, den Blick auf den Laptop statt auf Markus gerichtet. Im 1:1 rät seine Managerin: erst die Stärke nennen, dann fragen: „Have we checked the tolerance stack?“ Im ersten Review schreibt Markus, er habe „im Team an der Ausschussreduzierung mitgearbeitet“. Die Managerin fragt: „What was your part?“ Er ändert den Satz in „Reduced scrap by 12 % on one line, about 85.000 $ per year“, und sie übernimmt ihn in die Bewertung.</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In den USA gehört es zur Arbeit, sie sichtbar zu machen. Wer nur liefert, wird oft übersehen; wer liefert und darüber spricht, kommt eher voran.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Höhere Gehälter, meist höherer Netto-Anteil; Bonus und Aktien können das Paket deutlich anheben (Kapitel </w:t>
            </w:r>
            <w:hyperlink w:anchor="k28">
              <w:r>
                <w:rPr>
                  <w:rStyle w:val="ListLabel112"/>
                  <w:rFonts w:eastAsia="Cambria" w:cs="Cambria"/>
                  <w:b w:val="false"/>
                  <w:bCs w:val="false"/>
                  <w:i w:val="false"/>
                  <w:iCs w:val="false"/>
                  <w:sz w:val="18"/>
                  <w:szCs w:val="18"/>
                </w:rPr>
                <w:t>28</w:t>
              </w:r>
            </w:hyperlink>
            <w:r>
              <w:rPr>
                <w:rFonts w:eastAsia="Cambria" w:cs="Cambria"/>
                <w:b w:val="false"/>
                <w:bCs w:val="false"/>
                <w:i w:val="false"/>
                <w:iCs w:val="false"/>
                <w:sz w:val="18"/>
                <w:szCs w:val="18"/>
              </w:rPr>
              <w: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allgemeiner Kündigungsschutz; mit Visum hängt der Aufenthalt am Job (Kapitel </w:t>
            </w:r>
            <w:hyperlink w:anchor="k30">
              <w:r>
                <w:rPr>
                  <w:rStyle w:val="ListLabel112"/>
                  <w:rFonts w:eastAsia="Cambria" w:cs="Cambria"/>
                  <w:b w:val="false"/>
                  <w:bCs w:val="false"/>
                  <w:i w:val="false"/>
                  <w:iCs w:val="false"/>
                  <w:sz w:val="18"/>
                  <w:szCs w:val="18"/>
                </w:rPr>
                <w:t>30</w:t>
              </w:r>
            </w:hyperlink>
            <w:r>
              <w:rPr>
                <w:rFonts w:eastAsia="Cambria" w:cs="Cambria"/>
                <w:b w:val="false"/>
                <w:bCs w:val="false"/>
                <w:i w:val="false"/>
                <w:iCs w:val="false"/>
                <w:sz w:val="18"/>
                <w:szCs w:val="18"/>
              </w:rPr>
              <w: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Verhandlungsspielraum bei Level, Sign-on und Aktien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bundesweiter Anspruch auf Urlaub, Krankheitstage oder bezahlte Elternzeit; im Schnitt 11 Urlaubstage im ersten Jahr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Schneller Jobwechsel und Aufstieg ohne Tarifstufen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Krankenversicherung und Altersvorsorge hängen am Arbeitgeber (Kapitel </w:t>
            </w:r>
            <w:hyperlink w:anchor="k26">
              <w:r>
                <w:rPr>
                  <w:rStyle w:val="ListLabel112"/>
                  <w:rFonts w:eastAsia="Cambria" w:cs="Cambria"/>
                  <w:b w:val="false"/>
                  <w:bCs w:val="false"/>
                  <w:i w:val="false"/>
                  <w:iCs w:val="false"/>
                  <w:sz w:val="18"/>
                  <w:szCs w:val="18"/>
                </w:rPr>
                <w:t>26</w:t>
              </w:r>
            </w:hyperlink>
            <w:r>
              <w:rPr>
                <w:rFonts w:eastAsia="Cambria" w:cs="Cambria"/>
                <w:b w:val="false"/>
                <w:bCs w:val="false"/>
                <w:i w:val="false"/>
                <w:iCs w:val="false"/>
                <w:sz w:val="18"/>
                <w:szCs w:val="18"/>
              </w:rPr>
              <w: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Flache Hierarchien, Vornamen, häufiges Lob und Feedback</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Erreichbarkeit, Leistungsdruck, PIP und Stellenabbau kommen schnell</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Gehaltsspannen in immer mehr Staaten öffentlich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Wettbewerbsverbote in vielen Staaten durchsetzbar; 50 Bundesstaaten, 50 Regelwerke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Wer Leistung zeigt, wird sichtbar und belohnt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Selbstvermarktung ist Pflicht: Resume, Review, Networking</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Prüfe dein Angebot vor der Zusage Punkt für Punkt, recherchiere die Gehaltsspanne und verhandle das Paket. Lass Wettbewerbsverbot, Schiedsklausel und Erfindungszuweisung vor der Unterschrift prüfen. Bereite Resume und LinkedIn-Profil noch in Deutschland auf Englisch vor.</w:t>
      </w:r>
    </w:p>
    <w:tbl>
      <w:tblPr>
        <w:tblW w:w="6480" w:type="dxa"/>
        <w:jc w:val="left"/>
        <w:tblInd w:w="0" w:type="dxa"/>
        <w:tblLayout w:type="fixed"/>
        <w:tblCellMar>
          <w:top w:w="110" w:type="dxa"/>
          <w:left w:w="200" w:type="dxa"/>
          <w:bottom w:w="80" w:type="dxa"/>
          <w:right w:w="160" w:type="dxa"/>
        </w:tblCellMar>
      </w:tblPr>
      <w:tblGrid>
        <w:gridCol w:w="6480"/>
      </w:tblGrid>
      <w:tr>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Offer Letter prüfen: Titel und Level, Bonusziel, Aktien und Zuteilungsplan, 401(k)-Match, Beginn der Krankenversicherung.</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Gehaltsspanne über Stellenanzeigen, BLS-Daten (bls.gov/oes) und Gehaltsportale recherchieren, bevor du verhandelst.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Level, Sign-on, Aktien und Startdatum verhandeln, nicht nur das Grundgehalt; Zusagen schriftlich festhalten.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Wettbewerbsverbot, Schiedsvereinbarung und Erfindungszuweisung lesen und für deinen Bundesstaat prüfen lassen.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 Projekte und Patente als Ausnahme (</w:t>
            </w:r>
            <w:r>
              <w:rPr>
                <w:rFonts w:eastAsia="Cambria" w:cs="Cambria"/>
                <w:b w:val="false"/>
                <w:bCs w:val="false"/>
                <w:i/>
                <w:iCs/>
                <w:sz w:val="20"/>
                <w:szCs w:val="20"/>
              </w:rPr>
              <w:t>Prior Inventions</w:t>
            </w:r>
            <w:r>
              <w:rPr>
                <w:rFonts w:eastAsia="Cambria" w:cs="Cambria"/>
                <w:b w:val="false"/>
                <w:bCs w:val="false"/>
                <w:i w:val="false"/>
                <w:iCs w:val="false"/>
                <w:sz w:val="20"/>
                <w:szCs w:val="20"/>
              </w:rPr>
              <w:t>) in die Erfindungsklausel eintragen.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Klären, wer Visa- und Green-Card-Kosten trägt und wann das Verfahren startet (Kapitel </w:t>
            </w:r>
            <w:hyperlink w:anchor="k5">
              <w:r>
                <w:rPr>
                  <w:rStyle w:val="ListLabel114"/>
                  <w:rFonts w:eastAsia="Cambria" w:cs="Cambria"/>
                  <w:b w:val="false"/>
                  <w:bCs w:val="false"/>
                  <w:i w:val="false"/>
                  <w:iCs w:val="false"/>
                  <w:sz w:val="20"/>
                  <w:szCs w:val="20"/>
                </w:rPr>
                <w:t>5</w:t>
              </w:r>
            </w:hyperlink>
            <w:r>
              <w:rPr>
                <w:rFonts w:eastAsia="Cambria" w:cs="Cambria"/>
                <w:b w:val="false"/>
                <w:bCs w:val="false"/>
                <w:i w:val="false"/>
                <w:iCs w:val="false"/>
                <w:sz w:val="20"/>
                <w:szCs w:val="20"/>
              </w:rPr>
              <w:t xml:space="preserve"> bis </w:t>
            </w:r>
            <w:hyperlink w:anchor="k7">
              <w:r>
                <w:rPr>
                  <w:rStyle w:val="ListLabel114"/>
                  <w:rFonts w:eastAsia="Cambria" w:cs="Cambria"/>
                  <w:b w:val="false"/>
                  <w:bCs w:val="false"/>
                  <w:i w:val="false"/>
                  <w:iCs w:val="false"/>
                  <w:sz w:val="20"/>
                  <w:szCs w:val="20"/>
                </w:rPr>
                <w:t>7</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Urlaubs-, Krankheits- und Elternzeit-Regeln erfragen; die FMLA-Voraussetzung von zwölf Monaten im Blick behalten.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Mindestens den vollen 401(k)-Match einzahlen.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Resume auf US-Format bringen (ein bis zwei Seiten, ohne Foto und Geburtsdatum, Ergebnisse mit Zahlen) und LinkedIn auf Englisch anlegen.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Antwort auf die Sponsoring-Frage und drei STAR-Geschichten vorbereiten.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Im Job wöchentliche 1:1-Gespräche nutzen und Erfolge laufend für das Review festhalten.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Arbeitsministerium (DOL) – FMLA: </w:t>
      </w:r>
      <w:hyperlink r:id="rId280">
        <w:r>
          <w:rPr>
            <w:rStyle w:val="ListLabel113"/>
            <w:rFonts w:eastAsia="Cambria" w:cs="Cambria"/>
            <w:b w:val="false"/>
            <w:bCs w:val="false"/>
            <w:i w:val="false"/>
            <w:iCs w:val="false"/>
            <w:color w:val="0563C1"/>
            <w:sz w:val="22"/>
            <w:szCs w:val="22"/>
            <w:u w:val="single"/>
          </w:rPr>
          <w:t>dol.gov/agencies/whd/fmla</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Arbeitsministerium – Mindestlohn und Überstunden (FLSA): </w:t>
      </w:r>
      <w:hyperlink r:id="rId281">
        <w:r>
          <w:rPr>
            <w:rStyle w:val="ListLabel113"/>
            <w:rFonts w:eastAsia="Cambria" w:cs="Cambria"/>
            <w:b w:val="false"/>
            <w:bCs w:val="false"/>
            <w:i w:val="false"/>
            <w:iCs w:val="false"/>
            <w:color w:val="0563C1"/>
            <w:sz w:val="22"/>
            <w:szCs w:val="22"/>
            <w:u w:val="single"/>
          </w:rPr>
          <w:t>dol.gov/agencies/whd/flsa</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Gleichbehandlungsbehörde EEOC – Diskriminierung und Beschwerden: </w:t>
      </w:r>
      <w:hyperlink r:id="rId282">
        <w:r>
          <w:rPr>
            <w:rStyle w:val="ListLabel113"/>
            <w:rFonts w:eastAsia="Cambria" w:cs="Cambria"/>
            <w:b w:val="false"/>
            <w:bCs w:val="false"/>
            <w:i w:val="false"/>
            <w:iCs w:val="false"/>
            <w:color w:val="0563C1"/>
            <w:sz w:val="22"/>
            <w:szCs w:val="22"/>
            <w:u w:val="single"/>
          </w:rPr>
          <w:t>eeoc.gov</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Handelsbehörde FTC – Wettbewerbsverbote (Suchbegriff noncompete): </w:t>
      </w:r>
      <w:hyperlink r:id="rId283">
        <w:r>
          <w:rPr>
            <w:rStyle w:val="ListLabel113"/>
            <w:rFonts w:eastAsia="Cambria" w:cs="Cambria"/>
            <w:b w:val="false"/>
            <w:bCs w:val="false"/>
            <w:i w:val="false"/>
            <w:iCs w:val="false"/>
            <w:color w:val="0563C1"/>
            <w:sz w:val="22"/>
            <w:szCs w:val="22"/>
            <w:u w:val="single"/>
          </w:rPr>
          <w:t>ftc.gov</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Statistikbehörde BLS – Urlaub, Krankheit, Altersvorsorge (Employee Benefits): </w:t>
      </w:r>
      <w:hyperlink r:id="rId284">
        <w:r>
          <w:rPr>
            <w:rStyle w:val="ListLabel113"/>
            <w:rFonts w:eastAsia="Cambria" w:cs="Cambria"/>
            <w:b w:val="false"/>
            <w:bCs w:val="false"/>
            <w:i w:val="false"/>
            <w:iCs w:val="false"/>
            <w:color w:val="0563C1"/>
            <w:sz w:val="22"/>
            <w:szCs w:val="22"/>
            <w:u w:val="single"/>
          </w:rPr>
          <w:t>bls.gov/ebs</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BLS – Löhne nach Beruf und Region (OEWS): </w:t>
      </w:r>
      <w:hyperlink r:id="rId285">
        <w:r>
          <w:rPr>
            <w:rStyle w:val="ListLabel113"/>
            <w:rFonts w:eastAsia="Cambria" w:cs="Cambria"/>
            <w:b w:val="false"/>
            <w:bCs w:val="false"/>
            <w:i w:val="false"/>
            <w:iCs w:val="false"/>
            <w:color w:val="0563C1"/>
            <w:sz w:val="22"/>
            <w:szCs w:val="22"/>
            <w:u w:val="single"/>
          </w:rPr>
          <w:t>bls.gov/oes</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IRS – 401(k)-Pläne und Grenzen: </w:t>
      </w:r>
      <w:hyperlink r:id="rId286">
        <w:r>
          <w:rPr>
            <w:rStyle w:val="ListLabel113"/>
            <w:rFonts w:eastAsia="Cambria" w:cs="Cambria"/>
            <w:b w:val="false"/>
            <w:bCs w:val="false"/>
            <w:i w:val="false"/>
            <w:iCs w:val="false"/>
            <w:color w:val="0563C1"/>
            <w:sz w:val="22"/>
            <w:szCs w:val="22"/>
            <w:u w:val="single"/>
          </w:rPr>
          <w:t>irs.gov/retirement-plans/401k-plans</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Arbeitsministerium – H-1B, LCA und Lohn: </w:t>
      </w:r>
      <w:hyperlink r:id="rId287">
        <w:r>
          <w:rPr>
            <w:rStyle w:val="ListLabel113"/>
            <w:rFonts w:eastAsia="Cambria" w:cs="Cambria"/>
            <w:b w:val="false"/>
            <w:bCs w:val="false"/>
            <w:i w:val="false"/>
            <w:iCs w:val="false"/>
            <w:color w:val="0563C1"/>
            <w:sz w:val="22"/>
            <w:szCs w:val="22"/>
            <w:u w:val="single"/>
          </w:rPr>
          <w:t>dol.gov/agencies/eta/foreign-labor/programs/h-1b</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CareerOneStop (US-Arbeitsministerium) – kostenlose Resume-Hilfe und American-Job-Center-Suche: </w:t>
      </w:r>
      <w:hyperlink r:id="rId288">
        <w:r>
          <w:rPr>
            <w:rStyle w:val="ListLabel113"/>
            <w:rFonts w:eastAsia="Cambria" w:cs="Cambria"/>
            <w:b w:val="false"/>
            <w:bCs w:val="false"/>
            <w:i w:val="false"/>
            <w:iCs w:val="false"/>
            <w:color w:val="0563C1"/>
            <w:sz w:val="22"/>
            <w:szCs w:val="22"/>
            <w:u w:val="single"/>
          </w:rPr>
          <w:t>careeronestop.org</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ListParagraph"/>
              <w:numPr>
                <w:ilvl w:val="0"/>
                <w:numId w:val="177"/>
              </w:numPr>
              <w:spacing w:lineRule="exact" w:line="264" w:before="0" w:after="50"/>
              <w:rPr/>
            </w:pPr>
            <w:r>
              <w:rPr>
                <w:rFonts w:eastAsia="Cambria" w:cs="Cambria"/>
                <w:b w:val="false"/>
                <w:bCs w:val="false"/>
                <w:i w:val="false"/>
                <w:iCs w:val="false"/>
                <w:sz w:val="20"/>
                <w:szCs w:val="20"/>
              </w:rPr>
              <w:t>September 2026. Diese Angaben ändern sich schnell: die Landesgesetze zu Wettbewerbsverboten (Washington ab 30. Juni 2027, Illinois-Schwelle ab 1. Januar 2027, Florida CHOICE Act), die Zahl der Staaten mit Gehaltstransparenz, die Beträge des bezahlten Familienurlaubs (jährlich angepasst), die Schwelle für Überstunden, die 401(k)-Grenzen (die Werte für 2027 veröffentlicht die IRS meist im Oktober oder November) und die H-1B-Regeln (Kapitel </w:t>
            </w:r>
            <w:hyperlink w:anchor="k5">
              <w:r>
                <w:rPr>
                  <w:rStyle w:val="ListLabel114"/>
                  <w:rFonts w:eastAsia="Cambria" w:cs="Cambria"/>
                  <w:b w:val="false"/>
                  <w:bCs w:val="false"/>
                  <w:i w:val="false"/>
                  <w:iCs w:val="false"/>
                  <w:sz w:val="20"/>
                  <w:szCs w:val="20"/>
                </w:rPr>
                <w:t>5</w:t>
              </w:r>
            </w:hyperlink>
            <w:r>
              <w:rPr>
                <w:rFonts w:eastAsia="Cambria" w:cs="Cambria"/>
                <w:b w:val="false"/>
                <w:bCs w:val="false"/>
                <w:i w:val="false"/>
                <w:iCs w:val="false"/>
                <w:sz w:val="20"/>
                <w:szCs w:val="20"/>
              </w:rPr>
              <w:t xml:space="preserve"> und </w:t>
            </w:r>
            <w:hyperlink w:anchor="k30">
              <w:r>
                <w:rPr>
                  <w:rStyle w:val="ListLabel114"/>
                  <w:rFonts w:eastAsia="Cambria" w:cs="Cambria"/>
                  <w:b w:val="false"/>
                  <w:bCs w:val="false"/>
                  <w:i w:val="false"/>
                  <w:iCs w:val="false"/>
                  <w:sz w:val="20"/>
                  <w:szCs w:val="20"/>
                </w:rPr>
                <w:t>30</w:t>
              </w:r>
            </w:hyperlink>
            <w:r>
              <w:rPr>
                <w:rFonts w:eastAsia="Cambria" w:cs="Cambria"/>
                <w:b w:val="false"/>
                <w:bCs w:val="false"/>
                <w:i w:val="false"/>
                <w:iCs w:val="false"/>
                <w:sz w:val="20"/>
                <w:szCs w:val="20"/>
              </w:rPr>
              <w:t>). Arbeitsrecht ist überwiegend Landesrecht: Prüfe vor jeder Entscheidung die Seiten der Behörden deines Bundesstaats und lass wichtige Verträge anwaltlich prüfen.</w:t>
            </w:r>
          </w:p>
        </w:tc>
      </w:tr>
    </w:tbl>
    <w:p>
      <w:pPr>
        <w:pStyle w:val="Normal"/>
        <w:spacing w:lineRule="exact" w:line="220" w:before="0" w:after="0"/>
        <w:rPr/>
      </w:pPr>
      <w:r>
        <w:rPr/>
      </w:r>
      <w:r>
        <w:br w:type="page"/>
      </w:r>
    </w:p>
    <w:p>
      <w:pPr>
        <w:pStyle w:val="Heading2"/>
        <w:keepNext w:val="true"/>
        <w:spacing w:before="0" w:after="300"/>
        <w:jc w:val="center"/>
        <w:rPr/>
      </w:pPr>
      <w:bookmarkStart w:id="74" w:name="__RefHeading___Toc56499_3769931028"/>
      <w:bookmarkStart w:id="75" w:name="k30"/>
      <w:bookmarkEnd w:id="74"/>
      <w:r>
        <w:rPr>
          <w:rFonts w:eastAsia="Amazon Ember" w:cs="Amazon Ember" w:ascii="Amazon Ember" w:hAnsi="Amazon Ember"/>
          <w:b/>
          <w:bCs/>
          <w:color w:val="0000FF"/>
          <w:sz w:val="36"/>
          <w:szCs w:val="36"/>
        </w:rPr>
        <w:t>Kapitel 30: Jobwechsel, Kündigung und Umzug im Land: Was dein Status erlaubt</w:t>
      </w:r>
      <w:bookmarkEnd w:id="75"/>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Deine amerikanische Kollegin gibt am Montag ihre Kündigung ab, arbeitet noch zwei Wochen und fängt am dritten Montag bei einem Wettbewerber an. Für dich als H-1B-Inhaber ist derselbe Schritt ein Verwaltungsverfahren mit Gebühren, Fristen und einer Anwältin. Und wenn dein Arbeitgeber dich entlässt, läuft ab dem letzten Arbeitstag eine Uhr.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Amerikaner bleiben im Median knapp vier Jahre bei einem Arbeitgeber; Wechseln ist normal. Dein Status hängt dagegen an Arbeitgeber, Tätigkeit und Ort.</w:t>
            </w:r>
          </w:p>
          <w:p>
            <w:pPr>
              <w:pStyle w:val="ListParagraph"/>
              <w:numPr>
                <w:ilvl w:val="0"/>
                <w:numId w:val="1"/>
              </w:numPr>
              <w:spacing w:lineRule="exact" w:line="264" w:before="0" w:after="50"/>
              <w:rPr/>
            </w:pPr>
            <w:r>
              <w:rPr>
                <w:rFonts w:eastAsia="Cambria" w:cs="Cambria"/>
                <w:b w:val="false"/>
                <w:bCs w:val="false"/>
                <w:i w:val="false"/>
                <w:iCs w:val="false"/>
                <w:sz w:val="20"/>
                <w:szCs w:val="20"/>
              </w:rPr>
              <w:t>Beim H-1B-Transfer darfst du beim neuen Arbeitgeber ab Einreichung der Petition anfangen; die 100.000-$-Zahlung gilt (Stand 20. September 2026) nicht für Wechsel im Inland.</w:t>
            </w:r>
          </w:p>
          <w:p>
            <w:pPr>
              <w:pStyle w:val="ListParagraph"/>
              <w:numPr>
                <w:ilvl w:val="0"/>
                <w:numId w:val="1"/>
              </w:numPr>
              <w:spacing w:lineRule="exact" w:line="264" w:before="0" w:after="50"/>
              <w:rPr/>
            </w:pPr>
            <w:r>
              <w:rPr>
                <w:rFonts w:eastAsia="Cambria" w:cs="Cambria"/>
                <w:b w:val="false"/>
                <w:bCs w:val="false"/>
                <w:i w:val="false"/>
                <w:iCs w:val="false"/>
                <w:sz w:val="20"/>
                <w:szCs w:val="20"/>
              </w:rPr>
              <w:t>Ein anderes Beschäftigungsgebiet oder eine wesentlich andere Stelle braucht meist eine neue LCA und eine geänderte Petition, bevor du dort arbeitest.</w:t>
            </w:r>
          </w:p>
          <w:p>
            <w:pPr>
              <w:pStyle w:val="ListParagraph"/>
              <w:numPr>
                <w:ilvl w:val="0"/>
                <w:numId w:val="1"/>
              </w:numPr>
              <w:spacing w:lineRule="exact" w:line="264" w:before="0" w:after="50"/>
              <w:rPr/>
            </w:pPr>
            <w:r>
              <w:rPr>
                <w:rFonts w:eastAsia="Cambria" w:cs="Cambria"/>
                <w:b w:val="false"/>
                <w:bCs w:val="false"/>
                <w:i w:val="false"/>
                <w:iCs w:val="false"/>
                <w:sz w:val="20"/>
                <w:szCs w:val="20"/>
              </w:rPr>
              <w:t>Ein Wechsel kann ein laufendes Green-Card-Verfahren zurückwerfen; die AC21-Portabilität greift erst, wenn deine I-485 seit 180 Tagen anhängig ist.</w:t>
            </w:r>
          </w:p>
          <w:p>
            <w:pPr>
              <w:pStyle w:val="ListParagraph"/>
              <w:numPr>
                <w:ilvl w:val="0"/>
                <w:numId w:val="1"/>
              </w:numPr>
              <w:spacing w:lineRule="exact" w:line="264" w:before="0" w:after="50"/>
              <w:rPr/>
            </w:pPr>
            <w:r>
              <w:rPr>
                <w:rFonts w:eastAsia="Cambria" w:cs="Cambria"/>
                <w:b w:val="false"/>
                <w:bCs w:val="false"/>
                <w:i w:val="false"/>
                <w:iCs w:val="false"/>
                <w:sz w:val="20"/>
                <w:szCs w:val="20"/>
              </w:rPr>
              <w:t>Nach Jobverlust gilt noch eine Frist von bis zu 60 Tagen. Ein DHS-Vorschlag vom 11. September 2026 will sie streichen; er ist nicht in Kraft.</w:t>
            </w:r>
          </w:p>
          <w:p>
            <w:pPr>
              <w:pStyle w:val="ListParagraph"/>
              <w:numPr>
                <w:ilvl w:val="0"/>
                <w:numId w:val="1"/>
              </w:numPr>
              <w:spacing w:lineRule="exact" w:line="264" w:before="0" w:after="50"/>
              <w:rPr/>
            </w:pPr>
            <w:r>
              <w:rPr>
                <w:rFonts w:eastAsia="Cambria" w:cs="Cambria"/>
                <w:b w:val="false"/>
                <w:bCs w:val="false"/>
                <w:i w:val="false"/>
                <w:iCs w:val="false"/>
                <w:sz w:val="20"/>
                <w:szCs w:val="20"/>
              </w:rPr>
              <w:t>Nach jedem Umzug: Adressänderung AR-11 binnen 10 Tagen. Rücklage: mindestens sechs Monate Fixkosten.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Warum Amerikaner oft wechseln – und du nicht so leicht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der BLS-Statistik (Arbeitsministerium) arbeiteten Beschäftigte im Januar 2024 im Median 3,9 Jahre beim aktuellen Arbeitgeber, in der Privatwirtschaft 3,5 Jahre. Ein Grund liegt im Arbeitsrecht: Weil Arbeitgeber und Beschäftigte ohne Grund kündigen dürfen (</w:t>
      </w:r>
      <w:r>
        <w:rPr>
          <w:rFonts w:eastAsia="Cambria" w:cs="Cambria"/>
          <w:b w:val="false"/>
          <w:bCs w:val="false"/>
          <w:i/>
          <w:iCs/>
          <w:sz w:val="22"/>
          <w:szCs w:val="22"/>
        </w:rPr>
        <w:t>At-will Employment</w:t>
      </w:r>
      <w:r>
        <w:rPr>
          <w:rFonts w:eastAsia="Cambria" w:cs="Cambria"/>
          <w:b w:val="false"/>
          <w:bCs w:val="false"/>
          <w:i w:val="false"/>
          <w:iCs w:val="false"/>
          <w:sz w:val="22"/>
          <w:szCs w:val="22"/>
        </w:rPr>
        <w:t>,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 gibt es kaum Bindung; die übliche Kündigungsfrist von zwei Wochen ist Höflichkeit und Vertragssache, kein Gesetz. Gehalt und Titel verbessern sich für viele Amerikaner schneller über einen Wechsel als über die interne Beförderung. In Deutschland binden Kündigungsfristen und Kündigungsschutz beide Seiten stärker.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vieler deutscher Bewerber: Ein Lebenslauf mit häufigen Wechseln wirke unstet und schrecke Personaler ab, wie man es aus Deutschland gewohnt ist. Tatsächlich gilt in den USA oft das Gegenteil – wer nie wechselt, wirkt eher unambitioniert als loyal.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Mit einem Arbeitsvisum sieht die Lage anders aus: Dein Visum im Pass ist nur das Einreisedokument. Arbeiten lässt dich in den USA dein Status, belegt durch den I-94 (elektronischer Ein- und Ausreisenachweis mit Aufenthaltsende) und die Genehmigung der Arbeitgeber-Petition (Form I-797) – gültig nur für genau diesen Arbeitgeber, diese Tätigkeit und dieses Beschäftigungsgebiet. Wer einfach wechselt, arbeitet ohne Erlaubnis und verletzt seinen Status.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Dein Status hat drei Anker: Arbeitgeber, Tätigkeit, Ort. Ändert sich einer davon, ist das ein Fall für den Einwanderungsanwalt, bevor du den Schritt tust, nicht danach.</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H-1B-Transfer: Ablauf, Beginn und Kosten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Wechsel zwischen zwei Arbeitgebern heißt </w:t>
      </w:r>
      <w:r>
        <w:rPr>
          <w:rFonts w:eastAsia="Cambria" w:cs="Cambria"/>
          <w:b w:val="false"/>
          <w:bCs w:val="false"/>
          <w:i/>
          <w:iCs/>
          <w:sz w:val="22"/>
          <w:szCs w:val="22"/>
        </w:rPr>
        <w:t>H-1B-Transfer</w:t>
      </w:r>
      <w:r>
        <w:rPr>
          <w:rFonts w:eastAsia="Cambria" w:cs="Cambria"/>
          <w:b w:val="false"/>
          <w:bCs w:val="false"/>
          <w:i w:val="false"/>
          <w:iCs w:val="false"/>
          <w:sz w:val="22"/>
          <w:szCs w:val="22"/>
        </w:rPr>
        <w:t xml:space="preserve"> oder </w:t>
      </w:r>
      <w:r>
        <w:rPr>
          <w:rFonts w:eastAsia="Cambria" w:cs="Cambria"/>
          <w:b w:val="false"/>
          <w:bCs w:val="false"/>
          <w:i/>
          <w:iCs/>
          <w:sz w:val="22"/>
          <w:szCs w:val="22"/>
        </w:rPr>
        <w:t>Portability</w:t>
      </w:r>
      <w:r>
        <w:rPr>
          <w:rFonts w:eastAsia="Cambria" w:cs="Cambria"/>
          <w:b w:val="false"/>
          <w:bCs w:val="false"/>
          <w:i w:val="false"/>
          <w:iCs w:val="false"/>
          <w:sz w:val="22"/>
          <w:szCs w:val="22"/>
        </w:rPr>
        <w:t xml:space="preserve"> (Übertragbarkeit, INA 214(n)). Der neue Arbeitgeber reicht eine eigene H-1B-Petition (Form I-129) bei der Einwanderungsbehörde USCIS ein. Verbreiteter Irrtum: Wie bei einem deutschen Aufenthaltstitel wähnen sich viele erst nach der fertigen Genehmigung auf der sicheren Seite. Tatsächlich zählt der Eingangsstempel bei USCIS, nicht der Ausgang des Verfahrens: Du darfst dort anfangen, sobald USCIS die Petition erhalten hat, ohne die Entscheidung abzuwarten, frühestens zum vereinbarten Starttermin. Voraussetzungen: rechtmäßige H-1B-Zulassung, Eingang der Petition vor Ablauf des zulässigen Aufenthalts, keine unerlaubte Arbeit seit der letzten Einreise, und die Petition darf nicht offensichtlich aussichtslos sein. Der Ablauf:</w:t>
      </w:r>
    </w:p>
    <w:p>
      <w:pPr>
        <w:pStyle w:val="ListParagraph"/>
        <w:numPr>
          <w:ilvl w:val="0"/>
          <w:numId w:val="178"/>
        </w:numPr>
        <w:spacing w:lineRule="exact" w:line="288" w:before="0" w:after="60"/>
        <w:rPr/>
      </w:pPr>
      <w:r>
        <w:rPr>
          <w:rFonts w:eastAsia="Cambria" w:cs="Cambria"/>
          <w:b w:val="false"/>
          <w:bCs w:val="false"/>
          <w:i w:val="false"/>
          <w:iCs w:val="false"/>
          <w:sz w:val="22"/>
          <w:szCs w:val="22"/>
        </w:rPr>
        <w:t>Der neue Arbeitgeber sagt den Transfer verbindlich zu; ihr klärt, wer welche Kosten trägt.</w:t>
      </w:r>
    </w:p>
    <w:p>
      <w:pPr>
        <w:pStyle w:val="ListParagraph"/>
        <w:numPr>
          <w:ilvl w:val="0"/>
          <w:numId w:val="179"/>
        </w:numPr>
        <w:spacing w:lineRule="exact" w:line="288" w:before="0" w:after="60"/>
        <w:rPr/>
      </w:pPr>
      <w:r>
        <w:rPr>
          <w:rFonts w:eastAsia="Cambria" w:cs="Cambria"/>
          <w:b w:val="false"/>
          <w:bCs w:val="false"/>
          <w:i w:val="false"/>
          <w:iCs w:val="false"/>
          <w:sz w:val="22"/>
          <w:szCs w:val="22"/>
        </w:rPr>
        <w:t xml:space="preserve">Er reicht beim Arbeitsministerium (DOL) eine </w:t>
      </w:r>
      <w:r>
        <w:rPr>
          <w:rFonts w:eastAsia="Cambria" w:cs="Cambria"/>
          <w:b w:val="false"/>
          <w:bCs w:val="false"/>
          <w:i/>
          <w:iCs/>
          <w:sz w:val="22"/>
          <w:szCs w:val="22"/>
        </w:rPr>
        <w:t>Labor Condition Application</w:t>
      </w:r>
      <w:r>
        <w:rPr>
          <w:rFonts w:eastAsia="Cambria" w:cs="Cambria"/>
          <w:b w:val="false"/>
          <w:bCs w:val="false"/>
          <w:i w:val="false"/>
          <w:iCs w:val="false"/>
          <w:sz w:val="22"/>
          <w:szCs w:val="22"/>
        </w:rPr>
        <w:t xml:space="preserve"> (LCA) ein, die Lohn und Arbeitsort bestätigt; das DOL prüft sie binnen sieben Werktagen auf Vollständigkeit.</w:t>
      </w:r>
    </w:p>
    <w:p>
      <w:pPr>
        <w:pStyle w:val="ListParagraph"/>
        <w:numPr>
          <w:ilvl w:val="0"/>
          <w:numId w:val="180"/>
        </w:numPr>
        <w:spacing w:lineRule="exact" w:line="288" w:before="0" w:after="60"/>
        <w:rPr/>
      </w:pPr>
      <w:r>
        <w:rPr>
          <w:rFonts w:eastAsia="Cambria" w:cs="Cambria"/>
          <w:b w:val="false"/>
          <w:bCs w:val="false"/>
          <w:i w:val="false"/>
          <w:iCs w:val="false"/>
          <w:sz w:val="22"/>
          <w:szCs w:val="22"/>
        </w:rPr>
        <w:t xml:space="preserve">Er reicht die I-129 ein, auf Wunsch mit </w:t>
      </w:r>
      <w:r>
        <w:rPr>
          <w:rFonts w:eastAsia="Cambria" w:cs="Cambria"/>
          <w:b w:val="false"/>
          <w:bCs w:val="false"/>
          <w:i/>
          <w:iCs/>
          <w:sz w:val="22"/>
          <w:szCs w:val="22"/>
        </w:rPr>
        <w:t>Premium Processing</w:t>
      </w:r>
      <w:r>
        <w:rPr>
          <w:rFonts w:eastAsia="Cambria" w:cs="Cambria"/>
          <w:b w:val="false"/>
          <w:bCs w:val="false"/>
          <w:i w:val="false"/>
          <w:iCs w:val="false"/>
          <w:sz w:val="22"/>
          <w:szCs w:val="22"/>
        </w:rPr>
        <w:t xml:space="preserve"> (beschleunigte Bearbeitung, Entscheidung binnen 15 Werktagen).</w:t>
      </w:r>
    </w:p>
    <w:p>
      <w:pPr>
        <w:pStyle w:val="ListParagraph"/>
        <w:numPr>
          <w:ilvl w:val="0"/>
          <w:numId w:val="181"/>
        </w:numPr>
        <w:spacing w:lineRule="exact" w:line="288" w:before="0" w:after="60"/>
        <w:rPr/>
      </w:pPr>
      <w:r>
        <w:rPr>
          <w:rFonts w:eastAsia="Cambria" w:cs="Cambria"/>
          <w:b w:val="false"/>
          <w:bCs w:val="false"/>
          <w:i w:val="false"/>
          <w:iCs w:val="false"/>
          <w:sz w:val="22"/>
          <w:szCs w:val="22"/>
        </w:rPr>
        <w:t>Mit der Eingangsbestätigung von USCIS kündigst du beim alten Arbeitgeber und fängst beim neuen an.</w:t>
      </w:r>
    </w:p>
    <w:p>
      <w:pPr>
        <w:pStyle w:val="ListParagraph"/>
        <w:numPr>
          <w:ilvl w:val="0"/>
          <w:numId w:val="182"/>
        </w:numPr>
        <w:spacing w:lineRule="exact" w:line="288" w:before="0" w:after="60"/>
        <w:rPr/>
      </w:pPr>
      <w:r>
        <w:rPr>
          <w:rFonts w:eastAsia="Cambria" w:cs="Cambria"/>
          <w:b w:val="false"/>
          <w:bCs w:val="false"/>
          <w:i w:val="false"/>
          <w:iCs w:val="false"/>
          <w:sz w:val="22"/>
          <w:szCs w:val="22"/>
        </w:rPr>
        <w:t>USCIS genehmigt und stellt die neue Genehmigung aus. Lehnt USCIS ab, endet deine Arbeitserlaubnis beim neuen Arbeitgeber; zum alten kannst du nur zurück, wenn dessen Genehmigung noch gültig ist.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Kündige beim alten Arbeitgeber erst, wenn die Petition des neuen bei USCIS eingegangen ist. Wer vorher kündigt, startet seine Frist ohne Absicherung. Ebenfalls tabu: ein zweiter Job, Freiberuflichkeit oder Nebenverdienst außerhalb deiner Petition. Das gilt als unerlaubte Beschäftigung; eine Parallelbeschäftigung braucht eine zweite Petition mit eigener LCA.</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Kosten trägt der neue Arbeitgeber, die Gebühren nach USCIS-Gebührenblatt G-1055 (Ausgabe vom 9. September 2026):</w:t>
      </w:r>
    </w:p>
    <w:tbl>
      <w:tblPr>
        <w:tblW w:w="6480" w:type="dxa"/>
        <w:jc w:val="left"/>
        <w:tblInd w:w="0" w:type="dxa"/>
        <w:tblLayout w:type="fixed"/>
        <w:tblCellMar>
          <w:top w:w="50" w:type="dxa"/>
          <w:left w:w="80" w:type="dxa"/>
          <w:bottom w:w="50" w:type="dxa"/>
          <w:right w:w="80" w:type="dxa"/>
        </w:tblCellMar>
      </w:tblPr>
      <w:tblGrid>
        <w:gridCol w:w="1078"/>
        <w:gridCol w:w="2900"/>
        <w:gridCol w:w="2502"/>
      </w:tblGrid>
      <w:tr>
        <w:trPr>
          <w:tblHeader w:val="true"/>
          <w:cantSplit w:val="true"/>
        </w:trPr>
        <w:tc>
          <w:tcPr>
            <w:tcW w:w="107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Posten</w:t>
            </w:r>
          </w:p>
        </w:tc>
        <w:tc>
          <w:tcPr>
            <w:tcW w:w="290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Betrag</w:t>
            </w:r>
          </w:p>
        </w:tc>
        <w:tc>
          <w:tcPr>
            <w:tcW w:w="250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Anmerkung</w:t>
            </w:r>
          </w:p>
        </w:tc>
      </w:tr>
      <w:tr>
        <w:trPr>
          <w:cantSplit w:val="true"/>
        </w:trPr>
        <w:tc>
          <w:tcPr>
            <w:tcW w:w="10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Form I-129</w:t>
            </w:r>
          </w:p>
        </w:tc>
        <w:tc>
          <w:tcPr>
            <w:tcW w:w="29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780 $ Papier, 730 $ online, 460 $ Kleinbetrieb oder Non-Profit</w:t>
            </w:r>
          </w:p>
        </w:tc>
        <w:tc>
          <w:tcPr>
            <w:tcW w:w="25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Grundgebühr</w:t>
            </w:r>
          </w:p>
        </w:tc>
      </w:tr>
      <w:tr>
        <w:trPr>
          <w:cantSplit w:val="true"/>
        </w:trPr>
        <w:tc>
          <w:tcPr>
            <w:tcW w:w="10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ACWIA-Gebühr</w:t>
            </w:r>
          </w:p>
        </w:tc>
        <w:tc>
          <w:tcPr>
            <w:tcW w:w="29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1.500 $ ab 26 Beschäftigten, sonst 750 $</w:t>
            </w:r>
          </w:p>
        </w:tc>
        <w:tc>
          <w:tcPr>
            <w:tcW w:w="25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Hochschulen und verbundene Non-Profits befreit</w:t>
            </w:r>
          </w:p>
        </w:tc>
      </w:tr>
      <w:tr>
        <w:trPr>
          <w:cantSplit w:val="true"/>
        </w:trPr>
        <w:tc>
          <w:tcPr>
            <w:tcW w:w="10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Fraud Fee</w:t>
            </w:r>
          </w:p>
        </w:tc>
        <w:tc>
          <w:tcPr>
            <w:tcW w:w="29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500 $</w:t>
            </w:r>
          </w:p>
        </w:tc>
        <w:tc>
          <w:tcPr>
            <w:tcW w:w="25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 Erstpetition und Arbeitgeberwechsel</w:t>
            </w:r>
          </w:p>
        </w:tc>
      </w:tr>
      <w:tr>
        <w:trPr>
          <w:cantSplit w:val="true"/>
        </w:trPr>
        <w:tc>
          <w:tcPr>
            <w:tcW w:w="10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Asylum Program Fee</w:t>
            </w:r>
          </w:p>
        </w:tc>
        <w:tc>
          <w:tcPr>
            <w:tcW w:w="29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600 $, Kleinbetrieb 300 $, Non-Profit 0 $</w:t>
            </w:r>
          </w:p>
        </w:tc>
        <w:tc>
          <w:tcPr>
            <w:tcW w:w="25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
          </w:p>
        </w:tc>
      </w:tr>
      <w:tr>
        <w:trPr>
          <w:cantSplit w:val="true"/>
        </w:trPr>
        <w:tc>
          <w:tcPr>
            <w:tcW w:w="10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Premium Processing</w:t>
            </w:r>
          </w:p>
        </w:tc>
        <w:tc>
          <w:tcPr>
            <w:tcW w:w="29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2.965 $</w:t>
            </w:r>
          </w:p>
        </w:tc>
        <w:tc>
          <w:tcPr>
            <w:tcW w:w="25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optional; nur der Arbeitgeber darf es beantragen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Zusammen sind das ohne Premium Processing 3.380 $ (Großbetrieb, Papier; online 3.330 $) oder 2.010 $ (Kleinbetrieb), dazu Anwaltskosten von typisch 1.500–4.000 $ und mehr (Sekundärquelle, Stand 2026). Die ACWIA-Gebühr sowie Anwalts- und Petitionskosten darf der Arbeitgeber nicht vom Lohn zurückholen (20 CFR 655.731(c)(9)–(10)); Vertragsstrafen für vorzeitiges Ausscheiden sind unzulässig, pauschalierter Schadensersatz kann es nach Landesrecht sein. In vielen </w:t>
      </w:r>
      <w:r>
        <w:rPr>
          <w:rFonts w:eastAsia="Cambria" w:cs="Cambria"/>
          <w:b w:val="false"/>
          <w:bCs w:val="false"/>
          <w:i/>
          <w:iCs/>
          <w:sz w:val="22"/>
          <w:szCs w:val="22"/>
        </w:rPr>
        <w:t>Offer Letters</w:t>
      </w:r>
      <w:r>
        <w:rPr>
          <w:rFonts w:eastAsia="Cambria" w:cs="Cambria"/>
          <w:b w:val="false"/>
          <w:bCs w:val="false"/>
          <w:i w:val="false"/>
          <w:iCs w:val="false"/>
          <w:sz w:val="22"/>
          <w:szCs w:val="22"/>
        </w:rPr>
        <w:t xml:space="preserve"> (Angebotsschreiben) stehen Rückzahlungsklauseln für Sign-on-Bonus oder Umzugskosten; prüfe sie und ein mögliches Wettbewerbsverbot vor dem Wechsel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Keine Lotterie, keine 100.000 $.</w:t>
      </w:r>
      <w:r>
        <w:rPr>
          <w:rFonts w:eastAsia="Cambria" w:cs="Cambria"/>
          <w:b w:val="false"/>
          <w:bCs w:val="false"/>
          <w:i w:val="false"/>
          <w:iCs w:val="false"/>
          <w:sz w:val="22"/>
          <w:szCs w:val="22"/>
        </w:rPr>
        <w:t xml:space="preserve"> Ein Transfer im Inland braucht meist keine neue Registrierung (215 $). Die 100.000-$-Zahlung der Proklamation 10973 gilt nach USCIS-Angaben nicht für Arbeitgeberwechsel im Inland; ihre Erhebung ist außerdem gerichtlich blockiert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Auch der 103.265-$-Entwurf vom 25. August 2026 (nicht in Kraft, Kommentare bis 24. September 2026) würde Arbeitgeberwechsel nach Angaben von Kanzleien nicht erfassen.</w:t>
      </w:r>
    </w:p>
    <w:p>
      <w:pPr>
        <w:pStyle w:val="Normal"/>
        <w:keepNext w:val="false"/>
        <w:keepLines w:val="false"/>
        <w:spacing w:lineRule="exact" w:line="288" w:before="0" w:after="140"/>
        <w:jc w:val="left"/>
        <w:rPr/>
      </w:pPr>
      <w:r>
        <w:rPr>
          <w:rFonts w:eastAsia="Cambria" w:cs="Cambria"/>
          <w:b/>
          <w:bCs/>
          <w:i w:val="false"/>
          <w:iCs w:val="false"/>
          <w:sz w:val="22"/>
          <w:szCs w:val="22"/>
        </w:rPr>
        <w:t>Cap-exempt-Arbeitgeber.</w:t>
      </w:r>
      <w:r>
        <w:rPr>
          <w:rFonts w:eastAsia="Cambria" w:cs="Cambria"/>
          <w:b w:val="false"/>
          <w:bCs w:val="false"/>
          <w:i w:val="false"/>
          <w:iCs w:val="false"/>
          <w:sz w:val="22"/>
          <w:szCs w:val="22"/>
        </w:rPr>
        <w:t xml:space="preserve"> Arbeitest du an einer Hochschule, einem verbundenen Non-Profit oder einer gemeinnützigen oder staatlichen Forschungseinrichtung, unterlag deine Petition nicht der Quote (</w:t>
      </w:r>
      <w:r>
        <w:rPr>
          <w:rFonts w:eastAsia="Cambria" w:cs="Cambria"/>
          <w:b w:val="false"/>
          <w:bCs w:val="false"/>
          <w:i/>
          <w:iCs/>
          <w:sz w:val="22"/>
          <w:szCs w:val="22"/>
        </w:rPr>
        <w:t>Cap-exempt</w:t>
      </w:r>
      <w:r>
        <w:rPr>
          <w:rFonts w:eastAsia="Cambria" w:cs="Cambria"/>
          <w:b w:val="false"/>
          <w:bCs w:val="false"/>
          <w:i w:val="false"/>
          <w:iCs w:val="false"/>
          <w:sz w:val="22"/>
          <w:szCs w:val="22"/>
        </w:rPr>
        <w:t>). Wechselst du von dort zu einem gewöhnlichen Unternehmen (</w:t>
      </w:r>
      <w:r>
        <w:rPr>
          <w:rFonts w:eastAsia="Cambria" w:cs="Cambria"/>
          <w:b w:val="false"/>
          <w:bCs w:val="false"/>
          <w:i/>
          <w:iCs/>
          <w:sz w:val="22"/>
          <w:szCs w:val="22"/>
        </w:rPr>
        <w:t>Cap-subject</w:t>
      </w:r>
      <w:r>
        <w:rPr>
          <w:rFonts w:eastAsia="Cambria" w:cs="Cambria"/>
          <w:b w:val="false"/>
          <w:bCs w:val="false"/>
          <w:i w:val="false"/>
          <w:iCs w:val="false"/>
          <w:sz w:val="22"/>
          <w:szCs w:val="22"/>
        </w:rPr>
        <w:t>), brauchst du in der Regel eine Registrierung im März und darfst frühestens am 1. Oktober starten; eine Parallelbeschäftigung ist möglich, solange die Cap-exempt-Stelle fortbesteht. Ob du schon einmal gegen die Quote gezählt wurdest, entscheidet mit, ob diese Hürde gilt; lass das vorab prüfen. Der Wechsel von der Firma zur Hochschule ist ganzjährig möglich. Die Höchstdauer von sechs Jahren zählt über alle Arbeitgeber hinweg; ein Wechsel setzt sie nicht zurück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Umzug und Stellenänderung: Wann eine neue LCA nötig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erste Wohnort ist bei H-1B selten frei gewählt: Deine Petition nennt den Arbeitsort, und die LCA gilt für ein Beschäftigungsgebiet, meist die Metropolregion (</w:t>
      </w:r>
      <w:r>
        <w:rPr>
          <w:rFonts w:eastAsia="Cambria" w:cs="Cambria"/>
          <w:b w:val="false"/>
          <w:bCs w:val="false"/>
          <w:i/>
          <w:iCs/>
          <w:sz w:val="22"/>
          <w:szCs w:val="22"/>
        </w:rPr>
        <w:t>Metropolitan Statistical Area</w:t>
      </w:r>
      <w:r>
        <w:rPr>
          <w:rFonts w:eastAsia="Cambria" w:cs="Cambria"/>
          <w:b w:val="false"/>
          <w:bCs w:val="false"/>
          <w:i w:val="false"/>
          <w:iCs w:val="false"/>
          <w:sz w:val="22"/>
          <w:szCs w:val="22"/>
        </w:rPr>
        <w:t>, MSA). Wer nach einem Jahr in eine andere Region will, kann nicht einfach umziehen; wo du langfristig leben willst, klärst du deshalb vor der Zusage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Wechselst du Arbeitgeber und Region zugleich, reicht ein Schritt, denn die Petition des neuen Arbeitgebers nennt ohnehin den neuen Ort. Bleibst du beim Arbeitgeber, gilt:</w:t>
      </w:r>
    </w:p>
    <w:p>
      <w:pPr>
        <w:pStyle w:val="ListParagraph"/>
        <w:numPr>
          <w:ilvl w:val="0"/>
          <w:numId w:val="1"/>
        </w:numPr>
        <w:spacing w:lineRule="exact" w:line="288" w:before="0" w:after="60"/>
        <w:rPr/>
      </w:pPr>
      <w:r>
        <w:rPr>
          <w:rFonts w:eastAsia="Cambria" w:cs="Cambria"/>
          <w:b/>
          <w:bCs/>
          <w:i w:val="false"/>
          <w:iCs w:val="false"/>
          <w:sz w:val="22"/>
          <w:szCs w:val="22"/>
        </w:rPr>
        <w:t>Neuer Standort im selben MSA:</w:t>
      </w:r>
      <w:r>
        <w:rPr>
          <w:rFonts w:eastAsia="Cambria" w:cs="Cambria"/>
          <w:b w:val="false"/>
          <w:bCs w:val="false"/>
          <w:i w:val="false"/>
          <w:iCs w:val="false"/>
          <w:sz w:val="22"/>
          <w:szCs w:val="22"/>
        </w:rPr>
        <w:t xml:space="preserve"> Nach bisheriger USCIS-Praxis (Simeio-Leitlinie von 2015, später in die Vorschriften übernommen) genügt es, dass der Arbeitgeber die LCA am neuen Standort aushängt. Beispiel: Seattle nach Bellevue.</w:t>
      </w:r>
    </w:p>
    <w:p>
      <w:pPr>
        <w:pStyle w:val="ListParagraph"/>
        <w:numPr>
          <w:ilvl w:val="0"/>
          <w:numId w:val="1"/>
        </w:numPr>
        <w:spacing w:lineRule="exact" w:line="288" w:before="0" w:after="60"/>
        <w:rPr/>
      </w:pPr>
      <w:r>
        <w:rPr>
          <w:rFonts w:eastAsia="Cambria" w:cs="Cambria"/>
          <w:b/>
          <w:bCs/>
          <w:i w:val="false"/>
          <w:iCs w:val="false"/>
          <w:sz w:val="22"/>
          <w:szCs w:val="22"/>
        </w:rPr>
        <w:t>Anderes Gebiet:</w:t>
      </w:r>
      <w:r>
        <w:rPr>
          <w:rFonts w:eastAsia="Cambria" w:cs="Cambria"/>
          <w:b w:val="false"/>
          <w:bCs w:val="false"/>
          <w:i w:val="false"/>
          <w:iCs w:val="false"/>
          <w:sz w:val="22"/>
          <w:szCs w:val="22"/>
        </w:rPr>
        <w:t xml:space="preserve"> Braucht der neue Ort eine neue LCA, gilt das als wesentliche Änderung. Der Arbeitgeber holt sie ein und reicht eine geänderte Petition (</w:t>
      </w:r>
      <w:r>
        <w:rPr>
          <w:rFonts w:eastAsia="Cambria" w:cs="Cambria"/>
          <w:b w:val="false"/>
          <w:bCs w:val="false"/>
          <w:i/>
          <w:iCs/>
          <w:sz w:val="22"/>
          <w:szCs w:val="22"/>
        </w:rPr>
        <w:t>Amended Petition</w:t>
      </w:r>
      <w:r>
        <w:rPr>
          <w:rFonts w:eastAsia="Cambria" w:cs="Cambria"/>
          <w:b w:val="false"/>
          <w:bCs w:val="false"/>
          <w:i w:val="false"/>
          <w:iCs w:val="false"/>
          <w:sz w:val="22"/>
          <w:szCs w:val="22"/>
        </w:rPr>
        <w:t>) samt Gebühr ein (8 CFR 214.2(h)(2)(i)(E)). Beispiel: Seattle nach Austin.</w:t>
      </w:r>
    </w:p>
    <w:p>
      <w:pPr>
        <w:pStyle w:val="ListParagraph"/>
        <w:numPr>
          <w:ilvl w:val="0"/>
          <w:numId w:val="1"/>
        </w:numPr>
        <w:spacing w:lineRule="exact" w:line="288" w:before="0" w:after="60"/>
        <w:rPr/>
      </w:pPr>
      <w:r>
        <w:rPr>
          <w:rFonts w:eastAsia="Cambria" w:cs="Cambria"/>
          <w:b/>
          <w:bCs/>
          <w:i w:val="false"/>
          <w:iCs w:val="false"/>
          <w:sz w:val="22"/>
          <w:szCs w:val="22"/>
        </w:rPr>
        <w:t>Homeoffice:</w:t>
      </w:r>
      <w:r>
        <w:rPr>
          <w:rFonts w:eastAsia="Cambria" w:cs="Cambria"/>
          <w:b w:val="false"/>
          <w:bCs w:val="false"/>
          <w:i w:val="false"/>
          <w:iCs w:val="false"/>
          <w:sz w:val="22"/>
          <w:szCs w:val="22"/>
        </w:rPr>
        <w:t xml:space="preserve"> Auch dein Arbeitsplatz zu Hause zählt als Arbeitsort. Ziehst du im Homeoffice in ein anderes Gebiet, kann das eine neue LCA erfordern – frage HR vor dem Umzug.</w:t>
      </w:r>
    </w:p>
    <w:p>
      <w:pPr>
        <w:pStyle w:val="ListParagraph"/>
        <w:numPr>
          <w:ilvl w:val="0"/>
          <w:numId w:val="1"/>
        </w:numPr>
        <w:spacing w:lineRule="exact" w:line="288" w:before="0" w:after="60"/>
        <w:rPr/>
      </w:pPr>
      <w:r>
        <w:rPr>
          <w:rFonts w:eastAsia="Cambria" w:cs="Cambria"/>
          <w:b/>
          <w:bCs/>
          <w:i w:val="false"/>
          <w:iCs w:val="false"/>
          <w:sz w:val="22"/>
          <w:szCs w:val="22"/>
        </w:rPr>
        <w:t>Andere Stelle:</w:t>
      </w:r>
      <w:r>
        <w:rPr>
          <w:rFonts w:eastAsia="Cambria" w:cs="Cambria"/>
          <w:b w:val="false"/>
          <w:bCs w:val="false"/>
          <w:i w:val="false"/>
          <w:iCs w:val="false"/>
          <w:sz w:val="22"/>
          <w:szCs w:val="22"/>
        </w:rPr>
        <w:t xml:space="preserve"> Eine wesentlich andere Tätigkeit oder Berufsgruppe oder deutlich weniger Arbeitszeit kann eine geänderte Petition verlangen; eine Beförderung innerhalb derselben Tätigkeit in der Regel nicht.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Arbeite am neuen Ort oder in der neuen Rolle erst, wenn die geänderte Petition eingereicht ist. Ein Umzug auf eigene Faust oder eine Versetzung, von der die Rechtsabteilung nichts weiß, gefährdet deinen Status. Lass dir schriftlich bestätigen, dass der Arbeitgeber geprüft hat, ob eine neue LCA nötig ist.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Jobwechsel und Green Card: Was aus deinem Verfahren wird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Läuft über deinen Arbeitgeber ein Green-Card-Verfahren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hängt die Wirkung eines Wechsels vom Stand des Verfahrens ab. Es hat drei Etappen: die Arbeitsmarktprüfung (</w:t>
      </w:r>
      <w:r>
        <w:rPr>
          <w:rFonts w:eastAsia="Cambria" w:cs="Cambria"/>
          <w:b w:val="false"/>
          <w:bCs w:val="false"/>
          <w:i/>
          <w:iCs/>
          <w:sz w:val="22"/>
          <w:szCs w:val="22"/>
        </w:rPr>
        <w:t>PERM</w:t>
      </w:r>
      <w:r>
        <w:rPr>
          <w:rFonts w:eastAsia="Cambria" w:cs="Cambria"/>
          <w:b w:val="false"/>
          <w:bCs w:val="false"/>
          <w:i w:val="false"/>
          <w:iCs w:val="false"/>
          <w:sz w:val="22"/>
          <w:szCs w:val="22"/>
        </w:rPr>
        <w:t xml:space="preserve">), die Einwanderungspetition des Arbeitgebers (I-140) und der Antrag auf Statusanpassung (I-485). Das </w:t>
      </w:r>
      <w:r>
        <w:rPr>
          <w:rFonts w:eastAsia="Cambria" w:cs="Cambria"/>
          <w:b w:val="false"/>
          <w:bCs w:val="false"/>
          <w:i/>
          <w:iCs/>
          <w:sz w:val="22"/>
          <w:szCs w:val="22"/>
        </w:rPr>
        <w:t>Priority Date</w:t>
      </w:r>
      <w:r>
        <w:rPr>
          <w:rFonts w:eastAsia="Cambria" w:cs="Cambria"/>
          <w:b w:val="false"/>
          <w:bCs w:val="false"/>
          <w:i w:val="false"/>
          <w:iCs w:val="false"/>
          <w:sz w:val="22"/>
          <w:szCs w:val="22"/>
        </w:rPr>
        <w:t xml:space="preserve"> ist dein Platz in der Warteschlange.</w:t>
      </w:r>
    </w:p>
    <w:tbl>
      <w:tblPr>
        <w:tblW w:w="6480" w:type="dxa"/>
        <w:jc w:val="left"/>
        <w:tblInd w:w="0" w:type="dxa"/>
        <w:tblLayout w:type="fixed"/>
        <w:tblCellMar>
          <w:top w:w="50" w:type="dxa"/>
          <w:left w:w="80" w:type="dxa"/>
          <w:bottom w:w="50" w:type="dxa"/>
          <w:right w:w="80" w:type="dxa"/>
        </w:tblCellMar>
      </w:tblPr>
      <w:tblGrid>
        <w:gridCol w:w="2021"/>
        <w:gridCol w:w="2229"/>
        <w:gridCol w:w="2230"/>
      </w:tblGrid>
      <w:tr>
        <w:trPr>
          <w:tblHeader w:val="true"/>
          <w:cantSplit w:val="true"/>
        </w:trPr>
        <w:tc>
          <w:tcPr>
            <w:tcW w:w="202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Stand beim Wechsel</w:t>
            </w:r>
          </w:p>
        </w:tc>
        <w:tc>
          <w:tcPr>
            <w:tcW w:w="222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Folge</w:t>
            </w:r>
          </w:p>
        </w:tc>
        <w:tc>
          <w:tcPr>
            <w:tcW w:w="223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du mitnimmst</w:t>
            </w:r>
          </w:p>
        </w:tc>
      </w:tr>
      <w:tr>
        <w:trPr>
          <w:cantSplit w:val="true"/>
        </w:trPr>
        <w:tc>
          <w:tcPr>
            <w:tcW w:w="20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PERM oder I-140 noch nicht genehmigt</w:t>
            </w:r>
          </w:p>
        </w:tc>
        <w:tc>
          <w:tcPr>
            <w:tcW w:w="22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 neue Arbeitgeber beginnt von vorn</w:t>
            </w:r>
          </w:p>
        </w:tc>
        <w:tc>
          <w:tcPr>
            <w:tcW w:w="223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Nichts; das Priority Date ist meist verloren</w:t>
            </w:r>
          </w:p>
        </w:tc>
      </w:tr>
      <w:tr>
        <w:trPr>
          <w:cantSplit w:val="true"/>
        </w:trPr>
        <w:tc>
          <w:tcPr>
            <w:tcW w:w="20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I-140 genehmigt, I-485 noch nicht 180 Tage anhängig</w:t>
            </w:r>
          </w:p>
        </w:tc>
        <w:tc>
          <w:tcPr>
            <w:tcW w:w="22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Neues PERM und neue I-140 beim neuen Arbeitgeber</w:t>
            </w:r>
          </w:p>
        </w:tc>
        <w:tc>
          <w:tcPr>
            <w:tcW w:w="223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Das alte Priority Date, wenn die Genehmigung mindestens 180 Tage alt ist</w:t>
            </w:r>
          </w:p>
        </w:tc>
      </w:tr>
      <w:tr>
        <w:trPr>
          <w:cantSplit w:val="true"/>
        </w:trPr>
        <w:tc>
          <w:tcPr>
            <w:tcW w:w="20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I-140 genehmigt, I-485 seit 180 Tagen anhängig</w:t>
            </w:r>
          </w:p>
        </w:tc>
        <w:tc>
          <w:tcPr>
            <w:tcW w:w="22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AC21-Portabilität (INA 204(j)): neue Stelle in gleicher oder ähnlicher Berufsgruppe, Form I-485 Supplement J</w:t>
            </w:r>
          </w:p>
        </w:tc>
        <w:tc>
          <w:tcPr>
            <w:tcW w:w="223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Das gesamte Verfahren, kein neues PERM</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180 Tage zählen ab Eingang der I-485 bei USCIS. Zieht der alte Arbeitgeber eine jüngere I-140 zurück, entfällt sie; auch ältere Genehmigungen kann USCIS widerrufen, etwa bei Betrug oder falschen Angaben. Für Deutsche gilt die Kategorie „Rest der Welt” mit kürzeren Wartezeiten als für Indien oder China; die aktuellen Stichtage stehen im </w:t>
      </w:r>
      <w:r>
        <w:rPr>
          <w:rFonts w:eastAsia="Cambria" w:cs="Cambria"/>
          <w:b w:val="false"/>
          <w:bCs w:val="false"/>
          <w:i/>
          <w:iCs/>
          <w:sz w:val="22"/>
          <w:szCs w:val="22"/>
        </w:rPr>
        <w:t>Visa Bulletin</w:t>
      </w:r>
      <w:r>
        <w:rPr>
          <w:rFonts w:eastAsia="Cambria" w:cs="Cambria"/>
          <w:b w:val="false"/>
          <w:bCs w:val="false"/>
          <w:i w:val="false"/>
          <w:iCs w:val="false"/>
          <w:sz w:val="22"/>
          <w:szCs w:val="22"/>
        </w:rPr>
        <w:t xml:space="preserve"> (der monatlichen Stichtagsliste des State Department,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die H-1B-Dauer hängt am Verfahren: Über sechs Jahre hinaus verlängert USCIS in Drei-Jahres-Schritten, wenn eine I-140 genehmigt, aber kein Visum verfügbar ist, und in Ein-Jahres-Schritten, wenn PERM oder I-140 seit mindestens 365 Tagen anhängig sind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Wechselst du in den letzten Jahren, kann ein frisch startendes Verfahren zu spät kommen.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Kläre vor jedem Wechsel, wo dein Verfahren steht: Priority Date, Datum der I-140-Genehmigung, Datum der I-485-Einreichung. Wer einen Tag vor der 180-Tage-Marke kündigt, kann Jahre verlieren. Frage neue Arbeitgeber im Gespräch, wann sie ein Verfahren starten und wer zahlt.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Layoff: Die 60-Tage-Frist</w:t>
      </w:r>
    </w:p>
    <w:p>
      <w:pPr>
        <w:pStyle w:val="Normal"/>
        <w:keepNext w:val="false"/>
        <w:keepLines w:val="false"/>
        <w:spacing w:lineRule="exact" w:line="288" w:before="0" w:after="140"/>
        <w:jc w:val="left"/>
        <w:rPr/>
      </w:pPr>
      <w:r>
        <w:rPr>
          <w:rFonts w:eastAsia="Cambria" w:cs="Cambria"/>
          <w:b w:val="false"/>
          <w:bCs w:val="false"/>
          <w:i/>
          <w:iCs/>
          <w:sz w:val="22"/>
          <w:szCs w:val="22"/>
        </w:rPr>
        <w:t>Layoff</w:t>
      </w:r>
      <w:r>
        <w:rPr>
          <w:rFonts w:eastAsia="Cambria" w:cs="Cambria"/>
          <w:b w:val="false"/>
          <w:bCs w:val="false"/>
          <w:i w:val="false"/>
          <w:iCs w:val="false"/>
          <w:sz w:val="22"/>
          <w:szCs w:val="22"/>
        </w:rPr>
        <w:t xml:space="preserve"> heißt Stellenabbau: Die Firma streicht Stellen wegen Kosten oder Umbau, nicht wegen deiner Leistung. Manchmal erfährst du es am selben Tag, an dem dein Zugang gesperrt wird. Dein Status endet aber nicht sofort: Nach 8 CFR 214.1(l)(2) gilt eine Frist (</w:t>
      </w:r>
      <w:r>
        <w:rPr>
          <w:rFonts w:eastAsia="Cambria" w:cs="Cambria"/>
          <w:b w:val="false"/>
          <w:bCs w:val="false"/>
          <w:i/>
          <w:iCs/>
          <w:sz w:val="22"/>
          <w:szCs w:val="22"/>
        </w:rPr>
        <w:t>Grace Period</w:t>
      </w:r>
      <w:r>
        <w:rPr>
          <w:rFonts w:eastAsia="Cambria" w:cs="Cambria"/>
          <w:b w:val="false"/>
          <w:bCs w:val="false"/>
          <w:i w:val="false"/>
          <w:iCs w:val="false"/>
          <w:sz w:val="22"/>
          <w:szCs w:val="22"/>
        </w:rPr>
        <w:t>) von bis zu 60 aufeinanderfolgenden Tagen oder bis zum Ende des genehmigten Aufenthaltszeitraums, je nachdem, was kürzer ist. Im Einzelnen:</w:t>
      </w:r>
    </w:p>
    <w:p>
      <w:pPr>
        <w:pStyle w:val="ListParagraph"/>
        <w:numPr>
          <w:ilvl w:val="0"/>
          <w:numId w:val="1"/>
        </w:numPr>
        <w:spacing w:lineRule="exact" w:line="288" w:before="0" w:after="60"/>
        <w:rPr/>
      </w:pPr>
      <w:r>
        <w:rPr>
          <w:rFonts w:eastAsia="Cambria" w:cs="Cambria"/>
          <w:b w:val="false"/>
          <w:bCs w:val="false"/>
          <w:i w:val="false"/>
          <w:iCs w:val="false"/>
          <w:sz w:val="22"/>
          <w:szCs w:val="22"/>
        </w:rPr>
        <w:t>Die Frist gilt einmal je Gültigkeitszeitraum der Petition, auch bei eigener Kündigung; USCIS kann sie im Einzelfall verkürzen oder streichen.</w:t>
      </w:r>
    </w:p>
    <w:p>
      <w:pPr>
        <w:pStyle w:val="ListParagraph"/>
        <w:numPr>
          <w:ilvl w:val="0"/>
          <w:numId w:val="1"/>
        </w:numPr>
        <w:spacing w:lineRule="exact" w:line="288" w:before="0" w:after="60"/>
        <w:rPr/>
      </w:pPr>
      <w:r>
        <w:rPr>
          <w:rFonts w:eastAsia="Cambria" w:cs="Cambria"/>
          <w:b w:val="false"/>
          <w:bCs w:val="false"/>
          <w:i w:val="false"/>
          <w:iCs w:val="false"/>
          <w:sz w:val="22"/>
          <w:szCs w:val="22"/>
        </w:rPr>
        <w:t>Der Lauf beginnt am Tag nach Beschäftigungsende; USCIS nennt dafür typischerweise den letzten bezahlten Tag (Seite archiviert, Stand Januar 2025).</w:t>
      </w:r>
    </w:p>
    <w:p>
      <w:pPr>
        <w:pStyle w:val="ListParagraph"/>
        <w:numPr>
          <w:ilvl w:val="0"/>
          <w:numId w:val="1"/>
        </w:numPr>
        <w:spacing w:lineRule="exact" w:line="288" w:before="0" w:after="60"/>
        <w:rPr/>
      </w:pPr>
      <w:r>
        <w:rPr>
          <w:rFonts w:eastAsia="Cambria" w:cs="Cambria"/>
          <w:b w:val="false"/>
          <w:bCs w:val="false"/>
          <w:i w:val="false"/>
          <w:iCs w:val="false"/>
          <w:sz w:val="22"/>
          <w:szCs w:val="22"/>
        </w:rPr>
        <w:t>Arbeiten darfst du in dieser Zeit nicht, bis ein neuer Arbeitgeber eine Petition eingereicht hat.</w:t>
      </w:r>
    </w:p>
    <w:p>
      <w:pPr>
        <w:pStyle w:val="ListParagraph"/>
        <w:numPr>
          <w:ilvl w:val="0"/>
          <w:numId w:val="1"/>
        </w:numPr>
        <w:spacing w:lineRule="exact" w:line="288" w:before="0" w:after="60"/>
        <w:rPr/>
      </w:pPr>
      <w:r>
        <w:rPr>
          <w:rFonts w:eastAsia="Cambria" w:cs="Cambria"/>
          <w:b w:val="false"/>
          <w:bCs w:val="false"/>
          <w:i w:val="false"/>
          <w:iCs w:val="false"/>
          <w:sz w:val="22"/>
          <w:szCs w:val="22"/>
        </w:rPr>
        <w:t>Partner und Kinder (H-4) profitieren mit; eine H-4-Arbeitserlaubnis (</w:t>
      </w:r>
      <w:r>
        <w:rPr>
          <w:rFonts w:eastAsia="Cambria" w:cs="Cambria"/>
          <w:b w:val="false"/>
          <w:bCs w:val="false"/>
          <w:i/>
          <w:iCs/>
          <w:sz w:val="22"/>
          <w:szCs w:val="22"/>
        </w:rPr>
        <w:t>Employment Authorization Document</w:t>
      </w:r>
      <w:r>
        <w:rPr>
          <w:rFonts w:eastAsia="Cambria" w:cs="Cambria"/>
          <w:b w:val="false"/>
          <w:bCs w:val="false"/>
          <w:i w:val="false"/>
          <w:iCs w:val="false"/>
          <w:sz w:val="22"/>
          <w:szCs w:val="22"/>
        </w:rPr>
        <w:t>, EAD) bleibt nach früherer USCIS-Angabe gültig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Zähle die 60 Tage ab deinem letzten Arbeitstag, trage das Ende mit einer Woche Puffer in den Kalender ein und handle in der ersten Woche, nicht im zweiten Monat. Maßgeblich ist, wann ein Antrag bei USCIS eingeht, nicht wann du ihn abschickst.</w:t>
            </w:r>
          </w:p>
        </w:tc>
      </w:tr>
    </w:tbl>
    <w:p>
      <w:pPr>
        <w:pStyle w:val="Normal"/>
        <w:spacing w:lineRule="exact" w:line="220" w:before="0" w:after="0"/>
        <w:rPr/>
      </w:pPr>
      <w:r>
        <w:rPr/>
      </w:r>
    </w:p>
    <w:p>
      <w:pPr>
        <w:pStyle w:val="Heading4"/>
        <w:keepNext w:val="true"/>
        <w:spacing w:before="200" w:after="80"/>
        <w:jc w:val="center"/>
        <w:rPr/>
      </w:pPr>
      <w:r>
        <w:rPr>
          <w:rFonts w:eastAsia="Amazon Ember" w:cs="Amazon Ember" w:ascii="Amazon Ember" w:hAnsi="Amazon Ember"/>
          <w:b/>
          <w:bCs/>
          <w:color w:val="0000FF"/>
          <w:sz w:val="36"/>
          <w:szCs w:val="36"/>
        </w:rPr>
        <w:t>Was sich ändern könnte (Stand 20. September 2026)</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Heimatschutzministerium (DHS) hat am 11. September 2026 den Vorschlag „Eliminating the Discretionary 60-Day Grace Period” veröffentlicht (Docket USCIS-2026-0364). Die Frist soll ersatzlos entfallen, unter anderem für H-1B, L-1, O-1 und TN samt Angehörigen; der Statusverstoß träte dann mit dem Ende der Beschäftigung ein, mit Pflicht zur sofortigen Ausreise. Einen Starttermin oder eine Übergangsfrist nennt der Vorschlag nicht; Kommentare sind bis 10. November 2026 möglich. </w:t>
      </w:r>
      <w:r>
        <w:rPr>
          <w:rFonts w:eastAsia="Cambria" w:cs="Cambria"/>
          <w:b/>
          <w:bCs/>
          <w:i w:val="false"/>
          <w:iCs w:val="false"/>
          <w:sz w:val="22"/>
          <w:szCs w:val="22"/>
        </w:rPr>
        <w:t>Das ist ein Vorschlag, keine geltende Regel.</w:t>
      </w:r>
      <w:r>
        <w:rPr>
          <w:rFonts w:eastAsia="Cambria" w:cs="Cambria"/>
          <w:b w:val="false"/>
          <w:bCs w:val="false"/>
          <w:i w:val="false"/>
          <w:iCs w:val="false"/>
          <w:sz w:val="22"/>
          <w:szCs w:val="22"/>
        </w:rPr>
        <w:t xml:space="preserve"> Bis zu einer endgültigen Fassung gilt die 60-Tage-Frist.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Am 18. September 2026 hat der Präsident zudem eine </w:t>
      </w:r>
      <w:r>
        <w:rPr>
          <w:rFonts w:eastAsia="Cambria" w:cs="Cambria"/>
          <w:b w:val="false"/>
          <w:bCs w:val="false"/>
          <w:i/>
          <w:iCs/>
          <w:sz w:val="22"/>
          <w:szCs w:val="22"/>
        </w:rPr>
        <w:t>Executive Order</w:t>
      </w:r>
      <w:r>
        <w:rPr>
          <w:rFonts w:eastAsia="Cambria" w:cs="Cambria"/>
          <w:b w:val="false"/>
          <w:bCs w:val="false"/>
          <w:i w:val="false"/>
          <w:iCs w:val="false"/>
          <w:sz w:val="22"/>
          <w:szCs w:val="22"/>
        </w:rPr>
        <w:t xml:space="preserve"> (Anordnung an die Bundesbehörden) zum H-1B-Programm erlassen: Behörden sollen bei LCA, Petition, Visum und Einreise berücksichtigen, ob der sponsernde Arbeitgeber in den letzten zwölf Monaten ähnlich qualifizierte US-Beschäftigte entlassen hat oder plant. Wie das umgesetzt wird, ist offen; frage neue Arbeitgeber deshalb nach Stellenabbau im letzten Jahr. Beides prüfst du auf federalregister.gov und whitehouse.gov/presidential-actions.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Innerhalb der Frist hast du vier Optionen:</w:t>
      </w:r>
    </w:p>
    <w:p>
      <w:pPr>
        <w:pStyle w:val="ListParagraph"/>
        <w:numPr>
          <w:ilvl w:val="0"/>
          <w:numId w:val="183"/>
        </w:numPr>
        <w:spacing w:lineRule="exact" w:line="288" w:before="0" w:after="60"/>
        <w:rPr/>
      </w:pPr>
      <w:r>
        <w:rPr>
          <w:rFonts w:eastAsia="Cambria" w:cs="Cambria"/>
          <w:b/>
          <w:bCs/>
          <w:i w:val="false"/>
          <w:iCs w:val="false"/>
          <w:sz w:val="22"/>
          <w:szCs w:val="22"/>
        </w:rPr>
        <w:t>Neuer Arbeitgeber:</w:t>
      </w:r>
      <w:r>
        <w:rPr>
          <w:rFonts w:eastAsia="Cambria" w:cs="Cambria"/>
          <w:b w:val="false"/>
          <w:bCs w:val="false"/>
          <w:i w:val="false"/>
          <w:iCs w:val="false"/>
          <w:sz w:val="22"/>
          <w:szCs w:val="22"/>
        </w:rPr>
        <w:t xml:space="preserve"> Er reicht einen Transfer ein, du arbeitest ab Eingang – der übliche Weg; Premium Processing ist bei knapper Zeit sinnvoll.</w:t>
      </w:r>
    </w:p>
    <w:p>
      <w:pPr>
        <w:pStyle w:val="ListParagraph"/>
        <w:numPr>
          <w:ilvl w:val="0"/>
          <w:numId w:val="184"/>
        </w:numPr>
        <w:spacing w:lineRule="exact" w:line="288" w:before="0" w:after="60"/>
        <w:rPr/>
      </w:pPr>
      <w:r>
        <w:rPr>
          <w:rFonts w:eastAsia="Cambria" w:cs="Cambria"/>
          <w:b/>
          <w:bCs/>
          <w:i w:val="false"/>
          <w:iCs w:val="false"/>
          <w:sz w:val="22"/>
          <w:szCs w:val="22"/>
        </w:rPr>
        <w:t>Statuswechsel:</w:t>
      </w:r>
      <w:r>
        <w:rPr>
          <w:rFonts w:eastAsia="Cambria" w:cs="Cambria"/>
          <w:b w:val="false"/>
          <w:bCs w:val="false"/>
          <w:i w:val="false"/>
          <w:iCs w:val="false"/>
          <w:sz w:val="22"/>
          <w:szCs w:val="22"/>
        </w:rPr>
        <w:t xml:space="preserve"> Antrag auf eine andere Kategorie, etwa F-1 (Studium); muss vor Ablauf eingehen, kostet Gebühren und gehört in die Hände einer Anwältin.</w:t>
      </w:r>
    </w:p>
    <w:p>
      <w:pPr>
        <w:pStyle w:val="ListParagraph"/>
        <w:numPr>
          <w:ilvl w:val="0"/>
          <w:numId w:val="185"/>
        </w:numPr>
        <w:spacing w:lineRule="exact" w:line="288" w:before="0" w:after="60"/>
        <w:rPr/>
      </w:pPr>
      <w:r>
        <w:rPr>
          <w:rFonts w:eastAsia="Cambria" w:cs="Cambria"/>
          <w:b/>
          <w:bCs/>
          <w:i w:val="false"/>
          <w:iCs w:val="false"/>
          <w:sz w:val="22"/>
          <w:szCs w:val="22"/>
        </w:rPr>
        <w:t>Green-Card-Weg:</w:t>
      </w:r>
      <w:r>
        <w:rPr>
          <w:rFonts w:eastAsia="Cambria" w:cs="Cambria"/>
          <w:b w:val="false"/>
          <w:bCs w:val="false"/>
          <w:i w:val="false"/>
          <w:iCs w:val="false"/>
          <w:sz w:val="22"/>
          <w:szCs w:val="22"/>
        </w:rPr>
        <w:t xml:space="preserve"> Ist die I-485 schon eingereicht, prüft die Anwältin, ob Arbeitserlaubnis (EAD) oder AC21 dich weiterträgt.</w:t>
      </w:r>
    </w:p>
    <w:p>
      <w:pPr>
        <w:pStyle w:val="ListParagraph"/>
        <w:numPr>
          <w:ilvl w:val="0"/>
          <w:numId w:val="186"/>
        </w:numPr>
        <w:spacing w:lineRule="exact" w:line="288" w:before="0" w:after="60"/>
        <w:rPr/>
      </w:pPr>
      <w:r>
        <w:rPr>
          <w:rFonts w:eastAsia="Cambria" w:cs="Cambria"/>
          <w:b/>
          <w:bCs/>
          <w:i w:val="false"/>
          <w:iCs w:val="false"/>
          <w:sz w:val="22"/>
          <w:szCs w:val="22"/>
        </w:rPr>
        <w:t>Ausreise:</w:t>
      </w:r>
      <w:r>
        <w:rPr>
          <w:rFonts w:eastAsia="Cambria" w:cs="Cambria"/>
          <w:b w:val="false"/>
          <w:bCs w:val="false"/>
          <w:i w:val="false"/>
          <w:iCs w:val="false"/>
          <w:sz w:val="22"/>
          <w:szCs w:val="22"/>
        </w:rPr>
        <w:t xml:space="preserve"> Der sauberste Weg ohne Statusproblem; ein späterer Neuanlauf mit neuer Petition bleibt möglich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Notfallplan: Tag 1 bis 60</w:t>
      </w:r>
    </w:p>
    <w:tbl>
      <w:tblPr>
        <w:tblW w:w="6480" w:type="dxa"/>
        <w:jc w:val="left"/>
        <w:tblInd w:w="0" w:type="dxa"/>
        <w:tblLayout w:type="fixed"/>
        <w:tblCellMar>
          <w:top w:w="50" w:type="dxa"/>
          <w:left w:w="80" w:type="dxa"/>
          <w:bottom w:w="50" w:type="dxa"/>
          <w:right w:w="80" w:type="dxa"/>
        </w:tblCellMar>
      </w:tblPr>
      <w:tblGrid>
        <w:gridCol w:w="949"/>
        <w:gridCol w:w="3235"/>
        <w:gridCol w:w="2296"/>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Wann</w:t>
            </w:r>
          </w:p>
        </w:tc>
        <w:tc>
          <w:tcPr>
            <w:tcW w:w="323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du tust</w:t>
            </w:r>
          </w:p>
        </w:tc>
        <w:tc>
          <w:tcPr>
            <w:tcW w:w="229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Warum</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Tag 0</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Nichts sofort unterschreiben. Letzten Arbeitstag, Freistellung, Abfindung und Ende der Krankenversicherung schriftlich erfragen.</w:t>
            </w:r>
          </w:p>
        </w:tc>
        <w:tc>
          <w:tcPr>
            <w:tcW w:w="22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Das Beschäftigungsende bestimmt deine Frist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Tag 0–2</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Unterlagen sichern: Pass, I-94, alle I-797, Gehaltsabrechnungen, W-2, Arbeitsvertrag. Einwanderungsanwalt anrufen.</w:t>
            </w:r>
          </w:p>
        </w:tc>
        <w:tc>
          <w:tcPr>
            <w:tcW w:w="22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Nachweise kein Antrag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Tag 1</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Fristende ausrechnen: letzter Arbeitstag plus 60 Tage, oder Ablauf des I-94, wenn früher.</w:t>
            </w:r>
          </w:p>
        </w:tc>
        <w:tc>
          <w:tcPr>
            <w:tcW w:w="22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Das Kürzere gilt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Tag 1–7</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Netzwerk, Recruiter, LinkedIn: „H-1B-Transfer nötig“ gleich nennen.</w:t>
            </w:r>
          </w:p>
        </w:tc>
        <w:tc>
          <w:tcPr>
            <w:tcW w:w="22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jeder Arbeitgeber sponsert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Tag 1–14</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Krankenversicherung klären: COBRA, Marktplatz, Plan des Partners.</w:t>
            </w:r>
          </w:p>
        </w:tc>
        <w:tc>
          <w:tcPr>
            <w:tcW w:w="22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Wahlfristen laufen mit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Tag 14–40</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Angebot annehmen, Transfer sofort einreichen lassen; an Premium Processing darfst du dich beteiligen.</w:t>
            </w:r>
          </w:p>
        </w:tc>
        <w:tc>
          <w:tcPr>
            <w:tcW w:w="22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 ab Einreichung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Tag 30</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Angebot Plan B festlegen: Statuswechsel oder Ausreise vorbereiten.</w:t>
            </w:r>
          </w:p>
        </w:tc>
        <w:tc>
          <w:tcPr>
            <w:tcW w:w="22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Ausreise braucht Vorlauf</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Tag 45–55</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Letzte Einreichung von Petition oder Statuswechsel-Antrag, mit Puffer.</w:t>
            </w:r>
          </w:p>
        </w:tc>
        <w:tc>
          <w:tcPr>
            <w:tcW w:w="22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Post und Fehler brauchen Reserve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 Tag 60</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laufenden Antrag ausreisen.</w:t>
            </w:r>
          </w:p>
        </w:tc>
        <w:tc>
          <w:tcPr>
            <w:tcW w:w="22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Danach bist du ohne Status</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Das ist keine Rechtsberatung. Fristen und Optionen bewertet im Einzelfall eine Einwanderungsanwältin, am besten noch am Tag der Kündigung.</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Sabine Keller (fiktives Beispiel), 33, Softwareentwicklerin in Seattle, hat noch mehr als ein Jahr H-1B-Laufzeit. Anfang Juni sitzt sie in einem hastig einberufenen Video-Call, in dem ihr Manager in neunzig Sekunden verkündet, dass ihr Team aufgelöst wird. Letzter Arbeitstag ist der 30. Juni, die Krankenversicherung endet am 31. Juli. Sie lässt sich beides schriftlich bestätigen, ruft noch am selben Tag ihre Anwältin an und rechnet: Die 60 Tage enden am 29. August. Die angebotene Abfindung von acht Wochen Gehalt unterschreibt sie erst nach Prüfung. Am 19. Juli liegt ein Angebot aus Bellevue vor; der neue Arbeitgeber reicht am 27. Juli den Transfer mit Premium Processing (2.965 $) ein, am 1. August fängt sie an. Von den 60 Tagen waren 27 verbraucht. Den August überbrückt sie per COBRA für rund 790 $, weil der neue Plan erst am 1. September beginnt.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Abfindung, WARN Act, Krankenversicherung und Arbeitslosengeld</w:t>
      </w:r>
    </w:p>
    <w:p>
      <w:pPr>
        <w:pStyle w:val="Normal"/>
        <w:keepNext w:val="false"/>
        <w:keepLines w:val="false"/>
        <w:spacing w:lineRule="exact" w:line="288" w:before="0" w:after="140"/>
        <w:jc w:val="left"/>
        <w:rPr/>
      </w:pPr>
      <w:r>
        <w:rPr>
          <w:rFonts w:eastAsia="Cambria" w:cs="Cambria"/>
          <w:b/>
          <w:bCs/>
          <w:i w:val="false"/>
          <w:iCs w:val="false"/>
          <w:sz w:val="22"/>
          <w:szCs w:val="22"/>
        </w:rPr>
        <w:t>Abfindung.</w:t>
      </w:r>
      <w:r>
        <w:rPr>
          <w:rFonts w:eastAsia="Cambria" w:cs="Cambria"/>
          <w:b w:val="false"/>
          <w:bCs w:val="false"/>
          <w:i w:val="false"/>
          <w:iCs w:val="false"/>
          <w:sz w:val="22"/>
          <w:szCs w:val="22"/>
        </w:rPr>
        <w:t xml:space="preserve"> Verbreiteter Irrtum: Wer aus Deutschland die Abfindung als festen Bestandteil einer Kündigung kennt, erwartet sie auch hier automatisch. Tatsächlich kennt das Bundesrecht keinen Anspruch auf Abfindung (</w:t>
      </w:r>
      <w:r>
        <w:rPr>
          <w:rFonts w:eastAsia="Cambria" w:cs="Cambria"/>
          <w:b w:val="false"/>
          <w:bCs w:val="false"/>
          <w:i/>
          <w:iCs/>
          <w:sz w:val="22"/>
          <w:szCs w:val="22"/>
        </w:rPr>
        <w:t>Severance</w:t>
      </w:r>
      <w:r>
        <w:rPr>
          <w:rFonts w:eastAsia="Cambria" w:cs="Cambria"/>
          <w:b w:val="false"/>
          <w:bCs w:val="false"/>
          <w:i w:val="false"/>
          <w:iCs w:val="false"/>
          <w:sz w:val="22"/>
          <w:szCs w:val="22"/>
        </w:rPr>
        <w:t>). Viele Firmen bieten sie trotzdem an, als reine Kulanz, meist gegen einen Verzicht auf Klagen (</w:t>
      </w:r>
      <w:r>
        <w:rPr>
          <w:rFonts w:eastAsia="Cambria" w:cs="Cambria"/>
          <w:b w:val="false"/>
          <w:bCs w:val="false"/>
          <w:i/>
          <w:iCs/>
          <w:sz w:val="22"/>
          <w:szCs w:val="22"/>
        </w:rPr>
        <w:t>Separation Agreement</w:t>
      </w:r>
      <w:r>
        <w:rPr>
          <w:rFonts w:eastAsia="Cambria" w:cs="Cambria"/>
          <w:b w:val="false"/>
          <w:bCs w:val="false"/>
          <w:i w:val="false"/>
          <w:iCs w:val="false"/>
          <w:sz w:val="22"/>
          <w:szCs w:val="22"/>
        </w:rPr>
        <w:t xml:space="preserve"> mit </w:t>
      </w:r>
      <w:r>
        <w:rPr>
          <w:rFonts w:eastAsia="Cambria" w:cs="Cambria"/>
          <w:b w:val="false"/>
          <w:bCs w:val="false"/>
          <w:i/>
          <w:iCs/>
          <w:sz w:val="22"/>
          <w:szCs w:val="22"/>
        </w:rPr>
        <w:t>Release</w:t>
      </w:r>
      <w:r>
        <w:rPr>
          <w:rFonts w:eastAsia="Cambria" w:cs="Cambria"/>
          <w:b w:val="false"/>
          <w:bCs w:val="false"/>
          <w:i w:val="false"/>
          <w:iCs w:val="false"/>
          <w:sz w:val="22"/>
          <w:szCs w:val="22"/>
        </w:rPr>
        <w:t>). Höhe und Form sind Verhandlungssache; lass den Vertrag vor der Unterschrift prüfen.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Eine Abfindung verlängert die 60 Tage nicht gesichert. USCIS nennt als Beginn typischerweise den letzten Gehaltstag; Kanzleien raten, ab dem letzten Arbeitstag zu zählen, weil eine Abfindung kein Arbeitsverhältnis ist. Bei bezahlter Freistellung (</w:t>
            </w:r>
            <w:r>
              <w:rPr>
                <w:rFonts w:eastAsia="Cambria" w:cs="Cambria"/>
                <w:b w:val="false"/>
                <w:bCs w:val="false"/>
                <w:i/>
                <w:iCs/>
                <w:sz w:val="20"/>
                <w:szCs w:val="20"/>
              </w:rPr>
              <w:t>Garden Leave</w:t>
            </w:r>
            <w:r>
              <w:rPr>
                <w:rFonts w:eastAsia="Cambria" w:cs="Cambria"/>
                <w:b w:val="false"/>
                <w:bCs w:val="false"/>
                <w:i w:val="false"/>
                <w:iCs w:val="false"/>
                <w:sz w:val="20"/>
                <w:szCs w:val="20"/>
              </w:rPr>
              <w:t>), in der du formal angestellt bleibst, kann die Bewertung anders ausfallen; das klärt der Anwalt. Lass dir das Beschäftigungsende schriftlich nennen.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WARN Act.</w:t>
      </w:r>
      <w:r>
        <w:rPr>
          <w:rFonts w:eastAsia="Cambria" w:cs="Cambria"/>
          <w:b w:val="false"/>
          <w:bCs w:val="false"/>
          <w:i w:val="false"/>
          <w:iCs w:val="false"/>
          <w:sz w:val="22"/>
          <w:szCs w:val="22"/>
        </w:rPr>
        <w:t xml:space="preserve"> Der </w:t>
      </w:r>
      <w:r>
        <w:rPr>
          <w:rFonts w:eastAsia="Cambria" w:cs="Cambria"/>
          <w:b w:val="false"/>
          <w:bCs w:val="false"/>
          <w:i/>
          <w:iCs/>
          <w:sz w:val="22"/>
          <w:szCs w:val="22"/>
        </w:rPr>
        <w:t>WARN Act</w:t>
      </w:r>
      <w:r>
        <w:rPr>
          <w:rFonts w:eastAsia="Cambria" w:cs="Cambria"/>
          <w:b w:val="false"/>
          <w:bCs w:val="false"/>
          <w:i w:val="false"/>
          <w:iCs w:val="false"/>
          <w:sz w:val="22"/>
          <w:szCs w:val="22"/>
        </w:rPr>
        <w:t xml:space="preserve"> (Gesetz zur Vorankündigung von Massenentlassungen) verpflichtet Arbeitgeber ab 100 Beschäftigten (ohne Teilzeit), 60 Tage vorher schriftlich anzukündigen: bei Schließung eines Standorts mit mindestens 50 Betroffenen und bei Massenentlassungen (mindestens ein Drittel der Belegschaft und mindestens 50 Personen, oder mindestens 500). Bei Verstößen drohen üblicherweise bis zu 60 Tage Lohnnachzahlung. Mehrere Bundesstaaten haben eigene Gesetze; Washington, wo Sabine Keller arbeitet, seit 27. Juli 2025 eines für Arbeitgeber ab 50 Beschäftigten, ebenfalls mit 60 Tagen Vorankündigung.</w:t>
      </w:r>
    </w:p>
    <w:p>
      <w:pPr>
        <w:pStyle w:val="Normal"/>
        <w:keepNext w:val="false"/>
        <w:keepLines w:val="false"/>
        <w:spacing w:lineRule="exact" w:line="288" w:before="0" w:after="140"/>
        <w:jc w:val="left"/>
        <w:rPr/>
      </w:pPr>
      <w:r>
        <w:rPr>
          <w:rFonts w:eastAsia="Cambria" w:cs="Cambria"/>
          <w:b/>
          <w:bCs/>
          <w:i w:val="false"/>
          <w:iCs w:val="false"/>
          <w:sz w:val="22"/>
          <w:szCs w:val="22"/>
        </w:rPr>
        <w:t>COBRA.</w:t>
      </w:r>
      <w:r>
        <w:rPr>
          <w:rFonts w:eastAsia="Cambria" w:cs="Cambria"/>
          <w:b w:val="false"/>
          <w:bCs w:val="false"/>
          <w:i w:val="false"/>
          <w:iCs w:val="false"/>
          <w:sz w:val="22"/>
          <w:szCs w:val="22"/>
        </w:rPr>
        <w:t xml:space="preserve"> Das Gesetz </w:t>
      </w:r>
      <w:r>
        <w:rPr>
          <w:rFonts w:eastAsia="Cambria" w:cs="Cambria"/>
          <w:b w:val="false"/>
          <w:bCs w:val="false"/>
          <w:i/>
          <w:iCs/>
          <w:sz w:val="22"/>
          <w:szCs w:val="22"/>
        </w:rPr>
        <w:t>COBRA</w:t>
      </w:r>
      <w:r>
        <w:rPr>
          <w:rFonts w:eastAsia="Cambria" w:cs="Cambria"/>
          <w:b w:val="false"/>
          <w:bCs w:val="false"/>
          <w:i w:val="false"/>
          <w:iCs w:val="false"/>
          <w:sz w:val="22"/>
          <w:szCs w:val="22"/>
        </w:rPr>
        <w:t xml:space="preserve"> setzt deine Gruppenkrankenversicherung fort, wenn dein Arbeitgeber mindestens 20 Beschäftigte hatte. Du zahlst bis zu 102 % der Gesamtprämie (Arbeitgeberanteil, eigener Anteil, 2 % Aufschlag), als Rechenwert aus dem Durchschnitt 2025 rund 790 $ im Monat für eine Person und rund 2.290 $ für eine Familie. Die Deckung läuft üblicherweise 18 Monate. Du hast 60 Tage zur Wahl und danach 45 Tage bis zur ersten Zahlung; die Deckung gilt dann rückwirkend ab dem Verlust – verschleppen solltest du die Wahl trotzdem nicht. Alternativen sind das Sonderfenster im Marktplatz (60 Tage nach Verlust der Arbeitgeberdeckung) oder der Plan des Partners. Ab 2027 erhalten H-1B-Inhaber am Marktplatz keine Zuschüsse mehr, dürfen aber zum Vollpreis kaufen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Verhandle beim Wechsel „Deckung ab Tag 1“ oder einen Starttermin zum Monatsersten. Neue Arbeitgeberpläne dürfen bis zu 90 Tage warten; wo es eine Wartefrist gibt, sind es im Schnitt 1,8 Monate. Jeder Überbrückungsmonat per COBRA kostet rechnerisch rund 790 $.</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Arbeitslosengeld.</w:t>
      </w:r>
      <w:r>
        <w:rPr>
          <w:rFonts w:eastAsia="Cambria" w:cs="Cambria"/>
          <w:b w:val="false"/>
          <w:bCs w:val="false"/>
          <w:i w:val="false"/>
          <w:iCs w:val="false"/>
          <w:sz w:val="22"/>
          <w:szCs w:val="22"/>
        </w:rPr>
        <w:t xml:space="preserve"> Die Arbeitslosenversicherung ist Sache der Bundesstaaten. Bundesrecht verlangt, dass Beschäftigte ohne US-Staatsbürgerschaft für die Beschäftigung rechtmäßig anwesend und ermächtigt waren (26 U.S.C. § 3304(a)(14)); alles Weitere, etwa Verfügbarkeit und Arbeitsbereitschaft, regeln die Staaten. Weil H-1B-Inhaber ohne neue Petition nicht arbeiten dürfen, wird ein Anspruch in der Praxis uneinheitlich beurteilt – plane nicht damit. Ob ein Antrag sinnvoll ist, klärst du mit dem Anwalt und der Landesbehörde (in Washington das Employment Security Department, esd.wa.gov).</w:t>
      </w:r>
    </w:p>
    <w:p>
      <w:pPr>
        <w:pStyle w:val="Normal"/>
        <w:keepNext w:val="false"/>
        <w:keepLines w:val="false"/>
        <w:spacing w:lineRule="exact" w:line="288" w:before="0" w:after="140"/>
        <w:jc w:val="left"/>
        <w:rPr/>
      </w:pPr>
      <w:r>
        <w:rPr>
          <w:rFonts w:eastAsia="Cambria" w:cs="Cambria"/>
          <w:b/>
          <w:bCs/>
          <w:i w:val="false"/>
          <w:iCs w:val="false"/>
          <w:sz w:val="22"/>
          <w:szCs w:val="22"/>
        </w:rPr>
        <w:t>Pflichten des bisherigen Arbeitgebers.</w:t>
      </w:r>
      <w:r>
        <w:rPr>
          <w:rFonts w:eastAsia="Cambria" w:cs="Cambria"/>
          <w:b w:val="false"/>
          <w:bCs w:val="false"/>
          <w:i w:val="false"/>
          <w:iCs w:val="false"/>
          <w:sz w:val="22"/>
          <w:szCs w:val="22"/>
        </w:rPr>
        <w:t xml:space="preserve"> Er muss USCIS das Ende der Beschäftigung unverzüglich melden (die Petition erlischt damit, das ist Routine), bei einer Entlassung vor Ablauf des genehmigten Zeitraums die angemessenen Kosten der Rückreise ins Ausland zahlen (8 CFR 214.2(h)(4)(iii)(E)) und den Lohn zahlen, bis die Beschäftigung ordnungsgemäß beendet ist; dazu gehören nach Kanzleiwissen die Meldung und das Angebot der Rückreisekosten. Verlange die Bestätigung der Meldung schriftlich.</w:t>
      </w:r>
    </w:p>
    <w:p>
      <w:pPr>
        <w:pStyle w:val="Heading3"/>
        <w:keepNext w:val="true"/>
        <w:spacing w:before="280" w:after="100"/>
        <w:jc w:val="center"/>
        <w:rPr/>
      </w:pPr>
      <w:r>
        <w:rPr>
          <w:rFonts w:eastAsia="Amazon Ember" w:cs="Amazon Ember" w:ascii="Amazon Ember" w:hAnsi="Amazon Ember"/>
          <w:b/>
          <w:bCs/>
          <w:color w:val="0000FF"/>
          <w:sz w:val="36"/>
          <w:szCs w:val="36"/>
        </w:rPr>
        <w:t>Umzug im Land: AR-11, Führerschein, Schule, Steuern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Ob Wechsel, Versetzung oder eigener Wunsch: Wer in den USA umzieht, hat Fristen. Die wichtigste gilt bundesweit und wird oft vergessen: Nach der USCIS-Seite zum Formular AR-11 (Stand 3. Juni 2026) muss jede Person mit Aufenthalt in den USA jede Adressänderung binnen 10 Tagen melden – schneller, als die letzten Umzugskartons meist ausgepackt sind. Ausgenommen sind nur Inhaber von A- und G-Visa sowie Besucher im Visa-Waiver-Programm. Melde dich am besten online über dein USCIS-Konto; Papier per Post geht, aktualisiert das System aber langsamer. Läuft ein Antrag bei USCIS, etwa für die Green Card, teile die neue Adresse dafür ebenfalls sofort mit, damit Bescheide nicht an der alten Adresse landen. Die AR-11 ersetzt weder die Mitteilung an den Arbeitgeber noch die Ummeldung bei Führerscheinstelle und Schule.</w:t>
      </w:r>
    </w:p>
    <w:tbl>
      <w:tblPr>
        <w:tblW w:w="6480" w:type="dxa"/>
        <w:jc w:val="left"/>
        <w:tblInd w:w="0" w:type="dxa"/>
        <w:tblLayout w:type="fixed"/>
        <w:tblCellMar>
          <w:top w:w="50" w:type="dxa"/>
          <w:left w:w="80" w:type="dxa"/>
          <w:bottom w:w="50" w:type="dxa"/>
          <w:right w:w="80" w:type="dxa"/>
        </w:tblCellMar>
      </w:tblPr>
      <w:tblGrid>
        <w:gridCol w:w="1257"/>
        <w:gridCol w:w="4273"/>
        <w:gridCol w:w="950"/>
      </w:tblGrid>
      <w:tr>
        <w:trPr>
          <w:tblHeader w:val="true"/>
          <w:cantSplit w:val="true"/>
        </w:trPr>
        <w:tc>
          <w:tcPr>
            <w:tcW w:w="125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Thema</w:t>
            </w:r>
          </w:p>
        </w:tc>
        <w:tc>
          <w:tcPr>
            <w:tcW w:w="427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Regel</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Mehr dazu</w:t>
            </w:r>
          </w:p>
        </w:tc>
      </w:tr>
      <w:tr>
        <w:trPr>
          <w:cantSplit w:val="true"/>
        </w:trPr>
        <w:tc>
          <w:tcPr>
            <w:tcW w:w="12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Führerschein und Kfz</w:t>
            </w:r>
          </w:p>
        </w:tc>
        <w:tc>
          <w:tcPr>
            <w:tcW w:w="42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Landesrecht, Fristen sehr unterschiedlich: Kalifornien 10, Washington 30, Texas 90 Tage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7">
              <w:r>
                <w:rPr>
                  <w:rStyle w:val="ListLabel112"/>
                  <w:rFonts w:eastAsia="Cambria" w:cs="Cambria"/>
                  <w:b w:val="false"/>
                  <w:bCs w:val="false"/>
                  <w:i w:val="false"/>
                  <w:iCs w:val="false"/>
                  <w:sz w:val="18"/>
                  <w:szCs w:val="18"/>
                </w:rPr>
                <w:t>27</w:t>
              </w:r>
            </w:hyperlink>
          </w:p>
        </w:tc>
      </w:tr>
      <w:tr>
        <w:trPr>
          <w:cantSplit w:val="true"/>
        </w:trPr>
        <w:tc>
          <w:tcPr>
            <w:tcW w:w="12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Schule</w:t>
            </w:r>
          </w:p>
        </w:tc>
        <w:tc>
          <w:tcPr>
            <w:tcW w:w="42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Anmeldung nach Wohnadresse im Schuldistrikt, auch unterjährig; Wohnsitznachweis, Impfnachweis und letztes Zeugnis bereithalten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6">
              <w:r>
                <w:rPr>
                  <w:rStyle w:val="ListLabel112"/>
                  <w:rFonts w:eastAsia="Cambria" w:cs="Cambria"/>
                  <w:b w:val="false"/>
                  <w:bCs w:val="false"/>
                  <w:i w:val="false"/>
                  <w:iCs w:val="false"/>
                  <w:sz w:val="18"/>
                  <w:szCs w:val="18"/>
                </w:rPr>
                <w:t>36</w:t>
              </w:r>
            </w:hyperlink>
          </w:p>
        </w:tc>
      </w:tr>
      <w:tr>
        <w:trPr>
          <w:cantSplit w:val="true"/>
        </w:trPr>
        <w:tc>
          <w:tcPr>
            <w:tcW w:w="12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Steuern</w:t>
            </w:r>
          </w:p>
        </w:tc>
        <w:tc>
          <w:tcPr>
            <w:tcW w:w="42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Teiljahreserklärungen in beiden Staaten möglich; neuen Wohnort dem Arbeitgeber melden; Umzugskosten nicht abziehbar; Zuschüsse des Arbeitgebers sind steuerpflichtiger Lohn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8">
              <w:r>
                <w:rPr>
                  <w:rStyle w:val="ListLabel112"/>
                  <w:rFonts w:eastAsia="Cambria" w:cs="Cambria"/>
                  <w:b w:val="false"/>
                  <w:bCs w:val="false"/>
                  <w:i w:val="false"/>
                  <w:iCs w:val="false"/>
                  <w:sz w:val="18"/>
                  <w:szCs w:val="18"/>
                </w:rPr>
                <w:t>28</w:t>
              </w:r>
            </w:hyperlink>
          </w:p>
        </w:tc>
      </w:tr>
      <w:tr>
        <w:trPr>
          <w:cantSplit w:val="true"/>
        </w:trPr>
        <w:tc>
          <w:tcPr>
            <w:tcW w:w="12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Wohnung</w:t>
            </w:r>
          </w:p>
        </w:tc>
        <w:tc>
          <w:tcPr>
            <w:tcW w:w="42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Mietverträge meist 12 Monate; vorzeitiger Auszug kostet typisch 1–2 Monatsmieten und die Kaution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3">
              <w:r>
                <w:rPr>
                  <w:rStyle w:val="ListLabel112"/>
                  <w:rFonts w:eastAsia="Cambria" w:cs="Cambria"/>
                  <w:b w:val="false"/>
                  <w:bCs w:val="false"/>
                  <w:i w:val="false"/>
                  <w:iCs w:val="false"/>
                  <w:sz w:val="18"/>
                  <w:szCs w:val="18"/>
                </w:rPr>
                <w:t>13</w:t>
              </w:r>
            </w:hyperlink>
          </w:p>
        </w:tc>
      </w:tr>
      <w:tr>
        <w:trPr>
          <w:cantSplit w:val="true"/>
        </w:trPr>
        <w:tc>
          <w:tcPr>
            <w:tcW w:w="12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Krankenversicherung</w:t>
            </w:r>
          </w:p>
        </w:tc>
        <w:tc>
          <w:tcPr>
            <w:tcW w:w="42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Netzwerk am neuen Ort prüfen; Ärzte und Krankenhäuser gelten regional</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6">
              <w:r>
                <w:rPr>
                  <w:rStyle w:val="ListLabel112"/>
                  <w:rFonts w:eastAsia="Cambria" w:cs="Cambria"/>
                  <w:b w:val="false"/>
                  <w:bCs w:val="false"/>
                  <w:i w:val="false"/>
                  <w:iCs w:val="false"/>
                  <w:sz w:val="18"/>
                  <w:szCs w:val="18"/>
                </w:rPr>
                <w:t>26</w:t>
              </w:r>
            </w:hyperlink>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Rücklage: mindestens sechs Monate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den USA hängen Einkommen, Krankenversicherung und Aufenthaltsstatus oft am selben Arbeitgeber; das verlangt Puffer. Wer schon einmal nachts wachlag, weil die Krankenversicherung der Familie an einem einzigen Kündigungsdatum hängt, weiß, warum diese Zahl kein Luxus ist. Die Faustregel: sechs Monate Fixkosten, bei Familie oder Hypothek mehr (Notgroschen: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 Rechenbeispiel für eine Person in Seattle: Miete im Durchschnitt 2.253 $ (RentCafe, August 2026), Nebenkosten 150–300 $, COBRA rund 790 $, Lebensmittel, Handy, Nahverkehr und Versicherungen nach grober Schätzung 1.000–1.500 $ – macht rund 4.200–4.850 $ im Monat, für sechs Monate also etwa 25.000–29.000 $. Hinzu kommen Sonderposten, falls du ausreisen musst: Flug, Umzug oder Einlagerung und beim vorzeitigen Auszug 1–2 Monatsmieten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 xml:space="preserve"> und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Wechsel im Inland ohne Lotterie und ohne 100.000-$-Zahlung (Stand September 2026)</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Jeder Wechsel braucht einen Antrag; ohne Eingang bei USCIS darfst du nicht anfangen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 beim neuen Arbeitgeber ab Einreichung, ohne Entscheidung abzuwarten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Eine Ablehnung beendet die Arbeitserlaubnis beim neuen Arbeitgeber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 Arbeitgeber trägt die Gebühren; ACWIA und Anwaltskosten sind nicht abziehbar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Anderes Beschäftigungsgebiet oder wesentlich andere Stelle: neue LCA und geänderte Petition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AC21 macht das Green-Card-Verfahren nach 180 Tagen übertragbar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Wechsel vor I-140-Genehmigung oder I-485-Einreichung kann das Verfahren zurückwerfen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Derzeit bis zu 60 Tage Frist nach Jobverlust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Anspruch auf Arbeit oder Arbeitslosengeld; DHS will die Frist streichen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Flexibler Arbeitsmarkt, kurze Kündigungsfristen, Gehaltssprünge beim Wechsel</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Krankenversicherung hängt am Job: Wartefristen bis 90 Tage, COBRA rund 790 $ pro Monat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Hast du heute einen sicheren Job, nutze die Ruhe: Lege die Unterlagenmappe an, notiere die Ablaufdaten von I-94 und Petition, suche einen Einwanderungsanwalt für den Ernstfall und baue die Rücklage auf. Steht ein Wechsel an, lass zuerst den Transfer einreichen und kündige danach.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Unterlagenmappe anlegen: Pass, I-94, alle I-797, letzte Gehaltsabrechnungen, W-2, Offer Letter, digital gesichert.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Ablaufdatum des I-94 und der Petition notieren.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Einen eigenen Einwanderungsanwalt suchen, nicht nur die Kanzlei des Arbeitgebers, und die Kontaktdaten speichern.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Rücklage von sechs Monaten Fixkosten aufbauen.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jedem Angebot fragen: Transfer-Zusage, Kostenverteilung, Start des Green-Card-Verfahrens, Stellenabbau in den letzten zwölf Monaten.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Erst kündigen, wenn die Petition des neuen Arbeitgebers bei USCIS eingegangen ist.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Umzug oder Versetzung HR fragen, ob eine neue LCA oder geänderte Petition nötig ist.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Stand von Priority Date, I-140 und I-485 kennen, bevor du wechselst.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Nach jedem Umzug binnen 10 Tagen die AR-11 online einreichen.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Jobverlust: 60 Tage ab letztem Arbeitstag zählen, COBRA-Fristen (60 und 45 Tage) notieren.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Den DHS-Vorschlag zur 60-Tage-Frist (Kommentare bis 10. November 2026) beobachten.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USCIS – H-1B (Portabilität, Fristen nach Beschäftigungsende): </w:t>
      </w:r>
      <w:hyperlink r:id="rId289">
        <w:r>
          <w:rPr>
            <w:rStyle w:val="ListLabel113"/>
            <w:rFonts w:eastAsia="Cambria" w:cs="Cambria"/>
            <w:b w:val="false"/>
            <w:bCs w:val="false"/>
            <w:i w:val="false"/>
            <w:iCs w:val="false"/>
            <w:color w:val="0563C1"/>
            <w:sz w:val="22"/>
            <w:szCs w:val="22"/>
            <w:u w:val="single"/>
          </w:rPr>
          <w:t>uscis.gov/working-in-the-united-states/h-1b-specialty-occupations</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USCIS – Gebührenübersicht Form G-1055: </w:t>
      </w:r>
      <w:hyperlink r:id="rId290">
        <w:r>
          <w:rPr>
            <w:rStyle w:val="ListLabel113"/>
            <w:rFonts w:eastAsia="Cambria" w:cs="Cambria"/>
            <w:b w:val="false"/>
            <w:bCs w:val="false"/>
            <w:i w:val="false"/>
            <w:iCs w:val="false"/>
            <w:color w:val="0563C1"/>
            <w:sz w:val="22"/>
            <w:szCs w:val="22"/>
            <w:u w:val="single"/>
          </w:rPr>
          <w:t>uscis.gov/g-1055</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USCIS Policy Manual – Job-Portabilität (AC21, INA 204(j)): </w:t>
      </w:r>
      <w:hyperlink r:id="rId291">
        <w:r>
          <w:rPr>
            <w:rStyle w:val="ListLabel113"/>
            <w:rFonts w:eastAsia="Cambria" w:cs="Cambria"/>
            <w:b w:val="false"/>
            <w:bCs w:val="false"/>
            <w:i w:val="false"/>
            <w:iCs w:val="false"/>
            <w:color w:val="0563C1"/>
            <w:sz w:val="22"/>
            <w:szCs w:val="22"/>
            <w:u w:val="single"/>
          </w:rPr>
          <w:t>uscis.gov/policy-manual/volume-7-part-e-chapter-5</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USCIS – Adressänderung Form AR-11: </w:t>
      </w:r>
      <w:hyperlink r:id="rId292">
        <w:r>
          <w:rPr>
            <w:rStyle w:val="ListLabel113"/>
            <w:rFonts w:eastAsia="Cambria" w:cs="Cambria"/>
            <w:b w:val="false"/>
            <w:bCs w:val="false"/>
            <w:i w:val="false"/>
            <w:iCs w:val="false"/>
            <w:color w:val="0563C1"/>
            <w:sz w:val="22"/>
            <w:szCs w:val="22"/>
            <w:u w:val="single"/>
          </w:rPr>
          <w:t>uscis.gov/ar-11</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Federal Register – Vorschlag zur 60-Tage-Frist (Docket USCIS-2026-0364): </w:t>
      </w:r>
      <w:hyperlink r:id="rId293">
        <w:r>
          <w:rPr>
            <w:rStyle w:val="ListLabel113"/>
            <w:rFonts w:eastAsia="Cambria" w:cs="Cambria"/>
            <w:b w:val="false"/>
            <w:bCs w:val="false"/>
            <w:i w:val="false"/>
            <w:iCs w:val="false"/>
            <w:color w:val="0563C1"/>
            <w:sz w:val="22"/>
            <w:szCs w:val="22"/>
            <w:u w:val="single"/>
          </w:rPr>
          <w:t>federalregister.gov</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Arbeitsministerium – H-1B und LCA: </w:t>
      </w:r>
      <w:hyperlink r:id="rId294">
        <w:r>
          <w:rPr>
            <w:rStyle w:val="ListLabel113"/>
            <w:rFonts w:eastAsia="Cambria" w:cs="Cambria"/>
            <w:b w:val="false"/>
            <w:bCs w:val="false"/>
            <w:i w:val="false"/>
            <w:iCs w:val="false"/>
            <w:color w:val="0563C1"/>
            <w:sz w:val="22"/>
            <w:szCs w:val="22"/>
            <w:u w:val="single"/>
          </w:rPr>
          <w:t>dol.gov/agencies/eta/foreign-labor/programs/h-1b</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Arbeitsministerium – COBRA: </w:t>
      </w:r>
      <w:hyperlink r:id="rId295">
        <w:r>
          <w:rPr>
            <w:rStyle w:val="ListLabel113"/>
            <w:rFonts w:eastAsia="Cambria" w:cs="Cambria"/>
            <w:b w:val="false"/>
            <w:bCs w:val="false"/>
            <w:i w:val="false"/>
            <w:iCs w:val="false"/>
            <w:color w:val="0563C1"/>
            <w:sz w:val="22"/>
            <w:szCs w:val="22"/>
            <w:u w:val="single"/>
          </w:rPr>
          <w:t>dol.gov/general/topic/health-plans/cobra</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Arbeitsministerium – WARN Act: </w:t>
      </w:r>
      <w:hyperlink r:id="rId296">
        <w:r>
          <w:rPr>
            <w:rStyle w:val="ListLabel113"/>
            <w:rFonts w:eastAsia="Cambria" w:cs="Cambria"/>
            <w:b w:val="false"/>
            <w:bCs w:val="false"/>
            <w:i w:val="false"/>
            <w:iCs w:val="false"/>
            <w:color w:val="0563C1"/>
            <w:sz w:val="22"/>
            <w:szCs w:val="22"/>
            <w:u w:val="single"/>
          </w:rPr>
          <w:t>dol.gov/agencies/eta/layoffs/warn</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ListParagraph"/>
              <w:numPr>
                <w:ilvl w:val="0"/>
                <w:numId w:val="187"/>
              </w:numPr>
              <w:spacing w:lineRule="exact" w:line="264" w:before="0" w:after="50"/>
              <w:rPr/>
            </w:pPr>
            <w:r>
              <w:rPr>
                <w:rFonts w:eastAsia="Cambria" w:cs="Cambria"/>
                <w:b w:val="false"/>
                <w:bCs w:val="false"/>
                <w:i w:val="false"/>
                <w:iCs w:val="false"/>
                <w:sz w:val="20"/>
                <w:szCs w:val="20"/>
              </w:rPr>
              <w:t>September 2026. Diese Angaben ändern sich schnell: der DHS-Vorschlag zur 60-Tage-Frist (Kommentare bis 10. November 2026), die Umsetzung der Executive Order vom 18. September 2026, die USCIS-Gebühren (Blatt G-1055, Ausgabe 09/09/26) samt Premium Processing (2.965 $), die 100.000-$-Proklamation (bis 21. September 2027 verlängert, gerichtlich blockiert) und der 103.265-$-Entwurf (Kommentare bis 24. September 2026). Auch COBRA-Prämien und Marktplatz-Regeln ändern sich. Prüfe vor jeder Entscheidung die offiziellen Seiten und lass Fristen von einem Einwanderungsanwalt bestätigen.</w:t>
            </w:r>
          </w:p>
        </w:tc>
      </w:tr>
    </w:tbl>
    <w:p>
      <w:pPr>
        <w:sectPr>
          <w:footerReference w:type="even" r:id="rId297"/>
          <w:footerReference w:type="default" r:id="rId298"/>
          <w:footerReference w:type="first" r:id="rId299"/>
          <w:type w:val="nextPage"/>
          <w:pgSz w:w="8640" w:h="12983"/>
          <w:pgMar w:left="1080" w:right="1080" w:gutter="0" w:header="0" w:top="1080" w:footer="708" w:bottom="1100"/>
          <w:pgNumType w:fmt="decimal"/>
          <w:formProt w:val="false"/>
          <w:textDirection w:val="lrTb"/>
          <w:docGrid w:type="default" w:linePitch="360" w:charSpace="4096"/>
        </w:sectPr>
        <w:pStyle w:val="Normal"/>
        <w:spacing w:lineRule="exact" w:line="220" w:before="0" w:after="0"/>
        <w:rPr/>
      </w:pPr>
      <w:r>
        <w:rPr/>
      </w:r>
    </w:p>
    <w:p>
      <w:pPr>
        <w:pStyle w:val="Heading1"/>
        <w:spacing w:before="0" w:after="360"/>
        <w:jc w:val="center"/>
        <w:rPr/>
      </w:pPr>
      <w:bookmarkStart w:id="76" w:name="__RefHeading___Toc56501_3769931028"/>
      <w:bookmarkEnd w:id="76"/>
      <w:r>
        <w:rPr>
          <w:rFonts w:eastAsia="Amazon Ember" w:cs="Amazon Ember" w:ascii="Amazon Ember" w:hAnsi="Amazon Ember"/>
          <w:b/>
          <w:bCs/>
          <w:color w:val="0000FF"/>
        </w:rPr>
        <w:t>TEIL VIII — Leben und Menschen</w:t>
      </w:r>
    </w:p>
    <w:p>
      <w:pPr>
        <w:sectPr>
          <w:footerReference w:type="even" r:id="rId300"/>
          <w:footerReference w:type="default" r:id="rId301"/>
          <w:footerReference w:type="first" r:id="rId302"/>
          <w:type w:val="nextPage"/>
          <w:pgSz w:w="8640" w:h="12983"/>
          <w:pgMar w:left="1080" w:right="1080" w:gutter="0" w:header="0" w:top="1080" w:footer="708" w:bottom="1100"/>
          <w:pgNumType w:fmt="decimal"/>
          <w:formProt w:val="false"/>
          <w:vAlign w:val="center"/>
          <w:textDirection w:val="lrTb"/>
          <w:docGrid w:type="default" w:linePitch="360" w:charSpace="4096"/>
        </w:sectPr>
        <w:pStyle w:val="Normal"/>
        <w:spacing w:lineRule="exact" w:line="300" w:before="0" w:after="160"/>
        <w:ind w:left="400" w:right="400"/>
        <w:jc w:val="center"/>
        <w:rPr/>
      </w:pPr>
      <w:r>
        <w:rPr>
          <w:rFonts w:eastAsia="Cambria" w:cs="Cambria"/>
          <w:b w:val="false"/>
          <w:bCs w:val="false"/>
          <w:i/>
          <w:iCs/>
          <w:sz w:val="24"/>
          <w:szCs w:val="24"/>
        </w:rPr>
        <w:t>Kultur, Freundschaft, Heimweh, Kleidung und Essen: die Dinge, die im Alltag über Zufriedenheit entscheiden.</w:t>
      </w:r>
      <w:r>
        <w:br w:type="page"/>
      </w:r>
    </w:p>
    <w:p>
      <w:pPr>
        <w:pStyle w:val="Heading2"/>
        <w:keepNext w:val="true"/>
        <w:spacing w:before="0" w:after="300"/>
        <w:jc w:val="center"/>
        <w:rPr/>
      </w:pPr>
      <w:bookmarkStart w:id="77" w:name="__RefHeading___Toc56503_3769931028"/>
      <w:bookmarkStart w:id="78" w:name="k31"/>
      <w:bookmarkEnd w:id="77"/>
      <w:r>
        <w:rPr>
          <w:rFonts w:eastAsia="Amazon Ember" w:cs="Amazon Ember" w:ascii="Amazon Ember" w:hAnsi="Amazon Ember"/>
          <w:b/>
          <w:bCs/>
          <w:color w:val="0000FF"/>
          <w:sz w:val="36"/>
          <w:szCs w:val="36"/>
        </w:rPr>
        <w:t>Kapitel 31: Kulturunterschiede: Der große Deutsch-Amerikanisch-Vergleich</w:t>
      </w:r>
      <w:bookmarkEnd w:id="78"/>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Kassiererin fragt „How are you today?“ und ist schon beim nächsten Kunden, bevor du deine Antwort sortiert hast. Am Abend liegt die Restaurantrechnung vor dir: 78 $ laut Karte, 98 $ zu zahlen. Beides ist weder Zufall noch Unfreundlichkeit, sondern amerikanischer Alltag. Dieses Kapitel ordnet die wichtigsten Unterschiede zu Deutschland: was du erwarten kannst, was du besser lässt und was Amerikaner an Deutschen schätzen.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w:t>
            </w:r>
            <w:r>
              <w:rPr>
                <w:rFonts w:eastAsia="Cambria" w:cs="Cambria"/>
                <w:b w:val="false"/>
                <w:bCs w:val="false"/>
                <w:i w:val="false"/>
                <w:iCs w:val="false"/>
                <w:sz w:val="20"/>
                <w:szCs w:val="20"/>
              </w:rPr>
              <w:t>How are you?“ ist ein Gruß, keine Frage. Freundlichkeit im Alltag ist ein Ritual; echte Freundschaft wächst langsamer (Kapitel </w:t>
            </w:r>
            <w:hyperlink w:anchor="k32">
              <w:r>
                <w:rPr>
                  <w:rStyle w:val="ListLabel114"/>
                  <w:rFonts w:eastAsia="Cambria" w:cs="Cambria"/>
                  <w:b w:val="false"/>
                  <w:bCs w:val="false"/>
                  <w:i w:val="false"/>
                  <w:iCs w:val="false"/>
                  <w:sz w:val="20"/>
                  <w:szCs w:val="20"/>
                </w:rPr>
                <w:t>32</w:t>
              </w:r>
            </w:hyperlink>
            <w:r>
              <w:rPr>
                <w:rFonts w:eastAsia="Cambria" w:cs="Cambria"/>
                <w:b w:val="false"/>
                <w:bCs w:val="false"/>
                <w:i w:val="false"/>
                <w:iCs w:val="false"/>
                <w:sz w:val="20"/>
                <w:szCs w:val="20"/>
              </w:rPr>
              <w:t>).</w:t>
            </w:r>
          </w:p>
          <w:p>
            <w:pPr>
              <w:pStyle w:val="ListParagraph"/>
              <w:numPr>
                <w:ilvl w:val="0"/>
                <w:numId w:val="1"/>
              </w:numPr>
              <w:spacing w:lineRule="exact" w:line="264" w:before="0" w:after="50"/>
              <w:rPr/>
            </w:pPr>
            <w:r>
              <w:rPr>
                <w:rFonts w:eastAsia="Cambria" w:cs="Cambria"/>
                <w:b w:val="false"/>
                <w:bCs w:val="false"/>
                <w:i w:val="false"/>
                <w:iCs w:val="false"/>
                <w:sz w:val="20"/>
                <w:szCs w:val="20"/>
              </w:rPr>
              <w:t>Trinkgeld gehört zum Lohn: 18–20 % im Restaurant, dazu Verkaufssteuer, die auf keinem Preisschild steht. Rechne mit rund einem Viertel Aufschlag.</w:t>
            </w:r>
          </w:p>
          <w:p>
            <w:pPr>
              <w:pStyle w:val="ListParagraph"/>
              <w:numPr>
                <w:ilvl w:val="0"/>
                <w:numId w:val="1"/>
              </w:numPr>
              <w:spacing w:lineRule="exact" w:line="264" w:before="0" w:after="50"/>
              <w:rPr/>
            </w:pPr>
            <w:r>
              <w:rPr>
                <w:rFonts w:eastAsia="Cambria" w:cs="Cambria"/>
                <w:b w:val="false"/>
                <w:bCs w:val="false"/>
                <w:i w:val="false"/>
                <w:iCs w:val="false"/>
                <w:sz w:val="20"/>
                <w:szCs w:val="20"/>
              </w:rPr>
              <w:t>Deutsche Direktheit kommt oft als Härte an. Verpacke Kritik, lobe konkret und häufig, frage lieber, als zu belehren.</w:t>
            </w:r>
          </w:p>
          <w:p>
            <w:pPr>
              <w:pStyle w:val="ListParagraph"/>
              <w:numPr>
                <w:ilvl w:val="0"/>
                <w:numId w:val="1"/>
              </w:numPr>
              <w:spacing w:lineRule="exact" w:line="264" w:before="0" w:after="50"/>
              <w:rPr/>
            </w:pPr>
            <w:r>
              <w:rPr>
                <w:rFonts w:eastAsia="Cambria" w:cs="Cambria"/>
                <w:b w:val="false"/>
                <w:bCs w:val="false"/>
                <w:i w:val="false"/>
                <w:iCs w:val="false"/>
                <w:sz w:val="20"/>
                <w:szCs w:val="20"/>
              </w:rPr>
              <w:t>Politik, Religion, Gehalt und Waffen sind bei Fremden kein Small-Talk-Thema. Als Nichtstaatsbürger gelten zusätzliche Grenzen bei Cannabis, Wahlspenden und Waffen.</w:t>
            </w:r>
          </w:p>
          <w:p>
            <w:pPr>
              <w:pStyle w:val="ListParagraph"/>
              <w:numPr>
                <w:ilvl w:val="0"/>
                <w:numId w:val="1"/>
              </w:numPr>
              <w:spacing w:lineRule="exact" w:line="264" w:before="0" w:after="50"/>
              <w:rPr/>
            </w:pPr>
            <w:r>
              <w:rPr>
                <w:rFonts w:eastAsia="Cambria" w:cs="Cambria"/>
                <w:b w:val="false"/>
                <w:bCs w:val="false"/>
                <w:i w:val="false"/>
                <w:iCs w:val="false"/>
                <w:sz w:val="20"/>
                <w:szCs w:val="20"/>
              </w:rPr>
              <w:t>Es gibt keine Meldepflicht, dafür Klagekultur, Haftungsverzichte und Warnhinweise; eine Haftpflichtversicherung lohnt sich.</w:t>
            </w:r>
          </w:p>
          <w:p>
            <w:pPr>
              <w:pStyle w:val="ListParagraph"/>
              <w:numPr>
                <w:ilvl w:val="0"/>
                <w:numId w:val="1"/>
              </w:numPr>
              <w:spacing w:lineRule="exact" w:line="264" w:before="0" w:after="50"/>
              <w:rPr/>
            </w:pPr>
            <w:r>
              <w:rPr>
                <w:rFonts w:eastAsia="Cambria" w:cs="Cambria"/>
                <w:b w:val="false"/>
                <w:bCs w:val="false"/>
                <w:i w:val="false"/>
                <w:iCs w:val="false"/>
                <w:sz w:val="20"/>
                <w:szCs w:val="20"/>
              </w:rPr>
              <w:t>Am Ende fassen 15 Faustregeln alles für den Alltag zusammen.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Umgang: Small Talk, Direktheit, Namen und Nähe</w:t>
      </w:r>
    </w:p>
    <w:p>
      <w:pPr>
        <w:pStyle w:val="Normal"/>
        <w:keepNext w:val="false"/>
        <w:keepLines w:val="false"/>
        <w:spacing w:lineRule="exact" w:line="288" w:before="0" w:after="140"/>
        <w:jc w:val="left"/>
        <w:rPr/>
      </w:pPr>
      <w:r>
        <w:rPr>
          <w:rFonts w:eastAsia="Cambria" w:cs="Cambria"/>
          <w:b/>
          <w:bCs/>
          <w:i w:val="false"/>
          <w:iCs w:val="false"/>
          <w:sz w:val="22"/>
          <w:szCs w:val="22"/>
        </w:rPr>
        <w:t>„</w:t>
      </w:r>
      <w:r>
        <w:rPr>
          <w:rFonts w:eastAsia="Cambria" w:cs="Cambria"/>
          <w:b/>
          <w:bCs/>
          <w:i w:val="false"/>
          <w:iCs w:val="false"/>
          <w:sz w:val="22"/>
          <w:szCs w:val="22"/>
        </w:rPr>
        <w:t>How are you?“ und Small Talk.</w:t>
      </w:r>
      <w:r>
        <w:rPr>
          <w:rFonts w:eastAsia="Cambria" w:cs="Cambria"/>
          <w:b w:val="false"/>
          <w:bCs w:val="false"/>
          <w:i w:val="false"/>
          <w:iCs w:val="false"/>
          <w:sz w:val="22"/>
          <w:szCs w:val="22"/>
        </w:rPr>
        <w:t xml:space="preserve"> Die Frage ist eine Begrüßung. Erwartet wird ein kurzes „Good, thanks, and you?“; wer ehrlich Bilanz zieht, verwirrt sein Gegenüber. Der Kontrast zur deutschen Frage ist spürbar: Wer in Deutschland „Wie geht’s?“ fragt, muss mit einer echten Antwort rechnen – im Zweifel mit Rücken, Chef und Bahnverspätung als Klagepunkten, gerne auch zehn Minuten lang. Genau diese Ausführlichkeit wirkt in den USA fehl am Platz; die kurze Standardantwort erscheint manchen Neuankömmlingen zunächst hohl oder aufgesetzt, ist aber keine Unehrlichkeit, sondern ein anderes Ritual mit anderer Funktion: Kontakt herstellen, nicht Bilanz ziehen. Die praktische Konsequenz: kurz und unverfänglich antworten und die Frage zurückgeben; eine ausführliche Antwort verwirrt eher, als dass sie Nähe schafft. Danach folgt Small Talk über Wetter, Wochenende, Reisen, Sport, Haustiere und Kinder. Früh fällt auch „Where are you from?“ und „What do you do?“; die Frage nach dem Beruf ist in den USA ein normaler Einstieg. Meide bei Fremden Gehalt, Politik, Religion, Gewicht, Lebensalter und Familienplanung. Gespräche in der Schlange oder im Aufzug sind üblich, unverbindlich und nach zwei Sätzen vorbei. Nachbarn winken oder grüßen im Vorbeigehen; grüße zurück.</w:t>
      </w:r>
    </w:p>
    <w:p>
      <w:pPr>
        <w:pStyle w:val="Normal"/>
        <w:keepNext w:val="false"/>
        <w:keepLines w:val="false"/>
        <w:spacing w:lineRule="exact" w:line="288" w:before="0" w:after="140"/>
        <w:jc w:val="left"/>
        <w:rPr/>
      </w:pPr>
      <w:r>
        <w:rPr>
          <w:rFonts w:eastAsia="Cambria" w:cs="Cambria"/>
          <w:b/>
          <w:bCs/>
          <w:i w:val="false"/>
          <w:iCs w:val="false"/>
          <w:sz w:val="22"/>
          <w:szCs w:val="22"/>
        </w:rPr>
        <w:t>Freundlichkeit ist nicht Freundschaft.</w:t>
      </w:r>
      <w:r>
        <w:rPr>
          <w:rFonts w:eastAsia="Cambria" w:cs="Cambria"/>
          <w:b w:val="false"/>
          <w:bCs w:val="false"/>
          <w:i w:val="false"/>
          <w:iCs w:val="false"/>
          <w:sz w:val="22"/>
          <w:szCs w:val="22"/>
        </w:rPr>
        <w:t xml:space="preserve"> „We should get together sometime“ ist eine Höflichkeitsformel, keine Einladung. Wer es ernst meint, nennt Tag und Ort. Als Faustformel gilt: Amerikaner sind schnell im Kontakt und langsam in der Vertiefung, Deutsche eher umgekehrt. Wie du die Lücke schließt, steht in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Direktheit.</w:t>
      </w:r>
      <w:r>
        <w:rPr>
          <w:rFonts w:eastAsia="Cambria" w:cs="Cambria"/>
          <w:b w:val="false"/>
          <w:bCs w:val="false"/>
          <w:i w:val="false"/>
          <w:iCs w:val="false"/>
          <w:sz w:val="22"/>
          <w:szCs w:val="22"/>
        </w:rPr>
        <w:t xml:space="preserve"> „Das funktioniert so nicht“ ist in Deutschland eine Sachaussage; in den USA hört man darin einen Angriff auf die Person. Kritik wird verpackt: erst etwas Positives, dann eine Frage („Have we considered …?“), dann der Vorschlag. Umgekehrt heißt „That’s interesting“ oder „We’ll see“ manchmal nein, und „Great idea!“ ist nicht immer eine Zusage. Feedback im Job: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Lob.</w:t>
      </w:r>
      <w:r>
        <w:rPr>
          <w:rFonts w:eastAsia="Cambria" w:cs="Cambria"/>
          <w:b w:val="false"/>
          <w:bCs w:val="false"/>
          <w:i w:val="false"/>
          <w:iCs w:val="false"/>
          <w:sz w:val="22"/>
          <w:szCs w:val="22"/>
        </w:rPr>
        <w:t xml:space="preserve"> In Schwaben gilt: „Nicht geschimpft ist genug gelobt.“ In den USA gilt das Gegenteil: Wer kein Lob hört, fragt sich, ob etwas nicht stimmt. „Great job“, „Awesome“ und „Amazing“ sind Alltagswörter, keine Superlative. Nimm Lob mit „Thank you“ an, statt es abzuwehren, und gib es selbst konkret und oft.</w:t>
      </w:r>
    </w:p>
    <w:p>
      <w:pPr>
        <w:pStyle w:val="Normal"/>
        <w:keepNext w:val="false"/>
        <w:keepLines w:val="false"/>
        <w:spacing w:lineRule="exact" w:line="288" w:before="0" w:after="140"/>
        <w:jc w:val="left"/>
        <w:rPr/>
      </w:pPr>
      <w:r>
        <w:rPr>
          <w:rFonts w:eastAsia="Cambria" w:cs="Cambria"/>
          <w:b/>
          <w:bCs/>
          <w:i w:val="false"/>
          <w:iCs w:val="false"/>
          <w:sz w:val="22"/>
          <w:szCs w:val="22"/>
        </w:rPr>
        <w:t>Namen und Anrede.</w:t>
      </w:r>
      <w:r>
        <w:rPr>
          <w:rFonts w:eastAsia="Cambria" w:cs="Cambria"/>
          <w:b w:val="false"/>
          <w:bCs w:val="false"/>
          <w:i w:val="false"/>
          <w:iCs w:val="false"/>
          <w:sz w:val="22"/>
          <w:szCs w:val="22"/>
        </w:rPr>
        <w:t xml:space="preserve"> Es gilt der Vorname, meist ab der ersten Begegnung, auch beim Chef. Titel setzt du bei Ärzten („Dr. Miller“), Lehrkräften, Polizisten und älteren Menschen ein; im Süden hörst du „Sir“ und „Ma’am“. Akademische Titel wie „Dipl.-Ing.“ sind unbekannt. Frauen spricht man mit „Ms.“ an, unabhängig vom Familienstand. Pronomen in E-Mail-Signaturen (she/her, he/him, they/them) kannst du übernehmen oder ignorieren; sprich Menschen so an, wie sie es wünschen.</w:t>
      </w:r>
    </w:p>
    <w:p>
      <w:pPr>
        <w:pStyle w:val="Normal"/>
        <w:keepNext w:val="false"/>
        <w:keepLines w:val="false"/>
        <w:spacing w:lineRule="exact" w:line="288" w:before="0" w:after="140"/>
        <w:jc w:val="left"/>
        <w:rPr/>
      </w:pPr>
      <w:r>
        <w:rPr>
          <w:rFonts w:eastAsia="Cambria" w:cs="Cambria"/>
          <w:b/>
          <w:bCs/>
          <w:i w:val="false"/>
          <w:iCs w:val="false"/>
          <w:sz w:val="22"/>
          <w:szCs w:val="22"/>
        </w:rPr>
        <w:t>Berührung und Abstand.</w:t>
      </w:r>
      <w:r>
        <w:rPr>
          <w:rFonts w:eastAsia="Cambria" w:cs="Cambria"/>
          <w:b w:val="false"/>
          <w:bCs w:val="false"/>
          <w:i w:val="false"/>
          <w:iCs w:val="false"/>
          <w:sz w:val="22"/>
          <w:szCs w:val="22"/>
        </w:rPr>
        <w:t xml:space="preserve"> Zur Begrüßung gibt es einen festen Händedruck mit Blickkontakt, unter Freunden eine Umarmung; Wangenküsse sind selten. Der übliche Gesprächsabstand beträgt etwa eine Armlänge. Fremde Kinder streichelst du nicht, und im Beruf gilt: Berührung nur, wenn sie angeboten wird.</w:t>
      </w:r>
    </w:p>
    <w:p>
      <w:pPr>
        <w:pStyle w:val="Normal"/>
        <w:keepNext w:val="false"/>
        <w:keepLines w:val="false"/>
        <w:spacing w:lineRule="exact" w:line="288" w:before="0" w:after="140"/>
        <w:jc w:val="left"/>
        <w:rPr/>
      </w:pPr>
      <w:r>
        <w:rPr>
          <w:rFonts w:eastAsia="Cambria" w:cs="Cambria"/>
          <w:b/>
          <w:bCs/>
          <w:i w:val="false"/>
          <w:iCs w:val="false"/>
          <w:sz w:val="22"/>
          <w:szCs w:val="22"/>
        </w:rPr>
        <w:t>Humor und Alltagssprache.</w:t>
      </w:r>
      <w:r>
        <w:rPr>
          <w:rFonts w:eastAsia="Cambria" w:cs="Cambria"/>
          <w:b w:val="false"/>
          <w:bCs w:val="false"/>
          <w:i w:val="false"/>
          <w:iCs w:val="false"/>
          <w:sz w:val="22"/>
          <w:szCs w:val="22"/>
        </w:rPr>
        <w:t xml:space="preserve"> Ironie versteht man, im Beruf setzt man sie sparsamer ein; trockener deutscher Humor wird oft für Ernst gehalten. Selbstironie kommt gut an, Witze über Herkunft, Religion, Geschlecht oder Politik nicht. „Please“ und „Thank you“ fallen häufiger als im Deutschen, auf „Thank you“ folgt „You’re welcome“ oder „No problem“, und „Sorry“ entschuldigt schon ein Anrempeln. Zum Abschied hörst du „Have a good one“ und antwortest „You too“.</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auffälligsten wird das im Supermarkt: Willst du an jemandem vorbei, der vor dem Regal steht, hörst du ein „Excuse me“, bevor sich die Person überhaupt bewegt – manchmal, bevor du selbst gemerkt hast, dass du im Weg standst. In Deutschland wird eher stumm vorbeigedrängt, notfalls mit dem Einkaufswagen als Argument. Wer aus Deutschland kommt und sich wortlos durch die Cerealien-Gasse schiebt, erntet keinen Streit, aber gehobene Augenbrauen. Die Faustregel: Ein kurzes „Excuse me“ oder „Sorry“ kostet nichts und öffnet fast jede Lücke, auch die, die eigentlich zu eng dafür ist.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Sabine Keller (fiktiv) beginnt in Seattle bei einem Technologieunternehmen. Jeden Morgen fragt der Kollege am Nebentisch „How’s it going?“. Am Mittwoch antwortet sie ehrlich: schlecht geschlafen, die Wohnung sei laut, das Bankkonto noch nicht eröffnet. Er nickt freundlich, das Gespräch endet. Am Freitag hört sie zu, wie andere antworten: „Good, busy, you?“ Fast immer folgt eine zweite Frage: „Any plans for the weekend?“ Sabine übernimmt das Muster, erzählt von einer geplanten Wanderung und bekommt zwei Wegtipps. Nach zwei Wochen kennt sie drei Kollegen mit Namen und Hobby. Für mehr braucht es Zeit und Verabredungen (Kapitel </w:t>
            </w:r>
            <w:hyperlink w:anchor="k32">
              <w:r>
                <w:rPr>
                  <w:rStyle w:val="ListLabel114"/>
                  <w:rFonts w:eastAsia="Cambria" w:cs="Cambria"/>
                  <w:b w:val="false"/>
                  <w:bCs w:val="false"/>
                  <w:i w:val="false"/>
                  <w:iCs w:val="false"/>
                  <w:sz w:val="20"/>
                  <w:szCs w:val="20"/>
                </w:rPr>
                <w:t>32</w:t>
              </w:r>
            </w:hyperlink>
            <w:r>
              <w:rPr>
                <w:rFonts w:eastAsia="Cambria" w:cs="Cambria"/>
                <w:b w:val="false"/>
                <w:bCs w:val="false"/>
                <w:i w:val="false"/>
                <w:iCs w:val="false"/>
                <w:sz w:val="20"/>
                <w:szCs w:val="20"/>
              </w:rPr>
              <w:t>).</w:t>
            </w:r>
          </w:p>
        </w:tc>
      </w:tr>
    </w:tbl>
    <w:p>
      <w:pPr>
        <w:pStyle w:val="Normal"/>
        <w:spacing w:lineRule="exact" w:line="220" w:before="0" w:after="0"/>
        <w:rPr/>
      </w:pPr>
      <w:r>
        <w:rPr/>
      </w:r>
    </w:p>
    <w:tbl>
      <w:tblPr>
        <w:tblW w:w="6480" w:type="dxa"/>
        <w:jc w:val="left"/>
        <w:tblInd w:w="0" w:type="dxa"/>
        <w:tblLayout w:type="fixed"/>
        <w:tblCellMar>
          <w:top w:w="50" w:type="dxa"/>
          <w:left w:w="80" w:type="dxa"/>
          <w:bottom w:w="50" w:type="dxa"/>
          <w:right w:w="80" w:type="dxa"/>
        </w:tblCellMar>
      </w:tblPr>
      <w:tblGrid>
        <w:gridCol w:w="1076"/>
        <w:gridCol w:w="1716"/>
        <w:gridCol w:w="1828"/>
        <w:gridCol w:w="1859"/>
      </w:tblGrid>
      <w:tr>
        <w:trPr>
          <w:tblHeader w:val="true"/>
          <w:cantSplit w:val="true"/>
        </w:trPr>
        <w:tc>
          <w:tcPr>
            <w:tcW w:w="107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Situation</w:t>
            </w:r>
          </w:p>
        </w:tc>
        <w:tc>
          <w:tcPr>
            <w:tcW w:w="171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In Deutschland</w:t>
            </w:r>
          </w:p>
        </w:tc>
        <w:tc>
          <w:tcPr>
            <w:tcW w:w="182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In den USA</w:t>
            </w:r>
          </w:p>
        </w:tc>
        <w:tc>
          <w:tcPr>
            <w:tcW w:w="185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Tipp</w:t>
            </w:r>
          </w:p>
        </w:tc>
      </w:tr>
      <w:tr>
        <w:trPr>
          <w:cantSplit w:val="true"/>
        </w:trPr>
        <w:tc>
          <w:tcPr>
            <w:tcW w:w="10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Begrüßung</w:t>
            </w:r>
          </w:p>
        </w:tc>
        <w:tc>
          <w:tcPr>
            <w:tcW w:w="17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Wie geht’s?“ fragt nach dem Befinden</w:t>
            </w:r>
          </w:p>
        </w:tc>
        <w:tc>
          <w:tcPr>
            <w:tcW w:w="18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How are you?“ ist ein Gruß</w:t>
            </w:r>
          </w:p>
        </w:tc>
        <w:tc>
          <w:tcPr>
            <w:tcW w:w="18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Kurz antworten, zurückfragen</w:t>
            </w:r>
          </w:p>
        </w:tc>
      </w:tr>
      <w:tr>
        <w:trPr>
          <w:cantSplit w:val="true"/>
        </w:trPr>
        <w:tc>
          <w:tcPr>
            <w:tcW w:w="10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Wir sollten uns mal treffen“</w:t>
            </w:r>
          </w:p>
        </w:tc>
        <w:tc>
          <w:tcPr>
            <w:tcW w:w="17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Meist ernst gemeint</w:t>
            </w:r>
          </w:p>
        </w:tc>
        <w:tc>
          <w:tcPr>
            <w:tcW w:w="18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Oft Höflichkeitsformel</w:t>
            </w:r>
          </w:p>
        </w:tc>
        <w:tc>
          <w:tcPr>
            <w:tcW w:w="18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Selbst Tag und Ort nennen</w:t>
            </w:r>
          </w:p>
        </w:tc>
      </w:tr>
      <w:tr>
        <w:trPr>
          <w:cantSplit w:val="true"/>
        </w:trPr>
        <w:tc>
          <w:tcPr>
            <w:tcW w:w="10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Kritik</w:t>
            </w:r>
          </w:p>
        </w:tc>
        <w:tc>
          <w:tcPr>
            <w:tcW w:w="17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Direkt und sachlich</w:t>
            </w:r>
          </w:p>
        </w:tc>
        <w:tc>
          <w:tcPr>
            <w:tcW w:w="18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Verpackt, erst Positives</w:t>
            </w:r>
          </w:p>
        </w:tc>
        <w:tc>
          <w:tcPr>
            <w:tcW w:w="18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Als Frage oder Vorschlag formulieren</w:t>
            </w:r>
          </w:p>
        </w:tc>
      </w:tr>
      <w:tr>
        <w:trPr>
          <w:cantSplit w:val="true"/>
        </w:trPr>
        <w:tc>
          <w:tcPr>
            <w:tcW w:w="10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Lob</w:t>
            </w:r>
          </w:p>
        </w:tc>
        <w:tc>
          <w:tcPr>
            <w:tcW w:w="17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Selten, zurückhaltend</w:t>
            </w:r>
          </w:p>
        </w:tc>
        <w:tc>
          <w:tcPr>
            <w:tcW w:w="18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Häufig, überschwänglich</w:t>
            </w:r>
          </w:p>
        </w:tc>
        <w:tc>
          <w:tcPr>
            <w:tcW w:w="18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Annehmen, selbst konkret loben</w:t>
            </w:r>
          </w:p>
        </w:tc>
      </w:tr>
      <w:tr>
        <w:trPr>
          <w:cantSplit w:val="true"/>
        </w:trPr>
        <w:tc>
          <w:tcPr>
            <w:tcW w:w="10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Anrede</w:t>
            </w:r>
          </w:p>
        </w:tc>
        <w:tc>
          <w:tcPr>
            <w:tcW w:w="17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Siezen, Titel, später Duzen</w:t>
            </w:r>
          </w:p>
        </w:tc>
        <w:tc>
          <w:tcPr>
            <w:tcW w:w="18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Vorname ab dem ersten Treffen</w:t>
            </w:r>
          </w:p>
        </w:tc>
        <w:tc>
          <w:tcPr>
            <w:tcW w:w="18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Titel nur bei Ärzten und Älteren</w:t>
            </w:r>
          </w:p>
        </w:tc>
      </w:tr>
      <w:tr>
        <w:trPr>
          <w:cantSplit w:val="true"/>
        </w:trPr>
        <w:tc>
          <w:tcPr>
            <w:tcW w:w="10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Körperkontakt</w:t>
            </w:r>
          </w:p>
        </w:tc>
        <w:tc>
          <w:tcPr>
            <w:tcW w:w="17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Händedruck</w:t>
            </w:r>
          </w:p>
        </w:tc>
        <w:tc>
          <w:tcPr>
            <w:tcW w:w="18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Händedruck, unter Freunden Umarmung</w:t>
            </w:r>
          </w:p>
        </w:tc>
        <w:tc>
          <w:tcPr>
            <w:tcW w:w="18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Umarmung abwarten</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In den USA liegt der Ton in der Verpackung, in Deutschland in der Sache. Wer beides beherrscht, verliert nichts von seiner Klarheit.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Amerikanisches Englisch vor der Abreise trainieren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Schulenglisch ist meist britisch geprägt, während US-Alltagssprache eigene Wörter (</w:t>
      </w:r>
      <w:r>
        <w:rPr>
          <w:rFonts w:eastAsia="Cambria" w:cs="Cambria"/>
          <w:b w:val="false"/>
          <w:bCs w:val="false"/>
          <w:i/>
          <w:iCs/>
          <w:sz w:val="22"/>
          <w:szCs w:val="22"/>
        </w:rPr>
        <w:t>apartment</w:t>
      </w:r>
      <w:r>
        <w:rPr>
          <w:rFonts w:eastAsia="Cambria" w:cs="Cambria"/>
          <w:b w:val="false"/>
          <w:bCs w:val="false"/>
          <w:i w:val="false"/>
          <w:iCs w:val="false"/>
          <w:sz w:val="22"/>
          <w:szCs w:val="22"/>
        </w:rPr>
        <w:t xml:space="preserve"> statt </w:t>
      </w:r>
      <w:r>
        <w:rPr>
          <w:rFonts w:eastAsia="Cambria" w:cs="Cambria"/>
          <w:b w:val="false"/>
          <w:bCs w:val="false"/>
          <w:i/>
          <w:iCs/>
          <w:sz w:val="22"/>
          <w:szCs w:val="22"/>
        </w:rPr>
        <w:t>flat</w:t>
      </w:r>
      <w:r>
        <w:rPr>
          <w:rFonts w:eastAsia="Cambria" w:cs="Cambria"/>
          <w:b w:val="false"/>
          <w:bCs w:val="false"/>
          <w:i w:val="false"/>
          <w:iCs w:val="false"/>
          <w:sz w:val="22"/>
          <w:szCs w:val="22"/>
        </w:rPr>
        <w:t xml:space="preserve">, </w:t>
      </w:r>
      <w:r>
        <w:rPr>
          <w:rFonts w:eastAsia="Cambria" w:cs="Cambria"/>
          <w:b w:val="false"/>
          <w:bCs w:val="false"/>
          <w:i/>
          <w:iCs/>
          <w:sz w:val="22"/>
          <w:szCs w:val="22"/>
        </w:rPr>
        <w:t>elevator</w:t>
      </w:r>
      <w:r>
        <w:rPr>
          <w:rFonts w:eastAsia="Cambria" w:cs="Cambria"/>
          <w:b w:val="false"/>
          <w:bCs w:val="false"/>
          <w:i w:val="false"/>
          <w:iCs w:val="false"/>
          <w:sz w:val="22"/>
          <w:szCs w:val="22"/>
        </w:rPr>
        <w:t xml:space="preserve"> statt </w:t>
      </w:r>
      <w:r>
        <w:rPr>
          <w:rFonts w:eastAsia="Cambria" w:cs="Cambria"/>
          <w:b w:val="false"/>
          <w:bCs w:val="false"/>
          <w:i/>
          <w:iCs/>
          <w:sz w:val="22"/>
          <w:szCs w:val="22"/>
        </w:rPr>
        <w:t>lift</w:t>
      </w:r>
      <w:r>
        <w:rPr>
          <w:rFonts w:eastAsia="Cambria" w:cs="Cambria"/>
          <w:b w:val="false"/>
          <w:bCs w:val="false"/>
          <w:i w:val="false"/>
          <w:iCs w:val="false"/>
          <w:sz w:val="22"/>
          <w:szCs w:val="22"/>
        </w:rPr>
        <w:t>) und, je nach Zielregion, einen ganz eigenen Klang hat. Bücher mit einfacher, dialoggetriebener Prosa bauen Wortschatz am schnellsten auf: Stephen King (etwa „Gerald’s Game“ oder „Misery“), John Grisham oder Lee Child lesen sich schnell und spannend. Die „Accent Expert“-Reihe von WIRED auf YouTube (Dialektcoach Erik Singer, unter anderem eine eigene Tour durch US-Regionalakzente) hilft, sich auf den Akzent deiner Zielregion einzustellen – General American klingt anders als Südstaaten-, Boston- oder Minnesota-Englisch.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gezielte Regionalakzente eignen sich Serien wie „Fargo“ (oberer Mittlerer Westen) oder „Justified“ (Kentucky); für den Alltagston allgemein hilft jede beliebige US-Serie im Original statt in deutscher Synchronisation. Prüfe die aktuelle Verfügbarkeit auf JustWatch.de, da sich Streaming-Kataloge laufend ändern. Stelle Untertitel wenn möglich auf Englisch, nicht auf Deutsch, und schau dir eine dir bekannte Serie noch einmal im Original an – die bekannte Handlung senkt die Einstiegshürde. Wer lieber strukturiert lernt: ARD und ZDF bieten in ihren Mediatheken kostenlose Englischkurse, weniger unterhaltsam, aber solide.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Kinder gilt eine andere, altersabhängige Auswahl – dazu mehr in Kapitel </w:t>
      </w:r>
      <w:hyperlink w:anchor="k37">
        <w:r>
          <w:rPr>
            <w:rStyle w:val="ListLabel115"/>
            <w:rFonts w:eastAsia="Cambria" w:cs="Cambria"/>
            <w:b w:val="false"/>
            <w:bCs w:val="false"/>
            <w:i w:val="false"/>
            <w:iCs w:val="false"/>
            <w:sz w:val="22"/>
            <w:szCs w:val="22"/>
          </w:rPr>
          <w:t>37</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Zeit und Rhythmus</w:t>
      </w:r>
    </w:p>
    <w:p>
      <w:pPr>
        <w:pStyle w:val="Normal"/>
        <w:keepNext w:val="false"/>
        <w:keepLines w:val="false"/>
        <w:spacing w:lineRule="exact" w:line="288" w:before="0" w:after="140"/>
        <w:jc w:val="left"/>
        <w:rPr/>
      </w:pPr>
      <w:r>
        <w:rPr>
          <w:rFonts w:eastAsia="Cambria" w:cs="Cambria"/>
          <w:b/>
          <w:bCs/>
          <w:i w:val="false"/>
          <w:iCs w:val="false"/>
          <w:sz w:val="22"/>
          <w:szCs w:val="22"/>
        </w:rPr>
        <w:t>Pünktlichkeit und RSVP.</w:t>
      </w:r>
      <w:r>
        <w:rPr>
          <w:rFonts w:eastAsia="Cambria" w:cs="Cambria"/>
          <w:b w:val="false"/>
          <w:bCs w:val="false"/>
          <w:i w:val="false"/>
          <w:iCs w:val="false"/>
          <w:sz w:val="22"/>
          <w:szCs w:val="22"/>
        </w:rPr>
        <w:t xml:space="preserve"> Im Job gilt Pünktlichkeit wie in Deutschland: Meetings beginnen zur vollen oder halben Stunde, fünf Minuten Vorlauf sind richtig. Privat ist es anders: Zum Abendessen um 18 Uhr kommst du 5 bis 15 Minuten später, zu einer Party auch später; zu früh ist unhöflicher als zu spät. Auf Einladungen erwartet man eine Antwort (</w:t>
      </w:r>
      <w:r>
        <w:rPr>
          <w:rFonts w:eastAsia="Cambria" w:cs="Cambria"/>
          <w:b w:val="false"/>
          <w:bCs w:val="false"/>
          <w:i/>
          <w:iCs/>
          <w:sz w:val="22"/>
          <w:szCs w:val="22"/>
        </w:rPr>
        <w:t>RSVP</w:t>
      </w:r>
      <w:r>
        <w:rPr>
          <w:rFonts w:eastAsia="Cambria" w:cs="Cambria"/>
          <w:b w:val="false"/>
          <w:bCs w:val="false"/>
          <w:i w:val="false"/>
          <w:iCs w:val="false"/>
          <w:sz w:val="22"/>
          <w:szCs w:val="22"/>
        </w:rPr>
        <w:t>, von französisch „répondez s’il vous plaît“: Bitte um Zu- oder Absage), auch bei Kindergeburtstagen und bis zum genannten Datum. Spontan vorbeizukommen ist unüblich; schreibe vorher eine kurze Nachricht.</w:t>
      </w:r>
    </w:p>
    <w:p>
      <w:pPr>
        <w:pStyle w:val="Normal"/>
        <w:keepNext w:val="false"/>
        <w:keepLines w:val="false"/>
        <w:spacing w:lineRule="exact" w:line="288" w:before="0" w:after="140"/>
        <w:jc w:val="left"/>
        <w:rPr/>
      </w:pPr>
      <w:r>
        <w:rPr>
          <w:rFonts w:eastAsia="Cambria" w:cs="Cambria"/>
          <w:b/>
          <w:bCs/>
          <w:i w:val="false"/>
          <w:iCs w:val="false"/>
          <w:sz w:val="22"/>
          <w:szCs w:val="22"/>
        </w:rPr>
        <w:t>Tagesrhythmus und Sonntag.</w:t>
      </w:r>
      <w:r>
        <w:rPr>
          <w:rFonts w:eastAsia="Cambria" w:cs="Cambria"/>
          <w:b w:val="false"/>
          <w:bCs w:val="false"/>
          <w:i w:val="false"/>
          <w:iCs w:val="false"/>
          <w:sz w:val="22"/>
          <w:szCs w:val="22"/>
        </w:rPr>
        <w:t xml:space="preserve"> Der Tag beginnt früh und endet früh: Das Mittagessen ist kurz und oft am Schreibtisch, das Abendessen liegt zwischen 17:30 und 19 Uhr, Partys enden meist gegen 22 Uhr. Einen gesetzlichen Ruhetag und ein bundesweites Ladenschlussgesetz gibt es nicht; die meisten Geschäfte sind abends und sonntags geöffnet, manche Supermärkte rund um die Uhr. Einzelne Bundesstaaten und Gemeinden beschränken sonntags den Alkoholverkauf. Ruhezeiten regeln Mietvertrag und Hausordnung. Urlaub und Feiertage im Beruf: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Datum und Uhr.</w:t>
      </w:r>
      <w:r>
        <w:rPr>
          <w:rFonts w:eastAsia="Cambria" w:cs="Cambria"/>
          <w:b w:val="false"/>
          <w:bCs w:val="false"/>
          <w:i w:val="false"/>
          <w:iCs w:val="false"/>
          <w:sz w:val="22"/>
          <w:szCs w:val="22"/>
        </w:rPr>
        <w:t xml:space="preserve"> Das amerikanische Datum beginnt mit dem Monat: 7/4/2026 ist der 4. Juli, nicht der 7. April. Die Uhr zählt zweimal zwölf Stunden (a.m. und p.m.), Temperaturen stehen in °F, Strecken in Meilen.</w:t>
      </w:r>
    </w:p>
    <w:tbl>
      <w:tblPr>
        <w:tblW w:w="6480" w:type="dxa"/>
        <w:jc w:val="left"/>
        <w:tblInd w:w="0" w:type="dxa"/>
        <w:tblLayout w:type="fixed"/>
        <w:tblCellMar>
          <w:top w:w="50" w:type="dxa"/>
          <w:left w:w="80" w:type="dxa"/>
          <w:bottom w:w="50" w:type="dxa"/>
          <w:right w:w="80" w:type="dxa"/>
        </w:tblCellMar>
      </w:tblPr>
      <w:tblGrid>
        <w:gridCol w:w="1446"/>
        <w:gridCol w:w="1622"/>
        <w:gridCol w:w="1468"/>
        <w:gridCol w:w="1943"/>
      </w:tblGrid>
      <w:tr>
        <w:trPr>
          <w:tblHeader w:val="true"/>
          <w:cantSplit w:val="true"/>
        </w:trPr>
        <w:tc>
          <w:tcPr>
            <w:tcW w:w="144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Situation</w:t>
            </w:r>
          </w:p>
        </w:tc>
        <w:tc>
          <w:tcPr>
            <w:tcW w:w="162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In Deutschland</w:t>
            </w:r>
          </w:p>
        </w:tc>
        <w:tc>
          <w:tcPr>
            <w:tcW w:w="146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In den USA</w:t>
            </w:r>
          </w:p>
        </w:tc>
        <w:tc>
          <w:tcPr>
            <w:tcW w:w="194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Tipp</w:t>
            </w:r>
          </w:p>
        </w:tc>
      </w:tr>
      <w:tr>
        <w:trPr>
          <w:cantSplit w:val="true"/>
        </w:trPr>
        <w:tc>
          <w:tcPr>
            <w:tcW w:w="1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Einladung zum Essen um 18 Uhr</w:t>
            </w:r>
          </w:p>
        </w:tc>
        <w:tc>
          <w:tcPr>
            <w:tcW w:w="16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Pünktlich</w:t>
            </w:r>
          </w:p>
        </w:tc>
        <w:tc>
          <w:tcPr>
            <w:tcW w:w="14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 bis 15 Minuten später</w:t>
            </w:r>
          </w:p>
        </w:tc>
        <w:tc>
          <w:tcPr>
            <w:tcW w:w="19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Nie früher klingeln</w:t>
            </w:r>
          </w:p>
        </w:tc>
      </w:tr>
      <w:tr>
        <w:trPr>
          <w:cantSplit w:val="true"/>
        </w:trPr>
        <w:tc>
          <w:tcPr>
            <w:tcW w:w="1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Einladung ohne Antwort</w:t>
            </w:r>
          </w:p>
        </w:tc>
        <w:tc>
          <w:tcPr>
            <w:tcW w:w="16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Zusage oft stillschweigend</w:t>
            </w:r>
          </w:p>
        </w:tc>
        <w:tc>
          <w:tcPr>
            <w:tcW w:w="14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RSVP</w:t>
            </w:r>
            <w:r>
              <w:rPr>
                <w:rFonts w:eastAsia="Cambria" w:cs="Cambria"/>
                <w:b w:val="false"/>
                <w:bCs w:val="false"/>
                <w:i w:val="false"/>
                <w:iCs w:val="false"/>
                <w:sz w:val="18"/>
                <w:szCs w:val="18"/>
              </w:rPr>
              <w:t xml:space="preserve"> wird erwartet</w:t>
            </w:r>
          </w:p>
        </w:tc>
        <w:tc>
          <w:tcPr>
            <w:tcW w:w="19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zum Stichtag antworten</w:t>
            </w:r>
          </w:p>
        </w:tc>
      </w:tr>
      <w:tr>
        <w:trPr>
          <w:cantSplit w:val="true"/>
        </w:trPr>
        <w:tc>
          <w:tcPr>
            <w:tcW w:w="1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Spontanbesuch</w:t>
            </w:r>
          </w:p>
        </w:tc>
        <w:tc>
          <w:tcPr>
            <w:tcW w:w="16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Unter Freunden üblich</w:t>
            </w:r>
          </w:p>
        </w:tc>
        <w:tc>
          <w:tcPr>
            <w:tcW w:w="14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Unüblich</w:t>
            </w:r>
          </w:p>
        </w:tc>
        <w:tc>
          <w:tcPr>
            <w:tcW w:w="19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Vorher eine Nachricht schreiben</w:t>
            </w:r>
          </w:p>
        </w:tc>
      </w:tr>
      <w:tr>
        <w:trPr>
          <w:cantSplit w:val="true"/>
        </w:trPr>
        <w:tc>
          <w:tcPr>
            <w:tcW w:w="1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Sonntag</w:t>
            </w:r>
          </w:p>
        </w:tc>
        <w:tc>
          <w:tcPr>
            <w:tcW w:w="16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Ruhetag, Läden zu</w:t>
            </w:r>
          </w:p>
        </w:tc>
        <w:tc>
          <w:tcPr>
            <w:tcW w:w="14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Läden meist offen</w:t>
            </w:r>
          </w:p>
        </w:tc>
        <w:tc>
          <w:tcPr>
            <w:tcW w:w="19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Ruhezeiten im Mietvertrag prüfen</w:t>
            </w:r>
          </w:p>
        </w:tc>
      </w:tr>
      <w:tr>
        <w:trPr>
          <w:cantSplit w:val="true"/>
        </w:trPr>
        <w:tc>
          <w:tcPr>
            <w:tcW w:w="1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Datum</w:t>
            </w:r>
          </w:p>
        </w:tc>
        <w:tc>
          <w:tcPr>
            <w:tcW w:w="16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7.4.2026 ist der 7. April</w:t>
            </w:r>
          </w:p>
        </w:tc>
        <w:tc>
          <w:tcPr>
            <w:tcW w:w="14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7/4/2026 ist der 4. Juli</w:t>
            </w:r>
          </w:p>
        </w:tc>
        <w:tc>
          <w:tcPr>
            <w:tcW w:w="19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Termine ausschreiben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Gesellschaft: Werte, Religion, Politik, Waffen</w:t>
      </w:r>
    </w:p>
    <w:p>
      <w:pPr>
        <w:pStyle w:val="Normal"/>
        <w:keepNext w:val="false"/>
        <w:keepLines w:val="false"/>
        <w:spacing w:lineRule="exact" w:line="288" w:before="0" w:after="140"/>
        <w:jc w:val="left"/>
        <w:rPr/>
      </w:pPr>
      <w:r>
        <w:rPr>
          <w:rFonts w:eastAsia="Cambria" w:cs="Cambria"/>
          <w:b/>
          <w:bCs/>
          <w:i w:val="false"/>
          <w:iCs w:val="false"/>
          <w:sz w:val="22"/>
          <w:szCs w:val="22"/>
        </w:rPr>
        <w:t>Individualismus und Optimismus.</w:t>
      </w:r>
      <w:r>
        <w:rPr>
          <w:rFonts w:eastAsia="Cambria" w:cs="Cambria"/>
          <w:b w:val="false"/>
          <w:bCs w:val="false"/>
          <w:i w:val="false"/>
          <w:iCs w:val="false"/>
          <w:sz w:val="22"/>
          <w:szCs w:val="22"/>
        </w:rPr>
        <w:t xml:space="preserve"> Amerikaner betonen Eigeninitiative und Selbstverantwortung; vom Staat erwartet man weniger als in Deutschland, spürbar bei Krankenversicherung, Rente und Ausbildung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xml:space="preserve"> und </w:t>
      </w:r>
      <w:hyperlink w:anchor="k39">
        <w:r>
          <w:rPr>
            <w:rStyle w:val="ListLabel115"/>
            <w:rFonts w:eastAsia="Cambria" w:cs="Cambria"/>
            <w:b w:val="false"/>
            <w:bCs w:val="false"/>
            <w:i w:val="false"/>
            <w:iCs w:val="false"/>
            <w:sz w:val="22"/>
            <w:szCs w:val="22"/>
          </w:rPr>
          <w:t>39</w:t>
        </w:r>
      </w:hyperlink>
      <w:r>
        <w:rPr>
          <w:rFonts w:eastAsia="Cambria" w:cs="Cambria"/>
          <w:b w:val="false"/>
          <w:bCs w:val="false"/>
          <w:i w:val="false"/>
          <w:iCs w:val="false"/>
          <w:sz w:val="22"/>
          <w:szCs w:val="22"/>
        </w:rPr>
        <w:t>). Dazu passt der Optimismus: Probleme heißen „Challenges”, ein gescheitertes Unternehmen gilt eher als Lehrgeld denn als Makel. Die Kehrseite ist ein dünneres Auffangnetz, offenes Klagen wirkt schnell als Jammern. Zugleich sind Ehrenamt, Spenden und Nachbarschaftshilfe stark ausgeprägt.</w:t>
      </w:r>
    </w:p>
    <w:p>
      <w:pPr>
        <w:pStyle w:val="Normal"/>
        <w:keepNext w:val="false"/>
        <w:keepLines w:val="false"/>
        <w:spacing w:lineRule="exact" w:line="288" w:before="0" w:after="140"/>
        <w:jc w:val="left"/>
        <w:rPr/>
      </w:pPr>
      <w:r>
        <w:rPr>
          <w:rFonts w:eastAsia="Cambria" w:cs="Cambria"/>
          <w:b/>
          <w:bCs/>
          <w:i w:val="false"/>
          <w:iCs w:val="false"/>
          <w:sz w:val="22"/>
          <w:szCs w:val="22"/>
        </w:rPr>
        <w:t>Patriotismus.</w:t>
      </w:r>
      <w:r>
        <w:rPr>
          <w:rFonts w:eastAsia="Cambria" w:cs="Cambria"/>
          <w:b w:val="false"/>
          <w:bCs w:val="false"/>
          <w:i w:val="false"/>
          <w:iCs w:val="false"/>
          <w:sz w:val="22"/>
          <w:szCs w:val="22"/>
        </w:rPr>
        <w:t xml:space="preserve"> Flaggen an Häusern, die Hymne vor Sportspielen, in vielen Schulen der Treueschwur (</w:t>
      </w:r>
      <w:r>
        <w:rPr>
          <w:rFonts w:eastAsia="Cambria" w:cs="Cambria"/>
          <w:b w:val="false"/>
          <w:bCs w:val="false"/>
          <w:i/>
          <w:iCs/>
          <w:sz w:val="22"/>
          <w:szCs w:val="22"/>
        </w:rPr>
        <w:t>Pledge of Allegiance</w:t>
      </w:r>
      <w:r>
        <w:rPr>
          <w:rFonts w:eastAsia="Cambria" w:cs="Cambria"/>
          <w:b w:val="false"/>
          <w:bCs w:val="false"/>
          <w:i w:val="false"/>
          <w:iCs w:val="false"/>
          <w:sz w:val="22"/>
          <w:szCs w:val="22"/>
        </w:rPr>
        <w:t>), „Thank you for your service“ für Soldaten: Das gehört zur Alltagskultur und ist für die meisten ein Zeichen von Zugehörigkeit, nicht von Nationalismus. Bei der Hymne stehst du auf; mitsprechen musst du nicht. Spott über Flagge oder Militär ist ein schlechter Einstieg.</w:t>
      </w:r>
    </w:p>
    <w:p>
      <w:pPr>
        <w:pStyle w:val="Normal"/>
        <w:keepNext w:val="false"/>
        <w:keepLines w:val="false"/>
        <w:spacing w:lineRule="exact" w:line="288" w:before="0" w:after="140"/>
        <w:jc w:val="left"/>
        <w:rPr/>
      </w:pPr>
      <w:r>
        <w:rPr>
          <w:rFonts w:eastAsia="Cambria" w:cs="Cambria"/>
          <w:b/>
          <w:bCs/>
          <w:i w:val="false"/>
          <w:iCs w:val="false"/>
          <w:sz w:val="22"/>
          <w:szCs w:val="22"/>
        </w:rPr>
        <w:t>Religion.</w:t>
      </w:r>
      <w:r>
        <w:rPr>
          <w:rFonts w:eastAsia="Cambria" w:cs="Cambria"/>
          <w:b w:val="false"/>
          <w:bCs w:val="false"/>
          <w:i w:val="false"/>
          <w:iCs w:val="false"/>
          <w:sz w:val="22"/>
          <w:szCs w:val="22"/>
        </w:rPr>
        <w:t xml:space="preserve"> Nach der Religious Landscape Study des Pew Research Center (2023–24) bezeichnen sich 62 % der Erwachsenen als Christen und 29 % als konfessionslos. Regional ist das sehr verschieden: Im Süden und Mittleren Westen sind Kirchgang und Tischgebet häufiger, in Seattle oder Neuengland seltener. Staat und Religion sind getrennt, eine Kirchensteuer gibt es nicht; Gemeinden leben von Spenden und sind oft sozialer Mittelpunkt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 „Where do you go to church?” ist in manchen Regionen Small Talk; ein freundliches „We’re not religious, but thanks for asking” genügt.</w:t>
      </w:r>
    </w:p>
    <w:p>
      <w:pPr>
        <w:pStyle w:val="Normal"/>
        <w:keepNext w:val="false"/>
        <w:keepLines w:val="false"/>
        <w:spacing w:lineRule="exact" w:line="288" w:before="0" w:after="140"/>
        <w:jc w:val="left"/>
        <w:rPr/>
      </w:pPr>
      <w:r>
        <w:rPr>
          <w:rFonts w:eastAsia="Cambria" w:cs="Cambria"/>
          <w:b/>
          <w:bCs/>
          <w:i w:val="false"/>
          <w:iCs w:val="false"/>
          <w:sz w:val="22"/>
          <w:szCs w:val="22"/>
        </w:rPr>
        <w:t>Politik und Polarisierung.</w:t>
      </w:r>
      <w:r>
        <w:rPr>
          <w:rFonts w:eastAsia="Cambria" w:cs="Cambria"/>
          <w:b w:val="false"/>
          <w:bCs w:val="false"/>
          <w:i w:val="false"/>
          <w:iCs w:val="false"/>
          <w:sz w:val="22"/>
          <w:szCs w:val="22"/>
        </w:rPr>
        <w:t xml:space="preserve"> Für viele Amerikaner ist die politische Zugehörigkeit mehr als eine Wahlentscheidung; sie prägt Medienkonsum, Nachbarschaft und Freundeskreis. Praktisch heißt das: Frage Fremde nie, wen sie wählen, und lass Wahlplakate im Vorgarten (</w:t>
      </w:r>
      <w:r>
        <w:rPr>
          <w:rFonts w:eastAsia="Cambria" w:cs="Cambria"/>
          <w:b w:val="false"/>
          <w:bCs w:val="false"/>
          <w:i/>
          <w:iCs/>
          <w:sz w:val="22"/>
          <w:szCs w:val="22"/>
        </w:rPr>
        <w:t>Yard Signs</w:t>
      </w:r>
      <w:r>
        <w:rPr>
          <w:rFonts w:eastAsia="Cambria" w:cs="Cambria"/>
          <w:b w:val="false"/>
          <w:bCs w:val="false"/>
          <w:i w:val="false"/>
          <w:iCs w:val="false"/>
          <w:sz w:val="22"/>
          <w:szCs w:val="22"/>
        </w:rPr>
        <w:t>), Mützen und Autoaufkleber unkommentiert. Höre zu statt zu diskutieren, und vergleiche nicht bei jeder Gelegenheit mit Deutschland. Viele Arbeitgeber begrenzen politische Debatten im Büro per Richtlinie. Öffentliche Beiträge in sozialen Netzwerken werden gelesen: Im Visumantrag fragt das State Department nach deinen Social-Media-Konten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Vielfalt.</w:t>
      </w:r>
      <w:r>
        <w:rPr>
          <w:rFonts w:eastAsia="Cambria" w:cs="Cambria"/>
          <w:b w:val="false"/>
          <w:bCs w:val="false"/>
          <w:i w:val="false"/>
          <w:iCs w:val="false"/>
          <w:sz w:val="22"/>
          <w:szCs w:val="22"/>
        </w:rPr>
        <w:t xml:space="preserve"> Die USA sind ein Einwanderungsland; ein deutscher Akzent fällt in den meisten Metropolregionen nicht auf. Formulare fragen freiwillig nach </w:t>
      </w:r>
      <w:r>
        <w:rPr>
          <w:rFonts w:eastAsia="Cambria" w:cs="Cambria"/>
          <w:b w:val="false"/>
          <w:bCs w:val="false"/>
          <w:i/>
          <w:iCs/>
          <w:sz w:val="22"/>
          <w:szCs w:val="22"/>
        </w:rPr>
        <w:t>Race</w:t>
      </w:r>
      <w:r>
        <w:rPr>
          <w:rFonts w:eastAsia="Cambria" w:cs="Cambria"/>
          <w:b w:val="false"/>
          <w:bCs w:val="false"/>
          <w:i w:val="false"/>
          <w:iCs w:val="false"/>
          <w:sz w:val="22"/>
          <w:szCs w:val="22"/>
        </w:rPr>
        <w:t xml:space="preserve"> und </w:t>
      </w:r>
      <w:r>
        <w:rPr>
          <w:rFonts w:eastAsia="Cambria" w:cs="Cambria"/>
          <w:b w:val="false"/>
          <w:bCs w:val="false"/>
          <w:i/>
          <w:iCs/>
          <w:sz w:val="22"/>
          <w:szCs w:val="22"/>
        </w:rPr>
        <w:t>Ethnicity</w:t>
      </w:r>
      <w:r>
        <w:rPr>
          <w:rFonts w:eastAsia="Cambria" w:cs="Cambria"/>
          <w:b w:val="false"/>
          <w:bCs w:val="false"/>
          <w:i w:val="false"/>
          <w:iCs w:val="false"/>
          <w:sz w:val="22"/>
          <w:szCs w:val="22"/>
        </w:rPr>
        <w:t xml:space="preserve"> (Herkunftsgruppe), gebräuchlich sind Begriffe wie „Black“, „Asian American“, „Hispanic“ oder „Latino“ und „Native Americans“. Das N-Wort ist in jeder Form tabu, auch beim Mitsingen von Liedtexten.</w:t>
      </w:r>
    </w:p>
    <w:p>
      <w:pPr>
        <w:pStyle w:val="Normal"/>
        <w:keepNext w:val="false"/>
        <w:keepLines w:val="false"/>
        <w:spacing w:lineRule="exact" w:line="288" w:before="0" w:after="140"/>
        <w:jc w:val="left"/>
        <w:rPr/>
      </w:pPr>
      <w:r>
        <w:rPr>
          <w:rFonts w:eastAsia="Cambria" w:cs="Cambria"/>
          <w:b/>
          <w:bCs/>
          <w:i w:val="false"/>
          <w:iCs w:val="false"/>
          <w:sz w:val="22"/>
          <w:szCs w:val="22"/>
        </w:rPr>
        <w:t>Waffen.</w:t>
      </w:r>
      <w:r>
        <w:rPr>
          <w:rFonts w:eastAsia="Cambria" w:cs="Cambria"/>
          <w:b w:val="false"/>
          <w:bCs w:val="false"/>
          <w:i w:val="false"/>
          <w:iCs w:val="false"/>
          <w:sz w:val="22"/>
          <w:szCs w:val="22"/>
        </w:rPr>
        <w:t xml:space="preserve"> Der Zweite Verfassungszusatz schützt den Waffenbesitz; wie er ausgestaltet ist, regelt jeder Bundesstaat anders. In Kalifornien, New York oder Massachusetts gelten strenge Auflagen, in mehr als der Hälfte der Staaten darf man ohne Erlaubnisschein verdeckt tragen (Stand 2026). Nach Pew (2023) besitzen 32 % der Erwachsenen eine Waffe, rund vier von zehn leben in einem Haushalt mit Waffe; die Gründe reichen von Jagd und Sport bis zur Selbstverteidigung. In Deutschland ist der Besitz an Bedürfnis, Prüfung und Erlaubnis gebunden. Ob im Haus, in dem deine Kinder spielen, Waffen liegen und wie sie gesichert sind, darfst du fragen (Kapitel </w:t>
      </w:r>
      <w:hyperlink w:anchor="k40">
        <w:r>
          <w:rPr>
            <w:rStyle w:val="ListLabel115"/>
            <w:rFonts w:eastAsia="Cambria" w:cs="Cambria"/>
            <w:b w:val="false"/>
            <w:bCs w:val="false"/>
            <w:i w:val="false"/>
            <w:iCs w:val="false"/>
            <w:sz w:val="22"/>
            <w:szCs w:val="22"/>
          </w:rPr>
          <w:t>40</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Für Nichtstaatsbürger gelten hier harte Grenzen. Bei Bundeswahlen dürfen nur Staatsbürger wählen; eine unberechtigte Stimmabgabe oder Registrierung kann strafbar sein und die Abschiebung nach sich ziehen. Spenden an Kandidaten und Wahlkampfgruppen sind Inhabern befristeter Visa (H-1B, L-1, F-1) bundesrechtlich untersagt; mit Green Card sind sie erlaubt (Wahlkommission FEC). Waffenbesitz ist Inhabern befristeter Visa grundsätzlich verboten, es gibt enge Ausnahmen wie eine gültige Jagdlizenz. Mehr in Kapitel </w:t>
            </w:r>
            <w:hyperlink w:anchor="k40">
              <w:r>
                <w:rPr>
                  <w:rStyle w:val="ListLabel114"/>
                  <w:rFonts w:eastAsia="Cambria" w:cs="Cambria"/>
                  <w:b w:val="false"/>
                  <w:bCs w:val="false"/>
                  <w:i w:val="false"/>
                  <w:iCs w:val="false"/>
                  <w:sz w:val="20"/>
                  <w:szCs w:val="20"/>
                </w:rPr>
                <w:t>40</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Regeln und Recht</w:t>
      </w:r>
    </w:p>
    <w:p>
      <w:pPr>
        <w:pStyle w:val="Normal"/>
        <w:keepNext w:val="false"/>
        <w:keepLines w:val="false"/>
        <w:spacing w:lineRule="exact" w:line="288" w:before="0" w:after="140"/>
        <w:jc w:val="left"/>
        <w:rPr/>
      </w:pPr>
      <w:r>
        <w:rPr>
          <w:rFonts w:eastAsia="Cambria" w:cs="Cambria"/>
          <w:b/>
          <w:bCs/>
          <w:i w:val="false"/>
          <w:iCs w:val="false"/>
          <w:sz w:val="22"/>
          <w:szCs w:val="22"/>
        </w:rPr>
        <w:t>Klagekultur, Haftung und Warnhinweise.</w:t>
      </w:r>
      <w:r>
        <w:rPr>
          <w:rFonts w:eastAsia="Cambria" w:cs="Cambria"/>
          <w:b w:val="false"/>
          <w:bCs w:val="false"/>
          <w:i w:val="false"/>
          <w:iCs w:val="false"/>
          <w:sz w:val="22"/>
          <w:szCs w:val="22"/>
        </w:rPr>
        <w:t xml:space="preserve"> Anwälte übernehmen Schadensersatzklagen oft gegen ein Erfolgshonorar (</w:t>
      </w:r>
      <w:r>
        <w:rPr>
          <w:rFonts w:eastAsia="Cambria" w:cs="Cambria"/>
          <w:b w:val="false"/>
          <w:bCs w:val="false"/>
          <w:i/>
          <w:iCs/>
          <w:sz w:val="22"/>
          <w:szCs w:val="22"/>
        </w:rPr>
        <w:t>Contingency Fee</w:t>
      </w:r>
      <w:r>
        <w:rPr>
          <w:rFonts w:eastAsia="Cambria" w:cs="Cambria"/>
          <w:b w:val="false"/>
          <w:bCs w:val="false"/>
          <w:i w:val="false"/>
          <w:iCs w:val="false"/>
          <w:sz w:val="22"/>
          <w:szCs w:val="22"/>
        </w:rPr>
        <w:t>, üblich sind ein Drittel bis 40 % der Summe); wer verliert, trägt meist nur die eigenen Kosten. Dazu kommen Zivilprozesse mit Geschworenen und teils hohe Summen. Die Folge ist eine Kultur der Absicherung: „Caution: Wet Floor“, „Contents Hot“ auf dem Kaffeebecher, in Kalifornien die Warnhinweise nach Proposition 65 zu Chemikalien und Haftungsverzichte (</w:t>
      </w:r>
      <w:r>
        <w:rPr>
          <w:rFonts w:eastAsia="Cambria" w:cs="Cambria"/>
          <w:b w:val="false"/>
          <w:bCs w:val="false"/>
          <w:i/>
          <w:iCs/>
          <w:sz w:val="22"/>
          <w:szCs w:val="22"/>
        </w:rPr>
        <w:t>Waivers</w:t>
      </w:r>
      <w:r>
        <w:rPr>
          <w:rFonts w:eastAsia="Cambria" w:cs="Cambria"/>
          <w:b w:val="false"/>
          <w:bCs w:val="false"/>
          <w:i w:val="false"/>
          <w:iCs w:val="false"/>
          <w:sz w:val="22"/>
          <w:szCs w:val="22"/>
        </w:rPr>
        <w:t>), die du vor Trampolinpark, Skilift oder Kinderturnen unterschreibst. Lies sie vor der Unterschrift. Stürzt ein Gast auf deiner vereisten Treppe, haftest du; die Mieter- oder Hausversicherung enthält meist Haftpflichtschutz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Alkohol und Tabak.</w:t>
      </w:r>
      <w:r>
        <w:rPr>
          <w:rFonts w:eastAsia="Cambria" w:cs="Cambria"/>
          <w:b w:val="false"/>
          <w:bCs w:val="false"/>
          <w:i w:val="false"/>
          <w:iCs w:val="false"/>
          <w:sz w:val="22"/>
          <w:szCs w:val="22"/>
        </w:rPr>
        <w:t xml:space="preserve"> Bundesweit gilt 21 Jahre für Kauf und Konsum von Alkohol, seit 1984 durch Druck des Bundes auf die Staaten; für Tabak und Vapes gilt 21 seit 2019. In Deutschland sind Bier und Wein ab 16 erlaubt, Spirituosen ab 18. Bars und Läden kontrollieren oft jeden, der jünger als 40 wirkt; nimm Reisepass oder US-Führerschein mit, eine Kopie genügt nicht. Wo Spirituosen verkauft werden, wann sonntags und in welchen Läden (in Utah etwa staatlichen), entscheidet der Bundesstaat. Für Jugendliche unter 21 gibt es je nach Staat Ausnahmen, etwa im Beisein der Eltern; verlasse dich nicht darauf und biete Minderjährigen keinen Alkohol an (Kapitel </w:t>
      </w:r>
      <w:hyperlink w:anchor="k35">
        <w:r>
          <w:rPr>
            <w:rStyle w:val="ListLabel115"/>
            <w:rFonts w:eastAsia="Cambria" w:cs="Cambria"/>
            <w:b w:val="false"/>
            <w:bCs w:val="false"/>
            <w:i w:val="false"/>
            <w:iCs w:val="false"/>
            <w:sz w:val="22"/>
            <w:szCs w:val="22"/>
          </w:rPr>
          <w:t>35</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Bier im Park, Sekt am Flussufer: In den meisten Städten verbieten </w:t>
            </w:r>
            <w:r>
              <w:rPr>
                <w:rFonts w:eastAsia="Cambria" w:cs="Cambria"/>
                <w:b w:val="false"/>
                <w:bCs w:val="false"/>
                <w:i/>
                <w:iCs/>
                <w:sz w:val="20"/>
                <w:szCs w:val="20"/>
              </w:rPr>
              <w:t>Open-Container</w:t>
            </w:r>
            <w:r>
              <w:rPr>
                <w:rFonts w:eastAsia="Cambria" w:cs="Cambria"/>
                <w:b w:val="false"/>
                <w:bCs w:val="false"/>
                <w:i w:val="false"/>
                <w:iCs w:val="false"/>
                <w:sz w:val="20"/>
                <w:szCs w:val="20"/>
              </w:rPr>
              <w:t>-Regeln offene alkoholische Getränke in der Öffentlichkeit, im Auto sowieso. Das kostet ein Bußgeld und kann je nach Ort als Vergehen (</w:t>
            </w:r>
            <w:r>
              <w:rPr>
                <w:rFonts w:eastAsia="Cambria" w:cs="Cambria"/>
                <w:b w:val="false"/>
                <w:bCs w:val="false"/>
                <w:i/>
                <w:iCs/>
                <w:sz w:val="20"/>
                <w:szCs w:val="20"/>
              </w:rPr>
              <w:t>Misdemeanor</w:t>
            </w:r>
            <w:r>
              <w:rPr>
                <w:rFonts w:eastAsia="Cambria" w:cs="Cambria"/>
                <w:b w:val="false"/>
                <w:bCs w:val="false"/>
                <w:i w:val="false"/>
                <w:iCs w:val="false"/>
                <w:sz w:val="20"/>
                <w:szCs w:val="20"/>
              </w:rPr>
              <w:t>) gelten. Ausnahmen gibt es nur an einzelnen Orten wie dem French Quarter in New Orleans.</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Cannabis.</w:t>
      </w:r>
      <w:r>
        <w:rPr>
          <w:rFonts w:eastAsia="Cambria" w:cs="Cambria"/>
          <w:b w:val="false"/>
          <w:bCs w:val="false"/>
          <w:i w:val="false"/>
          <w:iCs w:val="false"/>
          <w:sz w:val="22"/>
          <w:szCs w:val="22"/>
        </w:rPr>
        <w:t xml:space="preserve"> In 24 Bundesstaaten und im District of Columbia ist der Freizeitkonsum für Erwachsene ab 21 nach Landesrecht erlaubt (Stand Sommer 2026). Deutschland erlaubt seit April 2024 Besitz und Eigenanbau für Erwachsene ab 18 in engen Grenzen. Bundesrechtlich bleibt Cannabis in den USA im Kern verboten: Seit 22. April 2026 sind nur zugelassene Arzneimittel und staatlich lizenzierte medizinische Produkte in Schedule III des </w:t>
      </w:r>
      <w:r>
        <w:rPr>
          <w:rFonts w:eastAsia="Cambria" w:cs="Cambria"/>
          <w:b w:val="false"/>
          <w:bCs w:val="false"/>
          <w:i/>
          <w:iCs/>
          <w:sz w:val="22"/>
          <w:szCs w:val="22"/>
        </w:rPr>
        <w:t>Controlled Substances Act</w:t>
      </w:r>
      <w:r>
        <w:rPr>
          <w:rFonts w:eastAsia="Cambria" w:cs="Cambria"/>
          <w:b w:val="false"/>
          <w:bCs w:val="false"/>
          <w:i w:val="false"/>
          <w:iCs w:val="false"/>
          <w:sz w:val="22"/>
          <w:szCs w:val="22"/>
        </w:rPr>
        <w:t xml:space="preserve"> (Bundesgesetz über kontrollierte Substanzen) eingestuft; über eine breitere Umstufung läuft ein Verfahren der Drogenbehörde DEA (Stand August 2026).</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Legal nach Landesrecht heißt nicht risikofrei für dich. Für Visum, Green Card und Einbürgerung zählt Bundesrecht: Konsum, Besitz oder eine Tätigkeit in der Cannabisbranche können Einreise, Verlängerung oder Einbürgerung gefährden, auch dort, wo der Kauf erlaubt ist. An Flughäfen und in Flugzeugen gilt Bundesrecht; nimm nichts über Staatsgrenzen mit. Details und Strafrecht: Kapitel </w:t>
            </w:r>
            <w:hyperlink w:anchor="k40">
              <w:r>
                <w:rPr>
                  <w:rStyle w:val="ListLabel114"/>
                  <w:rFonts w:eastAsia="Cambria" w:cs="Cambria"/>
                  <w:b w:val="false"/>
                  <w:bCs w:val="false"/>
                  <w:i w:val="false"/>
                  <w:iCs w:val="false"/>
                  <w:sz w:val="20"/>
                  <w:szCs w:val="20"/>
                </w:rPr>
                <w:t>40</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Keine Meldepflicht.</w:t>
      </w:r>
      <w:r>
        <w:rPr>
          <w:rFonts w:eastAsia="Cambria" w:cs="Cambria"/>
          <w:b w:val="false"/>
          <w:bCs w:val="false"/>
          <w:i w:val="false"/>
          <w:iCs w:val="false"/>
          <w:sz w:val="22"/>
          <w:szCs w:val="22"/>
        </w:rPr>
        <w:t xml:space="preserve"> Ein Einwohnermeldeamt gibt es nicht; du meldest dich nirgends „an“. Deine Adresse teilst du Vermieter, Führerscheinbehörde (</w:t>
      </w:r>
      <w:r>
        <w:rPr>
          <w:rFonts w:eastAsia="Cambria" w:cs="Cambria"/>
          <w:b w:val="false"/>
          <w:bCs w:val="false"/>
          <w:i/>
          <w:iCs/>
          <w:sz w:val="22"/>
          <w:szCs w:val="22"/>
        </w:rPr>
        <w:t>DMV</w:t>
      </w:r>
      <w:r>
        <w:rPr>
          <w:rFonts w:eastAsia="Cambria" w:cs="Cambria"/>
          <w:b w:val="false"/>
          <w:bCs w:val="false"/>
          <w:i w:val="false"/>
          <w:iCs w:val="false"/>
          <w:sz w:val="22"/>
          <w:szCs w:val="22"/>
        </w:rPr>
        <w:t xml:space="preserve">), Bank, Steuerbehörde und Post mit. Einen Personalausweis kennt das Land nicht: Als Ausweis dienen Führerschein oder </w:t>
      </w:r>
      <w:r>
        <w:rPr>
          <w:rFonts w:eastAsia="Cambria" w:cs="Cambria"/>
          <w:b w:val="false"/>
          <w:bCs w:val="false"/>
          <w:i/>
          <w:iCs/>
          <w:sz w:val="22"/>
          <w:szCs w:val="22"/>
        </w:rPr>
        <w:t>State ID</w:t>
      </w:r>
      <w:r>
        <w:rPr>
          <w:rFonts w:eastAsia="Cambria" w:cs="Cambria"/>
          <w:b w:val="false"/>
          <w:bCs w:val="false"/>
          <w:i w:val="false"/>
          <w:iCs w:val="false"/>
          <w:sz w:val="22"/>
          <w:szCs w:val="22"/>
        </w:rPr>
        <w:t>. Für Nichtstaatsbürger gilt eine Ausnahme: Jede Adressänderung ist binnen 10 Tagen mit Form AR-11 zu melden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 Rundfunkbeitrag und Kirchensteuer entfallen.</w:t>
      </w:r>
    </w:p>
    <w:p>
      <w:pPr>
        <w:pStyle w:val="Normal"/>
        <w:keepNext w:val="false"/>
        <w:keepLines w:val="false"/>
        <w:spacing w:lineRule="exact" w:line="288" w:before="0" w:after="140"/>
        <w:jc w:val="left"/>
        <w:rPr/>
      </w:pPr>
      <w:r>
        <w:rPr>
          <w:rFonts w:eastAsia="Cambria" w:cs="Cambria"/>
          <w:b/>
          <w:bCs/>
          <w:i w:val="false"/>
          <w:iCs w:val="false"/>
          <w:sz w:val="22"/>
          <w:szCs w:val="22"/>
        </w:rPr>
        <w:t>Datenschutz.</w:t>
      </w:r>
      <w:r>
        <w:rPr>
          <w:rFonts w:eastAsia="Cambria" w:cs="Cambria"/>
          <w:b w:val="false"/>
          <w:bCs w:val="false"/>
          <w:i w:val="false"/>
          <w:iCs w:val="false"/>
          <w:sz w:val="22"/>
          <w:szCs w:val="22"/>
        </w:rPr>
        <w:t xml:space="preserve"> Eine umfassende Regelung wie die DSGVO fehlt auf Bundesebene. Es gelten Einzelgesetze (Gesundheitsdaten: HIPAA, Schulunterlagen: FERPA, Kinder im Netz: COPPA) und Landesgesetze; Kalifornien führt mit dem CCPA, insgesamt haben nach gängigen Zählungen 19 bis 20 Bundesstaaten ein umfassendes Verbraucherdatenschutzgesetz (Stand 2026). Praktisch: Unternehmen dürfen Daten oft sammeln und weitergeben, solange du nicht widersprichst (</w:t>
      </w:r>
      <w:r>
        <w:rPr>
          <w:rFonts w:eastAsia="Cambria" w:cs="Cambria"/>
          <w:b w:val="false"/>
          <w:bCs w:val="false"/>
          <w:i/>
          <w:iCs/>
          <w:sz w:val="22"/>
          <w:szCs w:val="22"/>
        </w:rPr>
        <w:t>Opt-out</w:t>
      </w:r>
      <w:r>
        <w:rPr>
          <w:rFonts w:eastAsia="Cambria" w:cs="Cambria"/>
          <w:b w:val="false"/>
          <w:bCs w:val="false"/>
          <w:i w:val="false"/>
          <w:iCs w:val="false"/>
          <w:sz w:val="22"/>
          <w:szCs w:val="22"/>
        </w:rPr>
        <w:t>); Kameras an Türen, in Läden und im Auto sind üblich. Nenne deine Sozialversicherungsnummer nur, wo sie nötig ist (Kapitel </w:t>
      </w:r>
      <w:hyperlink w:anchor="k24">
        <w:r>
          <w:rPr>
            <w:rStyle w:val="ListLabel115"/>
            <w:rFonts w:eastAsia="Cambria" w:cs="Cambria"/>
            <w:b w:val="false"/>
            <w:bCs w:val="false"/>
            <w:i w:val="false"/>
            <w:iCs w:val="false"/>
            <w:sz w:val="22"/>
            <w:szCs w:val="22"/>
          </w:rPr>
          <w:t>24</w:t>
        </w:r>
      </w:hyperlink>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949"/>
        <w:gridCol w:w="1720"/>
        <w:gridCol w:w="1935"/>
        <w:gridCol w:w="1875"/>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Situation</w:t>
            </w:r>
          </w:p>
        </w:tc>
        <w:tc>
          <w:tcPr>
            <w:tcW w:w="172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In Deutschland</w:t>
            </w:r>
          </w:p>
        </w:tc>
        <w:tc>
          <w:tcPr>
            <w:tcW w:w="193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In den USA</w:t>
            </w:r>
          </w:p>
        </w:tc>
        <w:tc>
          <w:tcPr>
            <w:tcW w:w="187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Tipp</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Alkohol kaufen</w:t>
            </w:r>
          </w:p>
        </w:tc>
        <w:tc>
          <w:tcPr>
            <w:tcW w:w="17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Bier und Wein ab 16, Spirituosen ab 18</w:t>
            </w:r>
          </w:p>
        </w:tc>
        <w:tc>
          <w:tcPr>
            <w:tcW w:w="19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21, Ausweis oft verlangt</w:t>
            </w:r>
          </w:p>
        </w:tc>
        <w:tc>
          <w:tcPr>
            <w:tcW w:w="18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Reisepass oder Führerschein mitnehmen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Bier im Park</w:t>
            </w:r>
          </w:p>
        </w:tc>
        <w:tc>
          <w:tcPr>
            <w:tcW w:w="17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Meist erlaubt</w:t>
            </w:r>
          </w:p>
        </w:tc>
        <w:tc>
          <w:tcPr>
            <w:tcW w:w="19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Open Container</w:t>
            </w:r>
            <w:r>
              <w:rPr>
                <w:rFonts w:eastAsia="Cambria" w:cs="Cambria"/>
                <w:b w:val="false"/>
                <w:bCs w:val="false"/>
                <w:i w:val="false"/>
                <w:iCs w:val="false"/>
                <w:sz w:val="18"/>
                <w:szCs w:val="18"/>
              </w:rPr>
              <w:t xml:space="preserve"> meist verboten</w:t>
            </w:r>
          </w:p>
        </w:tc>
        <w:tc>
          <w:tcPr>
            <w:tcW w:w="18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in Bars, Restaurants, Privaträumen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Cannabis</w:t>
            </w:r>
          </w:p>
        </w:tc>
        <w:tc>
          <w:tcPr>
            <w:tcW w:w="17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Seit 4/2024 teilweise legal</w:t>
            </w:r>
          </w:p>
        </w:tc>
        <w:tc>
          <w:tcPr>
            <w:tcW w:w="19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Bundesrecht verboten, 24 Staaten erlauben ab 21</w:t>
            </w:r>
          </w:p>
        </w:tc>
        <w:tc>
          <w:tcPr>
            <w:tcW w:w="18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Als Nichtstaatsbürger meiden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Umzug</w:t>
            </w:r>
          </w:p>
        </w:tc>
        <w:tc>
          <w:tcPr>
            <w:tcW w:w="17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Anmeldung binnen zwei Wochen</w:t>
            </w:r>
          </w:p>
        </w:tc>
        <w:tc>
          <w:tcPr>
            <w:tcW w:w="19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Anmeldung; AR-11 für Nichtstaatsbürger</w:t>
            </w:r>
          </w:p>
        </w:tc>
        <w:tc>
          <w:tcPr>
            <w:tcW w:w="18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Adressänderung in 10 Tagen melden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Unfall, Schaden</w:t>
            </w:r>
          </w:p>
        </w:tc>
        <w:tc>
          <w:tcPr>
            <w:tcW w:w="17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Haftpflicht, selten Klage</w:t>
            </w:r>
          </w:p>
        </w:tc>
        <w:tc>
          <w:tcPr>
            <w:tcW w:w="19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Klagen häufiger, </w:t>
            </w:r>
            <w:r>
              <w:rPr>
                <w:rFonts w:eastAsia="Cambria" w:cs="Cambria"/>
                <w:b w:val="false"/>
                <w:bCs w:val="false"/>
                <w:i/>
                <w:iCs/>
                <w:sz w:val="18"/>
                <w:szCs w:val="18"/>
              </w:rPr>
              <w:t>Waivers</w:t>
            </w:r>
          </w:p>
        </w:tc>
        <w:tc>
          <w:tcPr>
            <w:tcW w:w="18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Haftpflicht abschließen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Ausweis</w:t>
            </w:r>
          </w:p>
        </w:tc>
        <w:tc>
          <w:tcPr>
            <w:tcW w:w="17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Personalausweis</w:t>
            </w:r>
          </w:p>
        </w:tc>
        <w:tc>
          <w:tcPr>
            <w:tcW w:w="19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Führerschein oder </w:t>
            </w:r>
            <w:r>
              <w:rPr>
                <w:rFonts w:eastAsia="Cambria" w:cs="Cambria"/>
                <w:b w:val="false"/>
                <w:bCs w:val="false"/>
                <w:i/>
                <w:iCs/>
                <w:sz w:val="18"/>
                <w:szCs w:val="18"/>
              </w:rPr>
              <w:t>State ID</w:t>
            </w:r>
          </w:p>
        </w:tc>
        <w:tc>
          <w:tcPr>
            <w:tcW w:w="18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Beides früh beantragen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Geld: Trinkgeld, Preise ohne Steuer, Rechnung teilen</w:t>
      </w:r>
    </w:p>
    <w:p>
      <w:pPr>
        <w:pStyle w:val="Normal"/>
        <w:keepNext w:val="false"/>
        <w:keepLines w:val="false"/>
        <w:spacing w:lineRule="exact" w:line="288" w:before="0" w:after="140"/>
        <w:jc w:val="left"/>
        <w:rPr/>
      </w:pPr>
      <w:r>
        <w:rPr>
          <w:rFonts w:eastAsia="Cambria" w:cs="Cambria"/>
          <w:b/>
          <w:bCs/>
          <w:i w:val="false"/>
          <w:iCs w:val="false"/>
          <w:sz w:val="22"/>
          <w:szCs w:val="22"/>
        </w:rPr>
        <w:t>Trinkgeld.</w:t>
      </w:r>
      <w:r>
        <w:rPr>
          <w:rFonts w:eastAsia="Cambria" w:cs="Cambria"/>
          <w:b w:val="false"/>
          <w:bCs w:val="false"/>
          <w:i w:val="false"/>
          <w:iCs w:val="false"/>
          <w:sz w:val="22"/>
          <w:szCs w:val="22"/>
        </w:rPr>
        <w:t xml:space="preserve"> In Deutschland ist der Service im Preis enthalten, Trinkgeld ist ein Dankeschön. In den USA ist es Teil des Lohns: Das Bundesrecht erlaubt, Trinkgeldempfängern nur 2,13 $ pro Stunde in bar zu zahlen, der Rest bis zum Mindestlohn von 7,25 $ soll aus Trinkgeld kommen. Viele Staaten setzen höhere Werte an, sieben Staaten (Alaska, Kalifornien, Minnesota, Montana, Nevada, Oregon, Washington) verlangen den vollen Mindestlohn, doch auch dort wird Trinkgeld erwartet. Wer bei ordentlichem Service nichts gibt, fällt unangenehm auf.</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Richtwerte (Stand 2026, Spannen je nach Ort und Anlass):</w:t>
      </w:r>
    </w:p>
    <w:p>
      <w:pPr>
        <w:pStyle w:val="ListParagraph"/>
        <w:numPr>
          <w:ilvl w:val="0"/>
          <w:numId w:val="1"/>
        </w:numPr>
        <w:spacing w:lineRule="exact" w:line="288" w:before="0" w:after="60"/>
        <w:rPr/>
      </w:pPr>
      <w:r>
        <w:rPr>
          <w:rFonts w:eastAsia="Cambria" w:cs="Cambria"/>
          <w:b/>
          <w:bCs/>
          <w:i w:val="false"/>
          <w:iCs w:val="false"/>
          <w:sz w:val="22"/>
          <w:szCs w:val="22"/>
        </w:rPr>
        <w:t>Restaurant mit Bedienung:</w:t>
      </w:r>
      <w:r>
        <w:rPr>
          <w:rFonts w:eastAsia="Cambria" w:cs="Cambria"/>
          <w:b w:val="false"/>
          <w:bCs w:val="false"/>
          <w:i w:val="false"/>
          <w:iCs w:val="false"/>
          <w:sz w:val="22"/>
          <w:szCs w:val="22"/>
        </w:rPr>
        <w:t xml:space="preserve"> 18–20 % vom Betrag vor Steuer; 15 % ist das untere Ende, für hervorragenden Service gibt man mehr.</w:t>
      </w:r>
    </w:p>
    <w:p>
      <w:pPr>
        <w:pStyle w:val="ListParagraph"/>
        <w:numPr>
          <w:ilvl w:val="0"/>
          <w:numId w:val="1"/>
        </w:numPr>
        <w:spacing w:lineRule="exact" w:line="288" w:before="0" w:after="60"/>
        <w:rPr/>
      </w:pPr>
      <w:r>
        <w:rPr>
          <w:rFonts w:eastAsia="Cambria" w:cs="Cambria"/>
          <w:b/>
          <w:bCs/>
          <w:i w:val="false"/>
          <w:iCs w:val="false"/>
          <w:sz w:val="22"/>
          <w:szCs w:val="22"/>
        </w:rPr>
        <w:t>Bar:</w:t>
      </w:r>
      <w:r>
        <w:rPr>
          <w:rFonts w:eastAsia="Cambria" w:cs="Cambria"/>
          <w:b w:val="false"/>
          <w:bCs w:val="false"/>
          <w:i w:val="false"/>
          <w:iCs w:val="false"/>
          <w:sz w:val="22"/>
          <w:szCs w:val="22"/>
        </w:rPr>
        <w:t xml:space="preserve"> 1–2 $ pro Getränk oder 18–20 % der Rechnung.</w:t>
      </w:r>
    </w:p>
    <w:p>
      <w:pPr>
        <w:pStyle w:val="ListParagraph"/>
        <w:numPr>
          <w:ilvl w:val="0"/>
          <w:numId w:val="1"/>
        </w:numPr>
        <w:spacing w:lineRule="exact" w:line="288" w:before="0" w:after="60"/>
        <w:rPr/>
      </w:pPr>
      <w:r>
        <w:rPr>
          <w:rFonts w:eastAsia="Cambria" w:cs="Cambria"/>
          <w:b/>
          <w:bCs/>
          <w:i w:val="false"/>
          <w:iCs w:val="false"/>
          <w:sz w:val="22"/>
          <w:szCs w:val="22"/>
        </w:rPr>
        <w:t>Taxi und Rideshare:</w:t>
      </w:r>
      <w:r>
        <w:rPr>
          <w:rFonts w:eastAsia="Cambria" w:cs="Cambria"/>
          <w:b w:val="false"/>
          <w:bCs w:val="false"/>
          <w:i w:val="false"/>
          <w:iCs w:val="false"/>
          <w:sz w:val="22"/>
          <w:szCs w:val="22"/>
        </w:rPr>
        <w:t xml:space="preserve"> 15–20 %; bei sehr kurzen Fahrten 1–2 $.</w:t>
      </w:r>
    </w:p>
    <w:p>
      <w:pPr>
        <w:pStyle w:val="ListParagraph"/>
        <w:numPr>
          <w:ilvl w:val="0"/>
          <w:numId w:val="1"/>
        </w:numPr>
        <w:spacing w:lineRule="exact" w:line="288" w:before="0" w:after="60"/>
        <w:rPr/>
      </w:pPr>
      <w:r>
        <w:rPr>
          <w:rFonts w:eastAsia="Cambria" w:cs="Cambria"/>
          <w:b/>
          <w:bCs/>
          <w:i w:val="false"/>
          <w:iCs w:val="false"/>
          <w:sz w:val="22"/>
          <w:szCs w:val="22"/>
        </w:rPr>
        <w:t>Friseur, Nagelstudio, Massage:</w:t>
      </w:r>
      <w:r>
        <w:rPr>
          <w:rFonts w:eastAsia="Cambria" w:cs="Cambria"/>
          <w:b w:val="false"/>
          <w:bCs w:val="false"/>
          <w:i w:val="false"/>
          <w:iCs w:val="false"/>
          <w:sz w:val="22"/>
          <w:szCs w:val="22"/>
        </w:rPr>
        <w:t xml:space="preserve"> 18–20 %.</w:t>
      </w:r>
    </w:p>
    <w:p>
      <w:pPr>
        <w:pStyle w:val="ListParagraph"/>
        <w:numPr>
          <w:ilvl w:val="0"/>
          <w:numId w:val="1"/>
        </w:numPr>
        <w:spacing w:lineRule="exact" w:line="288" w:before="0" w:after="60"/>
        <w:rPr/>
      </w:pPr>
      <w:r>
        <w:rPr>
          <w:rFonts w:eastAsia="Cambria" w:cs="Cambria"/>
          <w:b/>
          <w:bCs/>
          <w:i w:val="false"/>
          <w:iCs w:val="false"/>
          <w:sz w:val="22"/>
          <w:szCs w:val="22"/>
        </w:rPr>
        <w:t>Hotelreinigung:</w:t>
      </w:r>
      <w:r>
        <w:rPr>
          <w:rFonts w:eastAsia="Cambria" w:cs="Cambria"/>
          <w:b w:val="false"/>
          <w:bCs w:val="false"/>
          <w:i w:val="false"/>
          <w:iCs w:val="false"/>
          <w:sz w:val="22"/>
          <w:szCs w:val="22"/>
        </w:rPr>
        <w:t xml:space="preserve"> 2–5 $ pro Nacht, täglich neu hingelegt, weil verschiedene Kräfte reinigen; </w:t>
      </w:r>
      <w:r>
        <w:rPr>
          <w:rFonts w:eastAsia="Cambria" w:cs="Cambria"/>
          <w:b/>
          <w:bCs/>
          <w:i w:val="false"/>
          <w:iCs w:val="false"/>
          <w:sz w:val="22"/>
          <w:szCs w:val="22"/>
        </w:rPr>
        <w:t>Gepäckträger</w:t>
      </w:r>
      <w:r>
        <w:rPr>
          <w:rFonts w:eastAsia="Cambria" w:cs="Cambria"/>
          <w:b w:val="false"/>
          <w:bCs w:val="false"/>
          <w:i w:val="false"/>
          <w:iCs w:val="false"/>
          <w:sz w:val="22"/>
          <w:szCs w:val="22"/>
        </w:rPr>
        <w:t xml:space="preserve"> 1–2 $ pro Stück.</w:t>
      </w:r>
    </w:p>
    <w:p>
      <w:pPr>
        <w:pStyle w:val="ListParagraph"/>
        <w:numPr>
          <w:ilvl w:val="0"/>
          <w:numId w:val="1"/>
        </w:numPr>
        <w:spacing w:lineRule="exact" w:line="288" w:before="0" w:after="60"/>
        <w:rPr/>
      </w:pPr>
      <w:r>
        <w:rPr>
          <w:rFonts w:eastAsia="Cambria" w:cs="Cambria"/>
          <w:b/>
          <w:bCs/>
          <w:i w:val="false"/>
          <w:iCs w:val="false"/>
          <w:sz w:val="22"/>
          <w:szCs w:val="22"/>
        </w:rPr>
        <w:t>Lieferdienst:</w:t>
      </w:r>
      <w:r>
        <w:rPr>
          <w:rFonts w:eastAsia="Cambria" w:cs="Cambria"/>
          <w:b w:val="false"/>
          <w:bCs w:val="false"/>
          <w:i w:val="false"/>
          <w:iCs w:val="false"/>
          <w:sz w:val="22"/>
          <w:szCs w:val="22"/>
        </w:rPr>
        <w:t xml:space="preserve"> rund 15–20 %, mindestens 3 bis 5 $.</w:t>
      </w:r>
    </w:p>
    <w:p>
      <w:pPr>
        <w:pStyle w:val="ListParagraph"/>
        <w:numPr>
          <w:ilvl w:val="0"/>
          <w:numId w:val="1"/>
        </w:numPr>
        <w:spacing w:lineRule="exact" w:line="288" w:before="0" w:after="60"/>
        <w:rPr/>
      </w:pPr>
      <w:r>
        <w:rPr>
          <w:rFonts w:eastAsia="Cambria" w:cs="Cambria"/>
          <w:b/>
          <w:bCs/>
          <w:i w:val="false"/>
          <w:iCs w:val="false"/>
          <w:sz w:val="22"/>
          <w:szCs w:val="22"/>
        </w:rPr>
        <w:t>Selbstbedienung</w:t>
      </w:r>
      <w:r>
        <w:rPr>
          <w:rFonts w:eastAsia="Cambria" w:cs="Cambria"/>
          <w:b w:val="false"/>
          <w:bCs w:val="false"/>
          <w:i w:val="false"/>
          <w:iCs w:val="false"/>
          <w:sz w:val="22"/>
          <w:szCs w:val="22"/>
        </w:rPr>
        <w:t xml:space="preserve"> (Imbiss, Kaffeetheke): kein Trinkgeld erwartet; Bildschirmabfragen sind freiwillig.</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Kartenlesegeräte schlagen meist Prozentwerte zwischen 18 und 30 % vor; wähle bei Bedarf „Custom“.</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Prüfe den Beleg, bevor du das Trinkgeldfeld ausfüllst. Bei größeren Gruppen und in manchen Restaurants ist ein Aufschlag von 18–20 % bereits als </w:t>
            </w:r>
            <w:r>
              <w:rPr>
                <w:rFonts w:eastAsia="Cambria" w:cs="Cambria"/>
                <w:b w:val="false"/>
                <w:bCs w:val="false"/>
                <w:i/>
                <w:iCs/>
                <w:sz w:val="20"/>
                <w:szCs w:val="20"/>
              </w:rPr>
              <w:t>Service Charge</w:t>
            </w:r>
            <w:r>
              <w:rPr>
                <w:rFonts w:eastAsia="Cambria" w:cs="Cambria"/>
                <w:b w:val="false"/>
                <w:bCs w:val="false"/>
                <w:i w:val="false"/>
                <w:iCs w:val="false"/>
                <w:sz w:val="20"/>
                <w:szCs w:val="20"/>
              </w:rPr>
              <w:t xml:space="preserve"> oder </w:t>
            </w:r>
            <w:r>
              <w:rPr>
                <w:rFonts w:eastAsia="Cambria" w:cs="Cambria"/>
                <w:b w:val="false"/>
                <w:bCs w:val="false"/>
                <w:i/>
                <w:iCs/>
                <w:sz w:val="20"/>
                <w:szCs w:val="20"/>
              </w:rPr>
              <w:t>Gratuity</w:t>
            </w:r>
            <w:r>
              <w:rPr>
                <w:rFonts w:eastAsia="Cambria" w:cs="Cambria"/>
                <w:b w:val="false"/>
                <w:bCs w:val="false"/>
                <w:i w:val="false"/>
                <w:iCs w:val="false"/>
                <w:sz w:val="20"/>
                <w:szCs w:val="20"/>
              </w:rPr>
              <w:t xml:space="preserve"> enthalten. Wer zusätzlich zahlt, gibt doppelt.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Preise ohne Steuer.</w:t>
      </w:r>
      <w:r>
        <w:rPr>
          <w:rFonts w:eastAsia="Cambria" w:cs="Cambria"/>
          <w:b w:val="false"/>
          <w:bCs w:val="false"/>
          <w:i w:val="false"/>
          <w:iCs w:val="false"/>
          <w:sz w:val="22"/>
          <w:szCs w:val="22"/>
        </w:rPr>
        <w:t xml:space="preserve"> Schilder, Speisekarten und Online-Shops zeigen den Nettopreis; die Verkaufssteuer (</w:t>
      </w:r>
      <w:r>
        <w:rPr>
          <w:rFonts w:eastAsia="Cambria" w:cs="Cambria"/>
          <w:b w:val="false"/>
          <w:bCs w:val="false"/>
          <w:i/>
          <w:iCs/>
          <w:sz w:val="22"/>
          <w:szCs w:val="22"/>
        </w:rPr>
        <w:t>Sales Tax</w:t>
      </w:r>
      <w:r>
        <w:rPr>
          <w:rFonts w:eastAsia="Cambria" w:cs="Cambria"/>
          <w:b w:val="false"/>
          <w:bCs w:val="false"/>
          <w:i w:val="false"/>
          <w:iCs w:val="false"/>
          <w:sz w:val="22"/>
          <w:szCs w:val="22"/>
        </w:rPr>
        <w:t>) kommt an der Kasse dazu. Alaska (lokale Steuern), Delaware, Montana, New Hampshire und Oregon erheben keine staatliche Verkaufssteuer. Nach der Tax Foundation lag der bevölkerungsgewichtete Durchschnitt aus Staats- und Lokalsteuern Mitte 2026 bei 7,53 %, am höchsten in Louisiana (10,13 %), Tennessee (9,61 %) und Washington (9,57 %). Hotels, Mietwagen und Eintrittskarten fügen oft Gebühren hinzu. Seit 12. Mai 2025 verlangt eine Regel der Handelsbehörde FTC, dass Anbieter von Eventtickets und Kurzzeitunterkünften den Gesamtpreis samt aller Pflichtgebühren nennen; Steuern und Versand dürfen ausgenommen sein.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 isst in der ersten Woche in Michigan zu viert im Restaurant. Die Karte ergibt 78 $. Dazu kommen 6 % Verkaufssteuer (4,68 $). Die Kellnerin erwartet rund 20 % vom Nettobetrag (15,60 $), das Kartenlesegerät schlägt höhere Werte vor; Markus wählt „Custom“. Am Ende zahlt die Familie 98,28 $, gut ein Viertel mehr als der Kartenpreis. Anna lässt die Reste einpacken („Could we get a box, please?“), Lena und Jonas trinken Leitungswasser mit Eis, das nichts kostet. Für künftige Restaurantbesuche planen die Brandts 25 bis 30 % Aufschlag ein.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Rechnung teilen.</w:t>
      </w:r>
      <w:r>
        <w:rPr>
          <w:rFonts w:eastAsia="Cambria" w:cs="Cambria"/>
          <w:b w:val="false"/>
          <w:bCs w:val="false"/>
          <w:i w:val="false"/>
          <w:iCs w:val="false"/>
          <w:sz w:val="22"/>
          <w:szCs w:val="22"/>
        </w:rPr>
        <w:t xml:space="preserve"> In Deutschland fragt die Bedienung „Zusammen oder getrennt?“. In den USA lässt sich die Rechnung ebenfalls trennen (</w:t>
      </w:r>
      <w:r>
        <w:rPr>
          <w:rFonts w:eastAsia="Cambria" w:cs="Cambria"/>
          <w:b w:val="false"/>
          <w:bCs w:val="false"/>
          <w:i/>
          <w:iCs/>
          <w:sz w:val="22"/>
          <w:szCs w:val="22"/>
        </w:rPr>
        <w:t>Separate Checks</w:t>
      </w:r>
      <w:r>
        <w:rPr>
          <w:rFonts w:eastAsia="Cambria" w:cs="Cambria"/>
          <w:b w:val="false"/>
          <w:bCs w:val="false"/>
          <w:i w:val="false"/>
          <w:iCs w:val="false"/>
          <w:sz w:val="22"/>
          <w:szCs w:val="22"/>
        </w:rPr>
        <w:t>), aber besser sagst du es vor der Bestellung. Bei Gruppen teilt man oft gleichmäßig, auch wenn du nur einen Salat hattest; einer zahlt, die anderen überweisen per App wie Venmo oder Zelle (brauchen ein US-Konto,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 Wer lieber nach Verzehr teilt, sagt es freundlich: „Could we split by what we ordered?“ Die Rechnung kommt nicht ungefragt; du bittest darum („Check, please“).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Bestelle bei Lieferdiensten zum Abholen (</w:t>
            </w:r>
            <w:r>
              <w:rPr>
                <w:rFonts w:eastAsia="Cambria" w:cs="Cambria"/>
                <w:b w:val="false"/>
                <w:bCs w:val="false"/>
                <w:i/>
                <w:iCs/>
                <w:sz w:val="20"/>
                <w:szCs w:val="20"/>
              </w:rPr>
              <w:t>Pickup</w:t>
            </w:r>
            <w:r>
              <w:rPr>
                <w:rFonts w:eastAsia="Cambria" w:cs="Cambria"/>
                <w:b w:val="false"/>
                <w:bCs w:val="false"/>
                <w:i w:val="false"/>
                <w:iCs w:val="false"/>
                <w:sz w:val="20"/>
                <w:szCs w:val="20"/>
              </w:rPr>
              <w:t>). Dann entfallen Liefergebühr, Serviceaufschlag der App und das Trinkgeld für den Fahrer. Mittagsangebote (</w:t>
            </w:r>
            <w:r>
              <w:rPr>
                <w:rFonts w:eastAsia="Cambria" w:cs="Cambria"/>
                <w:b w:val="false"/>
                <w:bCs w:val="false"/>
                <w:i/>
                <w:iCs/>
                <w:sz w:val="20"/>
                <w:szCs w:val="20"/>
              </w:rPr>
              <w:t>Lunch Specials</w:t>
            </w:r>
            <w:r>
              <w:rPr>
                <w:rFonts w:eastAsia="Cambria" w:cs="Cambria"/>
                <w:b w:val="false"/>
                <w:bCs w:val="false"/>
                <w:i w:val="false"/>
                <w:iCs w:val="false"/>
                <w:sz w:val="20"/>
                <w:szCs w:val="20"/>
              </w:rPr>
              <w:t xml:space="preserve">) und die </w:t>
            </w:r>
            <w:r>
              <w:rPr>
                <w:rFonts w:eastAsia="Cambria" w:cs="Cambria"/>
                <w:b w:val="false"/>
                <w:bCs w:val="false"/>
                <w:i/>
                <w:iCs/>
                <w:sz w:val="20"/>
                <w:szCs w:val="20"/>
              </w:rPr>
              <w:t>Happy Hour</w:t>
            </w:r>
            <w:r>
              <w:rPr>
                <w:rFonts w:eastAsia="Cambria" w:cs="Cambria"/>
                <w:b w:val="false"/>
                <w:bCs w:val="false"/>
                <w:i w:val="false"/>
                <w:iCs w:val="false"/>
                <w:sz w:val="20"/>
                <w:szCs w:val="20"/>
              </w:rPr>
              <w:t xml:space="preserve"> in Bars sind günstiger als die Abendkarte.</w:t>
            </w:r>
          </w:p>
        </w:tc>
      </w:tr>
    </w:tbl>
    <w:p>
      <w:pPr>
        <w:pStyle w:val="Normal"/>
        <w:spacing w:lineRule="exact" w:line="220" w:before="0" w:after="0"/>
        <w:rPr/>
      </w:pPr>
      <w:r>
        <w:rPr/>
      </w:r>
    </w:p>
    <w:tbl>
      <w:tblPr>
        <w:tblW w:w="6480" w:type="dxa"/>
        <w:jc w:val="left"/>
        <w:tblInd w:w="0" w:type="dxa"/>
        <w:tblLayout w:type="fixed"/>
        <w:tblCellMar>
          <w:top w:w="50" w:type="dxa"/>
          <w:left w:w="80" w:type="dxa"/>
          <w:bottom w:w="50" w:type="dxa"/>
          <w:right w:w="80" w:type="dxa"/>
        </w:tblCellMar>
      </w:tblPr>
      <w:tblGrid>
        <w:gridCol w:w="1047"/>
        <w:gridCol w:w="1511"/>
        <w:gridCol w:w="1871"/>
        <w:gridCol w:w="2050"/>
      </w:tblGrid>
      <w:tr>
        <w:trPr>
          <w:tblHeader w:val="true"/>
          <w:cantSplit w:val="true"/>
        </w:trPr>
        <w:tc>
          <w:tcPr>
            <w:tcW w:w="104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Situation</w:t>
            </w:r>
          </w:p>
        </w:tc>
        <w:tc>
          <w:tcPr>
            <w:tcW w:w="151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In Deutschland</w:t>
            </w:r>
          </w:p>
        </w:tc>
        <w:tc>
          <w:tcPr>
            <w:tcW w:w="187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In den USA</w:t>
            </w:r>
          </w:p>
        </w:tc>
        <w:tc>
          <w:tcPr>
            <w:tcW w:w="20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Tipp</w:t>
            </w:r>
          </w:p>
        </w:tc>
      </w:tr>
      <w:tr>
        <w:trPr>
          <w:cantSplit w:val="true"/>
        </w:trPr>
        <w:tc>
          <w:tcPr>
            <w:tcW w:w="10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Restaurant</w:t>
            </w:r>
          </w:p>
        </w:tc>
        <w:tc>
          <w:tcPr>
            <w:tcW w:w="15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Aufrunden, 5 bis 10 %</w:t>
            </w:r>
          </w:p>
        </w:tc>
        <w:tc>
          <w:tcPr>
            <w:tcW w:w="18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18–20 % vom Nettobetrag</w:t>
            </w:r>
          </w:p>
        </w:tc>
        <w:tc>
          <w:tcPr>
            <w:tcW w:w="20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Beleg prüfen: schon enthalten?</w:t>
            </w:r>
          </w:p>
        </w:tc>
      </w:tr>
      <w:tr>
        <w:trPr>
          <w:cantSplit w:val="true"/>
        </w:trPr>
        <w:tc>
          <w:tcPr>
            <w:tcW w:w="10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Bar</w:t>
            </w:r>
          </w:p>
        </w:tc>
        <w:tc>
          <w:tcPr>
            <w:tcW w:w="15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Aufrunden</w:t>
            </w:r>
          </w:p>
        </w:tc>
        <w:tc>
          <w:tcPr>
            <w:tcW w:w="18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1–2 $ pro Getränk</w:t>
            </w:r>
          </w:p>
        </w:tc>
        <w:tc>
          <w:tcPr>
            <w:tcW w:w="20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 jeder Runde geben</w:t>
            </w:r>
          </w:p>
        </w:tc>
      </w:tr>
      <w:tr>
        <w:trPr>
          <w:cantSplit w:val="true"/>
        </w:trPr>
        <w:tc>
          <w:tcPr>
            <w:tcW w:w="10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Taxi, Rideshare</w:t>
            </w:r>
          </w:p>
        </w:tc>
        <w:tc>
          <w:tcPr>
            <w:tcW w:w="15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Aufrunden</w:t>
            </w:r>
          </w:p>
        </w:tc>
        <w:tc>
          <w:tcPr>
            <w:tcW w:w="18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15–20 %</w:t>
            </w:r>
          </w:p>
        </w:tc>
        <w:tc>
          <w:tcPr>
            <w:tcW w:w="20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 der App wählen</w:t>
            </w:r>
          </w:p>
        </w:tc>
      </w:tr>
      <w:tr>
        <w:trPr>
          <w:cantSplit w:val="true"/>
        </w:trPr>
        <w:tc>
          <w:tcPr>
            <w:tcW w:w="10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Friseur, Nagelstudio</w:t>
            </w:r>
          </w:p>
        </w:tc>
        <w:tc>
          <w:tcPr>
            <w:tcW w:w="15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 bis 10 %</w:t>
            </w:r>
          </w:p>
        </w:tc>
        <w:tc>
          <w:tcPr>
            <w:tcW w:w="18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18–20 %</w:t>
            </w:r>
          </w:p>
        </w:tc>
        <w:tc>
          <w:tcPr>
            <w:tcW w:w="20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Bar oder per App</w:t>
            </w:r>
          </w:p>
        </w:tc>
      </w:tr>
      <w:tr>
        <w:trPr>
          <w:cantSplit w:val="true"/>
        </w:trPr>
        <w:tc>
          <w:tcPr>
            <w:tcW w:w="10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Preisschild</w:t>
            </w:r>
          </w:p>
        </w:tc>
        <w:tc>
          <w:tcPr>
            <w:tcW w:w="15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Endpreis mit Mehrwertsteuer</w:t>
            </w:r>
          </w:p>
        </w:tc>
        <w:tc>
          <w:tcPr>
            <w:tcW w:w="18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Nettopreis, Steuer an der Kasse</w:t>
            </w:r>
          </w:p>
        </w:tc>
        <w:tc>
          <w:tcPr>
            <w:tcW w:w="20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Steuersatz des Wohnorts nachschlagen</w:t>
            </w:r>
          </w:p>
        </w:tc>
      </w:tr>
      <w:tr>
        <w:trPr>
          <w:cantSplit w:val="true"/>
        </w:trPr>
        <w:tc>
          <w:tcPr>
            <w:tcW w:w="10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Rechnung</w:t>
            </w:r>
          </w:p>
        </w:tc>
        <w:tc>
          <w:tcPr>
            <w:tcW w:w="15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Zusammen oder getrennt?“</w:t>
            </w:r>
          </w:p>
        </w:tc>
        <w:tc>
          <w:tcPr>
            <w:tcW w:w="18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Oft eine Rechnung, Aufteilung per App</w:t>
            </w:r>
          </w:p>
        </w:tc>
        <w:tc>
          <w:tcPr>
            <w:tcW w:w="20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Trennung vor der Bestellung nennen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Alltag: Portionen, Auto, Rückgabe, Kundenservice</w:t>
      </w:r>
    </w:p>
    <w:p>
      <w:pPr>
        <w:pStyle w:val="Normal"/>
        <w:keepNext w:val="false"/>
        <w:keepLines w:val="false"/>
        <w:spacing w:lineRule="exact" w:line="288" w:before="0" w:after="140"/>
        <w:jc w:val="left"/>
        <w:rPr/>
      </w:pPr>
      <w:r>
        <w:rPr>
          <w:rFonts w:eastAsia="Cambria" w:cs="Cambria"/>
          <w:b/>
          <w:bCs/>
          <w:i w:val="false"/>
          <w:iCs w:val="false"/>
          <w:sz w:val="22"/>
          <w:szCs w:val="22"/>
        </w:rPr>
        <w:t>Portionen.</w:t>
      </w:r>
      <w:r>
        <w:rPr>
          <w:rFonts w:eastAsia="Cambria" w:cs="Cambria"/>
          <w:b w:val="false"/>
          <w:bCs w:val="false"/>
          <w:i w:val="false"/>
          <w:iCs w:val="false"/>
          <w:sz w:val="22"/>
          <w:szCs w:val="22"/>
        </w:rPr>
        <w:t xml:space="preserve"> Restaurantportionen fallen größer aus als in Deutschland. Getränke kommen mit Eis, Softdrinks oft mit kostenlosem Nachschenken (</w:t>
      </w:r>
      <w:r>
        <w:rPr>
          <w:rFonts w:eastAsia="Cambria" w:cs="Cambria"/>
          <w:b w:val="false"/>
          <w:bCs w:val="false"/>
          <w:i/>
          <w:iCs/>
          <w:sz w:val="22"/>
          <w:szCs w:val="22"/>
        </w:rPr>
        <w:t>Free Refills</w:t>
      </w:r>
      <w:r>
        <w:rPr>
          <w:rFonts w:eastAsia="Cambria" w:cs="Cambria"/>
          <w:b w:val="false"/>
          <w:bCs w:val="false"/>
          <w:i w:val="false"/>
          <w:iCs w:val="false"/>
          <w:sz w:val="22"/>
          <w:szCs w:val="22"/>
        </w:rPr>
        <w:t xml:space="preserve">), Leitungswasser unaufgefordert und gratis. Reste nimmst du in der </w:t>
      </w:r>
      <w:r>
        <w:rPr>
          <w:rFonts w:eastAsia="Cambria" w:cs="Cambria"/>
          <w:b w:val="false"/>
          <w:bCs w:val="false"/>
          <w:i/>
          <w:iCs/>
          <w:sz w:val="22"/>
          <w:szCs w:val="22"/>
        </w:rPr>
        <w:t>To-go Box</w:t>
      </w:r>
      <w:r>
        <w:rPr>
          <w:rFonts w:eastAsia="Cambria" w:cs="Cambria"/>
          <w:b w:val="false"/>
          <w:bCs w:val="false"/>
          <w:i w:val="false"/>
          <w:iCs w:val="false"/>
          <w:sz w:val="22"/>
          <w:szCs w:val="22"/>
        </w:rPr>
        <w:t xml:space="preserve"> mit; das ist normal und keine Verlegenheit. Zu Einkaufsgrößen und Lebensmitteln siehe Kapitel </w:t>
      </w:r>
      <w:hyperlink w:anchor="k35">
        <w:r>
          <w:rPr>
            <w:rStyle w:val="ListLabel115"/>
            <w:rFonts w:eastAsia="Cambria" w:cs="Cambria"/>
            <w:b w:val="false"/>
            <w:bCs w:val="false"/>
            <w:i w:val="false"/>
            <w:iCs w:val="false"/>
            <w:sz w:val="22"/>
            <w:szCs w:val="22"/>
          </w:rPr>
          <w:t>35</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Autokultur.</w:t>
      </w:r>
      <w:r>
        <w:rPr>
          <w:rFonts w:eastAsia="Cambria" w:cs="Cambria"/>
          <w:b w:val="false"/>
          <w:bCs w:val="false"/>
          <w:i w:val="false"/>
          <w:iCs w:val="false"/>
          <w:sz w:val="22"/>
          <w:szCs w:val="22"/>
        </w:rPr>
        <w:t xml:space="preserve"> Außerhalb weniger Großstädte wie New York, Boston, Chicago, San Francisco oder Washington, D.C. läuft der Alltag im Auto: Supermarkt, Schule, Arzt und Arbeit liegen weit auseinander, Kaffee, Apotheke und Bank gibt es im </w:t>
      </w:r>
      <w:r>
        <w:rPr>
          <w:rFonts w:eastAsia="Cambria" w:cs="Cambria"/>
          <w:b w:val="false"/>
          <w:bCs w:val="false"/>
          <w:i/>
          <w:iCs/>
          <w:sz w:val="22"/>
          <w:szCs w:val="22"/>
        </w:rPr>
        <w:t>Drive-through</w:t>
      </w:r>
      <w:r>
        <w:rPr>
          <w:rFonts w:eastAsia="Cambria" w:cs="Cambria"/>
          <w:b w:val="false"/>
          <w:bCs w:val="false"/>
          <w:i w:val="false"/>
          <w:iCs w:val="false"/>
          <w:sz w:val="22"/>
          <w:szCs w:val="22"/>
        </w:rPr>
        <w:t>, manche Wohngebiete haben keine Gehwege. Führerschein, Kauf und Versicherung: Kapitel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 was die Autoabhängigkeit für die Wohnortwahl heißt: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Rückgabe und Kundenservice.</w:t>
      </w:r>
      <w:r>
        <w:rPr>
          <w:rFonts w:eastAsia="Cambria" w:cs="Cambria"/>
          <w:b w:val="false"/>
          <w:bCs w:val="false"/>
          <w:i w:val="false"/>
          <w:iCs w:val="false"/>
          <w:sz w:val="22"/>
          <w:szCs w:val="22"/>
        </w:rPr>
        <w:t xml:space="preserve"> Ein gesetzliches Widerrufsrecht wie die 14 Tage im deutschen Onlinehandel gibt es nicht; die Rückgaberegel (</w:t>
      </w:r>
      <w:r>
        <w:rPr>
          <w:rFonts w:eastAsia="Cambria" w:cs="Cambria"/>
          <w:b w:val="false"/>
          <w:bCs w:val="false"/>
          <w:i/>
          <w:iCs/>
          <w:sz w:val="22"/>
          <w:szCs w:val="22"/>
        </w:rPr>
        <w:t>Return Policy</w:t>
      </w:r>
      <w:r>
        <w:rPr>
          <w:rFonts w:eastAsia="Cambria" w:cs="Cambria"/>
          <w:b w:val="false"/>
          <w:bCs w:val="false"/>
          <w:i w:val="false"/>
          <w:iCs w:val="false"/>
          <w:sz w:val="22"/>
          <w:szCs w:val="22"/>
        </w:rPr>
        <w:t xml:space="preserve">) legt der Händler fest. Großzügig sind etwa Costco (die meisten Artikel unbefristet, Elektronik 90 Tage), Walmart und Target (rund 90 Tage); strenger Amazon (30 Tage) und Best Buy (15 Tage). Bon, Verpackung und Etikett bewahrst du auf. Das Personal ist freundlich und lösungsorientiert: „Can I help you find something?“ ist ein echtes Angebot. Wer aus Deutschland kommt, kennt eher den unterschwelligen Eindruck, als Kundschaft zusätzliche Arbeit zu verursachen; in den USA ist die Freundlichkeit dagegen auch Teil des Geschäftsmodells – ein zufriedener Kunde kauft mehr und kommt wieder. Das macht sie im Alltag nicht weniger angenehm, nur eben kalkuliert statt zufällig. Beschwerden wirken ruhig und mit Lösungsvorschlag am besten; hilft es nicht, bittest du um den </w:t>
      </w:r>
      <w:r>
        <w:rPr>
          <w:rFonts w:eastAsia="Cambria" w:cs="Cambria"/>
          <w:b w:val="false"/>
          <w:bCs w:val="false"/>
          <w:i/>
          <w:iCs/>
          <w:sz w:val="22"/>
          <w:szCs w:val="22"/>
        </w:rPr>
        <w:t>Manager</w:t>
      </w:r>
      <w:r>
        <w:rPr>
          <w:rFonts w:eastAsia="Cambria" w:cs="Cambria"/>
          <w:b w:val="false"/>
          <w:bCs w:val="false"/>
          <w:i w:val="false"/>
          <w:iCs w:val="false"/>
          <w:sz w:val="22"/>
          <w:szCs w:val="22"/>
        </w:rPr>
        <w:t>. Umgekehrt erwartet das Personal einen Gruß, bevor du bestellst; wer ohne „Hi, how are you?“ sofort loslegt, gilt schnell als schroff.</w:t>
      </w:r>
    </w:p>
    <w:tbl>
      <w:tblPr>
        <w:tblW w:w="6480" w:type="dxa"/>
        <w:jc w:val="left"/>
        <w:tblInd w:w="0" w:type="dxa"/>
        <w:tblLayout w:type="fixed"/>
        <w:tblCellMar>
          <w:top w:w="50" w:type="dxa"/>
          <w:left w:w="80" w:type="dxa"/>
          <w:bottom w:w="50" w:type="dxa"/>
          <w:right w:w="80" w:type="dxa"/>
        </w:tblCellMar>
      </w:tblPr>
      <w:tblGrid>
        <w:gridCol w:w="949"/>
        <w:gridCol w:w="1563"/>
        <w:gridCol w:w="1911"/>
        <w:gridCol w:w="2056"/>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Situation</w:t>
            </w:r>
          </w:p>
        </w:tc>
        <w:tc>
          <w:tcPr>
            <w:tcW w:w="156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In Deutschland</w:t>
            </w:r>
          </w:p>
        </w:tc>
        <w:tc>
          <w:tcPr>
            <w:tcW w:w="191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In den USA</w:t>
            </w:r>
          </w:p>
        </w:tc>
        <w:tc>
          <w:tcPr>
            <w:tcW w:w="205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Tipp</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Rückgabe</w:t>
            </w:r>
          </w:p>
        </w:tc>
        <w:tc>
          <w:tcPr>
            <w:tcW w:w="15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 Tage Widerruf online</w:t>
            </w:r>
          </w:p>
        </w:tc>
        <w:tc>
          <w:tcPr>
            <w:tcW w:w="19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Regel des Händlers, 15 bis 90 Tage</w:t>
            </w:r>
          </w:p>
        </w:tc>
        <w:tc>
          <w:tcPr>
            <w:tcW w:w="20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Bon und Verpackung aufbewahren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Beschwerde</w:t>
            </w:r>
          </w:p>
        </w:tc>
        <w:tc>
          <w:tcPr>
            <w:tcW w:w="15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Sachlich und direkt</w:t>
            </w:r>
          </w:p>
        </w:tc>
        <w:tc>
          <w:tcPr>
            <w:tcW w:w="19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Freundlich, mit Lösungsvorschlag</w:t>
            </w:r>
          </w:p>
        </w:tc>
        <w:tc>
          <w:tcPr>
            <w:tcW w:w="20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Bei Bedarf nach dem </w:t>
            </w:r>
            <w:r>
              <w:rPr>
                <w:rFonts w:eastAsia="Cambria" w:cs="Cambria"/>
                <w:b w:val="false"/>
                <w:bCs w:val="false"/>
                <w:i/>
                <w:iCs/>
                <w:sz w:val="18"/>
                <w:szCs w:val="18"/>
              </w:rPr>
              <w:t>Manager</w:t>
            </w:r>
            <w:r>
              <w:rPr>
                <w:rFonts w:eastAsia="Cambria" w:cs="Cambria"/>
                <w:b w:val="false"/>
                <w:bCs w:val="false"/>
                <w:i w:val="false"/>
                <w:iCs w:val="false"/>
                <w:sz w:val="18"/>
                <w:szCs w:val="18"/>
              </w:rPr>
              <w:t xml:space="preserve"> fragen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Restaurantportion</w:t>
            </w:r>
          </w:p>
        </w:tc>
        <w:tc>
          <w:tcPr>
            <w:tcW w:w="15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Reste selten mitgenommen</w:t>
            </w:r>
          </w:p>
        </w:tc>
        <w:tc>
          <w:tcPr>
            <w:tcW w:w="19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Groß, Mitnehmen üblich</w:t>
            </w:r>
          </w:p>
        </w:tc>
        <w:tc>
          <w:tcPr>
            <w:tcW w:w="20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Could I get a box?“</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Wege</w:t>
            </w:r>
          </w:p>
        </w:tc>
        <w:tc>
          <w:tcPr>
            <w:tcW w:w="15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 Fuß, Rad, Bahn</w:t>
            </w:r>
          </w:p>
        </w:tc>
        <w:tc>
          <w:tcPr>
            <w:tcW w:w="19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Meist Auto</w:t>
            </w:r>
          </w:p>
        </w:tc>
        <w:tc>
          <w:tcPr>
            <w:tcW w:w="20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Auto vor der Wohnungssuche einplanen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Kasse</w:t>
            </w:r>
          </w:p>
        </w:tc>
        <w:tc>
          <w:tcPr>
            <w:tcW w:w="15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Knapp, sachlich</w:t>
            </w:r>
          </w:p>
        </w:tc>
        <w:tc>
          <w:tcPr>
            <w:tcW w:w="19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Kurzer Small Talk</w:t>
            </w:r>
          </w:p>
        </w:tc>
        <w:tc>
          <w:tcPr>
            <w:tcW w:w="20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Grüßen, dann bezahlen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Familie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Kinder bestimmen das amerikanische Wochenende: Sportturniere, Vereinstermine und Geburtstagsfeiern füllen den Kalender. Kindergeburtstage laufen oft in einer gemieteten Location, mit schriftlicher Einladung und </w:t>
      </w:r>
      <w:r>
        <w:rPr>
          <w:rFonts w:eastAsia="Cambria" w:cs="Cambria"/>
          <w:b w:val="false"/>
          <w:bCs w:val="false"/>
          <w:i/>
          <w:iCs/>
          <w:sz w:val="22"/>
          <w:szCs w:val="22"/>
        </w:rPr>
        <w:t>RSVP</w:t>
      </w:r>
      <w:r>
        <w:rPr>
          <w:rFonts w:eastAsia="Cambria" w:cs="Cambria"/>
          <w:b w:val="false"/>
          <w:bCs w:val="false"/>
          <w:i w:val="false"/>
          <w:iCs w:val="false"/>
          <w:sz w:val="22"/>
          <w:szCs w:val="22"/>
        </w:rPr>
        <w:t xml:space="preserve">. Verabredungen der Kinder heißen </w:t>
      </w:r>
      <w:r>
        <w:rPr>
          <w:rFonts w:eastAsia="Cambria" w:cs="Cambria"/>
          <w:b w:val="false"/>
          <w:bCs w:val="false"/>
          <w:i/>
          <w:iCs/>
          <w:sz w:val="22"/>
          <w:szCs w:val="22"/>
        </w:rPr>
        <w:t>Playdates</w:t>
      </w:r>
      <w:r>
        <w:rPr>
          <w:rFonts w:eastAsia="Cambria" w:cs="Cambria"/>
          <w:b w:val="false"/>
          <w:bCs w:val="false"/>
          <w:i w:val="false"/>
          <w:iCs w:val="false"/>
          <w:sz w:val="22"/>
          <w:szCs w:val="22"/>
        </w:rPr>
        <w:t xml:space="preserve"> und werden zwischen den Eltern abgesprochen, denn Kinder bringt und holt man; „einfach klingeln“ ist unüblich. Im Umgang mit Kindern dominieren Lob und positive Verstärkung, im Süden gehören „Yes, ma’am“ und „No, sir“ zur Erziehung. Wie oft Kinder allein unterwegs sind, prägen Ort und Gemeinde; bei Schulweg, Spielplatz und Allein-zu-Hause-Bleiben (Rechtslage und Erwartungen) siehe Kapitel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 zur Schule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1174"/>
        <w:gridCol w:w="1578"/>
        <w:gridCol w:w="1995"/>
        <w:gridCol w:w="1732"/>
      </w:tblGrid>
      <w:tr>
        <w:trPr>
          <w:tblHeader w:val="true"/>
          <w:cantSplit w:val="true"/>
        </w:trPr>
        <w:tc>
          <w:tcPr>
            <w:tcW w:w="117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Situation</w:t>
            </w:r>
          </w:p>
        </w:tc>
        <w:tc>
          <w:tcPr>
            <w:tcW w:w="157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In Deutschland</w:t>
            </w:r>
          </w:p>
        </w:tc>
        <w:tc>
          <w:tcPr>
            <w:tcW w:w="199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In den USA</w:t>
            </w:r>
          </w:p>
        </w:tc>
        <w:tc>
          <w:tcPr>
            <w:tcW w:w="173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Tipp</w:t>
            </w:r>
          </w:p>
        </w:tc>
      </w:tr>
      <w:tr>
        <w:trPr>
          <w:cantSplit w:val="true"/>
        </w:trPr>
        <w:tc>
          <w:tcPr>
            <w:tcW w:w="11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Kindergeburtstag</w:t>
            </w:r>
          </w:p>
        </w:tc>
        <w:tc>
          <w:tcPr>
            <w:tcW w:w="15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 Hause, lockere Zusage</w:t>
            </w:r>
          </w:p>
        </w:tc>
        <w:tc>
          <w:tcPr>
            <w:tcW w:w="19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Einladung mit </w:t>
            </w:r>
            <w:r>
              <w:rPr>
                <w:rFonts w:eastAsia="Cambria" w:cs="Cambria"/>
                <w:b w:val="false"/>
                <w:bCs w:val="false"/>
                <w:i/>
                <w:iCs/>
                <w:sz w:val="18"/>
                <w:szCs w:val="18"/>
              </w:rPr>
              <w:t>RSVP</w:t>
            </w:r>
            <w:r>
              <w:rPr>
                <w:rFonts w:eastAsia="Cambria" w:cs="Cambria"/>
                <w:b w:val="false"/>
                <w:bCs w:val="false"/>
                <w:i w:val="false"/>
                <w:iCs w:val="false"/>
                <w:sz w:val="18"/>
                <w:szCs w:val="18"/>
              </w:rPr>
              <w:t>, oft Party-Location</w:t>
            </w:r>
          </w:p>
        </w:tc>
        <w:tc>
          <w:tcPr>
            <w:tcW w:w="17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Zusagen, Allergien nennen</w:t>
            </w:r>
          </w:p>
        </w:tc>
      </w:tr>
      <w:tr>
        <w:trPr>
          <w:cantSplit w:val="true"/>
        </w:trPr>
        <w:tc>
          <w:tcPr>
            <w:tcW w:w="11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Verabredung der Kinder</w:t>
            </w:r>
          </w:p>
        </w:tc>
        <w:tc>
          <w:tcPr>
            <w:tcW w:w="15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Komm einfach vorbei“</w:t>
            </w:r>
          </w:p>
        </w:tc>
        <w:tc>
          <w:tcPr>
            <w:tcW w:w="19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Playdate</w:t>
            </w:r>
            <w:r>
              <w:rPr>
                <w:rFonts w:eastAsia="Cambria" w:cs="Cambria"/>
                <w:b w:val="false"/>
                <w:bCs w:val="false"/>
                <w:i w:val="false"/>
                <w:iCs w:val="false"/>
                <w:sz w:val="18"/>
                <w:szCs w:val="18"/>
              </w:rPr>
              <w:t xml:space="preserve"> nach Absprache</w:t>
            </w:r>
          </w:p>
        </w:tc>
        <w:tc>
          <w:tcPr>
            <w:tcW w:w="17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Eltern kontaktieren, Abholung klären</w:t>
            </w:r>
          </w:p>
        </w:tc>
      </w:tr>
      <w:tr>
        <w:trPr>
          <w:cantSplit w:val="true"/>
        </w:trPr>
        <w:tc>
          <w:tcPr>
            <w:tcW w:w="11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 allein unterwegs</w:t>
            </w:r>
          </w:p>
        </w:tc>
        <w:tc>
          <w:tcPr>
            <w:tcW w:w="15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Grundschulalter verbreitet</w:t>
            </w:r>
          </w:p>
        </w:tc>
        <w:tc>
          <w:tcPr>
            <w:tcW w:w="19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Erwartungen und Regeln je Ort</w:t>
            </w:r>
          </w:p>
        </w:tc>
        <w:tc>
          <w:tcPr>
            <w:tcW w:w="17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Vorher fragen (Kapitel </w:t>
            </w:r>
            <w:hyperlink w:anchor="k38">
              <w:r>
                <w:rPr>
                  <w:rStyle w:val="ListLabel112"/>
                  <w:rFonts w:eastAsia="Cambria" w:cs="Cambria"/>
                  <w:b w:val="false"/>
                  <w:bCs w:val="false"/>
                  <w:i w:val="false"/>
                  <w:iCs w:val="false"/>
                  <w:sz w:val="18"/>
                  <w:szCs w:val="18"/>
                </w:rPr>
                <w:t>38</w:t>
              </w:r>
            </w:hyperlink>
            <w:r>
              <w:rPr>
                <w:rFonts w:eastAsia="Cambria" w:cs="Cambria"/>
                <w:b w:val="false"/>
                <w:bCs w:val="false"/>
                <w:i w:val="false"/>
                <w:iCs w:val="false"/>
                <w:sz w:val="18"/>
                <w:szCs w:val="18"/>
              </w:rPr>
              <w:t>)</w:t>
            </w:r>
          </w:p>
        </w:tc>
      </w:tr>
      <w:tr>
        <w:trPr>
          <w:cantSplit w:val="true"/>
        </w:trPr>
        <w:tc>
          <w:tcPr>
            <w:tcW w:w="11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Erziehungston</w:t>
            </w:r>
          </w:p>
        </w:tc>
        <w:tc>
          <w:tcPr>
            <w:tcW w:w="15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Sachlich, Fehler benennen</w:t>
            </w:r>
          </w:p>
        </w:tc>
        <w:tc>
          <w:tcPr>
            <w:tcW w:w="19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Viel Lob, positive Verstärkung</w:t>
            </w:r>
          </w:p>
        </w:tc>
        <w:tc>
          <w:tcPr>
            <w:tcW w:w="17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Konkret loben üben</w:t>
            </w:r>
          </w:p>
        </w:tc>
      </w:tr>
      <w:tr>
        <w:trPr>
          <w:cantSplit w:val="true"/>
        </w:trPr>
        <w:tc>
          <w:tcPr>
            <w:tcW w:w="11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Wochenende</w:t>
            </w:r>
          </w:p>
        </w:tc>
        <w:tc>
          <w:tcPr>
            <w:tcW w:w="15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Familie, Ausflüge</w:t>
            </w:r>
          </w:p>
        </w:tc>
        <w:tc>
          <w:tcPr>
            <w:tcW w:w="19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Sport, Turniere, Vereinstermine</w:t>
            </w:r>
          </w:p>
        </w:tc>
        <w:tc>
          <w:tcPr>
            <w:tcW w:w="17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Kalender früh abstimmen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Feiertage: Thanksgiving, 4. Juli, Halloween, Super Bowl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den Bund gibt es elf Feiertage (</w:t>
      </w:r>
      <w:r>
        <w:rPr>
          <w:rFonts w:eastAsia="Cambria" w:cs="Cambria"/>
          <w:b w:val="false"/>
          <w:bCs w:val="false"/>
          <w:i/>
          <w:iCs/>
          <w:sz w:val="22"/>
          <w:szCs w:val="22"/>
        </w:rPr>
        <w:t>Federal Holidays</w:t>
      </w:r>
      <w:r>
        <w:rPr>
          <w:rFonts w:eastAsia="Cambria" w:cs="Cambria"/>
          <w:b w:val="false"/>
          <w:bCs w:val="false"/>
          <w:i w:val="false"/>
          <w:iCs w:val="false"/>
          <w:sz w:val="22"/>
          <w:szCs w:val="22"/>
        </w:rPr>
        <w:t>): Neujahr, Martin Luther King Jr. Day (dritter Montag im Januar), Presidents’ Day (dritter Montag im Februar), Memorial Day (letzter Montag im Mai), Juneteenth (19. Juni), Independence Day (4. Juli), Labor Day (erster Montag im September), Columbus Day oder Indigenous Peoples’ Day (zweiter Montag im Oktober), Veterans Day (11. November), Thanksgiving (vierter Donnerstag im November) und Weihnachten (25. Dezember). In der Privatwirtschaft besteht kein gesetzlicher Anspruch auf freie Tage; der Arbeitgeber entscheidet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 Die Montagsregel schafft lange Wochenenden.</w:t>
      </w:r>
    </w:p>
    <w:p>
      <w:pPr>
        <w:pStyle w:val="Normal"/>
        <w:keepNext w:val="false"/>
        <w:keepLines w:val="false"/>
        <w:spacing w:lineRule="exact" w:line="288" w:before="0" w:after="140"/>
        <w:jc w:val="left"/>
        <w:rPr/>
      </w:pPr>
      <w:r>
        <w:rPr>
          <w:rFonts w:eastAsia="Cambria" w:cs="Cambria"/>
          <w:b/>
          <w:bCs/>
          <w:i w:val="false"/>
          <w:iCs w:val="false"/>
          <w:sz w:val="22"/>
          <w:szCs w:val="22"/>
        </w:rPr>
        <w:t>Thanksgiving</w:t>
      </w:r>
      <w:r>
        <w:rPr>
          <w:rFonts w:eastAsia="Cambria" w:cs="Cambria"/>
          <w:b w:val="false"/>
          <w:bCs w:val="false"/>
          <w:i w:val="false"/>
          <w:iCs w:val="false"/>
          <w:sz w:val="22"/>
          <w:szCs w:val="22"/>
        </w:rPr>
        <w:t xml:space="preserve"> (2026: 26. November) ist das große Familienfest mit Truthahn, Füllung, Süßkartoffeln und Kürbiskuchen, verbunden mit dem größten Reiseverkehr des Jahres. Viele große Ketten wie Walmart und Target bleiben geschlossen; am Tag danach folgt der </w:t>
      </w:r>
      <w:r>
        <w:rPr>
          <w:rFonts w:eastAsia="Cambria" w:cs="Cambria"/>
          <w:b w:val="false"/>
          <w:bCs w:val="false"/>
          <w:i/>
          <w:iCs/>
          <w:sz w:val="22"/>
          <w:szCs w:val="22"/>
        </w:rPr>
        <w:t>Black Friday</w:t>
      </w:r>
      <w:r>
        <w:rPr>
          <w:rFonts w:eastAsia="Cambria" w:cs="Cambria"/>
          <w:b w:val="false"/>
          <w:bCs w:val="false"/>
          <w:i w:val="false"/>
          <w:iCs w:val="false"/>
          <w:sz w:val="22"/>
          <w:szCs w:val="22"/>
        </w:rPr>
        <w:t>. Wer weit von der Familie lebt, feiert oft mit Freunden („Friendsgiving“). Bist du eingeladen, frage, was du mitbringen sollst; Wein, Nachtisch oder eine Beilage sind willkommen.</w:t>
      </w:r>
    </w:p>
    <w:p>
      <w:pPr>
        <w:pStyle w:val="Normal"/>
        <w:keepNext w:val="false"/>
        <w:keepLines w:val="false"/>
        <w:spacing w:lineRule="exact" w:line="288" w:before="0" w:after="140"/>
        <w:jc w:val="left"/>
        <w:rPr/>
      </w:pPr>
      <w:r>
        <w:rPr>
          <w:rFonts w:eastAsia="Cambria" w:cs="Cambria"/>
          <w:b/>
          <w:bCs/>
          <w:i w:val="false"/>
          <w:iCs w:val="false"/>
          <w:sz w:val="22"/>
          <w:szCs w:val="22"/>
        </w:rPr>
        <w:t>Der 4. Juli</w:t>
      </w:r>
      <w:r>
        <w:rPr>
          <w:rFonts w:eastAsia="Cambria" w:cs="Cambria"/>
          <w:b w:val="false"/>
          <w:bCs w:val="false"/>
          <w:i w:val="false"/>
          <w:iCs w:val="false"/>
          <w:sz w:val="22"/>
          <w:szCs w:val="22"/>
        </w:rPr>
        <w:t xml:space="preserve"> erinnert an die Unabhängigkeitserklärung von 1776; 2026 feierte das Land den 250. Jahrestag. Üblich sind Grillen, Paraden und Feuerwerk. Privates Feuerwerk regeln Bundesstaaten und Gemeinden sehr unterschiedlich; öffentliche Shows sind die sichere Wahl.</w:t>
      </w:r>
    </w:p>
    <w:p>
      <w:pPr>
        <w:pStyle w:val="Normal"/>
        <w:keepNext w:val="false"/>
        <w:keepLines w:val="false"/>
        <w:spacing w:lineRule="exact" w:line="288" w:before="0" w:after="140"/>
        <w:jc w:val="left"/>
        <w:rPr/>
      </w:pPr>
      <w:r>
        <w:rPr>
          <w:rFonts w:eastAsia="Cambria" w:cs="Cambria"/>
          <w:b/>
          <w:bCs/>
          <w:i w:val="false"/>
          <w:iCs w:val="false"/>
          <w:sz w:val="22"/>
          <w:szCs w:val="22"/>
        </w:rPr>
        <w:t>Halloween</w:t>
      </w:r>
      <w:r>
        <w:rPr>
          <w:rFonts w:eastAsia="Cambria" w:cs="Cambria"/>
          <w:b w:val="false"/>
          <w:bCs w:val="false"/>
          <w:i w:val="false"/>
          <w:iCs w:val="false"/>
          <w:sz w:val="22"/>
          <w:szCs w:val="22"/>
        </w:rPr>
        <w:t xml:space="preserve"> (31. Oktober, 2026 ein Samstag) gehört den Kindern, die verkleidet von Haus zu Haus ziehen (</w:t>
      </w:r>
      <w:r>
        <w:rPr>
          <w:rFonts w:eastAsia="Cambria" w:cs="Cambria"/>
          <w:b w:val="false"/>
          <w:bCs w:val="false"/>
          <w:i/>
          <w:iCs/>
          <w:sz w:val="22"/>
          <w:szCs w:val="22"/>
        </w:rPr>
        <w:t>Trick-or-Treating</w:t>
      </w:r>
      <w:r>
        <w:rPr>
          <w:rFonts w:eastAsia="Cambria" w:cs="Cambria"/>
          <w:b w:val="false"/>
          <w:bCs w:val="false"/>
          <w:i w:val="false"/>
          <w:iCs w:val="false"/>
          <w:sz w:val="22"/>
          <w:szCs w:val="22"/>
        </w:rPr>
        <w:t>). Brennt das Außenlicht, gibt es Süßigkeiten, ein dunkles Haus heißt „nichts“. Plane rechtzeitig große Tüten ein; zu Kostümen siehe Kapitel </w:t>
      </w:r>
      <w:hyperlink w:anchor="k34">
        <w:r>
          <w:rPr>
            <w:rStyle w:val="ListLabel115"/>
            <w:rFonts w:eastAsia="Cambria" w:cs="Cambria"/>
            <w:b w:val="false"/>
            <w:bCs w:val="false"/>
            <w:i w:val="false"/>
            <w:iCs w:val="false"/>
            <w:sz w:val="22"/>
            <w:szCs w:val="22"/>
          </w:rPr>
          <w:t>34</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Der Super Bowl</w:t>
      </w:r>
      <w:r>
        <w:rPr>
          <w:rFonts w:eastAsia="Cambria" w:cs="Cambria"/>
          <w:b w:val="false"/>
          <w:bCs w:val="false"/>
          <w:i w:val="false"/>
          <w:iCs w:val="false"/>
          <w:sz w:val="22"/>
          <w:szCs w:val="22"/>
        </w:rPr>
        <w:t xml:space="preserve">, das Endspiel der Football-Liga NFL, findet an einem Sonntag im Februar statt und erreichte in den USA zuletzt deutlich mehr als 100 Millionen Zuschauer. Man trifft sich zur </w:t>
      </w:r>
      <w:r>
        <w:rPr>
          <w:rFonts w:eastAsia="Cambria" w:cs="Cambria"/>
          <w:b w:val="false"/>
          <w:bCs w:val="false"/>
          <w:i/>
          <w:iCs/>
          <w:sz w:val="22"/>
          <w:szCs w:val="22"/>
        </w:rPr>
        <w:t>Super Bowl Party</w:t>
      </w:r>
      <w:r>
        <w:rPr>
          <w:rFonts w:eastAsia="Cambria" w:cs="Cambria"/>
          <w:b w:val="false"/>
          <w:bCs w:val="false"/>
          <w:i w:val="false"/>
          <w:iCs w:val="false"/>
          <w:sz w:val="22"/>
          <w:szCs w:val="22"/>
        </w:rPr>
        <w:t xml:space="preserve"> mit Chicken Wings, Dips und Werbespots. Eine Einladung lohnt sich, auch wenn dich Football nicht interessiert. </w:t>
      </w:r>
      <w:r>
        <w:rPr>
          <w:rFonts w:eastAsia="Cambria" w:cs="Cambria"/>
          <w:b/>
          <w:bCs/>
          <w:i w:val="false"/>
          <w:iCs w:val="false"/>
          <w:sz w:val="22"/>
          <w:szCs w:val="22"/>
        </w:rPr>
        <w:t>Weihnachten</w:t>
      </w:r>
      <w:r>
        <w:rPr>
          <w:rFonts w:eastAsia="Cambria" w:cs="Cambria"/>
          <w:b w:val="false"/>
          <w:bCs w:val="false"/>
          <w:i w:val="false"/>
          <w:iCs w:val="false"/>
          <w:sz w:val="22"/>
          <w:szCs w:val="22"/>
        </w:rPr>
        <w:t xml:space="preserve"> fällt auf den 25. Dezember (Bescherung morgens); im Büro hörst du oft „Happy Holidays“, privat „Merry Christmas“. Christkindlmärkte, etwa in Chicago, bringen deutsche Traditionen mit.</w:t>
      </w:r>
    </w:p>
    <w:p>
      <w:pPr>
        <w:pStyle w:val="Heading3"/>
        <w:keepNext w:val="true"/>
        <w:spacing w:before="280" w:after="100"/>
        <w:jc w:val="center"/>
        <w:rPr/>
      </w:pPr>
      <w:r>
        <w:rPr>
          <w:rFonts w:eastAsia="Amazon Ember" w:cs="Amazon Ember" w:ascii="Amazon Ember" w:hAnsi="Amazon Ember"/>
          <w:b/>
          <w:bCs/>
          <w:color w:val="0000FF"/>
          <w:sz w:val="36"/>
          <w:szCs w:val="36"/>
        </w:rPr>
        <w:t>Was Amerikaner an Deutschen schätzen und was sie irritiert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folgenden Punkte sind Tendenzen aus Erfahrungen, keine Messwerte, und sie gelten nicht für jede Person.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Häufig geschätzt wird:</w:t>
      </w:r>
    </w:p>
    <w:p>
      <w:pPr>
        <w:pStyle w:val="ListParagraph"/>
        <w:numPr>
          <w:ilvl w:val="0"/>
          <w:numId w:val="1"/>
        </w:numPr>
        <w:spacing w:lineRule="exact" w:line="288" w:before="0" w:after="60"/>
        <w:rPr/>
      </w:pPr>
      <w:r>
        <w:rPr>
          <w:rFonts w:eastAsia="Cambria" w:cs="Cambria"/>
          <w:b/>
          <w:bCs/>
          <w:i w:val="false"/>
          <w:iCs w:val="false"/>
          <w:sz w:val="22"/>
          <w:szCs w:val="22"/>
        </w:rPr>
        <w:t>Verlässlichkeit:</w:t>
      </w:r>
      <w:r>
        <w:rPr>
          <w:rFonts w:eastAsia="Cambria" w:cs="Cambria"/>
          <w:b w:val="false"/>
          <w:bCs w:val="false"/>
          <w:i w:val="false"/>
          <w:iCs w:val="false"/>
          <w:sz w:val="22"/>
          <w:szCs w:val="22"/>
        </w:rPr>
        <w:t xml:space="preserve"> Zusagen werden gehalten, Termine eingehalten.</w:t>
      </w:r>
    </w:p>
    <w:p>
      <w:pPr>
        <w:pStyle w:val="ListParagraph"/>
        <w:numPr>
          <w:ilvl w:val="0"/>
          <w:numId w:val="1"/>
        </w:numPr>
        <w:spacing w:lineRule="exact" w:line="288" w:before="0" w:after="60"/>
        <w:rPr/>
      </w:pPr>
      <w:r>
        <w:rPr>
          <w:rFonts w:eastAsia="Cambria" w:cs="Cambria"/>
          <w:b/>
          <w:bCs/>
          <w:i w:val="false"/>
          <w:iCs w:val="false"/>
          <w:sz w:val="22"/>
          <w:szCs w:val="22"/>
        </w:rPr>
        <w:t>Klare Ansagen:</w:t>
      </w:r>
      <w:r>
        <w:rPr>
          <w:rFonts w:eastAsia="Cambria" w:cs="Cambria"/>
          <w:b w:val="false"/>
          <w:bCs w:val="false"/>
          <w:i w:val="false"/>
          <w:iCs w:val="false"/>
          <w:sz w:val="22"/>
          <w:szCs w:val="22"/>
        </w:rPr>
        <w:t xml:space="preserve"> Man weiß, woran man ist.</w:t>
      </w:r>
    </w:p>
    <w:p>
      <w:pPr>
        <w:pStyle w:val="ListParagraph"/>
        <w:numPr>
          <w:ilvl w:val="0"/>
          <w:numId w:val="1"/>
        </w:numPr>
        <w:spacing w:lineRule="exact" w:line="288" w:before="0" w:after="60"/>
        <w:rPr/>
      </w:pPr>
      <w:r>
        <w:rPr>
          <w:rFonts w:eastAsia="Cambria" w:cs="Cambria"/>
          <w:b/>
          <w:bCs/>
          <w:i w:val="false"/>
          <w:iCs w:val="false"/>
          <w:sz w:val="22"/>
          <w:szCs w:val="22"/>
        </w:rPr>
        <w:t>Fachliche Gründlichkeit:</w:t>
      </w:r>
      <w:r>
        <w:rPr>
          <w:rFonts w:eastAsia="Cambria" w:cs="Cambria"/>
          <w:b w:val="false"/>
          <w:bCs w:val="false"/>
          <w:i w:val="false"/>
          <w:iCs w:val="false"/>
          <w:sz w:val="22"/>
          <w:szCs w:val="22"/>
        </w:rPr>
        <w:t xml:space="preserve"> „German engineering“ und die Ausbildungstradition haben einen guten Ruf, der Türen öffnet.</w:t>
      </w:r>
    </w:p>
    <w:p>
      <w:pPr>
        <w:pStyle w:val="ListParagraph"/>
        <w:numPr>
          <w:ilvl w:val="0"/>
          <w:numId w:val="1"/>
        </w:numPr>
        <w:spacing w:lineRule="exact" w:line="288" w:before="0" w:after="60"/>
        <w:rPr/>
      </w:pPr>
      <w:r>
        <w:rPr>
          <w:rFonts w:eastAsia="Cambria" w:cs="Cambria"/>
          <w:b/>
          <w:bCs/>
          <w:i w:val="false"/>
          <w:iCs w:val="false"/>
          <w:sz w:val="22"/>
          <w:szCs w:val="22"/>
        </w:rPr>
        <w:t>Andere Prioritäten:</w:t>
      </w:r>
      <w:r>
        <w:rPr>
          <w:rFonts w:eastAsia="Cambria" w:cs="Cambria"/>
          <w:b w:val="false"/>
          <w:bCs w:val="false"/>
          <w:i w:val="false"/>
          <w:iCs w:val="false"/>
          <w:sz w:val="22"/>
          <w:szCs w:val="22"/>
        </w:rPr>
        <w:t xml:space="preserve"> Viele fragen neugierig nach Urlaub, Feierabend, Bahn und Recycling.</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Häufig irritiert:</w:t>
      </w:r>
    </w:p>
    <w:p>
      <w:pPr>
        <w:pStyle w:val="ListParagraph"/>
        <w:numPr>
          <w:ilvl w:val="0"/>
          <w:numId w:val="1"/>
        </w:numPr>
        <w:spacing w:lineRule="exact" w:line="288" w:before="0" w:after="60"/>
        <w:rPr/>
      </w:pPr>
      <w:r>
        <w:rPr>
          <w:rFonts w:eastAsia="Cambria" w:cs="Cambria"/>
          <w:b/>
          <w:bCs/>
          <w:i w:val="false"/>
          <w:iCs w:val="false"/>
          <w:sz w:val="22"/>
          <w:szCs w:val="22"/>
        </w:rPr>
        <w:t>Ungebetene Kritik am Land:</w:t>
      </w:r>
      <w:r>
        <w:rPr>
          <w:rFonts w:eastAsia="Cambria" w:cs="Cambria"/>
          <w:b w:val="false"/>
          <w:bCs w:val="false"/>
          <w:i w:val="false"/>
          <w:iCs w:val="false"/>
          <w:sz w:val="22"/>
          <w:szCs w:val="22"/>
        </w:rPr>
        <w:t xml:space="preserve"> Wer Waffen, Krankenversicherung, Trinkgeld oder Essen kommentiert, wirkt belehrend.</w:t>
      </w:r>
    </w:p>
    <w:p>
      <w:pPr>
        <w:pStyle w:val="ListParagraph"/>
        <w:numPr>
          <w:ilvl w:val="0"/>
          <w:numId w:val="1"/>
        </w:numPr>
        <w:spacing w:lineRule="exact" w:line="288" w:before="0" w:after="60"/>
        <w:rPr/>
      </w:pPr>
      <w:r>
        <w:rPr>
          <w:rFonts w:eastAsia="Cambria" w:cs="Cambria"/>
          <w:b/>
          <w:bCs/>
          <w:i w:val="false"/>
          <w:iCs w:val="false"/>
          <w:sz w:val="22"/>
          <w:szCs w:val="22"/>
        </w:rPr>
        <w:t>Knappe Begrüßung, wenig Lächeln:</w:t>
      </w:r>
      <w:r>
        <w:rPr>
          <w:rFonts w:eastAsia="Cambria" w:cs="Cambria"/>
          <w:b w:val="false"/>
          <w:bCs w:val="false"/>
          <w:i w:val="false"/>
          <w:iCs w:val="false"/>
          <w:sz w:val="22"/>
          <w:szCs w:val="22"/>
        </w:rPr>
        <w:t xml:space="preserve"> Wer sofort zur Sache kommt, wirkt kühl.</w:t>
      </w:r>
    </w:p>
    <w:p>
      <w:pPr>
        <w:pStyle w:val="ListParagraph"/>
        <w:numPr>
          <w:ilvl w:val="0"/>
          <w:numId w:val="1"/>
        </w:numPr>
        <w:spacing w:lineRule="exact" w:line="288" w:before="0" w:after="60"/>
        <w:rPr/>
      </w:pPr>
      <w:r>
        <w:rPr>
          <w:rFonts w:eastAsia="Cambria" w:cs="Cambria"/>
          <w:b/>
          <w:bCs/>
          <w:i w:val="false"/>
          <w:iCs w:val="false"/>
          <w:sz w:val="22"/>
          <w:szCs w:val="22"/>
        </w:rPr>
        <w:t>Feedback ohne Verpackung:</w:t>
      </w:r>
      <w:r>
        <w:rPr>
          <w:rFonts w:eastAsia="Cambria" w:cs="Cambria"/>
          <w:b w:val="false"/>
          <w:bCs w:val="false"/>
          <w:i w:val="false"/>
          <w:iCs w:val="false"/>
          <w:sz w:val="22"/>
          <w:szCs w:val="22"/>
        </w:rPr>
        <w:t xml:space="preserve"> Klare Kritik wird als persönlich erlebt.</w:t>
      </w:r>
    </w:p>
    <w:p>
      <w:pPr>
        <w:pStyle w:val="ListParagraph"/>
        <w:numPr>
          <w:ilvl w:val="0"/>
          <w:numId w:val="1"/>
        </w:numPr>
        <w:spacing w:lineRule="exact" w:line="288" w:before="0" w:after="60"/>
        <w:rPr/>
      </w:pPr>
      <w:r>
        <w:rPr>
          <w:rFonts w:eastAsia="Cambria" w:cs="Cambria"/>
          <w:b/>
          <w:bCs/>
          <w:i w:val="false"/>
          <w:iCs w:val="false"/>
          <w:sz w:val="22"/>
          <w:szCs w:val="22"/>
        </w:rPr>
        <w:t>Regeln durchsetzen:</w:t>
      </w:r>
      <w:r>
        <w:rPr>
          <w:rFonts w:eastAsia="Cambria" w:cs="Cambria"/>
          <w:b w:val="false"/>
          <w:bCs w:val="false"/>
          <w:i w:val="false"/>
          <w:iCs w:val="false"/>
          <w:sz w:val="22"/>
          <w:szCs w:val="22"/>
        </w:rPr>
        <w:t xml:space="preserve"> Nachbarn wegen Lärm oder Parkens zu ermahnen, statt freundlich zu fragen, gilt als übergriffig.</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Vergleiche mit Deutschland sind willkommen, wenn sie neugierig klingen („In Germany we do it differently, how does it work here?“), und unwillkommen, wenn sie wie Urteile klingen.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Höfliche, offene Alltagsatmosphäre: Kontakt fällt leicht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Freundlichkeit bleibt oft oberflächlich; echte Freundschaften brauchen Zeit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Lob, Optimismus und Machen-statt-Zaudern motivieren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 positive Ton verdeckt Probleme; Kritik kommt indirekt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Guter Kundenservice, großzügige Rückgabe bei vielen Ketten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Trinkgeld und Steuer erhöhen die Restaurantrechnung um rund ein Viertel</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Große Toleranz gegenüber Zugewanderten und Akzenten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Politische Polarisierung prägt Gespräche, Themenwahl wird zur Übung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Weite Freiräume: keine Meldepflicht, wenig Alltagsbürokratie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Klagekultur, Waivers und Haftungsrisiken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Feste wie Thanksgiving und Super Bowl verbinden schnell</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gesetzlicher Urlaub oder Feiertagsanspruch</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Starkes Ehrenamt, Spenden und Nachbarschaftshilfe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Auto ist der Alltag außerhalb weniger Städte schwer</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15 Faustregeln für Deutsche</w:t>
      </w:r>
    </w:p>
    <w:p>
      <w:pPr>
        <w:pStyle w:val="ListParagraph"/>
        <w:numPr>
          <w:ilvl w:val="0"/>
          <w:numId w:val="188"/>
        </w:numPr>
        <w:spacing w:lineRule="exact" w:line="288" w:before="0" w:after="60"/>
        <w:rPr/>
      </w:pPr>
      <w:r>
        <w:rPr>
          <w:rFonts w:eastAsia="Cambria" w:cs="Cambria"/>
          <w:b w:val="false"/>
          <w:bCs w:val="false"/>
          <w:i w:val="false"/>
          <w:iCs w:val="false"/>
          <w:sz w:val="22"/>
          <w:szCs w:val="22"/>
        </w:rPr>
        <w:t>Beantworte „How are you?“ in einem Satz und frage zurück.</w:t>
      </w:r>
    </w:p>
    <w:p>
      <w:pPr>
        <w:pStyle w:val="ListParagraph"/>
        <w:numPr>
          <w:ilvl w:val="0"/>
          <w:numId w:val="189"/>
        </w:numPr>
        <w:spacing w:lineRule="exact" w:line="288" w:before="0" w:after="60"/>
        <w:rPr/>
      </w:pPr>
      <w:r>
        <w:rPr>
          <w:rFonts w:eastAsia="Cambria" w:cs="Cambria"/>
          <w:b w:val="false"/>
          <w:bCs w:val="false"/>
          <w:i w:val="false"/>
          <w:iCs w:val="false"/>
          <w:sz w:val="22"/>
          <w:szCs w:val="22"/>
        </w:rPr>
        <w:t>Nimm „Let’s get lunch sometime“ nicht wörtlich; schlage selbst einen Termin vor, wenn du es ernst meinst.</w:t>
      </w:r>
    </w:p>
    <w:p>
      <w:pPr>
        <w:pStyle w:val="ListParagraph"/>
        <w:numPr>
          <w:ilvl w:val="0"/>
          <w:numId w:val="190"/>
        </w:numPr>
        <w:spacing w:lineRule="exact" w:line="288" w:before="0" w:after="60"/>
        <w:rPr/>
      </w:pPr>
      <w:r>
        <w:rPr>
          <w:rFonts w:eastAsia="Cambria" w:cs="Cambria"/>
          <w:b w:val="false"/>
          <w:bCs w:val="false"/>
          <w:i w:val="false"/>
          <w:iCs w:val="false"/>
          <w:sz w:val="22"/>
          <w:szCs w:val="22"/>
        </w:rPr>
        <w:t>Verpacke Kritik: erst Anerkennung, dann Frage oder Vorschlag, nie „Das ist falsch“.</w:t>
      </w:r>
    </w:p>
    <w:p>
      <w:pPr>
        <w:pStyle w:val="ListParagraph"/>
        <w:numPr>
          <w:ilvl w:val="0"/>
          <w:numId w:val="191"/>
        </w:numPr>
        <w:spacing w:lineRule="exact" w:line="288" w:before="0" w:after="60"/>
        <w:rPr/>
      </w:pPr>
      <w:r>
        <w:rPr>
          <w:rFonts w:eastAsia="Cambria" w:cs="Cambria"/>
          <w:b w:val="false"/>
          <w:bCs w:val="false"/>
          <w:i w:val="false"/>
          <w:iCs w:val="false"/>
          <w:sz w:val="22"/>
          <w:szCs w:val="22"/>
        </w:rPr>
        <w:t>Lobe konkret und oft, und nimm Lob mit „Thank you“ an.</w:t>
      </w:r>
    </w:p>
    <w:p>
      <w:pPr>
        <w:pStyle w:val="ListParagraph"/>
        <w:numPr>
          <w:ilvl w:val="0"/>
          <w:numId w:val="192"/>
        </w:numPr>
        <w:spacing w:lineRule="exact" w:line="288" w:before="0" w:after="60"/>
        <w:rPr/>
      </w:pPr>
      <w:r>
        <w:rPr>
          <w:rFonts w:eastAsia="Cambria" w:cs="Cambria"/>
          <w:b w:val="false"/>
          <w:bCs w:val="false"/>
          <w:i w:val="false"/>
          <w:iCs w:val="false"/>
          <w:sz w:val="22"/>
          <w:szCs w:val="22"/>
        </w:rPr>
        <w:t>Nutze Vornamen; Titel nur bei Ärzten, Lehrkräften und Älteren, im Süden „Sir“ und „Ma’am“.</w:t>
      </w:r>
    </w:p>
    <w:p>
      <w:pPr>
        <w:pStyle w:val="ListParagraph"/>
        <w:numPr>
          <w:ilvl w:val="0"/>
          <w:numId w:val="193"/>
        </w:numPr>
        <w:spacing w:lineRule="exact" w:line="288" w:before="0" w:after="60"/>
        <w:rPr/>
      </w:pPr>
      <w:r>
        <w:rPr>
          <w:rFonts w:eastAsia="Cambria" w:cs="Cambria"/>
          <w:b w:val="false"/>
          <w:bCs w:val="false"/>
          <w:i w:val="false"/>
          <w:iCs w:val="false"/>
          <w:sz w:val="22"/>
          <w:szCs w:val="22"/>
        </w:rPr>
        <w:t>Halte eine Armlänge Abstand, gib die Hand und warte bei der Umarmung ab.</w:t>
      </w:r>
    </w:p>
    <w:p>
      <w:pPr>
        <w:pStyle w:val="ListParagraph"/>
        <w:numPr>
          <w:ilvl w:val="0"/>
          <w:numId w:val="194"/>
        </w:numPr>
        <w:spacing w:lineRule="exact" w:line="288" w:before="0" w:after="60"/>
        <w:rPr/>
      </w:pPr>
      <w:r>
        <w:rPr>
          <w:rFonts w:eastAsia="Cambria" w:cs="Cambria"/>
          <w:b w:val="false"/>
          <w:bCs w:val="false"/>
          <w:i w:val="false"/>
          <w:iCs w:val="false"/>
          <w:sz w:val="22"/>
          <w:szCs w:val="22"/>
        </w:rPr>
        <w:t>Sei im Job pünktlich, zu privaten Einladungen 5 bis 15 Minuten später, und beantworte jedes RSVP.</w:t>
      </w:r>
    </w:p>
    <w:p>
      <w:pPr>
        <w:pStyle w:val="ListParagraph"/>
        <w:numPr>
          <w:ilvl w:val="0"/>
          <w:numId w:val="195"/>
        </w:numPr>
        <w:spacing w:lineRule="exact" w:line="288" w:before="0" w:after="60"/>
        <w:rPr/>
      </w:pPr>
      <w:r>
        <w:rPr>
          <w:rFonts w:eastAsia="Cambria" w:cs="Cambria"/>
          <w:b w:val="false"/>
          <w:bCs w:val="false"/>
          <w:i w:val="false"/>
          <w:iCs w:val="false"/>
          <w:sz w:val="22"/>
          <w:szCs w:val="22"/>
        </w:rPr>
        <w:t>Rechne im Restaurant mit 25–30 % Aufschlag auf die Karte und im Laden mit Steuer an der Kasse.</w:t>
      </w:r>
    </w:p>
    <w:p>
      <w:pPr>
        <w:pStyle w:val="ListParagraph"/>
        <w:numPr>
          <w:ilvl w:val="0"/>
          <w:numId w:val="196"/>
        </w:numPr>
        <w:spacing w:lineRule="exact" w:line="288" w:before="0" w:after="60"/>
        <w:rPr/>
      </w:pPr>
      <w:r>
        <w:rPr>
          <w:rFonts w:eastAsia="Cambria" w:cs="Cambria"/>
          <w:b w:val="false"/>
          <w:bCs w:val="false"/>
          <w:i w:val="false"/>
          <w:iCs w:val="false"/>
          <w:sz w:val="22"/>
          <w:szCs w:val="22"/>
        </w:rPr>
        <w:t>Halte kleine Scheine für Trinkgeld bereit: Gepäckträger, Parkservice, Hotelreinigung.</w:t>
      </w:r>
    </w:p>
    <w:p>
      <w:pPr>
        <w:pStyle w:val="ListParagraph"/>
        <w:numPr>
          <w:ilvl w:val="0"/>
          <w:numId w:val="197"/>
        </w:numPr>
        <w:spacing w:lineRule="exact" w:line="288" w:before="0" w:after="60"/>
        <w:rPr/>
      </w:pPr>
      <w:r>
        <w:rPr>
          <w:rFonts w:eastAsia="Cambria" w:cs="Cambria"/>
          <w:b w:val="false"/>
          <w:bCs w:val="false"/>
          <w:i w:val="false"/>
          <w:iCs w:val="false"/>
          <w:sz w:val="22"/>
          <w:szCs w:val="22"/>
        </w:rPr>
        <w:t>Meide bei Fremden Politik, Religion, Gehalt und Waffen; frage nie, wen jemand wählt.</w:t>
      </w:r>
    </w:p>
    <w:p>
      <w:pPr>
        <w:pStyle w:val="ListParagraph"/>
        <w:numPr>
          <w:ilvl w:val="0"/>
          <w:numId w:val="198"/>
        </w:numPr>
        <w:spacing w:lineRule="exact" w:line="288" w:before="0" w:after="60"/>
        <w:rPr/>
      </w:pPr>
      <w:r>
        <w:rPr>
          <w:rFonts w:eastAsia="Cambria" w:cs="Cambria"/>
          <w:b w:val="false"/>
          <w:bCs w:val="false"/>
          <w:i w:val="false"/>
          <w:iCs w:val="false"/>
          <w:sz w:val="22"/>
          <w:szCs w:val="22"/>
        </w:rPr>
        <w:t>Kommentiere Flaggen, Wahlplakate und Abzeichen nicht und stehe bei der Hymne auf.</w:t>
      </w:r>
    </w:p>
    <w:p>
      <w:pPr>
        <w:pStyle w:val="ListParagraph"/>
        <w:numPr>
          <w:ilvl w:val="0"/>
          <w:numId w:val="199"/>
        </w:numPr>
        <w:spacing w:lineRule="exact" w:line="288" w:before="0" w:after="60"/>
        <w:rPr/>
      </w:pPr>
      <w:r>
        <w:rPr>
          <w:rFonts w:eastAsia="Cambria" w:cs="Cambria"/>
          <w:b w:val="false"/>
          <w:bCs w:val="false"/>
          <w:i w:val="false"/>
          <w:iCs w:val="false"/>
          <w:sz w:val="22"/>
          <w:szCs w:val="22"/>
        </w:rPr>
        <w:t>Lies jeden Haftungsverzicht und schließe eine Haftpflicht ab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w:t>
      </w:r>
    </w:p>
    <w:p>
      <w:pPr>
        <w:pStyle w:val="ListParagraph"/>
        <w:numPr>
          <w:ilvl w:val="0"/>
          <w:numId w:val="200"/>
        </w:numPr>
        <w:spacing w:lineRule="exact" w:line="288" w:before="0" w:after="60"/>
        <w:rPr/>
      </w:pPr>
      <w:r>
        <w:rPr>
          <w:rFonts w:eastAsia="Cambria" w:cs="Cambria"/>
          <w:b w:val="false"/>
          <w:bCs w:val="false"/>
          <w:i w:val="false"/>
          <w:iCs w:val="false"/>
          <w:sz w:val="22"/>
          <w:szCs w:val="22"/>
        </w:rPr>
        <w:t>Trinke nur in Bars, Restaurants und Privaträumen, nimm den Ausweis mit und meide Cannabis, solange du kein Staatsbürger bist.</w:t>
      </w:r>
    </w:p>
    <w:p>
      <w:pPr>
        <w:pStyle w:val="ListParagraph"/>
        <w:numPr>
          <w:ilvl w:val="0"/>
          <w:numId w:val="201"/>
        </w:numPr>
        <w:spacing w:lineRule="exact" w:line="288" w:before="0" w:after="60"/>
        <w:rPr/>
      </w:pPr>
      <w:r>
        <w:rPr>
          <w:rFonts w:eastAsia="Cambria" w:cs="Cambria"/>
          <w:b w:val="false"/>
          <w:bCs w:val="false"/>
          <w:i w:val="false"/>
          <w:iCs w:val="false"/>
          <w:sz w:val="22"/>
          <w:szCs w:val="22"/>
        </w:rPr>
        <w:t>Melde als Nichtstaatsbürger jeden Umzug binnen 10 Tagen mit Form AR-11, obwohl es keine Anmeldepflicht gibt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p>
      <w:pPr>
        <w:pStyle w:val="ListParagraph"/>
        <w:numPr>
          <w:ilvl w:val="0"/>
          <w:numId w:val="202"/>
        </w:numPr>
        <w:spacing w:lineRule="exact" w:line="288" w:before="0" w:after="60"/>
        <w:rPr/>
      </w:pPr>
      <w:r>
        <w:rPr>
          <w:rFonts w:eastAsia="Cambria" w:cs="Cambria"/>
          <w:b w:val="false"/>
          <w:bCs w:val="false"/>
          <w:i w:val="false"/>
          <w:iCs w:val="false"/>
          <w:sz w:val="22"/>
          <w:szCs w:val="22"/>
        </w:rPr>
        <w:t>Beschreibe Unterschiede neugierig statt wertend, und gib dir Zeit zur Eingewöhnung (Kapitel </w:t>
      </w:r>
      <w:hyperlink w:anchor="k33">
        <w:r>
          <w:rPr>
            <w:rStyle w:val="ListLabel115"/>
            <w:rFonts w:eastAsia="Cambria" w:cs="Cambria"/>
            <w:b w:val="false"/>
            <w:bCs w:val="false"/>
            <w:i w:val="false"/>
            <w:iCs w:val="false"/>
            <w:sz w:val="22"/>
            <w:szCs w:val="22"/>
          </w:rPr>
          <w:t>33</w:t>
        </w:r>
      </w:hyperlink>
      <w:r>
        <w:rPr>
          <w:rFonts w:eastAsia="Cambria" w:cs="Cambria"/>
          <w:b w:val="false"/>
          <w:bCs w:val="false"/>
          <w:i w:val="false"/>
          <w:iCs w:val="false"/>
          <w:sz w:val="22"/>
          <w:szCs w:val="22"/>
        </w:rPr>
        <w:t>).</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Übe in den ersten Wochen die Rituale (Begrüßung, Small Talk, Trinkgeld) und beobachte, wie Kolleginnen, Nachbarn und andere Eltern es machen. Wenn dich die Unterschiede mehr belasten als amüsieren, lies Kapitel </w:t>
      </w:r>
      <w:hyperlink w:anchor="k33">
        <w:r>
          <w:rPr>
            <w:rStyle w:val="ListLabel115"/>
            <w:rFonts w:eastAsia="Cambria" w:cs="Cambria"/>
            <w:b w:val="false"/>
            <w:bCs w:val="false"/>
            <w:i w:val="false"/>
            <w:iCs w:val="false"/>
            <w:sz w:val="22"/>
            <w:szCs w:val="22"/>
          </w:rPr>
          <w:t>33</w:t>
        </w:r>
      </w:hyperlink>
      <w:r>
        <w:rPr>
          <w:rFonts w:eastAsia="Cambria" w:cs="Cambria"/>
          <w:b w:val="false"/>
          <w:bCs w:val="false"/>
          <w:i w:val="false"/>
          <w:iCs w:val="false"/>
          <w:sz w:val="22"/>
          <w:szCs w:val="22"/>
        </w:rPr>
        <w:t>; für Anschluss und Einladungen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Antworten auf „How are you?“ und drei Small-Talk-Themen (Wetter, Wochenende, Reisen) einüben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Für Restaurants 25–30 % Aufschlag einplanen und kleine Scheine für Trinkgeld bereithalten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Steuersatz des Wohnorts bei der Finanzbehörde des Bundesstaats nachschlagen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Reisepass oder US-Führerschein für Bars und Läden (Altersgrenze 21) bereithalten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Haftpflichtschutz in der Mieter- oder Hausversicherung prüfen (Kapitel </w:t>
            </w:r>
            <w:hyperlink w:anchor="k25">
              <w:r>
                <w:rPr>
                  <w:rStyle w:val="ListLabel114"/>
                  <w:rFonts w:eastAsia="Cambria" w:cs="Cambria"/>
                  <w:b w:val="false"/>
                  <w:bCs w:val="false"/>
                  <w:i w:val="false"/>
                  <w:iCs w:val="false"/>
                  <w:sz w:val="20"/>
                  <w:szCs w:val="20"/>
                </w:rPr>
                <w:t>25</w:t>
              </w:r>
            </w:hyperlink>
            <w:r>
              <w:rPr>
                <w:rFonts w:eastAsia="Cambria" w:cs="Cambria"/>
                <w:b w:val="false"/>
                <w:bCs w:val="false"/>
                <w:i w:val="false"/>
                <w:iCs w:val="false"/>
                <w:sz w:val="20"/>
                <w:szCs w:val="20"/>
              </w:rPr>
              <w:t>) und Waivers vor der Unterschrift lesen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Einladungen mit RSVP beantworten und Termine im US-Datumsformat (Monat zuerst) gegenprüfen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Kassenbons und Rückgabefristen von Käufen aufbewahren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Als Nichtstaatsbürger: Cannabis meiden, keine Wahlspenden bei befristetem Visum, Umzüge mit AR-11 melden (Kapitel </w:t>
            </w:r>
            <w:hyperlink w:anchor="k30">
              <w:r>
                <w:rPr>
                  <w:rStyle w:val="ListLabel114"/>
                  <w:rFonts w:eastAsia="Cambria" w:cs="Cambria"/>
                  <w:b w:val="false"/>
                  <w:bCs w:val="false"/>
                  <w:i w:val="false"/>
                  <w:iCs w:val="false"/>
                  <w:sz w:val="20"/>
                  <w:szCs w:val="20"/>
                </w:rPr>
                <w:t>30</w:t>
              </w:r>
            </w:hyperlink>
            <w:r>
              <w:rPr>
                <w:rFonts w:eastAsia="Cambria" w:cs="Cambria"/>
                <w:b w:val="false"/>
                <w:bCs w:val="false"/>
                <w:i w:val="false"/>
                <w:iCs w:val="false"/>
                <w:sz w:val="20"/>
                <w:szCs w:val="20"/>
              </w:rPr>
              <w:t xml:space="preserve"> und </w:t>
            </w:r>
            <w:hyperlink w:anchor="k40">
              <w:r>
                <w:rPr>
                  <w:rStyle w:val="ListLabel114"/>
                  <w:rFonts w:eastAsia="Cambria" w:cs="Cambria"/>
                  <w:b w:val="false"/>
                  <w:bCs w:val="false"/>
                  <w:i w:val="false"/>
                  <w:iCs w:val="false"/>
                  <w:sz w:val="20"/>
                  <w:szCs w:val="20"/>
                </w:rPr>
                <w:t>40</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Öffentliche Social-Media-Profile darauf prüfen, was Behörden und Arbeitgeber sehen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Feiertage (Thanksgiving, Halloween, Super Bowl) eintragen und Einladungen annehmen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Pew Research Center — Religion und Waffenbesitz in den USA (</w:t>
      </w:r>
      <w:hyperlink r:id="rId303">
        <w:r>
          <w:rPr>
            <w:rStyle w:val="ListLabel113"/>
            <w:rFonts w:eastAsia="Cambria" w:cs="Cambria"/>
            <w:b w:val="false"/>
            <w:bCs w:val="false"/>
            <w:i w:val="false"/>
            <w:iCs w:val="false"/>
            <w:color w:val="0563C1"/>
            <w:sz w:val="22"/>
            <w:szCs w:val="22"/>
            <w:u w:val="single"/>
          </w:rPr>
          <w:t>pewresearch.org/religion</w:t>
        </w:r>
      </w:hyperlink>
      <w:r>
        <w:rPr>
          <w:rFonts w:eastAsia="Cambria" w:cs="Cambria"/>
          <w:b w:val="false"/>
          <w:bCs w:val="false"/>
          <w:i w:val="false"/>
          <w:iCs w:val="false"/>
          <w:sz w:val="22"/>
          <w:szCs w:val="22"/>
        </w:rPr>
        <w:t xml:space="preserve">, </w:t>
      </w:r>
      <w:hyperlink r:id="rId304">
        <w:r>
          <w:rPr>
            <w:rStyle w:val="ListLabel113"/>
            <w:rFonts w:eastAsia="Cambria" w:cs="Cambria"/>
            <w:b w:val="false"/>
            <w:bCs w:val="false"/>
            <w:i w:val="false"/>
            <w:iCs w:val="false"/>
            <w:color w:val="0563C1"/>
            <w:sz w:val="22"/>
            <w:szCs w:val="22"/>
            <w:u w:val="single"/>
          </w:rPr>
          <w:t>pewresearch.org/short-reads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Arbeitsministerium (DOL) — Mindestlohn für Trinkgeldempfänger (</w:t>
      </w:r>
      <w:hyperlink r:id="rId305">
        <w:r>
          <w:rPr>
            <w:rStyle w:val="ListLabel113"/>
            <w:rFonts w:eastAsia="Cambria" w:cs="Cambria"/>
            <w:b w:val="false"/>
            <w:bCs w:val="false"/>
            <w:i w:val="false"/>
            <w:iCs w:val="false"/>
            <w:color w:val="0563C1"/>
            <w:sz w:val="22"/>
            <w:szCs w:val="22"/>
            <w:u w:val="single"/>
          </w:rPr>
          <w:t>dol.gov/agencies/whd</w:t>
        </w:r>
      </w:hyperlink>
      <w:r>
        <w:rPr>
          <w:rFonts w:eastAsia="Cambria" w:cs="Cambria"/>
          <w:b w:val="false"/>
          <w:bCs w:val="false"/>
          <w:i w:val="false"/>
          <w:iCs w:val="false"/>
          <w:sz w:val="22"/>
          <w:szCs w:val="22"/>
        </w:rPr>
        <w:t>, Suche: tipped employees)</w:t>
      </w:r>
    </w:p>
    <w:p>
      <w:pPr>
        <w:pStyle w:val="ListParagraph"/>
        <w:numPr>
          <w:ilvl w:val="0"/>
          <w:numId w:val="1"/>
        </w:numPr>
        <w:spacing w:lineRule="exact" w:line="288" w:before="0" w:after="60"/>
        <w:rPr/>
      </w:pPr>
      <w:r>
        <w:rPr>
          <w:rFonts w:eastAsia="Cambria" w:cs="Cambria"/>
          <w:b w:val="false"/>
          <w:bCs w:val="false"/>
          <w:i w:val="false"/>
          <w:iCs w:val="false"/>
          <w:sz w:val="22"/>
          <w:szCs w:val="22"/>
        </w:rPr>
        <w:t>Handelsbehörde FTC — Regel gegen versteckte Gebühren (</w:t>
      </w:r>
      <w:hyperlink r:id="rId306">
        <w:r>
          <w:rPr>
            <w:rStyle w:val="ListLabel113"/>
            <w:rFonts w:eastAsia="Cambria" w:cs="Cambria"/>
            <w:b w:val="false"/>
            <w:bCs w:val="false"/>
            <w:i w:val="false"/>
            <w:iCs w:val="false"/>
            <w:color w:val="0563C1"/>
            <w:sz w:val="22"/>
            <w:szCs w:val="22"/>
            <w:u w:val="single"/>
          </w:rPr>
          <w:t>ftc.gov</w:t>
        </w:r>
      </w:hyperlink>
      <w:r>
        <w:rPr>
          <w:rFonts w:eastAsia="Cambria" w:cs="Cambria"/>
          <w:b w:val="false"/>
          <w:bCs w:val="false"/>
          <w:i w:val="false"/>
          <w:iCs w:val="false"/>
          <w:sz w:val="22"/>
          <w:szCs w:val="22"/>
        </w:rPr>
        <w:t>, Suche: Rule on Unfair or Deceptive Fees)</w:t>
      </w:r>
    </w:p>
    <w:p>
      <w:pPr>
        <w:pStyle w:val="ListParagraph"/>
        <w:numPr>
          <w:ilvl w:val="0"/>
          <w:numId w:val="1"/>
        </w:numPr>
        <w:spacing w:lineRule="exact" w:line="288" w:before="0" w:after="60"/>
        <w:rPr/>
      </w:pPr>
      <w:r>
        <w:rPr>
          <w:rFonts w:eastAsia="Cambria" w:cs="Cambria"/>
          <w:b w:val="false"/>
          <w:bCs w:val="false"/>
          <w:i w:val="false"/>
          <w:iCs w:val="false"/>
          <w:sz w:val="22"/>
          <w:szCs w:val="22"/>
        </w:rPr>
        <w:t>Wahlkommission FEC — Wahlspenden von Ausländern (</w:t>
      </w:r>
      <w:hyperlink r:id="rId307">
        <w:r>
          <w:rPr>
            <w:rStyle w:val="ListLabel113"/>
            <w:rFonts w:eastAsia="Cambria" w:cs="Cambria"/>
            <w:b w:val="false"/>
            <w:bCs w:val="false"/>
            <w:i w:val="false"/>
            <w:iCs w:val="false"/>
            <w:color w:val="0563C1"/>
            <w:sz w:val="22"/>
            <w:szCs w:val="22"/>
            <w:u w:val="single"/>
          </w:rPr>
          <w:t>fec.gov</w:t>
        </w:r>
      </w:hyperlink>
      <w:r>
        <w:rPr>
          <w:rFonts w:eastAsia="Cambria" w:cs="Cambria"/>
          <w:b w:val="false"/>
          <w:bCs w:val="false"/>
          <w:i w:val="false"/>
          <w:iCs w:val="false"/>
          <w:sz w:val="22"/>
          <w:szCs w:val="22"/>
        </w:rPr>
        <w:t>, Suche: foreign nationals)</w:t>
      </w:r>
    </w:p>
    <w:p>
      <w:pPr>
        <w:pStyle w:val="ListParagraph"/>
        <w:numPr>
          <w:ilvl w:val="0"/>
          <w:numId w:val="1"/>
        </w:numPr>
        <w:spacing w:lineRule="exact" w:line="288" w:before="0" w:after="60"/>
        <w:rPr/>
      </w:pPr>
      <w:r>
        <w:rPr>
          <w:rFonts w:eastAsia="Cambria" w:cs="Cambria"/>
          <w:b w:val="false"/>
          <w:bCs w:val="false"/>
          <w:i w:val="false"/>
          <w:iCs w:val="false"/>
          <w:sz w:val="22"/>
          <w:szCs w:val="22"/>
        </w:rPr>
        <w:t>Einwanderungsbehörde USCIS — Cannabis und Einwanderungsrecht (</w:t>
      </w:r>
      <w:hyperlink r:id="rId308">
        <w:r>
          <w:rPr>
            <w:rStyle w:val="ListLabel113"/>
            <w:rFonts w:eastAsia="Cambria" w:cs="Cambria"/>
            <w:b w:val="false"/>
            <w:bCs w:val="false"/>
            <w:i w:val="false"/>
            <w:iCs w:val="false"/>
            <w:color w:val="0563C1"/>
            <w:sz w:val="22"/>
            <w:szCs w:val="22"/>
            <w:u w:val="single"/>
          </w:rPr>
          <w:t>uscis.gov/policy-manual</w:t>
        </w:r>
      </w:hyperlink>
      <w:r>
        <w:rPr>
          <w:rFonts w:eastAsia="Cambria" w:cs="Cambria"/>
          <w:b w:val="false"/>
          <w:bCs w:val="false"/>
          <w:i w:val="false"/>
          <w:iCs w:val="false"/>
          <w:sz w:val="22"/>
          <w:szCs w:val="22"/>
        </w:rPr>
        <w:t>, Suche: marijuana)</w:t>
      </w:r>
    </w:p>
    <w:p>
      <w:pPr>
        <w:pStyle w:val="ListParagraph"/>
        <w:numPr>
          <w:ilvl w:val="0"/>
          <w:numId w:val="1"/>
        </w:numPr>
        <w:spacing w:lineRule="exact" w:line="288" w:before="0" w:after="60"/>
        <w:rPr/>
      </w:pPr>
      <w:r>
        <w:rPr>
          <w:rFonts w:eastAsia="Cambria" w:cs="Cambria"/>
          <w:b w:val="false"/>
          <w:bCs w:val="false"/>
          <w:i w:val="false"/>
          <w:iCs w:val="false"/>
          <w:sz w:val="22"/>
          <w:szCs w:val="22"/>
        </w:rPr>
        <w:t>Drogenbehörde DEA — Stand der Cannabis-Umstufung (</w:t>
      </w:r>
      <w:hyperlink r:id="rId309">
        <w:r>
          <w:rPr>
            <w:rStyle w:val="ListLabel113"/>
            <w:rFonts w:eastAsia="Cambria" w:cs="Cambria"/>
            <w:b w:val="false"/>
            <w:bCs w:val="false"/>
            <w:i w:val="false"/>
            <w:iCs w:val="false"/>
            <w:color w:val="0563C1"/>
            <w:sz w:val="22"/>
            <w:szCs w:val="22"/>
            <w:u w:val="single"/>
          </w:rPr>
          <w:t>dea.gov/marijuana-rescheduling-regulatory-actions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Personalverwaltung OPM — Bundesfeiertage (</w:t>
      </w:r>
      <w:hyperlink r:id="rId310">
        <w:r>
          <w:rPr>
            <w:rStyle w:val="ListLabel113"/>
            <w:rFonts w:eastAsia="Cambria" w:cs="Cambria"/>
            <w:b w:val="false"/>
            <w:bCs w:val="false"/>
            <w:i w:val="false"/>
            <w:iCs w:val="false"/>
            <w:color w:val="0563C1"/>
            <w:sz w:val="22"/>
            <w:szCs w:val="22"/>
            <w:u w:val="single"/>
          </w:rPr>
          <w:t>opm.gov/policy-data-oversight/pay-leave/federal-holidays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Alkoholforschungsinstitut NIAAA — Alkoholgesetze der Bundesstaaten (</w:t>
      </w:r>
      <w:hyperlink r:id="rId311">
        <w:r>
          <w:rPr>
            <w:rStyle w:val="ListLabel113"/>
            <w:rFonts w:eastAsia="Cambria" w:cs="Cambria"/>
            <w:b w:val="false"/>
            <w:bCs w:val="false"/>
            <w:i w:val="false"/>
            <w:iCs w:val="false"/>
            <w:color w:val="0563C1"/>
            <w:sz w:val="22"/>
            <w:szCs w:val="22"/>
            <w:u w:val="single"/>
          </w:rPr>
          <w:t>alcoholpolicy.niaaa.nih.gov</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schnell: übliche Trinkgeldsätze, Verkaufssteuersätze (Tax Foundation, Mitte 2026: Durchschnitt 7,53 %), Rückgabefristen einzelner Händler, die Zahl der Cannabis-Bundesstaaten, die bundesrechtliche Einstufung von Cannabis (ein Verfahren läuft) sowie Datenschutz- und Waffengesetze der Bundesstaaten. Prüfe vor Entscheidungen die offiziellen Seiten und die Regeln deines Bundesstaats.</w:t>
            </w:r>
          </w:p>
        </w:tc>
      </w:tr>
    </w:tbl>
    <w:p>
      <w:pPr>
        <w:pStyle w:val="Normal"/>
        <w:spacing w:lineRule="exact" w:line="220" w:before="0" w:after="0"/>
        <w:rPr/>
      </w:pPr>
      <w:r>
        <w:rPr/>
      </w:r>
      <w:r>
        <w:br w:type="page"/>
      </w:r>
    </w:p>
    <w:p>
      <w:pPr>
        <w:pStyle w:val="Heading2"/>
        <w:keepNext w:val="true"/>
        <w:spacing w:before="0" w:after="300"/>
        <w:jc w:val="center"/>
        <w:rPr/>
      </w:pPr>
      <w:bookmarkStart w:id="79" w:name="__RefHeading___Toc56505_3769931028"/>
      <w:bookmarkStart w:id="80" w:name="k32"/>
      <w:bookmarkEnd w:id="79"/>
      <w:r>
        <w:rPr>
          <w:rFonts w:eastAsia="Amazon Ember" w:cs="Amazon Ember" w:ascii="Amazon Ember" w:hAnsi="Amazon Ember"/>
          <w:b/>
          <w:bCs/>
          <w:color w:val="0000FF"/>
          <w:sz w:val="36"/>
          <w:szCs w:val="36"/>
        </w:rPr>
        <w:t>Kapitel 32: Freunde finden in einem neuen Land</w:t>
      </w:r>
      <w:bookmarkEnd w:id="80"/>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sechs Wochen in der neuen Stadt kennst du den Weg zum nächsten Supermarkt, die Kollegen grüßen freundlich, und der Nachbar winkt aus dem Auto. Trotzdem sitzt du am Samstagabend allein in der Wohnung und fragst dich, wann aus alldem Freundschaft wird. Die ehrliche Antwort: später, als dir lieb ist, und nur, wenn du ein wenig nachhilfst. Dieses Kapitel zeigt, wo du Menschen triffst, wie aus Höflichkeitsfloskeln Verabredungen werden und wie du die Freundschaften in der Heimat nicht verlierst.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Freundschaft ist eine Frage der Zeit: Eine US-Studie nennt rund 50 Stunden gemeinsamer Zeit bis zur lockeren Freundschaft und über 200 bis zur engen. Bei zwei Stunden pro Woche sind das etwa ein halbes Jahr und zwei Jahre.</w:t>
            </w:r>
          </w:p>
          <w:p>
            <w:pPr>
              <w:pStyle w:val="ListParagraph"/>
              <w:numPr>
                <w:ilvl w:val="0"/>
                <w:numId w:val="1"/>
              </w:numPr>
              <w:spacing w:lineRule="exact" w:line="264" w:before="0" w:after="50"/>
              <w:rPr/>
            </w:pPr>
            <w:r>
              <w:rPr>
                <w:rFonts w:eastAsia="Cambria" w:cs="Cambria"/>
                <w:b w:val="false"/>
                <w:bCs w:val="false"/>
                <w:i w:val="false"/>
                <w:iCs w:val="false"/>
                <w:sz w:val="20"/>
                <w:szCs w:val="20"/>
              </w:rPr>
              <w:t>Wiederholung schlägt Intensität: dieselbe Gruppe, derselbe Ort, jede Woche.</w:t>
            </w:r>
          </w:p>
          <w:p>
            <w:pPr>
              <w:pStyle w:val="ListParagraph"/>
              <w:numPr>
                <w:ilvl w:val="0"/>
                <w:numId w:val="1"/>
              </w:numPr>
              <w:spacing w:lineRule="exact" w:line="264" w:before="0" w:after="50"/>
              <w:rPr/>
            </w:pPr>
            <w:r>
              <w:rPr>
                <w:rFonts w:eastAsia="Cambria" w:cs="Cambria"/>
                <w:b w:val="false"/>
                <w:bCs w:val="false"/>
                <w:i w:val="false"/>
                <w:iCs w:val="false"/>
                <w:sz w:val="20"/>
                <w:szCs w:val="20"/>
              </w:rPr>
              <w:t>Die Initiative liegt meist bei dir. „Let’s get coffee“ wird erst mit Tag, Uhrzeit und Ort zur Verabredung.</w:t>
            </w:r>
          </w:p>
          <w:p>
            <w:pPr>
              <w:pStyle w:val="ListParagraph"/>
              <w:numPr>
                <w:ilvl w:val="0"/>
                <w:numId w:val="1"/>
              </w:numPr>
              <w:spacing w:lineRule="exact" w:line="264" w:before="0" w:after="50"/>
              <w:rPr/>
            </w:pPr>
            <w:r>
              <w:rPr>
                <w:rFonts w:eastAsia="Cambria" w:cs="Cambria"/>
                <w:b w:val="false"/>
                <w:bCs w:val="false"/>
                <w:i w:val="false"/>
                <w:iCs w:val="false"/>
                <w:sz w:val="20"/>
                <w:szCs w:val="20"/>
              </w:rPr>
              <w:t>Am schnellsten gelingt es über Kinder, Sport, Gemeinde, Ehrenamt und Kurse; Apps öffnen Türen, ersetzen aber keine Wiederholung.</w:t>
            </w:r>
          </w:p>
          <w:p>
            <w:pPr>
              <w:pStyle w:val="ListParagraph"/>
              <w:numPr>
                <w:ilvl w:val="0"/>
                <w:numId w:val="1"/>
              </w:numPr>
              <w:spacing w:lineRule="exact" w:line="264" w:before="0" w:after="50"/>
              <w:rPr/>
            </w:pPr>
            <w:r>
              <w:rPr>
                <w:rFonts w:eastAsia="Cambria" w:cs="Cambria"/>
                <w:b w:val="false"/>
                <w:bCs w:val="false"/>
                <w:i w:val="false"/>
                <w:iCs w:val="false"/>
                <w:sz w:val="20"/>
                <w:szCs w:val="20"/>
              </w:rPr>
              <w:t>Zu Einladungen gehören Zu- oder Absage (</w:t>
            </w:r>
            <w:r>
              <w:rPr>
                <w:rFonts w:eastAsia="Cambria" w:cs="Cambria"/>
                <w:b w:val="false"/>
                <w:bCs w:val="false"/>
                <w:i/>
                <w:iCs/>
                <w:sz w:val="20"/>
                <w:szCs w:val="20"/>
              </w:rPr>
              <w:t>RSVP</w:t>
            </w:r>
            <w:r>
              <w:rPr>
                <w:rFonts w:eastAsia="Cambria" w:cs="Cambria"/>
                <w:b w:val="false"/>
                <w:bCs w:val="false"/>
                <w:i w:val="false"/>
                <w:iCs w:val="false"/>
                <w:sz w:val="20"/>
                <w:szCs w:val="20"/>
              </w:rPr>
              <w:t>), eine kleine Gabe und später die Gegeneinladung.</w:t>
            </w:r>
          </w:p>
          <w:p>
            <w:pPr>
              <w:pStyle w:val="ListParagraph"/>
              <w:numPr>
                <w:ilvl w:val="0"/>
                <w:numId w:val="1"/>
              </w:numPr>
              <w:spacing w:lineRule="exact" w:line="264" w:before="0" w:after="50"/>
              <w:rPr/>
            </w:pPr>
            <w:r>
              <w:rPr>
                <w:rFonts w:eastAsia="Cambria" w:cs="Cambria"/>
                <w:b w:val="false"/>
                <w:bCs w:val="false"/>
                <w:i w:val="false"/>
                <w:iCs w:val="false"/>
                <w:sz w:val="20"/>
                <w:szCs w:val="20"/>
              </w:rPr>
              <w:t>Wer nicht arbeiten darf, braucht feste Termine außerhalb der Wohnung; Freunde in Deutschland brauchen feste Rituale.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Warum es länger dauert, als du denkst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Deutschland stammen viele Freundschaften aus Schule, Studium oder Verein und sind über Jahre gewachsen. In den USA beginnst du ohne diese Abkürzung. Drei Dinge bremsen zusätzlich.</w:t>
      </w:r>
    </w:p>
    <w:p>
      <w:pPr>
        <w:pStyle w:val="Normal"/>
        <w:keepNext w:val="false"/>
        <w:keepLines w:val="false"/>
        <w:spacing w:lineRule="exact" w:line="288" w:before="0" w:after="140"/>
        <w:jc w:val="left"/>
        <w:rPr/>
      </w:pPr>
      <w:r>
        <w:rPr>
          <w:rFonts w:eastAsia="Cambria" w:cs="Cambria"/>
          <w:b/>
          <w:bCs/>
          <w:i w:val="false"/>
          <w:iCs w:val="false"/>
          <w:sz w:val="22"/>
          <w:szCs w:val="22"/>
        </w:rPr>
        <w:t>Verbreiteter Irrtum: Amerikaner sind so offen, da hat man schnell Freunde.</w:t>
      </w:r>
      <w:r>
        <w:rPr>
          <w:rFonts w:eastAsia="Cambria" w:cs="Cambria"/>
          <w:b w:val="false"/>
          <w:bCs w:val="false"/>
          <w:i w:val="false"/>
          <w:iCs w:val="false"/>
          <w:sz w:val="22"/>
          <w:szCs w:val="22"/>
        </w:rPr>
        <w:t xml:space="preserve"> Viele Amerikaner sprechen Fremde offen an, loben deine Jacke und wünschen dir einen schönen Tag. Tatsächlich ist das gelebte Höflichkeit, noch keine Einladung in ihr Leben – der Abstand zwischen Kontakt und Freundschaft ist in den USA eher größer als in Deutschland, nur die erste Tür geht leichter auf. Warum das so ist, erklärt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hier geht es darum, was du daraus machst.</w:t>
      </w:r>
    </w:p>
    <w:p>
      <w:pPr>
        <w:pStyle w:val="Normal"/>
        <w:keepNext w:val="false"/>
        <w:keepLines w:val="false"/>
        <w:spacing w:lineRule="exact" w:line="288" w:before="0" w:after="140"/>
        <w:jc w:val="left"/>
        <w:rPr/>
      </w:pPr>
      <w:r>
        <w:rPr>
          <w:rFonts w:eastAsia="Cambria" w:cs="Cambria"/>
          <w:b/>
          <w:bCs/>
          <w:i w:val="false"/>
          <w:iCs w:val="false"/>
          <w:sz w:val="22"/>
          <w:szCs w:val="22"/>
        </w:rPr>
        <w:t>Hohe Mobilität.</w:t>
      </w:r>
      <w:r>
        <w:rPr>
          <w:rFonts w:eastAsia="Cambria" w:cs="Cambria"/>
          <w:b w:val="false"/>
          <w:bCs w:val="false"/>
          <w:i w:val="false"/>
          <w:iCs w:val="false"/>
          <w:sz w:val="22"/>
          <w:szCs w:val="22"/>
        </w:rPr>
        <w:t xml:space="preserve"> Nach Daten des Census Bureau (amtliche Statistikbehörde) zogen 2024 rund 12 % der Bevölkerung innerhalb eines Jahres um, gut 2 % in einen anderen Bundesstaat. Kollegen wechseln den Arbeitgeber, Nachbarn die Stadt, viele Visainhaber Stelle oder Land. Neue Kontakte entstehen dadurch leicht, laufen aber ebenso leicht wieder auseinander.</w:t>
      </w:r>
    </w:p>
    <w:p>
      <w:pPr>
        <w:pStyle w:val="Normal"/>
        <w:keepNext w:val="false"/>
        <w:keepLines w:val="false"/>
        <w:spacing w:lineRule="exact" w:line="288" w:before="0" w:after="140"/>
        <w:jc w:val="left"/>
        <w:rPr/>
      </w:pPr>
      <w:r>
        <w:rPr>
          <w:rFonts w:eastAsia="Cambria" w:cs="Cambria"/>
          <w:b/>
          <w:bCs/>
          <w:i w:val="false"/>
          <w:iCs w:val="false"/>
          <w:sz w:val="22"/>
          <w:szCs w:val="22"/>
        </w:rPr>
        <w:t>Volle Kalender.</w:t>
      </w:r>
      <w:r>
        <w:rPr>
          <w:rFonts w:eastAsia="Cambria" w:cs="Cambria"/>
          <w:b w:val="false"/>
          <w:bCs w:val="false"/>
          <w:i w:val="false"/>
          <w:iCs w:val="false"/>
          <w:sz w:val="22"/>
          <w:szCs w:val="22"/>
        </w:rPr>
        <w:t xml:space="preserve"> Berufstätige Eltern jonglieren Arbeit, Fahrdienste, Turniere am Wochenende und Kindergeburtstage. Wer für morgen fragt, hört häufig: „Not this week, but how about the week after?“ Verabredungen mit Erwachsenen liegen oft Wochen in der Zukunft.</w:t>
      </w:r>
    </w:p>
    <w:p>
      <w:pPr>
        <w:pStyle w:val="Normal"/>
        <w:keepNext w:val="false"/>
        <w:keepLines w:val="false"/>
        <w:spacing w:lineRule="exact" w:line="288" w:before="0" w:after="140"/>
        <w:jc w:val="left"/>
        <w:rPr/>
      </w:pPr>
      <w:r>
        <w:rPr>
          <w:rFonts w:eastAsia="Cambria" w:cs="Cambria"/>
          <w:b/>
          <w:bCs/>
          <w:i w:val="false"/>
          <w:iCs w:val="false"/>
          <w:sz w:val="22"/>
          <w:szCs w:val="22"/>
        </w:rPr>
        <w:t>Die Rechnung.</w:t>
      </w:r>
      <w:r>
        <w:rPr>
          <w:rFonts w:eastAsia="Cambria" w:cs="Cambria"/>
          <w:b w:val="false"/>
          <w:bCs w:val="false"/>
          <w:i w:val="false"/>
          <w:iCs w:val="false"/>
          <w:sz w:val="22"/>
          <w:szCs w:val="22"/>
        </w:rPr>
        <w:t xml:space="preserve"> Der Kommunikationswissenschaftler Jeffrey Hall (University of Kansas) ermittelte 2018: Zwei Erwachsene brauchen etwa 50 Stunden gemeinsamer Zeit bis zur lockeren Freundschaft, rund 90 Stunden bis zur Freundschaft und mehr als 200 bis zur engen. Zeit bei der Arbeit zählt dabei weniger als Freizeit. Bei zwei Stunden Kontakt pro Woche dauert die lockere Freundschaft also etwa ein halbes Jahr, die „richtige“ knapp ein Jahr, die enge rund zwei Jahre. Die Zahlen sind Näherungswerte aus Befragungen, aber sie erklären, warum sich die ersten Monate zäh anfühlen.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Freundschaft entsteht durch Wiederholung, nicht durch einen einzelnen großen Abend. Suche dir wenige Orte, an denen du dieselben Menschen regelmäßig triffst, und bleib mindestens zwei Monate am Ball, bevor du urteilst.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Aus „Let’s get coffee“ wird ein Termin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Ende eines netten Gesprächs sagt jemand: „We should get coffee sometime!“ Manchmal ist das eine Floskel, manchmal ernst gemeint; von außen erkennst du den Unterschied nicht. Du erfährst ihn, indem du konkret nachfragst, ohne zu drängen. Das ist keine Aufdringlichkeit, sondern die Betriebsanleitung.</w:t>
      </w:r>
    </w:p>
    <w:p>
      <w:pPr>
        <w:pStyle w:val="ListParagraph"/>
        <w:numPr>
          <w:ilvl w:val="0"/>
          <w:numId w:val="203"/>
        </w:numPr>
        <w:spacing w:lineRule="exact" w:line="288" w:before="0" w:after="60"/>
        <w:rPr/>
      </w:pPr>
      <w:r>
        <w:rPr>
          <w:rFonts w:eastAsia="Cambria" w:cs="Cambria"/>
          <w:b w:val="false"/>
          <w:bCs w:val="false"/>
          <w:i w:val="false"/>
          <w:iCs w:val="false"/>
          <w:sz w:val="22"/>
          <w:szCs w:val="22"/>
        </w:rPr>
        <w:t>Tausche die Handynummer aus. Verabredungen laufen in den USA meist per Kurznachricht (</w:t>
      </w:r>
      <w:r>
        <w:rPr>
          <w:rFonts w:eastAsia="Cambria" w:cs="Cambria"/>
          <w:b w:val="false"/>
          <w:bCs w:val="false"/>
          <w:i/>
          <w:iCs/>
          <w:sz w:val="22"/>
          <w:szCs w:val="22"/>
        </w:rPr>
        <w:t>Text</w:t>
      </w:r>
      <w:r>
        <w:rPr>
          <w:rFonts w:eastAsia="Cambria" w:cs="Cambria"/>
          <w:b w:val="false"/>
          <w:bCs w:val="false"/>
          <w:i w:val="false"/>
          <w:iCs w:val="false"/>
          <w:sz w:val="22"/>
          <w:szCs w:val="22"/>
        </w:rPr>
        <w:t>: SMS oder iMessage); WhatsApp ist weniger verbreitet als in Deutschland.</w:t>
      </w:r>
    </w:p>
    <w:p>
      <w:pPr>
        <w:pStyle w:val="ListParagraph"/>
        <w:numPr>
          <w:ilvl w:val="0"/>
          <w:numId w:val="204"/>
        </w:numPr>
        <w:spacing w:lineRule="exact" w:line="288" w:before="0" w:after="60"/>
        <w:rPr/>
      </w:pPr>
      <w:r>
        <w:rPr>
          <w:rFonts w:eastAsia="Cambria" w:cs="Cambria"/>
          <w:b w:val="false"/>
          <w:bCs w:val="false"/>
          <w:i w:val="false"/>
          <w:iCs w:val="false"/>
          <w:sz w:val="22"/>
          <w:szCs w:val="22"/>
        </w:rPr>
        <w:t>Schreibe innerhalb von zwei bis drei Tagen und nenne zwei konkrete Termine: „Hi Jordan, great chatting on Tuesday! Coffee on Saturday at 10 or Thursday after work? I know a café near your office.“</w:t>
      </w:r>
    </w:p>
    <w:p>
      <w:pPr>
        <w:pStyle w:val="ListParagraph"/>
        <w:numPr>
          <w:ilvl w:val="0"/>
          <w:numId w:val="205"/>
        </w:numPr>
        <w:spacing w:lineRule="exact" w:line="288" w:before="0" w:after="60"/>
        <w:rPr/>
      </w:pPr>
      <w:r>
        <w:rPr>
          <w:rFonts w:eastAsia="Cambria" w:cs="Cambria"/>
          <w:b w:val="false"/>
          <w:bCs w:val="false"/>
          <w:i w:val="false"/>
          <w:iCs w:val="false"/>
          <w:sz w:val="22"/>
          <w:szCs w:val="22"/>
        </w:rPr>
        <w:t>Halte es klein: 30 bis 60 Minuten, ein Getränk, ein öffentlicher Ort. Das gemeinsame Abendessen kommt später.</w:t>
      </w:r>
    </w:p>
    <w:p>
      <w:pPr>
        <w:pStyle w:val="ListParagraph"/>
        <w:numPr>
          <w:ilvl w:val="0"/>
          <w:numId w:val="206"/>
        </w:numPr>
        <w:spacing w:lineRule="exact" w:line="288" w:before="0" w:after="60"/>
        <w:rPr/>
      </w:pPr>
      <w:r>
        <w:rPr>
          <w:rFonts w:eastAsia="Cambria" w:cs="Cambria"/>
          <w:b w:val="false"/>
          <w:bCs w:val="false"/>
          <w:i w:val="false"/>
          <w:iCs w:val="false"/>
          <w:sz w:val="22"/>
          <w:szCs w:val="22"/>
        </w:rPr>
        <w:t>Bleibt die Antwort aus, erinnere nach etwa einer Woche einmal freundlich („Still up for coffee? No worries if things are busy.“). Danach lässt du es ruhen. Viele schieben Nachrichten auf und antworten Wochen später, gern mit einem fröhlichen „So sorry, just saw this“, das mit der Wahrheit nur locker verwandt ist; eine Ablehnung deiner Person ist das selten.</w:t>
      </w:r>
    </w:p>
    <w:p>
      <w:pPr>
        <w:pStyle w:val="ListParagraph"/>
        <w:numPr>
          <w:ilvl w:val="0"/>
          <w:numId w:val="207"/>
        </w:numPr>
        <w:spacing w:lineRule="exact" w:line="288" w:before="0" w:after="60"/>
        <w:rPr/>
      </w:pPr>
      <w:r>
        <w:rPr>
          <w:rFonts w:eastAsia="Cambria" w:cs="Cambria"/>
          <w:b w:val="false"/>
          <w:bCs w:val="false"/>
          <w:i w:val="false"/>
          <w:iCs w:val="false"/>
          <w:sz w:val="22"/>
          <w:szCs w:val="22"/>
        </w:rPr>
        <w:t>Kommt eine Absage mit „Let’s reschedule“, schlage einen neuen Termin vor. Wird auch der verschoben, verteile deine Energie auf andere Kontakte.</w:t>
      </w:r>
    </w:p>
    <w:p>
      <w:pPr>
        <w:pStyle w:val="Normal"/>
        <w:spacing w:lineRule="exact" w:line="120" w:before="0" w:after="0"/>
        <w:rPr/>
      </w:pPr>
      <w:r>
        <w:rPr/>
      </w:r>
    </w:p>
    <w:tbl>
      <w:tblPr>
        <w:tblW w:w="6480" w:type="dxa"/>
        <w:jc w:val="left"/>
        <w:tblInd w:w="0" w:type="dxa"/>
        <w:tblLayout w:type="fixed"/>
        <w:tblCellMar>
          <w:top w:w="50" w:type="dxa"/>
          <w:left w:w="80" w:type="dxa"/>
          <w:bottom w:w="50" w:type="dxa"/>
          <w:right w:w="80" w:type="dxa"/>
        </w:tblCellMar>
      </w:tblPr>
      <w:tblGrid>
        <w:gridCol w:w="2391"/>
        <w:gridCol w:w="1740"/>
        <w:gridCol w:w="2349"/>
      </w:tblGrid>
      <w:tr>
        <w:trPr>
          <w:tblHeader w:val="true"/>
          <w:cantSplit w:val="true"/>
        </w:trPr>
        <w:tc>
          <w:tcPr>
            <w:tcW w:w="239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du hörst</w:t>
            </w:r>
          </w:p>
        </w:tc>
        <w:tc>
          <w:tcPr>
            <w:tcW w:w="17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meist gemeint ist</w:t>
            </w:r>
          </w:p>
        </w:tc>
        <w:tc>
          <w:tcPr>
            <w:tcW w:w="23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 nächster Schritt</w:t>
            </w:r>
          </w:p>
        </w:tc>
      </w:tr>
      <w:tr>
        <w:trPr>
          <w:cantSplit w:val="true"/>
        </w:trPr>
        <w:tc>
          <w:tcPr>
            <w:tcW w:w="23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We should hang out sometime!“</w:t>
            </w:r>
          </w:p>
        </w:tc>
        <w:tc>
          <w:tcPr>
            <w:tcW w:w="17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Höflichkeit, oft mit echter Sympathie</w:t>
            </w:r>
          </w:p>
        </w:tc>
        <w:tc>
          <w:tcPr>
            <w:tcW w:w="23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Zwei Terminvorschläge senden</w:t>
            </w:r>
          </w:p>
        </w:tc>
      </w:tr>
      <w:tr>
        <w:trPr>
          <w:cantSplit w:val="true"/>
        </w:trPr>
        <w:tc>
          <w:tcPr>
            <w:tcW w:w="23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Let me know when you’re free.“</w:t>
            </w:r>
          </w:p>
        </w:tc>
        <w:tc>
          <w:tcPr>
            <w:tcW w:w="17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 Ball liegt bei dir</w:t>
            </w:r>
          </w:p>
        </w:tc>
        <w:tc>
          <w:tcPr>
            <w:tcW w:w="23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konkretes Datum nennen</w:t>
            </w:r>
          </w:p>
        </w:tc>
      </w:tr>
      <w:tr>
        <w:trPr>
          <w:cantSplit w:val="true"/>
        </w:trPr>
        <w:tc>
          <w:tcPr>
            <w:tcW w:w="23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You should come over sometime.“</w:t>
            </w:r>
          </w:p>
        </w:tc>
        <w:tc>
          <w:tcPr>
            <w:tcW w:w="17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Offene Tür, noch keine Einladung</w:t>
            </w:r>
          </w:p>
        </w:tc>
        <w:tc>
          <w:tcPr>
            <w:tcW w:w="23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Gern! Passt der Samstag in zwei Wochen?“</w:t>
            </w:r>
          </w:p>
        </w:tc>
      </w:tr>
      <w:tr>
        <w:trPr>
          <w:cantSplit w:val="true"/>
        </w:trPr>
        <w:tc>
          <w:tcPr>
            <w:tcW w:w="23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We’re having people over Saturday at 6. Can you make it?“</w:t>
            </w:r>
          </w:p>
        </w:tc>
        <w:tc>
          <w:tcPr>
            <w:tcW w:w="17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Echte Einladung</w:t>
            </w:r>
          </w:p>
        </w:tc>
        <w:tc>
          <w:tcPr>
            <w:tcW w:w="23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Zeitnah antworten, fragen, was du mitbringst</w:t>
            </w:r>
          </w:p>
        </w:tc>
      </w:tr>
      <w:tr>
        <w:trPr>
          <w:cantSplit w:val="true"/>
        </w:trPr>
        <w:tc>
          <w:tcPr>
            <w:tcW w:w="23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Maybe next time.“</w:t>
            </w:r>
          </w:p>
        </w:tc>
        <w:tc>
          <w:tcPr>
            <w:tcW w:w="17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Freundliche Absage</w:t>
            </w:r>
          </w:p>
        </w:tc>
        <w:tc>
          <w:tcPr>
            <w:tcW w:w="23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nachhaken, später etwas anderes anbieten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Wo lernst du wen kennen?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Kein Ort passt für alle. Die Tabelle ordnet die wichtigsten Wege nach Zielgruppe, Aufwand und Tempo; die folgenden Abschnitte erklären sie.</w:t>
      </w:r>
    </w:p>
    <w:tbl>
      <w:tblPr>
        <w:tblW w:w="6480" w:type="dxa"/>
        <w:jc w:val="left"/>
        <w:tblInd w:w="0" w:type="dxa"/>
        <w:tblLayout w:type="fixed"/>
        <w:tblCellMar>
          <w:top w:w="50" w:type="dxa"/>
          <w:left w:w="80" w:type="dxa"/>
          <w:bottom w:w="50" w:type="dxa"/>
          <w:right w:w="80" w:type="dxa"/>
        </w:tblCellMar>
      </w:tblPr>
      <w:tblGrid>
        <w:gridCol w:w="2023"/>
        <w:gridCol w:w="1690"/>
        <w:gridCol w:w="1246"/>
        <w:gridCol w:w="1520"/>
      </w:tblGrid>
      <w:tr>
        <w:trPr>
          <w:tblHeader w:val="true"/>
          <w:cantSplit w:val="true"/>
        </w:trPr>
        <w:tc>
          <w:tcPr>
            <w:tcW w:w="202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Ort</w:t>
            </w:r>
          </w:p>
        </w:tc>
        <w:tc>
          <w:tcPr>
            <w:tcW w:w="169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Passt für</w:t>
            </w:r>
          </w:p>
        </w:tc>
        <w:tc>
          <w:tcPr>
            <w:tcW w:w="124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Aufwand</w:t>
            </w:r>
          </w:p>
        </w:tc>
        <w:tc>
          <w:tcPr>
            <w:tcW w:w="152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Tempo</w:t>
            </w:r>
          </w:p>
        </w:tc>
      </w:tr>
      <w:tr>
        <w:trPr>
          <w:cantSplit w:val="true"/>
        </w:trPr>
        <w:tc>
          <w:tcPr>
            <w:tcW w:w="2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Schule, Kita, Kindersport</w:t>
            </w:r>
          </w:p>
        </w:tc>
        <w:tc>
          <w:tcPr>
            <w:tcW w:w="16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Eltern</w:t>
            </w:r>
          </w:p>
        </w:tc>
        <w:tc>
          <w:tcPr>
            <w:tcW w:w="12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Mittel: feste Termine, Fahrdienste</w:t>
            </w:r>
          </w:p>
        </w:tc>
        <w:tc>
          <w:tcPr>
            <w:tcW w:w="15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Schnell</w:t>
            </w:r>
          </w:p>
        </w:tc>
      </w:tr>
      <w:tr>
        <w:trPr>
          <w:cantSplit w:val="true"/>
        </w:trPr>
        <w:tc>
          <w:tcPr>
            <w:tcW w:w="2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 Employee Resource Groups</w:t>
            </w:r>
          </w:p>
        </w:tc>
        <w:tc>
          <w:tcPr>
            <w:tcW w:w="16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Berufstätige</w:t>
            </w:r>
          </w:p>
        </w:tc>
        <w:tc>
          <w:tcPr>
            <w:tcW w:w="12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Gering</w:t>
            </w:r>
          </w:p>
        </w:tc>
        <w:tc>
          <w:tcPr>
            <w:tcW w:w="15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Mittel; Kontakte wechseln oft</w:t>
            </w:r>
          </w:p>
        </w:tc>
      </w:tr>
      <w:tr>
        <w:trPr>
          <w:cantSplit w:val="true"/>
        </w:trPr>
        <w:tc>
          <w:tcPr>
            <w:tcW w:w="2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Nachbarschaft, Block Party</w:t>
            </w:r>
          </w:p>
        </w:tc>
        <w:tc>
          <w:tcPr>
            <w:tcW w:w="16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Familien, Hausbesitzer, Mieter</w:t>
            </w:r>
          </w:p>
        </w:tc>
        <w:tc>
          <w:tcPr>
            <w:tcW w:w="12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Gering</w:t>
            </w:r>
          </w:p>
        </w:tc>
        <w:tc>
          <w:tcPr>
            <w:tcW w:w="15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Langsam</w:t>
            </w:r>
          </w:p>
        </w:tc>
      </w:tr>
      <w:tr>
        <w:trPr>
          <w:cantSplit w:val="true"/>
        </w:trPr>
        <w:tc>
          <w:tcPr>
            <w:tcW w:w="2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Laufgruppe, Pickleball, Kletterhalle</w:t>
            </w:r>
          </w:p>
        </w:tc>
        <w:tc>
          <w:tcPr>
            <w:tcW w:w="16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Fast alle</w:t>
            </w:r>
          </w:p>
        </w:tc>
        <w:tc>
          <w:tcPr>
            <w:tcW w:w="12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Mittel</w:t>
            </w:r>
          </w:p>
        </w:tc>
        <w:tc>
          <w:tcPr>
            <w:tcW w:w="15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Mittel</w:t>
            </w:r>
          </w:p>
        </w:tc>
      </w:tr>
      <w:tr>
        <w:trPr>
          <w:cantSplit w:val="true"/>
        </w:trPr>
        <w:tc>
          <w:tcPr>
            <w:tcW w:w="2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Bibliothek, Community College, Kurse</w:t>
            </w:r>
          </w:p>
        </w:tc>
        <w:tc>
          <w:tcPr>
            <w:tcW w:w="16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Fast alle, ideal ohne Job</w:t>
            </w:r>
          </w:p>
        </w:tc>
        <w:tc>
          <w:tcPr>
            <w:tcW w:w="12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Mittel</w:t>
            </w:r>
          </w:p>
        </w:tc>
        <w:tc>
          <w:tcPr>
            <w:tcW w:w="15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Mittel</w:t>
            </w:r>
          </w:p>
        </w:tc>
      </w:tr>
      <w:tr>
        <w:trPr>
          <w:cantSplit w:val="true"/>
        </w:trPr>
        <w:tc>
          <w:tcPr>
            <w:tcW w:w="2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Glaubensgemeinschaft</w:t>
            </w:r>
          </w:p>
        </w:tc>
        <w:tc>
          <w:tcPr>
            <w:tcW w:w="16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Familien, Suchende</w:t>
            </w:r>
          </w:p>
        </w:tc>
        <w:tc>
          <w:tcPr>
            <w:tcW w:w="12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Mittel</w:t>
            </w:r>
          </w:p>
        </w:tc>
        <w:tc>
          <w:tcPr>
            <w:tcW w:w="15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Schnell bis mittel</w:t>
            </w:r>
          </w:p>
        </w:tc>
      </w:tr>
      <w:tr>
        <w:trPr>
          <w:cantSplit w:val="true"/>
        </w:trPr>
        <w:tc>
          <w:tcPr>
            <w:tcW w:w="2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Ehrenamt</w:t>
            </w:r>
          </w:p>
        </w:tc>
        <w:tc>
          <w:tcPr>
            <w:tcW w:w="16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Partner ohne Job, Alleinstehende</w:t>
            </w:r>
          </w:p>
        </w:tc>
        <w:tc>
          <w:tcPr>
            <w:tcW w:w="12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Mittel</w:t>
            </w:r>
          </w:p>
        </w:tc>
        <w:tc>
          <w:tcPr>
            <w:tcW w:w="15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Mittel</w:t>
            </w:r>
          </w:p>
        </w:tc>
      </w:tr>
      <w:tr>
        <w:trPr>
          <w:cantSplit w:val="true"/>
        </w:trPr>
        <w:tc>
          <w:tcPr>
            <w:tcW w:w="2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Meetup und Apps</w:t>
            </w:r>
          </w:p>
        </w:tc>
        <w:tc>
          <w:tcPr>
            <w:tcW w:w="16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Alleinstehende, Zugezogene</w:t>
            </w:r>
          </w:p>
        </w:tc>
        <w:tc>
          <w:tcPr>
            <w:tcW w:w="12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Gering</w:t>
            </w:r>
          </w:p>
        </w:tc>
        <w:tc>
          <w:tcPr>
            <w:tcW w:w="15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Kontakt schnell, Freundschaft langsam</w:t>
            </w:r>
          </w:p>
        </w:tc>
      </w:tr>
      <w:tr>
        <w:trPr>
          <w:cantSplit w:val="true"/>
        </w:trPr>
        <w:tc>
          <w:tcPr>
            <w:tcW w:w="2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und Expat-Gruppen</w:t>
            </w:r>
          </w:p>
        </w:tc>
        <w:tc>
          <w:tcPr>
            <w:tcW w:w="16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Neuankömmlinge</w:t>
            </w:r>
          </w:p>
        </w:tc>
        <w:tc>
          <w:tcPr>
            <w:tcW w:w="12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Gering</w:t>
            </w:r>
          </w:p>
        </w:tc>
        <w:tc>
          <w:tcPr>
            <w:tcW w:w="15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Schnell</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Sabine Keller (fiktiv) zieht im März nach Seattle. Die Kollegen sind freundlich, doch nach sechs Wochen hat sie noch keine einzige Einladung. Sie ändert ihre Strategie, belegt einen Anfängerkurs in einer Kletterhalle (sechs Wochentermine) und schließt sich einer Wandergruppe an, die sich über Meetup verabredet. Nach dem dritten Kurstermin schreibt sie einer Mitschülerin: „Coffee after class on Thursday? There’s a café around the corner.“ Von fünf solchen Vorschlägen im ersten Vierteljahr führen zwei zu einem Treffen, einer zu einer festen Kletterverabredung. Im September lädt Sabine erstmals selbst ein, zu Kaffee und Kuchen auf dem Balkon. Sechs Personen sagen zu, vier kommen; eine bringt unaufgefordert eine Flasche Wein mit und bleibt, als die anderen längst gegangen sind, noch eine Stunde sitzen – das erste Gespräch, das sich nicht mehr wie Small Talk anfühlt. Ihr Fazit: Es dauerte länger als gedacht, aber es lag an der Zahl der Wiederholungen, nicht an der Stadt.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Mit Kindern: Schule, Sport, Playdates, Geburtstage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Kinder sind der schnellste Weg zu neuen Kontakten, denn sie bringen Eltern regelmäßig an denselben Ort. An der Schule (mehr in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 xml:space="preserve">) siehst du beim Bringen, am Elternabend und beim Herbstfest immer wieder dieselben Gesichter. Die </w:t>
      </w:r>
      <w:r>
        <w:rPr>
          <w:rFonts w:eastAsia="Cambria" w:cs="Cambria"/>
          <w:b w:val="false"/>
          <w:bCs w:val="false"/>
          <w:i/>
          <w:iCs/>
          <w:sz w:val="22"/>
          <w:szCs w:val="22"/>
        </w:rPr>
        <w:t>PTA</w:t>
      </w:r>
      <w:r>
        <w:rPr>
          <w:rFonts w:eastAsia="Cambria" w:cs="Cambria"/>
          <w:b w:val="false"/>
          <w:bCs w:val="false"/>
          <w:i w:val="false"/>
          <w:iCs w:val="false"/>
          <w:sz w:val="22"/>
          <w:szCs w:val="22"/>
        </w:rPr>
        <w:t xml:space="preserve"> (</w:t>
      </w:r>
      <w:r>
        <w:rPr>
          <w:rFonts w:eastAsia="Cambria" w:cs="Cambria"/>
          <w:b w:val="false"/>
          <w:bCs w:val="false"/>
          <w:i/>
          <w:iCs/>
          <w:sz w:val="22"/>
          <w:szCs w:val="22"/>
        </w:rPr>
        <w:t>Parent-Teacher Association</w:t>
      </w:r>
      <w:r>
        <w:rPr>
          <w:rFonts w:eastAsia="Cambria" w:cs="Cambria"/>
          <w:b w:val="false"/>
          <w:bCs w:val="false"/>
          <w:i w:val="false"/>
          <w:iCs w:val="false"/>
          <w:sz w:val="22"/>
          <w:szCs w:val="22"/>
        </w:rPr>
        <w:t xml:space="preserve">) oder </w:t>
      </w:r>
      <w:r>
        <w:rPr>
          <w:rFonts w:eastAsia="Cambria" w:cs="Cambria"/>
          <w:b w:val="false"/>
          <w:bCs w:val="false"/>
          <w:i/>
          <w:iCs/>
          <w:sz w:val="22"/>
          <w:szCs w:val="22"/>
        </w:rPr>
        <w:t>PTO</w:t>
      </w:r>
      <w:r>
        <w:rPr>
          <w:rFonts w:eastAsia="Cambria" w:cs="Cambria"/>
          <w:b w:val="false"/>
          <w:bCs w:val="false"/>
          <w:i w:val="false"/>
          <w:iCs w:val="false"/>
          <w:sz w:val="22"/>
          <w:szCs w:val="22"/>
        </w:rPr>
        <w:t xml:space="preserve"> (</w:t>
      </w:r>
      <w:r>
        <w:rPr>
          <w:rFonts w:eastAsia="Cambria" w:cs="Cambria"/>
          <w:b w:val="false"/>
          <w:bCs w:val="false"/>
          <w:i/>
          <w:iCs/>
          <w:sz w:val="22"/>
          <w:szCs w:val="22"/>
        </w:rPr>
        <w:t>Parent-Teacher Organization</w:t>
      </w:r>
      <w:r>
        <w:rPr>
          <w:rFonts w:eastAsia="Cambria" w:cs="Cambria"/>
          <w:b w:val="false"/>
          <w:bCs w:val="false"/>
          <w:i w:val="false"/>
          <w:iCs w:val="false"/>
          <w:sz w:val="22"/>
          <w:szCs w:val="22"/>
        </w:rPr>
        <w:t>), der Elternverein der Schule, sucht ständig Helfer für Feste und Spendenaktionen; wer sich meldet, kennt nach einem Halbjahr viele Eltern. Dasselbe gilt für Klassenausflüge und Elterngruppen der Kita. Beim Kindersport (Fußball, Baseball, Schwimmen, Pfadfinder) stehen Eltern wöchentlich am Spielfeldrand, und Fahrgemeinschaften (</w:t>
      </w:r>
      <w:r>
        <w:rPr>
          <w:rFonts w:eastAsia="Cambria" w:cs="Cambria"/>
          <w:b w:val="false"/>
          <w:bCs w:val="false"/>
          <w:i/>
          <w:iCs/>
          <w:sz w:val="22"/>
          <w:szCs w:val="22"/>
        </w:rPr>
        <w:t>Carpools</w:t>
      </w:r>
      <w:r>
        <w:rPr>
          <w:rFonts w:eastAsia="Cambria" w:cs="Cambria"/>
          <w:b w:val="false"/>
          <w:bCs w:val="false"/>
          <w:i w:val="false"/>
          <w:iCs w:val="false"/>
          <w:sz w:val="22"/>
          <w:szCs w:val="22"/>
        </w:rPr>
        <w:t>) entstehen fast von selbst. Für Kleinkinder eignen sich Spielplätze und die Vorlesestunden der Bibliothek (</w:t>
      </w:r>
      <w:r>
        <w:rPr>
          <w:rFonts w:eastAsia="Cambria" w:cs="Cambria"/>
          <w:b w:val="false"/>
          <w:bCs w:val="false"/>
          <w:i/>
          <w:iCs/>
          <w:sz w:val="22"/>
          <w:szCs w:val="22"/>
        </w:rPr>
        <w:t>Story Time</w:t>
      </w:r>
      <w:r>
        <w:rPr>
          <w:rFonts w:eastAsia="Cambria" w:cs="Cambria"/>
          <w:b w:val="false"/>
          <w:bCs w:val="false"/>
          <w:i w:val="false"/>
          <w:iCs w:val="false"/>
          <w:sz w:val="22"/>
          <w:szCs w:val="22"/>
        </w:rPr>
        <w:t>), meist kostenlos.</w:t>
      </w:r>
    </w:p>
    <w:p>
      <w:pPr>
        <w:pStyle w:val="Normal"/>
        <w:keepNext w:val="false"/>
        <w:keepLines w:val="false"/>
        <w:spacing w:lineRule="exact" w:line="288" w:before="0" w:after="140"/>
        <w:jc w:val="left"/>
        <w:rPr/>
      </w:pPr>
      <w:r>
        <w:rPr>
          <w:rFonts w:eastAsia="Cambria" w:cs="Cambria"/>
          <w:b/>
          <w:bCs/>
          <w:i w:val="false"/>
          <w:iCs w:val="false"/>
          <w:sz w:val="22"/>
          <w:szCs w:val="22"/>
        </w:rPr>
        <w:t>Playdates.</w:t>
      </w:r>
      <w:r>
        <w:rPr>
          <w:rFonts w:eastAsia="Cambria" w:cs="Cambria"/>
          <w:b w:val="false"/>
          <w:bCs w:val="false"/>
          <w:i w:val="false"/>
          <w:iCs w:val="false"/>
          <w:sz w:val="22"/>
          <w:szCs w:val="22"/>
        </w:rPr>
        <w:t xml:space="preserve"> Ein </w:t>
      </w:r>
      <w:r>
        <w:rPr>
          <w:rFonts w:eastAsia="Cambria" w:cs="Cambria"/>
          <w:b w:val="false"/>
          <w:bCs w:val="false"/>
          <w:i/>
          <w:iCs/>
          <w:sz w:val="22"/>
          <w:szCs w:val="22"/>
        </w:rPr>
        <w:t>Playdate</w:t>
      </w:r>
      <w:r>
        <w:rPr>
          <w:rFonts w:eastAsia="Cambria" w:cs="Cambria"/>
          <w:b w:val="false"/>
          <w:bCs w:val="false"/>
          <w:i w:val="false"/>
          <w:iCs w:val="false"/>
          <w:sz w:val="22"/>
          <w:szCs w:val="22"/>
        </w:rPr>
        <w:t xml:space="preserve"> ist eine feste Verabredung der Kinder, meist ein bis zwei Stunden an einem Nachmittag oder am Wochenende. Sie läuft über die Eltern: Du schreibst der anderen Mutter oder dem anderen Vater, nicht dem Kind. Bei Vorschulkindern bleibt oft ein Elternteil, bei Grundschulkindern setzt man sie häufig ab. Vorab klärt man Allergien, Haustiere, Abholzeit und Bildschirmregeln. Manche Eltern fragen außerdem, ob im Haus Schusswaffen sind und wie sie gesichert werden. Die Frage ist üblich und nicht persönlich gemeint (Kapitel </w:t>
      </w:r>
      <w:hyperlink w:anchor="k40">
        <w:r>
          <w:rPr>
            <w:rStyle w:val="ListLabel115"/>
            <w:rFonts w:eastAsia="Cambria" w:cs="Cambria"/>
            <w:b w:val="false"/>
            <w:bCs w:val="false"/>
            <w:i w:val="false"/>
            <w:iCs w:val="false"/>
            <w:sz w:val="22"/>
            <w:szCs w:val="22"/>
          </w:rPr>
          <w:t>40</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Geburtstagspartys.</w:t>
      </w:r>
      <w:r>
        <w:rPr>
          <w:rFonts w:eastAsia="Cambria" w:cs="Cambria"/>
          <w:b w:val="false"/>
          <w:bCs w:val="false"/>
          <w:i w:val="false"/>
          <w:iCs w:val="false"/>
          <w:sz w:val="22"/>
          <w:szCs w:val="22"/>
        </w:rPr>
        <w:t xml:space="preserve"> Einladungen kommen per Text, auf Papier oder über Dienste wie Evite; die Rückmeldung (RSVP) wird erwartet, auch die Absage. Die Party dauert meist etwa zwei Stunden. Als Geschenk sind nach gängigen Etikette-Ratgebern 15–30 $ üblich, oft mit Karte; steht „no gifts“ auf der Einladung, halte dich daran. Geschwister kommen nur, wenn sie ausdrücklich eingeladen sind, und bei Kindern unter sechs Jahren bleiben Eltern meist dabei, sofern die Gastgeber nichts anderes sagen.</w:t>
      </w:r>
    </w:p>
    <w:p>
      <w:pPr>
        <w:pStyle w:val="Heading3"/>
        <w:keepNext w:val="true"/>
        <w:spacing w:before="280" w:after="100"/>
        <w:jc w:val="center"/>
        <w:rPr/>
      </w:pPr>
      <w:r>
        <w:rPr>
          <w:rFonts w:eastAsia="Amazon Ember" w:cs="Amazon Ember" w:ascii="Amazon Ember" w:hAnsi="Amazon Ember"/>
          <w:b/>
          <w:bCs/>
          <w:color w:val="0000FF"/>
          <w:sz w:val="36"/>
          <w:szCs w:val="36"/>
        </w:rPr>
        <w:t>Im Job: Kollegen, Happy Hour, Netzwerke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Kollegen sind ein guter Start, aber selten das Ziel: Nach Halls Zahlen zählt Zeit bei der Arbeit weniger als gemeinsame Freizeit. Nutze die Übergänge: Mittagessen zu zweit, Kaffee in der Küche, die </w:t>
      </w:r>
      <w:r>
        <w:rPr>
          <w:rFonts w:eastAsia="Cambria" w:cs="Cambria"/>
          <w:b w:val="false"/>
          <w:bCs w:val="false"/>
          <w:i/>
          <w:iCs/>
          <w:sz w:val="22"/>
          <w:szCs w:val="22"/>
        </w:rPr>
        <w:t>Happy Hour</w:t>
      </w:r>
      <w:r>
        <w:rPr>
          <w:rFonts w:eastAsia="Cambria" w:cs="Cambria"/>
          <w:b w:val="false"/>
          <w:bCs w:val="false"/>
          <w:i w:val="false"/>
          <w:iCs w:val="false"/>
          <w:sz w:val="22"/>
          <w:szCs w:val="22"/>
        </w:rPr>
        <w:t xml:space="preserve"> (Getränke und Snacks nach Feierabend in einer Bar, meist ein bis zwei Stunden; alkoholfrei bestellen ist normal, Bleiben keine Pflicht). Firmenfeste und Team-Events sind Gelegenheiten für private Gespräche.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Viele Unternehmen haben </w:t>
      </w:r>
      <w:r>
        <w:rPr>
          <w:rFonts w:eastAsia="Cambria" w:cs="Cambria"/>
          <w:b w:val="false"/>
          <w:bCs w:val="false"/>
          <w:i/>
          <w:iCs/>
          <w:sz w:val="22"/>
          <w:szCs w:val="22"/>
        </w:rPr>
        <w:t>Employee Resource Groups</w:t>
      </w:r>
      <w:r>
        <w:rPr>
          <w:rFonts w:eastAsia="Cambria" w:cs="Cambria"/>
          <w:b w:val="false"/>
          <w:bCs w:val="false"/>
          <w:i w:val="false"/>
          <w:iCs w:val="false"/>
          <w:sz w:val="22"/>
          <w:szCs w:val="22"/>
        </w:rPr>
        <w:t xml:space="preserve"> (ERGs), freiwillige, von der Firma getragene Netzwerke, etwa für Eltern, Frauen in der Technik, Veteranen, LGBTQ+ oder bestimmte Herkunftsländer; manche stehen auch Unterstützern (</w:t>
      </w:r>
      <w:r>
        <w:rPr>
          <w:rFonts w:eastAsia="Cambria" w:cs="Cambria"/>
          <w:b w:val="false"/>
          <w:bCs w:val="false"/>
          <w:i/>
          <w:iCs/>
          <w:sz w:val="22"/>
          <w:szCs w:val="22"/>
        </w:rPr>
        <w:t>Allies</w:t>
      </w:r>
      <w:r>
        <w:rPr>
          <w:rFonts w:eastAsia="Cambria" w:cs="Cambria"/>
          <w:b w:val="false"/>
          <w:bCs w:val="false"/>
          <w:i w:val="false"/>
          <w:iCs w:val="false"/>
          <w:sz w:val="22"/>
          <w:szCs w:val="22"/>
        </w:rPr>
        <w:t>) offen. Frage die Personalabteilung nach der Liste. Weil Kollegen häufig den Arbeitgeber wechseln, bleibt ein Kontakt nur bestehen, wenn ihr euch auch außerhalb der Firma seht.</w:t>
      </w:r>
    </w:p>
    <w:p>
      <w:pPr>
        <w:pStyle w:val="Heading3"/>
        <w:keepNext w:val="true"/>
        <w:spacing w:before="280" w:after="100"/>
        <w:jc w:val="center"/>
        <w:rPr/>
      </w:pPr>
      <w:r>
        <w:rPr>
          <w:rFonts w:eastAsia="Amazon Ember" w:cs="Amazon Ember" w:ascii="Amazon Ember" w:hAnsi="Amazon Ember"/>
          <w:b/>
          <w:bCs/>
          <w:color w:val="0000FF"/>
          <w:sz w:val="36"/>
          <w:szCs w:val="36"/>
        </w:rPr>
        <w:t>Nachbarschaft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In Vorstädten und Siedlungen hilft ein einfacher Anfang: Stelle dich in den ersten Wochen vor („We just moved in at number 12“), gern mit einem kleinen Mitbringsel wie selbstgebackenen Keksen. Der Moment, in dem der Nachbar die Tüte entgegennimmt und fragt, woher ihr kommt, öffnet oft mehr Türen als jede Nachricht in der Facebook-Gruppe der Straße. Unangekündigt zu klingeln ist unüblich; kündige Besuche per Text an. Gemeinschaftsanlässe: die </w:t>
      </w:r>
      <w:r>
        <w:rPr>
          <w:rFonts w:eastAsia="Cambria" w:cs="Cambria"/>
          <w:b w:val="false"/>
          <w:bCs w:val="false"/>
          <w:i/>
          <w:iCs/>
          <w:sz w:val="22"/>
          <w:szCs w:val="22"/>
        </w:rPr>
        <w:t>Block Party</w:t>
      </w:r>
      <w:r>
        <w:rPr>
          <w:rFonts w:eastAsia="Cambria" w:cs="Cambria"/>
          <w:b w:val="false"/>
          <w:bCs w:val="false"/>
          <w:i w:val="false"/>
          <w:iCs w:val="false"/>
          <w:sz w:val="22"/>
          <w:szCs w:val="22"/>
        </w:rPr>
        <w:t xml:space="preserve"> (Straßenfest der Anwohner), Feste der Eigentümergemeinschaft (</w:t>
      </w:r>
      <w:r>
        <w:rPr>
          <w:rFonts w:eastAsia="Cambria" w:cs="Cambria"/>
          <w:b w:val="false"/>
          <w:bCs w:val="false"/>
          <w:i/>
          <w:iCs/>
          <w:sz w:val="22"/>
          <w:szCs w:val="22"/>
        </w:rPr>
        <w:t>HOA</w:t>
      </w:r>
      <w:r>
        <w:rPr>
          <w:rFonts w:eastAsia="Cambria" w:cs="Cambria"/>
          <w:b w:val="false"/>
          <w:bCs w:val="false"/>
          <w:i w:val="false"/>
          <w:iCs w:val="false"/>
          <w:sz w:val="22"/>
          <w:szCs w:val="22"/>
        </w:rPr>
        <w:t xml:space="preserve">), Halloween (Süßigkeiten an der Haustür) und die </w:t>
      </w:r>
      <w:r>
        <w:rPr>
          <w:rFonts w:eastAsia="Cambria" w:cs="Cambria"/>
          <w:b w:val="false"/>
          <w:bCs w:val="false"/>
          <w:i/>
          <w:iCs/>
          <w:sz w:val="22"/>
          <w:szCs w:val="22"/>
        </w:rPr>
        <w:t>National Night Out</w:t>
      </w:r>
      <w:r>
        <w:rPr>
          <w:rFonts w:eastAsia="Cambria" w:cs="Cambria"/>
          <w:b w:val="false"/>
          <w:bCs w:val="false"/>
          <w:i w:val="false"/>
          <w:iCs w:val="false"/>
          <w:sz w:val="22"/>
          <w:szCs w:val="22"/>
        </w:rPr>
        <w:t xml:space="preserve"> (Nachbarschaftsabend, meist erster Dienstag im August, in manchen Regionen im Oktober). Wer noch eine Wohnung sucht, achte auf Anlagen mit Gemeinschaftsraum, Spielplatz und Veranstaltungen.</w:t>
      </w:r>
    </w:p>
    <w:p>
      <w:pPr>
        <w:pStyle w:val="Heading3"/>
        <w:keepNext w:val="true"/>
        <w:spacing w:before="280" w:after="100"/>
        <w:jc w:val="center"/>
        <w:rPr/>
      </w:pPr>
      <w:r>
        <w:rPr>
          <w:rFonts w:eastAsia="Amazon Ember" w:cs="Amazon Ember" w:ascii="Amazon Ember" w:hAnsi="Amazon Ember"/>
          <w:b/>
          <w:bCs/>
          <w:color w:val="0000FF"/>
          <w:sz w:val="36"/>
          <w:szCs w:val="36"/>
        </w:rPr>
        <w:t>Hobbys, Vereine und Kurse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deutsche Vereinswesen gibt es in den USA kaum; stattdessen findest du offene Gruppen, Ligen und Kurse:</w:t>
      </w:r>
    </w:p>
    <w:p>
      <w:pPr>
        <w:pStyle w:val="ListParagraph"/>
        <w:numPr>
          <w:ilvl w:val="0"/>
          <w:numId w:val="1"/>
        </w:numPr>
        <w:spacing w:lineRule="exact" w:line="288" w:before="0" w:after="60"/>
        <w:rPr/>
      </w:pPr>
      <w:r>
        <w:rPr>
          <w:rFonts w:eastAsia="Cambria" w:cs="Cambria"/>
          <w:b w:val="false"/>
          <w:bCs w:val="false"/>
          <w:i/>
          <w:iCs/>
          <w:sz w:val="22"/>
          <w:szCs w:val="22"/>
        </w:rPr>
        <w:t>Run Clubs</w:t>
      </w:r>
      <w:r>
        <w:rPr>
          <w:rFonts w:eastAsia="Cambria" w:cs="Cambria"/>
          <w:b w:val="false"/>
          <w:bCs w:val="false"/>
          <w:i w:val="false"/>
          <w:iCs w:val="false"/>
          <w:sz w:val="22"/>
          <w:szCs w:val="22"/>
        </w:rPr>
        <w:t xml:space="preserve"> (Laufgruppen), oft von Laufgeschäften getragen und kostenlos, meist mit Kaffee oder Bier danach.</w:t>
      </w:r>
    </w:p>
    <w:p>
      <w:pPr>
        <w:pStyle w:val="ListParagraph"/>
        <w:numPr>
          <w:ilvl w:val="0"/>
          <w:numId w:val="1"/>
        </w:numPr>
        <w:spacing w:lineRule="exact" w:line="288" w:before="0" w:after="60"/>
        <w:rPr/>
      </w:pPr>
      <w:r>
        <w:rPr>
          <w:rFonts w:eastAsia="Cambria" w:cs="Cambria"/>
          <w:b w:val="false"/>
          <w:bCs w:val="false"/>
          <w:i w:val="false"/>
          <w:iCs w:val="false"/>
          <w:sz w:val="22"/>
          <w:szCs w:val="22"/>
        </w:rPr>
        <w:t>Pickleball, eine Mischung aus Tennis, Badminton und Tischtennis auf kleinem Feld: seit Jahren stark wachsend, in vielen Städten mit offenen Spielzeiten auf öffentlichen Plätzen.</w:t>
      </w:r>
    </w:p>
    <w:p>
      <w:pPr>
        <w:pStyle w:val="ListParagraph"/>
        <w:numPr>
          <w:ilvl w:val="0"/>
          <w:numId w:val="1"/>
        </w:numPr>
        <w:spacing w:lineRule="exact" w:line="288" w:before="0" w:after="60"/>
        <w:rPr/>
      </w:pPr>
      <w:r>
        <w:rPr>
          <w:rFonts w:eastAsia="Cambria" w:cs="Cambria"/>
          <w:b w:val="false"/>
          <w:bCs w:val="false"/>
          <w:i w:val="false"/>
          <w:iCs w:val="false"/>
          <w:sz w:val="22"/>
          <w:szCs w:val="22"/>
        </w:rPr>
        <w:t>Kletterhallen mit Anfängerkursen und Community-Abenden.</w:t>
      </w:r>
    </w:p>
    <w:p>
      <w:pPr>
        <w:pStyle w:val="ListParagraph"/>
        <w:numPr>
          <w:ilvl w:val="0"/>
          <w:numId w:val="1"/>
        </w:numPr>
        <w:spacing w:lineRule="exact" w:line="288" w:before="0" w:after="60"/>
        <w:rPr/>
      </w:pPr>
      <w:r>
        <w:rPr>
          <w:rFonts w:eastAsia="Cambria" w:cs="Cambria"/>
          <w:b w:val="false"/>
          <w:bCs w:val="false"/>
          <w:i w:val="false"/>
          <w:iCs w:val="false"/>
          <w:sz w:val="22"/>
          <w:szCs w:val="22"/>
        </w:rPr>
        <w:t>Wandergruppen und Outdoor-Clubs, zum Beispiel Ortsgruppen des Sierra Club.</w:t>
      </w:r>
    </w:p>
    <w:p>
      <w:pPr>
        <w:pStyle w:val="ListParagraph"/>
        <w:numPr>
          <w:ilvl w:val="0"/>
          <w:numId w:val="1"/>
        </w:numPr>
        <w:spacing w:lineRule="exact" w:line="288" w:before="0" w:after="60"/>
        <w:rPr/>
      </w:pPr>
      <w:r>
        <w:rPr>
          <w:rFonts w:eastAsia="Cambria" w:cs="Cambria"/>
          <w:b w:val="false"/>
          <w:bCs w:val="false"/>
          <w:i w:val="false"/>
          <w:iCs w:val="false"/>
          <w:sz w:val="22"/>
          <w:szCs w:val="22"/>
        </w:rPr>
        <w:t>Chöre und Community-Orchester, oft ohne Vorspiel.</w:t>
      </w:r>
    </w:p>
    <w:p>
      <w:pPr>
        <w:pStyle w:val="ListParagraph"/>
        <w:numPr>
          <w:ilvl w:val="0"/>
          <w:numId w:val="1"/>
        </w:numPr>
        <w:spacing w:lineRule="exact" w:line="288" w:before="0" w:after="60"/>
        <w:rPr/>
      </w:pPr>
      <w:r>
        <w:rPr>
          <w:rFonts w:eastAsia="Cambria" w:cs="Cambria"/>
          <w:b w:val="false"/>
          <w:bCs w:val="false"/>
          <w:i w:val="false"/>
          <w:iCs w:val="false"/>
          <w:sz w:val="22"/>
          <w:szCs w:val="22"/>
        </w:rPr>
        <w:t>Die städtische Freizeitverwaltung (</w:t>
      </w:r>
      <w:r>
        <w:rPr>
          <w:rFonts w:eastAsia="Cambria" w:cs="Cambria"/>
          <w:b w:val="false"/>
          <w:bCs w:val="false"/>
          <w:i/>
          <w:iCs/>
          <w:sz w:val="22"/>
          <w:szCs w:val="22"/>
        </w:rPr>
        <w:t>Parks and Recreation</w:t>
      </w:r>
      <w:r>
        <w:rPr>
          <w:rFonts w:eastAsia="Cambria" w:cs="Cambria"/>
          <w:b w:val="false"/>
          <w:bCs w:val="false"/>
          <w:i w:val="false"/>
          <w:iCs w:val="false"/>
          <w:sz w:val="22"/>
          <w:szCs w:val="22"/>
        </w:rPr>
        <w:t>) mit Erwachsenenligen (Volleyball, Softball, Kickball, Fußball) und günstigen Kursen.</w:t>
      </w:r>
    </w:p>
    <w:p>
      <w:pPr>
        <w:pStyle w:val="ListParagraph"/>
        <w:numPr>
          <w:ilvl w:val="0"/>
          <w:numId w:val="1"/>
        </w:numPr>
        <w:spacing w:lineRule="exact" w:line="288" w:before="0" w:after="60"/>
        <w:rPr/>
      </w:pPr>
      <w:r>
        <w:rPr>
          <w:rFonts w:eastAsia="Cambria" w:cs="Cambria"/>
          <w:b w:val="false"/>
          <w:bCs w:val="false"/>
          <w:i w:val="false"/>
          <w:iCs w:val="false"/>
          <w:sz w:val="22"/>
          <w:szCs w:val="22"/>
        </w:rPr>
        <w:t>Öffentliche Bibliotheken mit Buchclubs, Vorträgen, Handarbeitsgruppen und Konversationsrunden.</w:t>
      </w:r>
    </w:p>
    <w:p>
      <w:pPr>
        <w:pStyle w:val="ListParagraph"/>
        <w:numPr>
          <w:ilvl w:val="0"/>
          <w:numId w:val="1"/>
        </w:numPr>
        <w:spacing w:lineRule="exact" w:line="288" w:before="0" w:after="60"/>
        <w:rPr/>
      </w:pPr>
      <w:r>
        <w:rPr>
          <w:rFonts w:eastAsia="Cambria" w:cs="Cambria"/>
          <w:b w:val="false"/>
          <w:bCs w:val="false"/>
          <w:i/>
          <w:iCs/>
          <w:sz w:val="22"/>
          <w:szCs w:val="22"/>
        </w:rPr>
        <w:t>Community Colleges</w:t>
      </w:r>
      <w:r>
        <w:rPr>
          <w:rFonts w:eastAsia="Cambria" w:cs="Cambria"/>
          <w:b w:val="false"/>
          <w:bCs w:val="false"/>
          <w:i w:val="false"/>
          <w:iCs w:val="false"/>
          <w:sz w:val="22"/>
          <w:szCs w:val="22"/>
        </w:rPr>
        <w:t xml:space="preserve"> (zweijährige, lokal getragene Hochschulen) mit Weiterbildungskursen, etwa Kochen, Fotografie oder Sprachen, auch ohne Abschluss.</w:t>
      </w:r>
    </w:p>
    <w:p>
      <w:pPr>
        <w:pStyle w:val="ListParagraph"/>
        <w:numPr>
          <w:ilvl w:val="0"/>
          <w:numId w:val="1"/>
        </w:numPr>
        <w:spacing w:lineRule="exact" w:line="288" w:before="0" w:after="60"/>
        <w:rPr/>
      </w:pPr>
      <w:r>
        <w:rPr>
          <w:rFonts w:eastAsia="Cambria" w:cs="Cambria"/>
          <w:b w:val="false"/>
          <w:bCs w:val="false"/>
          <w:i w:val="false"/>
          <w:iCs w:val="false"/>
          <w:sz w:val="22"/>
          <w:szCs w:val="22"/>
        </w:rPr>
        <w:t>Toastmasters-Clubs, in denen du das freie Sprechen auf Englisch übst.</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Kinder als Türöffner.</w:t>
      </w:r>
      <w:r>
        <w:rPr>
          <w:rFonts w:eastAsia="Cambria" w:cs="Cambria"/>
          <w:b w:val="false"/>
          <w:bCs w:val="false"/>
          <w:i w:val="false"/>
          <w:iCs w:val="false"/>
          <w:sz w:val="22"/>
          <w:szCs w:val="22"/>
        </w:rPr>
        <w:t xml:space="preserve"> Wie im Abschnitt „Mit Kindern“ beschrieben, ist das oft der schnellste Zugang: Trainingszeiten, Elternabende und die Autoschlange beim Abholen (</w:t>
      </w:r>
      <w:r>
        <w:rPr>
          <w:rFonts w:eastAsia="Cambria" w:cs="Cambria"/>
          <w:b w:val="false"/>
          <w:bCs w:val="false"/>
          <w:i/>
          <w:iCs/>
          <w:sz w:val="22"/>
          <w:szCs w:val="22"/>
        </w:rPr>
        <w:t>Carpool Line</w:t>
      </w:r>
      <w:r>
        <w:rPr>
          <w:rFonts w:eastAsia="Cambria" w:cs="Cambria"/>
          <w:b w:val="false"/>
          <w:bCs w:val="false"/>
          <w:i w:val="false"/>
          <w:iCs w:val="false"/>
          <w:sz w:val="22"/>
          <w:szCs w:val="22"/>
        </w:rPr>
        <w:t>) bringen dieselben Gesichter so regelmäßig zusammen, dass Small Talk fast von selbst zur Bekanntschaft wird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 xml:space="preserve"> und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Bibliotheksprogramme, Laufgruppen und Wanderungen kosten meist nichts, kommunale Kurse und Ligen wenig, und ein Kaffee zu zweit ein paar Dollar. Für den Aufbau eines Freundeskreises brauchst du kein Restaurantbudget.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Glaubensgemeinschaft und Ehrenamt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viele Amerikaner ist die Gemeinde (Kirche, Synagoge, Moschee, Tempel) ein zentraler sozialer Ort: Kaffee nach dem Gottesdienst, Kleingruppen, Jugendgruppen, Essensausgaben, Feste. Viele Gemeinden begrüßen Neue ausdrücklich. Als Gast musst du nicht gläubig sein; sei ehrlich, wenn jemand fragt („We’re new in town and looking around”). Offen für Menschen mit ganz unterschiedlichem oder ohne Glauben sind zum Beispiel Unitarian-Universalist-Gemeinden. Ein freundliches „No, thank you“ genügt, wenn dir etwas zu weit geht.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Beim Ehrenamt (</w:t>
      </w:r>
      <w:r>
        <w:rPr>
          <w:rFonts w:eastAsia="Cambria" w:cs="Cambria"/>
          <w:b w:val="false"/>
          <w:bCs w:val="false"/>
          <w:i/>
          <w:iCs/>
          <w:sz w:val="22"/>
          <w:szCs w:val="22"/>
        </w:rPr>
        <w:t>Volunteering</w:t>
      </w:r>
      <w:r>
        <w:rPr>
          <w:rFonts w:eastAsia="Cambria" w:cs="Cambria"/>
          <w:b w:val="false"/>
          <w:bCs w:val="false"/>
          <w:i w:val="false"/>
          <w:iCs w:val="false"/>
          <w:sz w:val="22"/>
          <w:szCs w:val="22"/>
        </w:rPr>
        <w:t>) triffst du Menschen, die Zeit übrig haben und gern helfen: bei Tafeln und Essensausgaben (</w:t>
      </w:r>
      <w:r>
        <w:rPr>
          <w:rFonts w:eastAsia="Cambria" w:cs="Cambria"/>
          <w:b w:val="false"/>
          <w:bCs w:val="false"/>
          <w:i/>
          <w:iCs/>
          <w:sz w:val="22"/>
          <w:szCs w:val="22"/>
        </w:rPr>
        <w:t>Food Pantries</w:t>
      </w:r>
      <w:r>
        <w:rPr>
          <w:rFonts w:eastAsia="Cambria" w:cs="Cambria"/>
          <w:b w:val="false"/>
          <w:bCs w:val="false"/>
          <w:i w:val="false"/>
          <w:iCs w:val="false"/>
          <w:sz w:val="22"/>
          <w:szCs w:val="22"/>
        </w:rPr>
        <w:t>), Tierheimen, Bibliotheken, Schulen oder Parkpflege. Eine gemeinsame Aufgabe macht Gespräche leicht. Freiwilligenstellen findest du bei idealist.org, das 2025 mit VolunteerMatch verschmolzen ist, oder direkt bei der Organisation.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Wer keine Arbeitserlaubnis hat, etwa als H-4-Partner ohne </w:t>
            </w:r>
            <w:r>
              <w:rPr>
                <w:rFonts w:eastAsia="Cambria" w:cs="Cambria"/>
                <w:b w:val="false"/>
                <w:bCs w:val="false"/>
                <w:i/>
                <w:iCs/>
                <w:sz w:val="20"/>
                <w:szCs w:val="20"/>
              </w:rPr>
              <w:t>EAD</w:t>
            </w:r>
            <w:r>
              <w:rPr>
                <w:rFonts w:eastAsia="Cambria" w:cs="Cambria"/>
                <w:b w:val="false"/>
                <w:bCs w:val="false"/>
                <w:i w:val="false"/>
                <w:iCs w:val="false"/>
                <w:sz w:val="20"/>
                <w:szCs w:val="20"/>
              </w:rPr>
              <w:t xml:space="preserve"> (</w:t>
            </w:r>
            <w:r>
              <w:rPr>
                <w:rFonts w:eastAsia="Cambria" w:cs="Cambria"/>
                <w:b w:val="false"/>
                <w:bCs w:val="false"/>
                <w:i/>
                <w:iCs/>
                <w:sz w:val="20"/>
                <w:szCs w:val="20"/>
              </w:rPr>
              <w:t>Employment Authorization Document</w:t>
            </w:r>
            <w:r>
              <w:rPr>
                <w:rFonts w:eastAsia="Cambria" w:cs="Cambria"/>
                <w:b w:val="false"/>
                <w:bCs w:val="false"/>
                <w:i w:val="false"/>
                <w:iCs w:val="false"/>
                <w:sz w:val="20"/>
                <w:szCs w:val="20"/>
              </w:rPr>
              <w:t>, Arbeitserlaubnis), sollte nur echtes Ehrenamt leisten: bei einer gemeinnützigen Organisation, ohne Vergütung und nicht in einer Rolle, die sonst bezahlt würde. Ein „unbezahltes Praktikum“ bei einer Firma oder Sachleistungen, die wie Lohn wirken, können als unerlaubte Arbeit gelten. Frage im Zweifel vorher eine Einwanderungsanwältin oder einen Einwanderungsanwalt (Kapitel </w:t>
            </w:r>
            <w:hyperlink w:anchor="k10">
              <w:r>
                <w:rPr>
                  <w:rStyle w:val="ListLabel114"/>
                  <w:rFonts w:eastAsia="Cambria" w:cs="Cambria"/>
                  <w:b w:val="false"/>
                  <w:bCs w:val="false"/>
                  <w:i w:val="false"/>
                  <w:iCs w:val="false"/>
                  <w:sz w:val="20"/>
                  <w:szCs w:val="20"/>
                </w:rPr>
                <w:t>10</w:t>
              </w:r>
            </w:hyperlink>
            <w:r>
              <w:rPr>
                <w:rFonts w:eastAsia="Cambria" w:cs="Cambria"/>
                <w:b w:val="false"/>
                <w:bCs w:val="false"/>
                <w:i w:val="false"/>
                <w:iCs w:val="false"/>
                <w:sz w:val="20"/>
                <w:szCs w:val="20"/>
              </w:rPr>
              <w:t xml:space="preserve"> und </w:t>
            </w:r>
            <w:hyperlink w:anchor="k11">
              <w:r>
                <w:rPr>
                  <w:rStyle w:val="ListLabel114"/>
                  <w:rFonts w:eastAsia="Cambria" w:cs="Cambria"/>
                  <w:b w:val="false"/>
                  <w:bCs w:val="false"/>
                  <w:i w:val="false"/>
                  <w:iCs w:val="false"/>
                  <w:sz w:val="20"/>
                  <w:szCs w:val="20"/>
                </w:rPr>
                <w:t>11</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Apps und Netzwerke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Apps helfen beim ersten Kontakt, besonders für Alleinstehende und in der Zeit vor dem Umzug:</w:t>
      </w:r>
    </w:p>
    <w:tbl>
      <w:tblPr>
        <w:tblW w:w="6480" w:type="dxa"/>
        <w:jc w:val="left"/>
        <w:tblInd w:w="0" w:type="dxa"/>
        <w:tblLayout w:type="fixed"/>
        <w:tblCellMar>
          <w:top w:w="50" w:type="dxa"/>
          <w:left w:w="80" w:type="dxa"/>
          <w:bottom w:w="50" w:type="dxa"/>
          <w:right w:w="80" w:type="dxa"/>
        </w:tblCellMar>
      </w:tblPr>
      <w:tblGrid>
        <w:gridCol w:w="1060"/>
        <w:gridCol w:w="2710"/>
        <w:gridCol w:w="2710"/>
      </w:tblGrid>
      <w:tr>
        <w:trPr>
          <w:tblHeader w:val="true"/>
          <w:cantSplit w:val="true"/>
        </w:trPr>
        <w:tc>
          <w:tcPr>
            <w:tcW w:w="10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Angebot</w:t>
            </w:r>
          </w:p>
        </w:tc>
        <w:tc>
          <w:tcPr>
            <w:tcW w:w="271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Wofür</w:t>
            </w:r>
          </w:p>
        </w:tc>
        <w:tc>
          <w:tcPr>
            <w:tcW w:w="271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Hinweis</w:t>
            </w:r>
          </w:p>
        </w:tc>
      </w:tr>
      <w:tr>
        <w:trPr>
          <w:cantSplit w:val="true"/>
        </w:trPr>
        <w:tc>
          <w:tcPr>
            <w:tcW w:w="10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Meetup</w:t>
            </w:r>
          </w:p>
        </w:tc>
        <w:tc>
          <w:tcPr>
            <w:tcW w:w="27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Interessengruppen und Termine: Wandern, Brettspiele, Sprachtreffs, Stammtische</w:t>
            </w:r>
          </w:p>
        </w:tc>
        <w:tc>
          <w:tcPr>
            <w:tcW w:w="27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Suchen und meist auch Teilnehmen ohne Kosten; bei Terminen mit Ticket fällt eine Servicegebühr an, ein Abo (Meetup+) bietet Zusatzfunktionen</w:t>
            </w:r>
          </w:p>
        </w:tc>
      </w:tr>
      <w:tr>
        <w:trPr>
          <w:cantSplit w:val="true"/>
        </w:trPr>
        <w:tc>
          <w:tcPr>
            <w:tcW w:w="10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BFF (früher Bumble BFF)</w:t>
            </w:r>
          </w:p>
        </w:tc>
        <w:tc>
          <w:tcPr>
            <w:tcW w:w="27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Freundschaften über Profile, Gruppen und Chats</w:t>
            </w:r>
          </w:p>
        </w:tc>
        <w:tc>
          <w:tcPr>
            <w:tcW w:w="27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Seit Herbst 2025 eigene App mit Fokus auf Gruppen; Stand 2026 prüfen</w:t>
            </w:r>
          </w:p>
        </w:tc>
      </w:tr>
      <w:tr>
        <w:trPr>
          <w:cantSplit w:val="true"/>
        </w:trPr>
        <w:tc>
          <w:tcPr>
            <w:tcW w:w="10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Facebook-Gruppen</w:t>
            </w:r>
          </w:p>
        </w:tc>
        <w:tc>
          <w:tcPr>
            <w:tcW w:w="27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Eltern, Expats, Landsleute, Hobbys der Region</w:t>
            </w:r>
          </w:p>
        </w:tc>
        <w:tc>
          <w:tcPr>
            <w:tcW w:w="27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Oft die beste Quelle für Lokales; Gruppenregeln lesen</w:t>
            </w:r>
          </w:p>
        </w:tc>
      </w:tr>
      <w:tr>
        <w:trPr>
          <w:cantSplit w:val="true"/>
        </w:trPr>
        <w:tc>
          <w:tcPr>
            <w:tcW w:w="10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Nextdoor</w:t>
            </w:r>
          </w:p>
        </w:tc>
        <w:tc>
          <w:tcPr>
            <w:tcW w:w="27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Nachbarschaft: Empfehlungen, Veranstaltungen, Tauschbörse</w:t>
            </w:r>
          </w:p>
        </w:tc>
        <w:tc>
          <w:tcPr>
            <w:tcW w:w="27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Adresse wird verifiziert; nützlich für Tipps und Feste</w:t>
            </w:r>
          </w:p>
        </w:tc>
      </w:tr>
      <w:tr>
        <w:trPr>
          <w:cantSplit w:val="true"/>
        </w:trPr>
        <w:tc>
          <w:tcPr>
            <w:tcW w:w="10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Timeleft</w:t>
            </w:r>
          </w:p>
        </w:tc>
        <w:tc>
          <w:tcPr>
            <w:tcW w:w="27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Abendessen mit fünf Fremden, mittwochs</w:t>
            </w:r>
          </w:p>
        </w:tc>
        <w:tc>
          <w:tcPr>
            <w:tcW w:w="27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Restaurant und Gruppe werden zugeteilt, das Essen zahlst du selbst; in vielen Großstädten</w:t>
            </w:r>
          </w:p>
        </w:tc>
      </w:tr>
      <w:tr>
        <w:trPr>
          <w:cantSplit w:val="true"/>
        </w:trPr>
        <w:tc>
          <w:tcPr>
            <w:tcW w:w="10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Eventbrite und Stadtkalender</w:t>
            </w:r>
          </w:p>
        </w:tc>
        <w:tc>
          <w:tcPr>
            <w:tcW w:w="27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Einmalige Kurse, Feste, Märkte</w:t>
            </w:r>
          </w:p>
        </w:tc>
        <w:tc>
          <w:tcPr>
            <w:tcW w:w="27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Gut zum Hineinschnuppern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Trick bei allen: erst online, dann persönlich, dann wiederholen. Wer im ersten Monat zehn verschiedene Meetup-Termine besucht und keinen wiederholt, sammelt Bekanntschaften, keine Freunde. Besuche eine Gruppe dreimal, bevor du urteilst.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Bei Online-Kontakten gelten Grundregeln: erste Treffen an öffentlichen Orten, jemandem sagen, wohin du gehst, keine Sozialversicherungsnummer, Bankdaten oder Vorschüsse an neue Bekannte. Auf Betrugsmaschen achten (Kapitel </w:t>
            </w:r>
            <w:hyperlink w:anchor="k40">
              <w:r>
                <w:rPr>
                  <w:rStyle w:val="ListLabel114"/>
                  <w:rFonts w:eastAsia="Cambria" w:cs="Cambria"/>
                  <w:b w:val="false"/>
                  <w:bCs w:val="false"/>
                  <w:i w:val="false"/>
                  <w:iCs w:val="false"/>
                  <w:sz w:val="20"/>
                  <w:szCs w:val="20"/>
                </w:rPr>
                <w:t>40</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Deutsche und internationale Gemeinschaften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Landsleute sind eine gute Startrampe: gleiche Sprache, gleicher Humor und Erfahrung mit denselben Fragen zu Schulen, Ärzten, Steuern und Visa. Du findest sie hier:</w:t>
      </w:r>
    </w:p>
    <w:p>
      <w:pPr>
        <w:pStyle w:val="ListParagraph"/>
        <w:numPr>
          <w:ilvl w:val="0"/>
          <w:numId w:val="1"/>
        </w:numPr>
        <w:spacing w:lineRule="exact" w:line="288" w:before="0" w:after="60"/>
        <w:rPr/>
      </w:pPr>
      <w:r>
        <w:rPr>
          <w:rFonts w:eastAsia="Cambria" w:cs="Cambria"/>
          <w:b w:val="false"/>
          <w:bCs w:val="false"/>
          <w:i w:val="false"/>
          <w:iCs w:val="false"/>
          <w:sz w:val="22"/>
          <w:szCs w:val="22"/>
        </w:rPr>
        <w:t>Stammtische und Gruppen bei Meetup und Facebook (Suche: „Germans in“ plus Stadtname).</w:t>
      </w:r>
    </w:p>
    <w:p>
      <w:pPr>
        <w:pStyle w:val="ListParagraph"/>
        <w:numPr>
          <w:ilvl w:val="0"/>
          <w:numId w:val="1"/>
        </w:numPr>
        <w:spacing w:lineRule="exact" w:line="288" w:before="0" w:after="60"/>
        <w:rPr/>
      </w:pPr>
      <w:r>
        <w:rPr>
          <w:rFonts w:eastAsia="Cambria" w:cs="Cambria"/>
          <w:b w:val="false"/>
          <w:bCs w:val="false"/>
          <w:i w:val="false"/>
          <w:iCs w:val="false"/>
          <w:sz w:val="22"/>
          <w:szCs w:val="22"/>
        </w:rPr>
        <w:t>Deutschsprachige evangelische Auslandsgemeinden; die Evangelische Kirche in Deutschland (EKD) führt sie für Amerika auf.</w:t>
      </w:r>
    </w:p>
    <w:p>
      <w:pPr>
        <w:pStyle w:val="ListParagraph"/>
        <w:numPr>
          <w:ilvl w:val="0"/>
          <w:numId w:val="1"/>
        </w:numPr>
        <w:spacing w:lineRule="exact" w:line="288" w:before="0" w:after="60"/>
        <w:rPr/>
      </w:pPr>
      <w:r>
        <w:rPr>
          <w:rFonts w:eastAsia="Cambria" w:cs="Cambria"/>
          <w:b w:val="false"/>
          <w:bCs w:val="false"/>
          <w:i w:val="false"/>
          <w:iCs w:val="false"/>
          <w:sz w:val="22"/>
          <w:szCs w:val="22"/>
        </w:rPr>
        <w:t>Das Goethe-Institut mit Standorten unter anderem in Boston, Chicago, Los Angeles, New York, San Francisco und Washington: Sprachkurse, Filmabende, Kulturprogramm.</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Die </w:t>
      </w:r>
      <w:r>
        <w:rPr>
          <w:rFonts w:eastAsia="Cambria" w:cs="Cambria"/>
          <w:b w:val="false"/>
          <w:bCs w:val="false"/>
          <w:i/>
          <w:iCs/>
          <w:sz w:val="22"/>
          <w:szCs w:val="22"/>
        </w:rPr>
        <w:t>German American Chambers of Commerce</w:t>
      </w:r>
      <w:r>
        <w:rPr>
          <w:rFonts w:eastAsia="Cambria" w:cs="Cambria"/>
          <w:b w:val="false"/>
          <w:bCs w:val="false"/>
          <w:i w:val="false"/>
          <w:iCs w:val="false"/>
          <w:sz w:val="22"/>
          <w:szCs w:val="22"/>
        </w:rPr>
        <w:t xml:space="preserve"> (Deutsch-Amerikanische Handelskammern, AHK USA) mit regionalen Büros und Netzwerkabenden, vor allem für Berufstätige mit Deutschlandbezug.</w:t>
      </w:r>
    </w:p>
    <w:p>
      <w:pPr>
        <w:pStyle w:val="ListParagraph"/>
        <w:numPr>
          <w:ilvl w:val="0"/>
          <w:numId w:val="1"/>
        </w:numPr>
        <w:spacing w:lineRule="exact" w:line="288" w:before="0" w:after="60"/>
        <w:rPr/>
      </w:pPr>
      <w:r>
        <w:rPr>
          <w:rFonts w:eastAsia="Cambria" w:cs="Cambria"/>
          <w:b w:val="false"/>
          <w:bCs w:val="false"/>
          <w:i w:val="false"/>
          <w:iCs w:val="false"/>
          <w:sz w:val="22"/>
          <w:szCs w:val="22"/>
        </w:rPr>
        <w:t>Deutsch-amerikanische Vereine, Oktoberfeste und Weihnachtsmärkte, auf denen du Menschen mit deutscher Herkunft triffst, die Deutschland mögen.</w:t>
      </w:r>
    </w:p>
    <w:p>
      <w:pPr>
        <w:pStyle w:val="ListParagraph"/>
        <w:numPr>
          <w:ilvl w:val="0"/>
          <w:numId w:val="1"/>
        </w:numPr>
        <w:spacing w:lineRule="exact" w:line="288" w:before="0" w:after="60"/>
        <w:rPr/>
      </w:pPr>
      <w:r>
        <w:rPr>
          <w:rFonts w:eastAsia="Cambria" w:cs="Cambria"/>
          <w:b w:val="false"/>
          <w:bCs w:val="false"/>
          <w:i w:val="false"/>
          <w:iCs w:val="false"/>
          <w:sz w:val="22"/>
          <w:szCs w:val="22"/>
        </w:rPr>
        <w:t>Samstagsschulen für deutsche Sprache und Kultur, die zugleich Elternnetzwerke sind (Kapitel </w:t>
      </w:r>
      <w:hyperlink w:anchor="k37">
        <w:r>
          <w:rPr>
            <w:rStyle w:val="ListLabel115"/>
            <w:rFonts w:eastAsia="Cambria" w:cs="Cambria"/>
            <w:b w:val="false"/>
            <w:bCs w:val="false"/>
            <w:i w:val="false"/>
            <w:iCs w:val="false"/>
            <w:sz w:val="22"/>
            <w:szCs w:val="22"/>
          </w:rPr>
          <w:t>37</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iCs/>
          <w:sz w:val="22"/>
          <w:szCs w:val="22"/>
        </w:rPr>
        <w:t>InterNations</w:t>
      </w:r>
      <w:r>
        <w:rPr>
          <w:rFonts w:eastAsia="Cambria" w:cs="Cambria"/>
          <w:b w:val="false"/>
          <w:bCs w:val="false"/>
          <w:i w:val="false"/>
          <w:iCs w:val="false"/>
          <w:sz w:val="22"/>
          <w:szCs w:val="22"/>
        </w:rPr>
        <w:t>, ein Netzwerk für Zugewanderte aller Nationen mit lokalen Stammtischen (Umfang und Kosten der Mitgliedschaft prüfst du selbst).</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Kehrseite ist die deutsche Blase: gemütlich wie der Tatort am Sonntagabend, aber wer nur Deutsche kennt, übt kein Alltagsenglisch und lernt das Land kaum kennen. Außerdem ziehen auch Deutsche mit befristetem Visum oft nach wenigen Jahren weiter. Nimm dir vor, dass mindestens die Hälfte deiner festen Termine unter Englischsprachigen stattfindet.</w:t>
      </w:r>
    </w:p>
    <w:p>
      <w:pPr>
        <w:pStyle w:val="Heading3"/>
        <w:keepNext w:val="true"/>
        <w:spacing w:before="280" w:after="100"/>
        <w:jc w:val="center"/>
        <w:rPr/>
      </w:pPr>
      <w:r>
        <w:rPr>
          <w:rFonts w:eastAsia="Amazon Ember" w:cs="Amazon Ember" w:ascii="Amazon Ember" w:hAnsi="Amazon Ember"/>
          <w:b/>
          <w:bCs/>
          <w:color w:val="0000FF"/>
          <w:sz w:val="36"/>
          <w:szCs w:val="36"/>
        </w:rPr>
        <w:t>Einladungskultur: Potluck, Grillen, „Bring nichts“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 Hause eingeladen zu werden, ist ein gutes Zeichen, und die Anlässe sind oft zwanglos: Grillabend, Spieleabend, Sonntagsbrunch. Die Tabelle zeigt, was du mitbringst und worauf du achtest.</w:t>
      </w:r>
    </w:p>
    <w:tbl>
      <w:tblPr>
        <w:tblW w:w="6480" w:type="dxa"/>
        <w:jc w:val="left"/>
        <w:tblInd w:w="0" w:type="dxa"/>
        <w:tblLayout w:type="fixed"/>
        <w:tblCellMar>
          <w:top w:w="50" w:type="dxa"/>
          <w:left w:w="80" w:type="dxa"/>
          <w:bottom w:w="50" w:type="dxa"/>
          <w:right w:w="80" w:type="dxa"/>
        </w:tblCellMar>
      </w:tblPr>
      <w:tblGrid>
        <w:gridCol w:w="1555"/>
        <w:gridCol w:w="2266"/>
        <w:gridCol w:w="2659"/>
      </w:tblGrid>
      <w:tr>
        <w:trPr>
          <w:tblHeader w:val="true"/>
          <w:cantSplit w:val="true"/>
        </w:trPr>
        <w:tc>
          <w:tcPr>
            <w:tcW w:w="155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Anlass</w:t>
            </w:r>
          </w:p>
        </w:tc>
        <w:tc>
          <w:tcPr>
            <w:tcW w:w="226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du mitbringst</w:t>
            </w:r>
          </w:p>
        </w:tc>
        <w:tc>
          <w:tcPr>
            <w:tcW w:w="265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Gut zu wissen</w:t>
            </w:r>
          </w:p>
        </w:tc>
      </w:tr>
      <w:tr>
        <w:trPr>
          <w:cantSplit w:val="true"/>
        </w:trPr>
        <w:tc>
          <w:tcPr>
            <w:tcW w:w="15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Potluck</w:t>
            </w:r>
            <w:r>
              <w:rPr>
                <w:rFonts w:eastAsia="Cambria" w:cs="Cambria"/>
                <w:b w:val="false"/>
                <w:bCs w:val="false"/>
                <w:i w:val="false"/>
                <w:iCs w:val="false"/>
                <w:sz w:val="18"/>
                <w:szCs w:val="18"/>
              </w:rPr>
              <w:t xml:space="preserve"> (jeder bringt ein Gericht mit)</w:t>
            </w:r>
          </w:p>
        </w:tc>
        <w:tc>
          <w:tcPr>
            <w:tcW w:w="22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teilbares Gericht, nach Absprache oder Liste</w:t>
            </w:r>
          </w:p>
        </w:tc>
        <w:tc>
          <w:tcPr>
            <w:tcW w:w="26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Servierbesteck mitbringen; Nachfrage nach dem Rezept ist ein Kompliment</w:t>
            </w:r>
          </w:p>
        </w:tc>
      </w:tr>
      <w:tr>
        <w:trPr>
          <w:cantSplit w:val="true"/>
        </w:trPr>
        <w:tc>
          <w:tcPr>
            <w:tcW w:w="15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Cookout</w:t>
            </w:r>
            <w:r>
              <w:rPr>
                <w:rFonts w:eastAsia="Cambria" w:cs="Cambria"/>
                <w:b w:val="false"/>
                <w:bCs w:val="false"/>
                <w:i w:val="false"/>
                <w:iCs w:val="false"/>
                <w:sz w:val="18"/>
                <w:szCs w:val="18"/>
              </w:rPr>
              <w:t xml:space="preserve"> (Grillfest)</w:t>
            </w:r>
          </w:p>
        </w:tc>
        <w:tc>
          <w:tcPr>
            <w:tcW w:w="22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Getränke oder eine Beilage; Fleisch nur nach Absprache</w:t>
            </w:r>
          </w:p>
        </w:tc>
        <w:tc>
          <w:tcPr>
            <w:tcW w:w="26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Beginn ist ein Zeitfenster; Kinder meist willkommen</w:t>
            </w:r>
          </w:p>
        </w:tc>
      </w:tr>
      <w:tr>
        <w:trPr>
          <w:cantSplit w:val="true"/>
        </w:trPr>
        <w:tc>
          <w:tcPr>
            <w:tcW w:w="15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Dinner bei Gastgebern</w:t>
            </w:r>
          </w:p>
        </w:tc>
        <w:tc>
          <w:tcPr>
            <w:tcW w:w="22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Wein, Dessert oder Blumen</w:t>
            </w:r>
          </w:p>
        </w:tc>
        <w:tc>
          <w:tcPr>
            <w:tcW w:w="26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Dauert meist zwei bis drei Stunden; pünktlich bis etwa 15 Minuten später</w:t>
            </w:r>
          </w:p>
        </w:tc>
      </w:tr>
      <w:tr>
        <w:trPr>
          <w:cantSplit w:val="true"/>
        </w:trPr>
        <w:tc>
          <w:tcPr>
            <w:tcW w:w="15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Game Night</w:t>
            </w:r>
            <w:r>
              <w:rPr>
                <w:rFonts w:eastAsia="Cambria" w:cs="Cambria"/>
                <w:b w:val="false"/>
                <w:bCs w:val="false"/>
                <w:i w:val="false"/>
                <w:iCs w:val="false"/>
                <w:sz w:val="18"/>
                <w:szCs w:val="18"/>
              </w:rPr>
              <w:t xml:space="preserve"> (Spieleabend)</w:t>
            </w:r>
          </w:p>
        </w:tc>
        <w:tc>
          <w:tcPr>
            <w:tcW w:w="22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Snacks oder ein Getränk</w:t>
            </w:r>
          </w:p>
        </w:tc>
        <w:tc>
          <w:tcPr>
            <w:tcW w:w="26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Zwanglos; ein deutsches Brettspiel ist ein guter Einstieg</w:t>
            </w:r>
          </w:p>
        </w:tc>
      </w:tr>
      <w:tr>
        <w:trPr>
          <w:cantSplit w:val="true"/>
        </w:trPr>
        <w:tc>
          <w:tcPr>
            <w:tcW w:w="15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Kindergeburtstag</w:t>
            </w:r>
          </w:p>
        </w:tc>
        <w:tc>
          <w:tcPr>
            <w:tcW w:w="22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Geschenk (15–30 $) mit Karte</w:t>
            </w:r>
          </w:p>
        </w:tc>
        <w:tc>
          <w:tcPr>
            <w:tcW w:w="26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Zusage nötig, etwa zwei Stunden, Geschwister nur nach Rückfrage</w:t>
            </w:r>
          </w:p>
        </w:tc>
      </w:tr>
      <w:tr>
        <w:trPr>
          <w:cantSplit w:val="true"/>
        </w:trPr>
        <w:tc>
          <w:tcPr>
            <w:tcW w:w="15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Housewarming</w:t>
            </w:r>
            <w:r>
              <w:rPr>
                <w:rFonts w:eastAsia="Cambria" w:cs="Cambria"/>
                <w:b w:val="false"/>
                <w:bCs w:val="false"/>
                <w:i w:val="false"/>
                <w:iCs w:val="false"/>
                <w:sz w:val="18"/>
                <w:szCs w:val="18"/>
              </w:rPr>
              <w:t xml:space="preserve"> (Einweihungsfeier)</w:t>
            </w:r>
          </w:p>
        </w:tc>
        <w:tc>
          <w:tcPr>
            <w:tcW w:w="22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Kleine Gabe: Pflanze, Kerze, Snacks</w:t>
            </w:r>
          </w:p>
        </w:tc>
        <w:tc>
          <w:tcPr>
            <w:tcW w:w="26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Rundgang durchs Haus ist üblich</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w:t>
      </w:r>
      <w:r>
        <w:rPr>
          <w:rFonts w:eastAsia="Cambria" w:cs="Cambria"/>
          <w:b/>
          <w:bCs/>
          <w:i w:val="false"/>
          <w:iCs w:val="false"/>
          <w:sz w:val="22"/>
          <w:szCs w:val="22"/>
        </w:rPr>
        <w:t>Bring nichts“.</w:t>
      </w:r>
      <w:r>
        <w:rPr>
          <w:rFonts w:eastAsia="Cambria" w:cs="Cambria"/>
          <w:b w:val="false"/>
          <w:bCs w:val="false"/>
          <w:i w:val="false"/>
          <w:iCs w:val="false"/>
          <w:sz w:val="22"/>
          <w:szCs w:val="22"/>
        </w:rPr>
        <w:t xml:space="preserve"> Sagt der Gastgeber „Just bring yourself“, ist das meist ernst gemeint. Eine Flasche Wein, ein Dessert oder etwas Deutsches wie Schokolade oder Lebkuchen wird trotzdem gern gesehen; sieh es als Geschenk, nicht als Beitrag zum Menü. Die Frage „What can I bring?“ ist immer richtig.</w:t>
      </w:r>
    </w:p>
    <w:p>
      <w:pPr>
        <w:pStyle w:val="Normal"/>
        <w:keepNext w:val="false"/>
        <w:keepLines w:val="false"/>
        <w:spacing w:lineRule="exact" w:line="288" w:before="0" w:after="140"/>
        <w:jc w:val="left"/>
        <w:rPr/>
      </w:pPr>
      <w:r>
        <w:rPr>
          <w:rFonts w:eastAsia="Cambria" w:cs="Cambria"/>
          <w:b/>
          <w:bCs/>
          <w:i w:val="false"/>
          <w:iCs w:val="false"/>
          <w:sz w:val="22"/>
          <w:szCs w:val="22"/>
        </w:rPr>
        <w:t>Kinder.</w:t>
      </w:r>
      <w:r>
        <w:rPr>
          <w:rFonts w:eastAsia="Cambria" w:cs="Cambria"/>
          <w:b w:val="false"/>
          <w:bCs w:val="false"/>
          <w:i w:val="false"/>
          <w:iCs w:val="false"/>
          <w:sz w:val="22"/>
          <w:szCs w:val="22"/>
        </w:rPr>
        <w:t xml:space="preserve"> Steht auf der Einladung nichts dazu, frage „Are kids welcome?“ Bei „adults only“ bleiben sie zu Hause; auf Grill- und Nachbarschaftsfesten sind sie meist willkommen. Im fremden Haus gelten eigene Regeln zu Bildschirmzeit, Süßigkeiten und Schuhen (Kapitel </w:t>
      </w:r>
      <w:hyperlink w:anchor="k34">
        <w:r>
          <w:rPr>
            <w:rStyle w:val="ListLabel115"/>
            <w:rFonts w:eastAsia="Cambria" w:cs="Cambria"/>
            <w:b w:val="false"/>
            <w:bCs w:val="false"/>
            <w:i w:val="false"/>
            <w:iCs w:val="false"/>
            <w:sz w:val="22"/>
            <w:szCs w:val="22"/>
          </w:rPr>
          <w:t>34</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Alkohol.</w:t>
      </w:r>
      <w:r>
        <w:rPr>
          <w:rFonts w:eastAsia="Cambria" w:cs="Cambria"/>
          <w:b w:val="false"/>
          <w:bCs w:val="false"/>
          <w:i w:val="false"/>
          <w:iCs w:val="false"/>
          <w:sz w:val="22"/>
          <w:szCs w:val="22"/>
        </w:rPr>
        <w:t xml:space="preserve"> Manche Gastgeber stellen Bier und Wein bereit, andere servieren keinen, aus religiösen Gründen, wegen der Kinder oder aus Nüchternheit. Bei </w:t>
      </w:r>
      <w:r>
        <w:rPr>
          <w:rFonts w:eastAsia="Cambria" w:cs="Cambria"/>
          <w:b w:val="false"/>
          <w:bCs w:val="false"/>
          <w:i/>
          <w:iCs/>
          <w:sz w:val="22"/>
          <w:szCs w:val="22"/>
        </w:rPr>
        <w:t>BYOB</w:t>
      </w:r>
      <w:r>
        <w:rPr>
          <w:rFonts w:eastAsia="Cambria" w:cs="Cambria"/>
          <w:b w:val="false"/>
          <w:bCs w:val="false"/>
          <w:i w:val="false"/>
          <w:iCs w:val="false"/>
          <w:sz w:val="22"/>
          <w:szCs w:val="22"/>
        </w:rPr>
        <w:t xml:space="preserve"> (</w:t>
      </w:r>
      <w:r>
        <w:rPr>
          <w:rFonts w:eastAsia="Cambria" w:cs="Cambria"/>
          <w:b w:val="false"/>
          <w:bCs w:val="false"/>
          <w:i/>
          <w:iCs/>
          <w:sz w:val="22"/>
          <w:szCs w:val="22"/>
        </w:rPr>
        <w:t>Bring Your Own Bottle</w:t>
      </w:r>
      <w:r>
        <w:rPr>
          <w:rFonts w:eastAsia="Cambria" w:cs="Cambria"/>
          <w:b w:val="false"/>
          <w:bCs w:val="false"/>
          <w:i w:val="false"/>
          <w:iCs w:val="false"/>
          <w:sz w:val="22"/>
          <w:szCs w:val="22"/>
        </w:rPr>
        <w:t>: Du bringst dein Getränk selbst) bringst du, was du trinken willst. Ein „No, thanks, I’m good“ braucht keine Begründung. Wer fährt, bleibt nüchtern; die Regeln zu Alkohol stehen in Kapitel </w:t>
      </w:r>
      <w:hyperlink w:anchor="k35">
        <w:r>
          <w:rPr>
            <w:rStyle w:val="ListLabel115"/>
            <w:rFonts w:eastAsia="Cambria" w:cs="Cambria"/>
            <w:b w:val="false"/>
            <w:bCs w:val="false"/>
            <w:i w:val="false"/>
            <w:iCs w:val="false"/>
            <w:sz w:val="22"/>
            <w:szCs w:val="22"/>
          </w:rPr>
          <w:t>35</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Eine Zusage verpflichtet. Wer ohne Absage fehlt, gilt als unzuverlässig; eine kurzfristige Absage wegen Krankheit oder fehlender Kinderbetreuung wird dagegen verstanden. Umgekehrt sind kurzfristige Absagen anderer (</w:t>
            </w:r>
            <w:r>
              <w:rPr>
                <w:rFonts w:eastAsia="Cambria" w:cs="Cambria"/>
                <w:b w:val="false"/>
                <w:bCs w:val="false"/>
                <w:i/>
                <w:iCs/>
                <w:sz w:val="20"/>
                <w:szCs w:val="20"/>
              </w:rPr>
              <w:t>Flaking</w:t>
            </w:r>
            <w:r>
              <w:rPr>
                <w:rFonts w:eastAsia="Cambria" w:cs="Cambria"/>
                <w:b w:val="false"/>
                <w:bCs w:val="false"/>
                <w:i w:val="false"/>
                <w:iCs w:val="false"/>
                <w:sz w:val="20"/>
                <w:szCs w:val="20"/>
              </w:rPr>
              <w:t>) selten ein Urteil über dich.</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Danach.</w:t>
      </w:r>
      <w:r>
        <w:rPr>
          <w:rFonts w:eastAsia="Cambria" w:cs="Cambria"/>
          <w:b w:val="false"/>
          <w:bCs w:val="false"/>
          <w:i w:val="false"/>
          <w:iCs w:val="false"/>
          <w:sz w:val="22"/>
          <w:szCs w:val="22"/>
        </w:rPr>
        <w:t xml:space="preserve"> Schicke am nächsten Tag ein kurzes „Thank you for having us“ per Text und lade innerhalb weniger Wochen selbst ein. Als Neuling genügt ein einfaches Format: Kaffee und Kuchen am Sonntagnachmittag, zwei Stunden, mit einem deutschen Kuchen als Gesprächsstoff. Auch zu Feiertagen wie Thanksgiving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laden viele Amerikaner Alleinstehende und Zugezogene ein; die Zusage lohnt.</w:t>
      </w:r>
    </w:p>
    <w:p>
      <w:pPr>
        <w:pStyle w:val="Heading3"/>
        <w:keepNext w:val="true"/>
        <w:spacing w:before="280" w:after="100"/>
        <w:jc w:val="center"/>
        <w:rPr/>
      </w:pPr>
      <w:r>
        <w:rPr>
          <w:rFonts w:eastAsia="Amazon Ember" w:cs="Amazon Ember" w:ascii="Amazon Ember" w:hAnsi="Amazon Ember"/>
          <w:b/>
          <w:bCs/>
          <w:color w:val="0000FF"/>
          <w:sz w:val="36"/>
          <w:szCs w:val="36"/>
        </w:rPr>
        <w:t>Wenn ein Partner nicht arbeiten darf</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Risiko der Isolation ist beim mitreisenden Partner am größten: Die Kinder finden über die Schule Anschluss, die arbeitende Person über die Kollegen, wer zu Hause bleibt, spricht tagsüber mit niemandem. Das betrifft vor allem H-4-Partner ohne Arbeitserlaubnis; wann eine möglich ist und wie es bei anderen Statusarten aussieht, steht in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 Was hilft:</w:t>
      </w:r>
    </w:p>
    <w:p>
      <w:pPr>
        <w:pStyle w:val="ListParagraph"/>
        <w:numPr>
          <w:ilvl w:val="0"/>
          <w:numId w:val="1"/>
        </w:numPr>
        <w:spacing w:lineRule="exact" w:line="288" w:before="0" w:after="60"/>
        <w:rPr/>
      </w:pPr>
      <w:r>
        <w:rPr>
          <w:rFonts w:eastAsia="Cambria" w:cs="Cambria"/>
          <w:b/>
          <w:bCs/>
          <w:i w:val="false"/>
          <w:iCs w:val="false"/>
          <w:sz w:val="22"/>
          <w:szCs w:val="22"/>
        </w:rPr>
        <w:t>Eine feste Wochenstruktur</w:t>
      </w:r>
      <w:r>
        <w:rPr>
          <w:rFonts w:eastAsia="Cambria" w:cs="Cambria"/>
          <w:b w:val="false"/>
          <w:bCs w:val="false"/>
          <w:i w:val="false"/>
          <w:iCs w:val="false"/>
          <w:sz w:val="22"/>
          <w:szCs w:val="22"/>
        </w:rPr>
        <w:t xml:space="preserve"> mit drei Terminen außerhalb der Wohnung: ein Kurs, ein Sport- oder Lauftermin, ein Ehrenamt oder ein Elterntermin.</w:t>
      </w:r>
    </w:p>
    <w:p>
      <w:pPr>
        <w:pStyle w:val="ListParagraph"/>
        <w:numPr>
          <w:ilvl w:val="0"/>
          <w:numId w:val="1"/>
        </w:numPr>
        <w:spacing w:lineRule="exact" w:line="288" w:before="0" w:after="60"/>
        <w:rPr/>
      </w:pPr>
      <w:r>
        <w:rPr>
          <w:rFonts w:eastAsia="Cambria" w:cs="Cambria"/>
          <w:b/>
          <w:bCs/>
          <w:i w:val="false"/>
          <w:iCs w:val="false"/>
          <w:sz w:val="22"/>
          <w:szCs w:val="22"/>
        </w:rPr>
        <w:t>Kurse</w:t>
      </w:r>
      <w:r>
        <w:rPr>
          <w:rFonts w:eastAsia="Cambria" w:cs="Cambria"/>
          <w:b w:val="false"/>
          <w:bCs w:val="false"/>
          <w:i w:val="false"/>
          <w:iCs w:val="false"/>
          <w:sz w:val="22"/>
          <w:szCs w:val="22"/>
        </w:rPr>
        <w:t xml:space="preserve"> bei Bibliothek, Freizeitverwaltung oder Community College (zum Studium mit H-4 siehe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Ehrenamt</w:t>
      </w:r>
      <w:r>
        <w:rPr>
          <w:rFonts w:eastAsia="Cambria" w:cs="Cambria"/>
          <w:b w:val="false"/>
          <w:bCs w:val="false"/>
          <w:i w:val="false"/>
          <w:iCs w:val="false"/>
          <w:sz w:val="22"/>
          <w:szCs w:val="22"/>
        </w:rPr>
        <w:t xml:space="preserve"> nach den Regeln oben.</w:t>
      </w:r>
    </w:p>
    <w:p>
      <w:pPr>
        <w:pStyle w:val="ListParagraph"/>
        <w:numPr>
          <w:ilvl w:val="0"/>
          <w:numId w:val="1"/>
        </w:numPr>
        <w:spacing w:lineRule="exact" w:line="288" w:before="0" w:after="60"/>
        <w:rPr/>
      </w:pPr>
      <w:r>
        <w:rPr>
          <w:rFonts w:eastAsia="Cambria" w:cs="Cambria"/>
          <w:b/>
          <w:bCs/>
          <w:i w:val="false"/>
          <w:iCs w:val="false"/>
          <w:sz w:val="22"/>
          <w:szCs w:val="22"/>
        </w:rPr>
        <w:t>Eigene Kontakte</w:t>
      </w:r>
      <w:r>
        <w:rPr>
          <w:rFonts w:eastAsia="Cambria" w:cs="Cambria"/>
          <w:b w:val="false"/>
          <w:bCs w:val="false"/>
          <w:i w:val="false"/>
          <w:iCs w:val="false"/>
          <w:sz w:val="22"/>
          <w:szCs w:val="22"/>
        </w:rPr>
        <w:t xml:space="preserve"> statt nur der Firmenkreis des Partners, der an dessen Job hängt.</w:t>
      </w:r>
    </w:p>
    <w:p>
      <w:pPr>
        <w:pStyle w:val="ListParagraph"/>
        <w:numPr>
          <w:ilvl w:val="0"/>
          <w:numId w:val="1"/>
        </w:numPr>
        <w:spacing w:lineRule="exact" w:line="288" w:before="0" w:after="60"/>
        <w:rPr/>
      </w:pPr>
      <w:r>
        <w:rPr>
          <w:rFonts w:eastAsia="Cambria" w:cs="Cambria"/>
          <w:b/>
          <w:bCs/>
          <w:i w:val="false"/>
          <w:iCs w:val="false"/>
          <w:sz w:val="22"/>
          <w:szCs w:val="22"/>
        </w:rPr>
        <w:t>Unterstützung durch den Arbeitgeber:</w:t>
      </w:r>
      <w:r>
        <w:rPr>
          <w:rFonts w:eastAsia="Cambria" w:cs="Cambria"/>
          <w:b w:val="false"/>
          <w:bCs w:val="false"/>
          <w:i w:val="false"/>
          <w:iCs w:val="false"/>
          <w:sz w:val="22"/>
          <w:szCs w:val="22"/>
        </w:rPr>
        <w:t xml:space="preserve"> Manche Firmen vermitteln Kontakte oder Netzwerke für mitreisende Partner; frage bei der Personalabteilung.</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Hält die Isolation über Wochen an oder drückt sie auf die Stimmung, findest du Hilfe in Kapitel </w:t>
      </w:r>
      <w:hyperlink w:anchor="k33">
        <w:r>
          <w:rPr>
            <w:rStyle w:val="ListLabel115"/>
            <w:rFonts w:eastAsia="Cambria" w:cs="Cambria"/>
            <w:b w:val="false"/>
            <w:bCs w:val="false"/>
            <w:i w:val="false"/>
            <w:iCs w:val="false"/>
            <w:sz w:val="22"/>
            <w:szCs w:val="22"/>
          </w:rPr>
          <w:t>33</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Anna Brandt (fiktiv) ist als H-4-Partnerin ohne Arbeitserlaubnis im Großraum Detroit. Nach acht Wochen haben Lena und Jonas Freunde im Schulbus und in der Straße, Markus hat Kollegen, Anna spricht tagsüber mit niemandem. Sie legt drei feste Termine fest: dienstags Lebensmittelausgabe bei einer Kirchengemeinde (unbezahltes Ehrenamt), donnerstags ein Fotokurs am Community College, samstags die Laufgruppe eines Sportgeschäfts. Beim Herbstfest der PTO übernimmt sie den Kuchenstand. Nach vier Monaten kennt sie rund ein Dutzend Eltern beim Namen, trifft zwei davon regelmäßig und lädt die Familien zu Kaffee und Kuchen ein. Am schwersten fiel ihr die erste Nachricht mit einem festen Datum – dreimal tippt sie den Satz um, bevor sie ihn abschickt.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Freundschaften nach Hause pflegen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Über Ozean und Zeitzonen hinweg schrumpfen Freundschaften ohne Pflege. Berlin liegt sechs Stunden vor der Ostküste und neun vor Seattle (Standardzeit; Zeitverschiebung und Familienkontakt vertieft Kapitel </w:t>
      </w:r>
      <w:hyperlink w:anchor="k33">
        <w:r>
          <w:rPr>
            <w:rStyle w:val="ListLabel115"/>
            <w:rFonts w:eastAsia="Cambria" w:cs="Cambria"/>
            <w:b w:val="false"/>
            <w:bCs w:val="false"/>
            <w:i w:val="false"/>
            <w:iCs w:val="false"/>
            <w:sz w:val="22"/>
            <w:szCs w:val="22"/>
          </w:rPr>
          <w:t>33</w:t>
        </w:r>
      </w:hyperlink>
      <w:r>
        <w:rPr>
          <w:rFonts w:eastAsia="Cambria" w:cs="Cambria"/>
          <w:b w:val="false"/>
          <w:bCs w:val="false"/>
          <w:i w:val="false"/>
          <w:iCs w:val="false"/>
          <w:sz w:val="22"/>
          <w:szCs w:val="22"/>
        </w:rPr>
        <w:t>). Was hilft:</w:t>
      </w:r>
    </w:p>
    <w:p>
      <w:pPr>
        <w:pStyle w:val="ListParagraph"/>
        <w:numPr>
          <w:ilvl w:val="0"/>
          <w:numId w:val="1"/>
        </w:numPr>
        <w:spacing w:lineRule="exact" w:line="288" w:before="0" w:after="60"/>
        <w:rPr/>
      </w:pPr>
      <w:r>
        <w:rPr>
          <w:rFonts w:eastAsia="Cambria" w:cs="Cambria"/>
          <w:b/>
          <w:bCs/>
          <w:i w:val="false"/>
          <w:iCs w:val="false"/>
          <w:sz w:val="22"/>
          <w:szCs w:val="22"/>
        </w:rPr>
        <w:t>Rituale statt guter Vorsätze:</w:t>
      </w:r>
      <w:r>
        <w:rPr>
          <w:rFonts w:eastAsia="Cambria" w:cs="Cambria"/>
          <w:b w:val="false"/>
          <w:bCs w:val="false"/>
          <w:i w:val="false"/>
          <w:iCs w:val="false"/>
          <w:sz w:val="22"/>
          <w:szCs w:val="22"/>
        </w:rPr>
        <w:t xml:space="preserve"> der Videoanruf am Sonntagabend deutscher Zeit (an der Westküste Sonntagvormittag), der monatliche Online-Stammtisch, gemeinsam Serien schauen oder online spielen.</w:t>
      </w:r>
    </w:p>
    <w:p>
      <w:pPr>
        <w:pStyle w:val="ListParagraph"/>
        <w:numPr>
          <w:ilvl w:val="0"/>
          <w:numId w:val="1"/>
        </w:numPr>
        <w:spacing w:lineRule="exact" w:line="288" w:before="0" w:after="60"/>
        <w:rPr/>
      </w:pPr>
      <w:r>
        <w:rPr>
          <w:rFonts w:eastAsia="Cambria" w:cs="Cambria"/>
          <w:b/>
          <w:bCs/>
          <w:i w:val="false"/>
          <w:iCs w:val="false"/>
          <w:sz w:val="22"/>
          <w:szCs w:val="22"/>
        </w:rPr>
        <w:t>Sprachnachrichten,</w:t>
      </w:r>
      <w:r>
        <w:rPr>
          <w:rFonts w:eastAsia="Cambria" w:cs="Cambria"/>
          <w:b w:val="false"/>
          <w:bCs w:val="false"/>
          <w:i w:val="false"/>
          <w:iCs w:val="false"/>
          <w:sz w:val="22"/>
          <w:szCs w:val="22"/>
        </w:rPr>
        <w:t xml:space="preserve"> die zur Zeitverschiebung passen: zwei Minuten beim Kochen, beantwortet, wenn der andere aufwacht.</w:t>
      </w:r>
    </w:p>
    <w:p>
      <w:pPr>
        <w:pStyle w:val="ListParagraph"/>
        <w:numPr>
          <w:ilvl w:val="0"/>
          <w:numId w:val="1"/>
        </w:numPr>
        <w:spacing w:lineRule="exact" w:line="288" w:before="0" w:after="60"/>
        <w:rPr/>
      </w:pPr>
      <w:r>
        <w:rPr>
          <w:rFonts w:eastAsia="Cambria" w:cs="Cambria"/>
          <w:b/>
          <w:bCs/>
          <w:i w:val="false"/>
          <w:iCs w:val="false"/>
          <w:sz w:val="22"/>
          <w:szCs w:val="22"/>
        </w:rPr>
        <w:t>Gruppenchats</w:t>
      </w:r>
      <w:r>
        <w:rPr>
          <w:rFonts w:eastAsia="Cambria" w:cs="Cambria"/>
          <w:b w:val="false"/>
          <w:bCs w:val="false"/>
          <w:i w:val="false"/>
          <w:iCs w:val="false"/>
          <w:sz w:val="22"/>
          <w:szCs w:val="22"/>
        </w:rPr>
        <w:t xml:space="preserve"> für Fotos und Alltagskleinigkeiten, damit Kontakt nicht nur aus Großereignissen besteht.</w:t>
      </w:r>
    </w:p>
    <w:p>
      <w:pPr>
        <w:pStyle w:val="ListParagraph"/>
        <w:numPr>
          <w:ilvl w:val="0"/>
          <w:numId w:val="1"/>
        </w:numPr>
        <w:spacing w:lineRule="exact" w:line="288" w:before="0" w:after="60"/>
        <w:rPr/>
      </w:pPr>
      <w:r>
        <w:rPr>
          <w:rFonts w:eastAsia="Cambria" w:cs="Cambria"/>
          <w:b/>
          <w:bCs/>
          <w:i w:val="false"/>
          <w:iCs w:val="false"/>
          <w:sz w:val="22"/>
          <w:szCs w:val="22"/>
        </w:rPr>
        <w:t>Besuche mit Plan:</w:t>
      </w:r>
      <w:r>
        <w:rPr>
          <w:rFonts w:eastAsia="Cambria" w:cs="Cambria"/>
          <w:b w:val="false"/>
          <w:bCs w:val="false"/>
          <w:i w:val="false"/>
          <w:iCs w:val="false"/>
          <w:sz w:val="22"/>
          <w:szCs w:val="22"/>
        </w:rPr>
        <w:t xml:space="preserve"> Freunde reisen für kurze Besuche meist mit ESTA ein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 Bei Heimatbesuchen sind zwei feste Abende mit der ganzen Runde besser als 15 Einzeltreffen.</w:t>
      </w:r>
    </w:p>
    <w:p>
      <w:pPr>
        <w:pStyle w:val="ListParagraph"/>
        <w:numPr>
          <w:ilvl w:val="0"/>
          <w:numId w:val="1"/>
        </w:numPr>
        <w:spacing w:lineRule="exact" w:line="288" w:before="0" w:after="60"/>
        <w:rPr/>
      </w:pPr>
      <w:r>
        <w:rPr>
          <w:rFonts w:eastAsia="Cambria" w:cs="Cambria"/>
          <w:b/>
          <w:bCs/>
          <w:i w:val="false"/>
          <w:iCs w:val="false"/>
          <w:sz w:val="22"/>
          <w:szCs w:val="22"/>
        </w:rPr>
        <w:t>Interesse zeigen:</w:t>
      </w:r>
      <w:r>
        <w:rPr>
          <w:rFonts w:eastAsia="Cambria" w:cs="Cambria"/>
          <w:b w:val="false"/>
          <w:bCs w:val="false"/>
          <w:i w:val="false"/>
          <w:iCs w:val="false"/>
          <w:sz w:val="22"/>
          <w:szCs w:val="22"/>
        </w:rPr>
        <w:t xml:space="preserve"> Erzähle nicht nur vom neuen Leben, frage nach dem Alltag zu Hause und lass Vergleiche wie „Hier ist alles besser“ weg.</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Rechne damit, dass einige Freundschaften leiser werden. Das ist normal und kein Verrat: Die engen bleiben, die übrigen leben bei Besuchen wieder auf.</w:t>
      </w:r>
    </w:p>
    <w:p>
      <w:pPr>
        <w:pStyle w:val="Heading3"/>
        <w:keepNext w:val="true"/>
        <w:spacing w:before="280" w:after="100"/>
        <w:jc w:val="center"/>
        <w:rPr/>
      </w:pPr>
      <w:r>
        <w:rPr>
          <w:rFonts w:eastAsia="Amazon Ember" w:cs="Amazon Ember" w:ascii="Amazon Ember" w:hAnsi="Amazon Ember"/>
          <w:b/>
          <w:bCs/>
          <w:color w:val="0000FF"/>
          <w:sz w:val="36"/>
          <w:szCs w:val="36"/>
        </w:rPr>
        <w:t>Fallen und Erwartungen</w:t>
      </w:r>
    </w:p>
    <w:p>
      <w:pPr>
        <w:pStyle w:val="ListParagraph"/>
        <w:numPr>
          <w:ilvl w:val="0"/>
          <w:numId w:val="1"/>
        </w:numPr>
        <w:spacing w:lineRule="exact" w:line="288" w:before="0" w:after="60"/>
        <w:rPr/>
      </w:pPr>
      <w:r>
        <w:rPr>
          <w:rFonts w:eastAsia="Cambria" w:cs="Cambria"/>
          <w:b/>
          <w:bCs/>
          <w:i w:val="false"/>
          <w:iCs w:val="false"/>
          <w:sz w:val="22"/>
          <w:szCs w:val="22"/>
        </w:rPr>
        <w:t>Der Alles-in-einem-Freund.</w:t>
      </w:r>
      <w:r>
        <w:rPr>
          <w:rFonts w:eastAsia="Cambria" w:cs="Cambria"/>
          <w:b w:val="false"/>
          <w:bCs w:val="false"/>
          <w:i w:val="false"/>
          <w:iCs w:val="false"/>
          <w:sz w:val="22"/>
          <w:szCs w:val="22"/>
        </w:rPr>
        <w:t xml:space="preserve"> Amerikanische Freundschaften hängen oft an einer Aktivität: Laufpartner, Eltern-Freundin, Kollege. Wer alle Lebensbereiche in einer Person sucht, sucht lange. Das Wort </w:t>
      </w:r>
      <w:r>
        <w:rPr>
          <w:rFonts w:eastAsia="Cambria" w:cs="Cambria"/>
          <w:b w:val="false"/>
          <w:bCs w:val="false"/>
          <w:i/>
          <w:iCs/>
          <w:sz w:val="22"/>
          <w:szCs w:val="22"/>
        </w:rPr>
        <w:t>friend</w:t>
      </w:r>
      <w:r>
        <w:rPr>
          <w:rFonts w:eastAsia="Cambria" w:cs="Cambria"/>
          <w:b w:val="false"/>
          <w:bCs w:val="false"/>
          <w:i w:val="false"/>
          <w:iCs w:val="false"/>
          <w:sz w:val="22"/>
          <w:szCs w:val="22"/>
        </w:rPr>
        <w:t xml:space="preserve"> ist zudem weiter gefasst als „Freund“; für enge Bindungen gibt es „close friend“ und „best friend“.</w:t>
      </w:r>
    </w:p>
    <w:p>
      <w:pPr>
        <w:pStyle w:val="ListParagraph"/>
        <w:numPr>
          <w:ilvl w:val="0"/>
          <w:numId w:val="1"/>
        </w:numPr>
        <w:spacing w:lineRule="exact" w:line="288" w:before="0" w:after="60"/>
        <w:rPr/>
      </w:pPr>
      <w:r>
        <w:rPr>
          <w:rFonts w:eastAsia="Cambria" w:cs="Cambria"/>
          <w:b/>
          <w:bCs/>
          <w:i w:val="false"/>
          <w:iCs w:val="false"/>
          <w:sz w:val="22"/>
          <w:szCs w:val="22"/>
        </w:rPr>
        <w:t>Schnelle Tiefe.</w:t>
      </w:r>
      <w:r>
        <w:rPr>
          <w:rFonts w:eastAsia="Cambria" w:cs="Cambria"/>
          <w:b w:val="false"/>
          <w:bCs w:val="false"/>
          <w:i w:val="false"/>
          <w:iCs w:val="false"/>
          <w:sz w:val="22"/>
          <w:szCs w:val="22"/>
        </w:rPr>
        <w:t xml:space="preserve"> Gehalt, Politik und Religion sind beim Kennenlernen heikel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Tiefe kommt nach Wiederholung, nicht vorher.</w:t>
      </w:r>
    </w:p>
    <w:p>
      <w:pPr>
        <w:pStyle w:val="ListParagraph"/>
        <w:numPr>
          <w:ilvl w:val="0"/>
          <w:numId w:val="1"/>
        </w:numPr>
        <w:spacing w:lineRule="exact" w:line="288" w:before="0" w:after="60"/>
        <w:rPr/>
      </w:pPr>
      <w:r>
        <w:rPr>
          <w:rFonts w:eastAsia="Cambria" w:cs="Cambria"/>
          <w:b/>
          <w:bCs/>
          <w:i w:val="false"/>
          <w:iCs w:val="false"/>
          <w:sz w:val="22"/>
          <w:szCs w:val="22"/>
        </w:rPr>
        <w:t>Nur ein Standbein.</w:t>
      </w:r>
      <w:r>
        <w:rPr>
          <w:rFonts w:eastAsia="Cambria" w:cs="Cambria"/>
          <w:b w:val="false"/>
          <w:bCs w:val="false"/>
          <w:i w:val="false"/>
          <w:iCs w:val="false"/>
          <w:sz w:val="22"/>
          <w:szCs w:val="22"/>
        </w:rPr>
        <w:t xml:space="preserve"> Wer alle Kontakte über den Job hat, verliert sie beim Jobwechsel oder Stellenabbau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 Baue mindestens zwei Kreise auf, etwa Job und Sport oder Kinder und Gemeinde.</w:t>
      </w:r>
    </w:p>
    <w:p>
      <w:pPr>
        <w:pStyle w:val="ListParagraph"/>
        <w:numPr>
          <w:ilvl w:val="0"/>
          <w:numId w:val="1"/>
        </w:numPr>
        <w:spacing w:lineRule="exact" w:line="288" w:before="0" w:after="60"/>
        <w:rPr/>
      </w:pPr>
      <w:r>
        <w:rPr>
          <w:rFonts w:eastAsia="Cambria" w:cs="Cambria"/>
          <w:b/>
          <w:bCs/>
          <w:i w:val="false"/>
          <w:iCs w:val="false"/>
          <w:sz w:val="22"/>
          <w:szCs w:val="22"/>
        </w:rPr>
        <w:t>Zu früh urteilen.</w:t>
      </w:r>
      <w:r>
        <w:rPr>
          <w:rFonts w:eastAsia="Cambria" w:cs="Cambria"/>
          <w:b w:val="false"/>
          <w:bCs w:val="false"/>
          <w:i w:val="false"/>
          <w:iCs w:val="false"/>
          <w:sz w:val="22"/>
          <w:szCs w:val="22"/>
        </w:rPr>
        <w:t xml:space="preserve"> Wer nach drei Wochen „Die Amerikaner sind oberflächlich“ sagt, hört auf zu fragen und bestätigt sich selbst.</w:t>
      </w:r>
    </w:p>
    <w:p>
      <w:pPr>
        <w:pStyle w:val="ListParagraph"/>
        <w:numPr>
          <w:ilvl w:val="0"/>
          <w:numId w:val="1"/>
        </w:numPr>
        <w:spacing w:lineRule="exact" w:line="288" w:before="0" w:after="60"/>
        <w:rPr/>
      </w:pPr>
      <w:r>
        <w:rPr>
          <w:rFonts w:eastAsia="Cambria" w:cs="Cambria"/>
          <w:b/>
          <w:bCs/>
          <w:i w:val="false"/>
          <w:iCs w:val="false"/>
          <w:sz w:val="22"/>
          <w:szCs w:val="22"/>
        </w:rPr>
        <w:t>Krisenzeiten.</w:t>
      </w:r>
      <w:r>
        <w:rPr>
          <w:rFonts w:eastAsia="Cambria" w:cs="Cambria"/>
          <w:b w:val="false"/>
          <w:bCs w:val="false"/>
          <w:i w:val="false"/>
          <w:iCs w:val="false"/>
          <w:sz w:val="22"/>
          <w:szCs w:val="22"/>
        </w:rPr>
        <w:t xml:space="preserve"> Der erste Winter und die ersten Feiertage sind für viele die einsamsten Wochen. Das ist kein Zeichen von Versagen (Kapitel </w:t>
      </w:r>
      <w:hyperlink w:anchor="k33">
        <w:r>
          <w:rPr>
            <w:rStyle w:val="ListLabel115"/>
            <w:rFonts w:eastAsia="Cambria" w:cs="Cambria"/>
            <w:b w:val="false"/>
            <w:bCs w:val="false"/>
            <w:i w:val="false"/>
            <w:iCs w:val="false"/>
            <w:sz w:val="22"/>
            <w:szCs w:val="22"/>
          </w:rPr>
          <w:t>33</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größte Falle ist der Rückzug. Wer nach mehreren enttäuschenden Versuchen aufhört, verlängert die Einsamkeit. Setze dir ein Minimum: eine feste Gruppe pro Woche und pro Woche einen Kaffeevorschlag.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amerikanische Freundschaftskultur im Vergleich zu deinen Erfahrungen in Deutschland:</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Offenheit: Kontakt zu Fremden gelingt schnell und meist unkompliziert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Schneller Kontakt heißt nicht tiefe Bindung; Vertiefung dauert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Einladungen zu Grillen, Potlucks und Kinderpartys haben niedrige Hürden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Kurzfristige Absagen kommen häufiger vor, als du es gewohnt sein magst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Viele organisierte Angebote: Clubs, Ligen, Meetups, Kurse in fast jeder Stadt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Freundschaften hängen oft an einer Aktivität und enden mit ihr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Neuanfang ohne alte Rollen: Du bist, wie du dich zeigst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Hohe Mobilität: Freunde und Kollegen ziehen weiter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Große Hilfsbereitschaft bei Tipps, Empfehlungen und Fahrdiensten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Volle Kalender: Verabredungen liegen oft Wochen im Voraus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Gastgeber laden gern nach Hause ein, oft zu zwanglosen Anlässen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eigenes Nachfassen passiert wenig</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Wähle vor dem Umzug zwei Wege aus der Tabelle, tritt den Online-Gruppen deiner Zielstadt bei und plane in den ersten zwei Wochen nach der Ankunft je einen festen Wochentermin. Nach jedem netten Gespräch schreibst du binnen drei Tagen zwei Terminvorschläge.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dem Umzug Facebook- und Meetup-Gruppen deiner Zielstadt suchen und mitlesen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Zwei feste Wochentermine wählen (Sport, Kurs, Gemeinde oder Ehrenamt) und mindestens sechs Wochen durchhalten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Nach jedem netten Gespräch binnen drei Tagen per Text zwei konkrete Terminvorschläge senden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Mit Kindern: bei der PTA oder PTO der Schule ein Helferangebot machen, Playdates über die Eltern absprechen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Beim Arbeitgeber nach Employee Resource Groups und Team-Anlässen fragen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Ohne Arbeitserlaubnis nur echtes Ehrenamt bei gemeinnützigen Organisationen, im Zweifel vorher Rat einholen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Einladungen binnen zwei Tagen zu- oder absagen, eine kleine Gabe mitbringen, binnen weniger Wochen zurückladen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Deutschsprachige Angebote nutzen, aber die Hälfte der festen Termine unter Englischsprachigen halten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Rituale mit Freunden in Deutschland vereinbaren (Videoanruf, Sprachnachrichten) und die Zeitverschiebung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Nach drei Monaten Bilanz ziehen: Welche Gruppe hat funktioniert, welche nicht?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University of Kansas — Studie zur Zeit, die Freundschaft braucht (</w:t>
      </w:r>
      <w:hyperlink r:id="rId312">
        <w:r>
          <w:rPr>
            <w:rStyle w:val="ListLabel113"/>
            <w:rFonts w:eastAsia="Cambria" w:cs="Cambria"/>
            <w:b w:val="false"/>
            <w:bCs w:val="false"/>
            <w:i w:val="false"/>
            <w:iCs w:val="false"/>
            <w:color w:val="0563C1"/>
            <w:sz w:val="22"/>
            <w:szCs w:val="22"/>
            <w:u w:val="single"/>
          </w:rPr>
          <w:t>news.ku.edu</w:t>
        </w:r>
      </w:hyperlink>
      <w:r>
        <w:rPr>
          <w:rFonts w:eastAsia="Cambria" w:cs="Cambria"/>
          <w:b w:val="false"/>
          <w:bCs w:val="false"/>
          <w:i w:val="false"/>
          <w:iCs w:val="false"/>
          <w:sz w:val="22"/>
          <w:szCs w:val="22"/>
        </w:rPr>
        <w:t>, Suche: hours to make a friend)</w:t>
      </w:r>
    </w:p>
    <w:p>
      <w:pPr>
        <w:pStyle w:val="ListParagraph"/>
        <w:numPr>
          <w:ilvl w:val="0"/>
          <w:numId w:val="1"/>
        </w:numPr>
        <w:spacing w:lineRule="exact" w:line="288" w:before="0" w:after="60"/>
        <w:rPr/>
      </w:pPr>
      <w:r>
        <w:rPr>
          <w:rFonts w:eastAsia="Cambria" w:cs="Cambria"/>
          <w:b w:val="false"/>
          <w:bCs w:val="false"/>
          <w:i w:val="false"/>
          <w:iCs w:val="false"/>
          <w:sz w:val="22"/>
          <w:szCs w:val="22"/>
        </w:rPr>
        <w:t>US Census Bureau — Umzüge und regionale Mobilität (</w:t>
      </w:r>
      <w:hyperlink r:id="rId313">
        <w:r>
          <w:rPr>
            <w:rStyle w:val="ListLabel113"/>
            <w:rFonts w:eastAsia="Cambria" w:cs="Cambria"/>
            <w:b w:val="false"/>
            <w:bCs w:val="false"/>
            <w:i w:val="false"/>
            <w:iCs w:val="false"/>
            <w:color w:val="0563C1"/>
            <w:sz w:val="22"/>
            <w:szCs w:val="22"/>
            <w:u w:val="single"/>
          </w:rPr>
          <w:t>census.gov/topics/population/migration</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Evangelische Kirche in Deutschland — deutschsprachige Auslandsgemeinden in Amerika (</w:t>
      </w:r>
      <w:hyperlink r:id="rId314">
        <w:r>
          <w:rPr>
            <w:rStyle w:val="ListLabel113"/>
            <w:rFonts w:eastAsia="Cambria" w:cs="Cambria"/>
            <w:b w:val="false"/>
            <w:bCs w:val="false"/>
            <w:i w:val="false"/>
            <w:iCs w:val="false"/>
            <w:color w:val="0563C1"/>
            <w:sz w:val="22"/>
            <w:szCs w:val="22"/>
            <w:u w:val="single"/>
          </w:rPr>
          <w:t>ekd.de/auslandsgemeinden-amerika-47196.htm</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Goethe-Institut USA — Standorte und Programme (</w:t>
      </w:r>
      <w:hyperlink r:id="rId315">
        <w:r>
          <w:rPr>
            <w:rStyle w:val="ListLabel113"/>
            <w:rFonts w:eastAsia="Cambria" w:cs="Cambria"/>
            <w:b w:val="false"/>
            <w:bCs w:val="false"/>
            <w:i w:val="false"/>
            <w:iCs w:val="false"/>
            <w:color w:val="0563C1"/>
            <w:sz w:val="22"/>
            <w:szCs w:val="22"/>
            <w:u w:val="single"/>
          </w:rPr>
          <w:t>goethe.de/ins/us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Idealist — Freiwilligenarbeit finden (</w:t>
      </w:r>
      <w:hyperlink r:id="rId316">
        <w:r>
          <w:rPr>
            <w:rStyle w:val="ListLabel113"/>
            <w:rFonts w:eastAsia="Cambria" w:cs="Cambria"/>
            <w:b w:val="false"/>
            <w:bCs w:val="false"/>
            <w:i w:val="false"/>
            <w:iCs w:val="false"/>
            <w:color w:val="0563C1"/>
            <w:sz w:val="22"/>
            <w:szCs w:val="22"/>
            <w:u w:val="single"/>
          </w:rPr>
          <w:t>idealist.org</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Einwanderungsbehörde USCIS — Arbeitserlaubnis für H-4-Ehepartner (</w:t>
      </w:r>
      <w:hyperlink r:id="rId317">
        <w:r>
          <w:rPr>
            <w:rStyle w:val="ListLabel113"/>
            <w:rFonts w:eastAsia="Cambria" w:cs="Cambria"/>
            <w:b w:val="false"/>
            <w:bCs w:val="false"/>
            <w:i w:val="false"/>
            <w:iCs w:val="false"/>
            <w:color w:val="0563C1"/>
            <w:sz w:val="22"/>
            <w:szCs w:val="22"/>
            <w:u w:val="single"/>
          </w:rPr>
          <w:t>uscis.gov</w:t>
        </w:r>
      </w:hyperlink>
      <w:r>
        <w:rPr>
          <w:rFonts w:eastAsia="Cambria" w:cs="Cambria"/>
          <w:b w:val="false"/>
          <w:bCs w:val="false"/>
          <w:i w:val="false"/>
          <w:iCs w:val="false"/>
          <w:sz w:val="22"/>
          <w:szCs w:val="22"/>
        </w:rPr>
        <w:t>, Suche: H-4 employment authorization)</w:t>
      </w:r>
    </w:p>
    <w:p>
      <w:pPr>
        <w:pStyle w:val="ListParagraph"/>
        <w:numPr>
          <w:ilvl w:val="0"/>
          <w:numId w:val="1"/>
        </w:numPr>
        <w:spacing w:lineRule="exact" w:line="288" w:before="0" w:after="60"/>
        <w:rPr/>
      </w:pPr>
      <w:r>
        <w:rPr>
          <w:rFonts w:eastAsia="Cambria" w:cs="Cambria"/>
          <w:b w:val="false"/>
          <w:bCs w:val="false"/>
          <w:i w:val="false"/>
          <w:iCs w:val="false"/>
          <w:sz w:val="22"/>
          <w:szCs w:val="22"/>
        </w:rPr>
        <w:t>Meetup — Hilfebereich zu Gebühren und Abos (</w:t>
      </w:r>
      <w:hyperlink r:id="rId318">
        <w:r>
          <w:rPr>
            <w:rStyle w:val="ListLabel113"/>
            <w:rFonts w:eastAsia="Cambria" w:cs="Cambria"/>
            <w:b w:val="false"/>
            <w:bCs w:val="false"/>
            <w:i w:val="false"/>
            <w:iCs w:val="false"/>
            <w:color w:val="0563C1"/>
            <w:sz w:val="22"/>
            <w:szCs w:val="22"/>
            <w:u w:val="single"/>
          </w:rPr>
          <w:t>help.meetup.com</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schnell: Preise und Funktionen von Apps (Meetup, BFF, Timeleft, Nextdoor), Standorte des Goethe-Instituts, die Regeln zur Arbeitserlaubnis für H-4-Partner sowie die Mobilitätsdaten des Census Bureau (Datenjahr 2024). Prüfe vor jeder Entscheidung die aktuellen Angaben der Anbieter und offiziellen Stellen.</w:t>
            </w:r>
          </w:p>
        </w:tc>
      </w:tr>
    </w:tbl>
    <w:p>
      <w:pPr>
        <w:pStyle w:val="Normal"/>
        <w:spacing w:lineRule="exact" w:line="220" w:before="0" w:after="0"/>
        <w:rPr/>
      </w:pPr>
      <w:r>
        <w:rPr/>
      </w:r>
      <w:r>
        <w:br w:type="page"/>
      </w:r>
    </w:p>
    <w:p>
      <w:pPr>
        <w:pStyle w:val="Heading2"/>
        <w:keepNext w:val="true"/>
        <w:spacing w:before="0" w:after="300"/>
        <w:jc w:val="center"/>
        <w:rPr/>
      </w:pPr>
      <w:bookmarkStart w:id="81" w:name="__RefHeading___Toc56507_3769931028"/>
      <w:bookmarkStart w:id="82" w:name="k33"/>
      <w:bookmarkEnd w:id="81"/>
      <w:r>
        <w:rPr>
          <w:rFonts w:eastAsia="Amazon Ember" w:cs="Amazon Ember" w:ascii="Amazon Ember" w:hAnsi="Amazon Ember"/>
          <w:b/>
          <w:bCs/>
          <w:color w:val="0000FF"/>
          <w:sz w:val="36"/>
          <w:szCs w:val="36"/>
        </w:rPr>
        <w:t>Kapitel 33: Heimweh, Kulturschock und mentale Gesundheit</w:t>
      </w:r>
      <w:bookmarkEnd w:id="82"/>
    </w:p>
    <w:p>
      <w:pPr>
        <w:pStyle w:val="Normal"/>
        <w:keepNext w:val="false"/>
        <w:keepLines w:val="false"/>
        <w:spacing w:lineRule="exact" w:line="288" w:before="0" w:after="140"/>
        <w:jc w:val="left"/>
        <w:rPr/>
      </w:pPr>
      <w:r>
        <w:rPr>
          <w:rFonts w:eastAsia="Cambria" w:cs="Cambria"/>
          <w:b w:val="false"/>
          <w:bCs w:val="false"/>
          <w:i w:val="false"/>
          <w:iCs w:val="false"/>
          <w:sz w:val="22"/>
          <w:szCs w:val="22"/>
        </w:rPr>
        <w:t>Es ist der vierte Samstagabend in Folge, an dem du früh das Licht ausmachst, während in der Familien-Chat-Gruppe Fotos vom Herbstfest der alten Nachbarschaft eintrudeln. Job, Wohnung und Auto sind organisiert, alles läuft nach Plan – und trotzdem liegt seit Wochen ein Kloß im Hals, sobald jemand fragt, wie es dir geht. Das ist kein Ausrutscher und kein Zeichen, dass der Umzug ein Fehler war. Es ist Kulturschock, und er hat einen ziemlich vorhersagbaren Verlauf.</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Kulturschock verläuft in Phasen und ist zeitlich meist begrenzt – keine Schwäche und kein Fehlurteil.</w:t>
            </w:r>
          </w:p>
          <w:p>
            <w:pPr>
              <w:pStyle w:val="ListParagraph"/>
              <w:numPr>
                <w:ilvl w:val="0"/>
                <w:numId w:val="1"/>
              </w:numPr>
              <w:spacing w:lineRule="exact" w:line="264" w:before="0" w:after="50"/>
              <w:rPr/>
            </w:pPr>
            <w:r>
              <w:rPr>
                <w:rFonts w:eastAsia="Cambria" w:cs="Cambria"/>
                <w:b w:val="false"/>
                <w:bCs w:val="false"/>
                <w:i w:val="false"/>
                <w:iCs w:val="false"/>
                <w:sz w:val="20"/>
                <w:szCs w:val="20"/>
              </w:rPr>
              <w:t>Die kritischsten Monate sind der dritte bis sechste, dazu der erste Winter und die ersten Feiertage fern der Familie.</w:t>
            </w:r>
          </w:p>
          <w:p>
            <w:pPr>
              <w:pStyle w:val="ListParagraph"/>
              <w:numPr>
                <w:ilvl w:val="0"/>
                <w:numId w:val="1"/>
              </w:numPr>
              <w:spacing w:lineRule="exact" w:line="264" w:before="0" w:after="50"/>
              <w:rPr/>
            </w:pPr>
            <w:r>
              <w:rPr>
                <w:rFonts w:eastAsia="Cambria" w:cs="Cambria"/>
                <w:b w:val="false"/>
                <w:bCs w:val="false"/>
                <w:i w:val="false"/>
                <w:iCs w:val="false"/>
                <w:sz w:val="20"/>
                <w:szCs w:val="20"/>
              </w:rPr>
              <w:t>Mitreisende Partner und Kinder durchleben eigene Formen des Kulturschocks, oft zeitversetzt zueinander.</w:t>
            </w:r>
          </w:p>
          <w:p>
            <w:pPr>
              <w:pStyle w:val="ListParagraph"/>
              <w:numPr>
                <w:ilvl w:val="0"/>
                <w:numId w:val="1"/>
              </w:numPr>
              <w:spacing w:lineRule="exact" w:line="264" w:before="0" w:after="50"/>
              <w:rPr/>
            </w:pPr>
            <w:r>
              <w:rPr>
                <w:rFonts w:eastAsia="Cambria" w:cs="Cambria"/>
                <w:b w:val="false"/>
                <w:bCs w:val="false"/>
                <w:i w:val="false"/>
                <w:iCs w:val="false"/>
                <w:sz w:val="20"/>
                <w:szCs w:val="20"/>
              </w:rPr>
              <w:t>Routinen, Rituale, Bewegung und Sprache wirken gegen das Tief oft stärker als guter Wille allein.</w:t>
            </w:r>
          </w:p>
          <w:p>
            <w:pPr>
              <w:pStyle w:val="ListParagraph"/>
              <w:numPr>
                <w:ilvl w:val="0"/>
                <w:numId w:val="1"/>
              </w:numPr>
              <w:spacing w:lineRule="exact" w:line="264" w:before="0" w:after="50"/>
              <w:rPr/>
            </w:pPr>
            <w:r>
              <w:rPr>
                <w:rFonts w:eastAsia="Cambria" w:cs="Cambria"/>
                <w:b w:val="false"/>
                <w:bCs w:val="false"/>
                <w:i w:val="false"/>
                <w:iCs w:val="false"/>
                <w:sz w:val="20"/>
                <w:szCs w:val="20"/>
              </w:rPr>
              <w:t>Professionelle Hilfe ist in den USA erreichbar: betriebliche Beratung, Telehealth, günstige Anbieter, deutschsprachige Therapeuten.</w:t>
            </w:r>
          </w:p>
          <w:p>
            <w:pPr>
              <w:pStyle w:val="ListParagraph"/>
              <w:numPr>
                <w:ilvl w:val="0"/>
                <w:numId w:val="1"/>
              </w:numPr>
              <w:spacing w:lineRule="exact" w:line="264" w:before="0" w:after="50"/>
              <w:rPr/>
            </w:pPr>
            <w:r>
              <w:rPr>
                <w:rFonts w:eastAsia="Cambria" w:cs="Cambria"/>
                <w:b w:val="false"/>
                <w:bCs w:val="false"/>
                <w:i w:val="false"/>
                <w:iCs w:val="false"/>
                <w:sz w:val="20"/>
                <w:szCs w:val="20"/>
              </w:rPr>
              <w:t>Bei akuter Gefahr zählt ein Anruf, Chat oder Text: 988, kostenlos, rund um die Uhr.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Phasen des Kulturschocks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Wer nach einem harten dritten Monat an der Entscheidung zweifelt, war offenbar nicht bereit für den Umzug. Tatsächlich beschreibt ein verbreitetes Modell (nach dem Anthropologen Kalervo Oberg, 1960) Kulturschock als Kurve mit vier Abschnitten, die fast jeden erfasst, der längere Zeit in einem fremden Land lebt. Sie verläuft nicht bei allen gleich, nicht linear und nicht bei allen Familienmitgliedern gleichzeitig – aber sie hilft, das eigene Tief einzuordnen.</w:t>
      </w:r>
    </w:p>
    <w:tbl>
      <w:tblPr>
        <w:tblW w:w="6480" w:type="dxa"/>
        <w:jc w:val="left"/>
        <w:tblInd w:w="0" w:type="dxa"/>
        <w:tblLayout w:type="fixed"/>
        <w:tblCellMar>
          <w:top w:w="50" w:type="dxa"/>
          <w:left w:w="80" w:type="dxa"/>
          <w:bottom w:w="50" w:type="dxa"/>
          <w:right w:w="80" w:type="dxa"/>
        </w:tblCellMar>
      </w:tblPr>
      <w:tblGrid>
        <w:gridCol w:w="997"/>
        <w:gridCol w:w="1105"/>
        <w:gridCol w:w="2189"/>
        <w:gridCol w:w="2188"/>
      </w:tblGrid>
      <w:tr>
        <w:trPr>
          <w:tblHeader w:val="true"/>
          <w:cantSplit w:val="true"/>
        </w:trPr>
        <w:tc>
          <w:tcPr>
            <w:tcW w:w="99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Phase</w:t>
            </w:r>
          </w:p>
        </w:tc>
        <w:tc>
          <w:tcPr>
            <w:tcW w:w="110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Typische Dauer</w:t>
            </w:r>
          </w:p>
        </w:tc>
        <w:tc>
          <w:tcPr>
            <w:tcW w:w="218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Typisches Gefühl</w:t>
            </w:r>
          </w:p>
        </w:tc>
        <w:tc>
          <w:tcPr>
            <w:tcW w:w="218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hilft</w:t>
            </w:r>
          </w:p>
        </w:tc>
      </w:tr>
      <w:tr>
        <w:trPr>
          <w:cantSplit w:val="true"/>
        </w:trPr>
        <w:tc>
          <w:tcPr>
            <w:tcW w:w="9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Honeymoon</w:t>
            </w:r>
            <w:r>
              <w:rPr>
                <w:rFonts w:eastAsia="Cambria" w:cs="Cambria"/>
                <w:b w:val="false"/>
                <w:bCs w:val="false"/>
                <w:i w:val="false"/>
                <w:iCs w:val="false"/>
                <w:sz w:val="18"/>
                <w:szCs w:val="18"/>
              </w:rPr>
              <w:t>-Phase (Anfangseuphorie)</w:t>
            </w:r>
          </w:p>
        </w:tc>
        <w:tc>
          <w:tcPr>
            <w:tcW w:w="11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erste Wochen bis ca. 2 Monate</w:t>
            </w:r>
          </w:p>
        </w:tc>
        <w:tc>
          <w:tcPr>
            <w:tcW w:w="21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Neugier, Begeisterung, alles wirkt aufregend</w:t>
            </w:r>
          </w:p>
        </w:tc>
        <w:tc>
          <w:tcPr>
            <w:tcW w:w="21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Genießen, aber früh kleine Routinen aufbauen</w:t>
            </w:r>
          </w:p>
        </w:tc>
      </w:tr>
      <w:tr>
        <w:trPr>
          <w:cantSplit w:val="true"/>
        </w:trPr>
        <w:tc>
          <w:tcPr>
            <w:tcW w:w="9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Kulturschock-Talsohle</w:t>
            </w:r>
          </w:p>
        </w:tc>
        <w:tc>
          <w:tcPr>
            <w:tcW w:w="11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häufig Monat 3 bis 6</w:t>
            </w:r>
          </w:p>
        </w:tc>
        <w:tc>
          <w:tcPr>
            <w:tcW w:w="21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Erschöpfung, Reizbarkeit, Heimweh, Zweifel an der Entscheidung</w:t>
            </w:r>
          </w:p>
        </w:tc>
        <w:tc>
          <w:tcPr>
            <w:tcW w:w="21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Struktur, Bewegung, echte Kontakte, bei Bedarf Hilfe</w:t>
            </w:r>
          </w:p>
        </w:tc>
      </w:tr>
      <w:tr>
        <w:trPr>
          <w:cantSplit w:val="true"/>
        </w:trPr>
        <w:tc>
          <w:tcPr>
            <w:tcW w:w="9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Anpassung</w:t>
            </w:r>
          </w:p>
        </w:tc>
        <w:tc>
          <w:tcPr>
            <w:tcW w:w="11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häufig Monat 6 bis 12</w:t>
            </w:r>
          </w:p>
        </w:tc>
        <w:tc>
          <w:tcPr>
            <w:tcW w:w="21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Alltag wird Routine, Unterschiede eher komisch als bedrohlich</w:t>
            </w:r>
          </w:p>
        </w:tc>
        <w:tc>
          <w:tcPr>
            <w:tcW w:w="21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Neue Gewohnheiten festigen, Kontakte pflegen</w:t>
            </w:r>
          </w:p>
        </w:tc>
      </w:tr>
      <w:tr>
        <w:trPr>
          <w:cantSplit w:val="true"/>
        </w:trPr>
        <w:tc>
          <w:tcPr>
            <w:tcW w:w="9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Integration</w:t>
            </w:r>
          </w:p>
        </w:tc>
        <w:tc>
          <w:tcPr>
            <w:tcW w:w="11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etwa Jahr 1 bis 2</w:t>
            </w:r>
          </w:p>
        </w:tc>
        <w:tc>
          <w:tcPr>
            <w:tcW w:w="21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Sicherheit in beiden Kulturen, Vergleich ohne Wertung</w:t>
            </w:r>
          </w:p>
        </w:tc>
        <w:tc>
          <w:tcPr>
            <w:tcW w:w="21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Das Pendeln zwischen Identitäten als Normalzustand annehmen</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Kulturschock ist die normale Reaktion eines Gehirns, das gerade zu viele neue Reize und zu wenig vertraute Bezugspunkte verarbeitet. Er ist kein Charakterfehler und kein Beweis, dass die Entscheidung für die USA falsch war.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kritischen Monate: 3 bis 6, der erste Winter, die ersten Feiertage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Drei Zeitpunkte treffen die meisten Neuankömmlinge besonders hart. Erstens die </w:t>
      </w:r>
      <w:r>
        <w:rPr>
          <w:rFonts w:eastAsia="Cambria" w:cs="Cambria"/>
          <w:b/>
          <w:bCs/>
          <w:i w:val="false"/>
          <w:iCs w:val="false"/>
          <w:sz w:val="22"/>
          <w:szCs w:val="22"/>
        </w:rPr>
        <w:t>Monate 3 bis 6</w:t>
      </w:r>
      <w:r>
        <w:rPr>
          <w:rFonts w:eastAsia="Cambria" w:cs="Cambria"/>
          <w:b w:val="false"/>
          <w:bCs w:val="false"/>
          <w:i w:val="false"/>
          <w:iCs w:val="false"/>
          <w:sz w:val="22"/>
          <w:szCs w:val="22"/>
        </w:rPr>
        <w:t xml:space="preserve">: Der anfängliche Schwung ist weg, die Behördengänge sind erledigt, aber der Alltag fühlt sich noch fremd an, während zu Hause das Leben ohne dich weiterläuft. Zweitens der </w:t>
      </w:r>
      <w:r>
        <w:rPr>
          <w:rFonts w:eastAsia="Cambria" w:cs="Cambria"/>
          <w:b/>
          <w:bCs/>
          <w:i w:val="false"/>
          <w:iCs w:val="false"/>
          <w:sz w:val="22"/>
          <w:szCs w:val="22"/>
        </w:rPr>
        <w:t>erste Winter</w:t>
      </w:r>
      <w:r>
        <w:rPr>
          <w:rFonts w:eastAsia="Cambria" w:cs="Cambria"/>
          <w:b w:val="false"/>
          <w:bCs w:val="false"/>
          <w:i w:val="false"/>
          <w:iCs w:val="false"/>
          <w:sz w:val="22"/>
          <w:szCs w:val="22"/>
        </w:rPr>
        <w:t>: In vielen Regionen bedeuten kürzere Tage, Kälte und mehr Zeit drinnen zusätzlichen Druck, gerade wenn noch kein fester Freundeskreis besteht (mehr dazu in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 xml:space="preserve">). Drittens die </w:t>
      </w:r>
      <w:r>
        <w:rPr>
          <w:rFonts w:eastAsia="Cambria" w:cs="Cambria"/>
          <w:b/>
          <w:bCs/>
          <w:i w:val="false"/>
          <w:iCs w:val="false"/>
          <w:sz w:val="22"/>
          <w:szCs w:val="22"/>
        </w:rPr>
        <w:t>ersten Feiertage</w:t>
      </w:r>
      <w:r>
        <w:rPr>
          <w:rFonts w:eastAsia="Cambria" w:cs="Cambria"/>
          <w:b w:val="false"/>
          <w:bCs w:val="false"/>
          <w:i w:val="false"/>
          <w:iCs w:val="false"/>
          <w:sz w:val="22"/>
          <w:szCs w:val="22"/>
        </w:rPr>
        <w:t xml:space="preserve"> fern der Familie – Thanksgiving kennst du noch nicht als eigene Tradition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aber spätestens Weihnachten und Silvester ohne die gewohnte Runde schlagen oft unerwartet stark zu. Manchmal genügt ein einziges Foto aus der Familien-Chat-Gruppe am Heiligabend – der gedeckte Tisch, die vertrauten Gesichter –, um einen ganzen Abend zu kippen.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sich im Tief zum ersten Weihnachtsfest spontan einen teuren Last-Minute-Flug nach Deutschland kauft, zahlt oft ein Vielfaches des Normalpreises und kehrt erschöpft statt erholt zurück. Plane Heimatbesuche zu Feiertagen Monate im Voraus, oder gestalte den Tag selbst bewusst: ein Videoanruf zur Bescherung, ein deutsches Essen, eine kleine eigene Tradition.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Wenn der Partner zurücksteht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Am stärksten trifft der Kulturschock häufig den mitreisenden Partner – meist mit </w:t>
      </w:r>
      <w:r>
        <w:rPr>
          <w:rFonts w:eastAsia="Cambria" w:cs="Cambria"/>
          <w:b w:val="false"/>
          <w:bCs w:val="false"/>
          <w:i/>
          <w:iCs/>
          <w:sz w:val="22"/>
          <w:szCs w:val="22"/>
        </w:rPr>
        <w:t>H-4</w:t>
      </w:r>
      <w:r>
        <w:rPr>
          <w:rFonts w:eastAsia="Cambria" w:cs="Cambria"/>
          <w:b w:val="false"/>
          <w:bCs w:val="false"/>
          <w:i w:val="false"/>
          <w:iCs w:val="false"/>
          <w:sz w:val="22"/>
          <w:szCs w:val="22"/>
        </w:rPr>
        <w:t>-Status ohne eigene Arbeitserlaubnis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 Wer in Deutschland einen Beruf, Kollegen und ein eigenes Einkommen hatte, verliert das in den USA oft komplett und ist finanziell und sozial vom Partner abhängig. Dazu kommt: Die Kinder finden über die Schule Anschluss, der arbeitende Partner über die Kollegen – wer zu Hause bleibt, hat diese Struktur nicht automatisch. Der Tag hat dann oft keinen äußeren Rhythmus mehr: kein Wecker fürs Büro, kein Kollege, der beim Kaffee fragt, wie das Wochenende war – nur die stille Wohnung, nachdem Kinder und Partner losgefahren sind. Das ist kein Randthema, sondern einer der häufigsten Gründe für anhaltende Unzufriedenheit im ersten Jahr. Wege aus der Isolation über Routinen, Kurse und Ehrenamt beschreibt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 xml:space="preserve"> ausführlich; hier geht es um den emotionalen Preis, wenn Identität und Tagesstruktur gleichzeitig wegbrechen. Sprich offen aus, was fehlt, statt es als Undankbarkeit gegenüber der gemeinsamen Entscheidung zu werten.</w:t>
      </w:r>
    </w:p>
    <w:p>
      <w:pPr>
        <w:pStyle w:val="Heading3"/>
        <w:keepNext w:val="true"/>
        <w:spacing w:before="280" w:after="100"/>
        <w:jc w:val="center"/>
        <w:rPr/>
      </w:pPr>
      <w:r>
        <w:rPr>
          <w:rFonts w:eastAsia="Amazon Ember" w:cs="Amazon Ember" w:ascii="Amazon Ember" w:hAnsi="Amazon Ember"/>
          <w:b/>
          <w:bCs/>
          <w:color w:val="0000FF"/>
          <w:sz w:val="36"/>
          <w:szCs w:val="36"/>
        </w:rPr>
        <w:t>Kinder und Jugendliche im Kulturschock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Kinder verarbeiten den Wechsel anders als Erwachsene, und jüngere anders als ältere. Vorschul- und Grundschulkinder finden über Schule und Sport meist vergleichsweise schnell Anschluss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 zeigen den Stress aber manchmal körperlich: Bauchweh vor der Schule, gestörter Schlaf, ein Rückfall ins Einnässen, mehr Klammern als sonst. Jugendliche haben es oft schwerer: Der Freundeskreis, den sie über Jahre aufgebaut haben, fällt in einer besonders wichtigen Lebensphase weg, dazu kommt die neue Unterrichtssprache (Kapitel </w:t>
      </w:r>
      <w:hyperlink w:anchor="k37">
        <w:r>
          <w:rPr>
            <w:rStyle w:val="ListLabel115"/>
            <w:rFonts w:eastAsia="Cambria" w:cs="Cambria"/>
            <w:b w:val="false"/>
            <w:bCs w:val="false"/>
            <w:i w:val="false"/>
            <w:iCs w:val="false"/>
            <w:sz w:val="22"/>
            <w:szCs w:val="22"/>
          </w:rPr>
          <w:t>37</w:t>
        </w:r>
      </w:hyperlink>
      <w:r>
        <w:rPr>
          <w:rFonts w:eastAsia="Cambria" w:cs="Cambria"/>
          <w:b w:val="false"/>
          <w:bCs w:val="false"/>
          <w:i w:val="false"/>
          <w:iCs w:val="false"/>
          <w:sz w:val="22"/>
          <w:szCs w:val="22"/>
        </w:rPr>
        <w:t>), und das neue Leben wird ständig, auch über soziale Medien, mit dem der zurückgelassenen Freunde verglichen.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Rückzug, plötzlich schlechtere Noten, Schlafprobleme oder anhaltende Gereiztheit bei einem Teenager sind selten reine Pubertät oder Trotz gegen die Eltern. Sprich das direkt an, ohne es kleinzureden („Das legt sich schon“) oder zu dramatisieren. Schulberater (</w:t>
            </w:r>
            <w:r>
              <w:rPr>
                <w:rFonts w:eastAsia="Cambria" w:cs="Cambria"/>
                <w:b w:val="false"/>
                <w:bCs w:val="false"/>
                <w:i/>
                <w:iCs/>
                <w:sz w:val="20"/>
                <w:szCs w:val="20"/>
              </w:rPr>
              <w:t>School Counselor</w:t>
            </w:r>
            <w:r>
              <w:rPr>
                <w:rFonts w:eastAsia="Cambria" w:cs="Cambria"/>
                <w:b w:val="false"/>
                <w:bCs w:val="false"/>
                <w:i w:val="false"/>
                <w:iCs w:val="false"/>
                <w:sz w:val="20"/>
                <w:szCs w:val="20"/>
              </w:rPr>
              <w:t>) sind an amerikanischen Schulen üblich und kostenlos ansprechbar (Kapitel </w:t>
            </w:r>
            <w:hyperlink w:anchor="k36">
              <w:r>
                <w:rPr>
                  <w:rStyle w:val="ListLabel114"/>
                  <w:rFonts w:eastAsia="Cambria" w:cs="Cambria"/>
                  <w:b w:val="false"/>
                  <w:bCs w:val="false"/>
                  <w:i w:val="false"/>
                  <w:iCs w:val="false"/>
                  <w:sz w:val="20"/>
                  <w:szCs w:val="20"/>
                </w:rPr>
                <w:t>36</w:t>
              </w:r>
            </w:hyperlink>
            <w:r>
              <w:rPr>
                <w:rFonts w:eastAsia="Cambria" w:cs="Cambria"/>
                <w:b w:val="false"/>
                <w:bCs w:val="false"/>
                <w:i w:val="false"/>
                <w:iCs w:val="false"/>
                <w:sz w:val="20"/>
                <w:szCs w:val="20"/>
              </w:rPr>
              <w:t xml:space="preserve"> und </w:t>
            </w:r>
            <w:hyperlink w:anchor="k38">
              <w:r>
                <w:rPr>
                  <w:rStyle w:val="ListLabel114"/>
                  <w:rFonts w:eastAsia="Cambria" w:cs="Cambria"/>
                  <w:b w:val="false"/>
                  <w:bCs w:val="false"/>
                  <w:i w:val="false"/>
                  <w:iCs w:val="false"/>
                  <w:sz w:val="20"/>
                  <w:szCs w:val="20"/>
                </w:rPr>
                <w:t>38</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wirklich hilft: Routinen, Rituale, Bewegung, Sprache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Vier Dinge wirken erfahrungsgemäß zuverlässiger gegen die Talsohle als reine Willenskraft:</w:t>
      </w:r>
    </w:p>
    <w:p>
      <w:pPr>
        <w:pStyle w:val="ListParagraph"/>
        <w:numPr>
          <w:ilvl w:val="0"/>
          <w:numId w:val="1"/>
        </w:numPr>
        <w:spacing w:lineRule="exact" w:line="288" w:before="0" w:after="60"/>
        <w:rPr/>
      </w:pPr>
      <w:r>
        <w:rPr>
          <w:rFonts w:eastAsia="Cambria" w:cs="Cambria"/>
          <w:b/>
          <w:bCs/>
          <w:i w:val="false"/>
          <w:iCs w:val="false"/>
          <w:sz w:val="22"/>
          <w:szCs w:val="22"/>
        </w:rPr>
        <w:t>Routinen.</w:t>
      </w:r>
      <w:r>
        <w:rPr>
          <w:rFonts w:eastAsia="Cambria" w:cs="Cambria"/>
          <w:b w:val="false"/>
          <w:bCs w:val="false"/>
          <w:i w:val="false"/>
          <w:iCs w:val="false"/>
          <w:sz w:val="22"/>
          <w:szCs w:val="22"/>
        </w:rPr>
        <w:t xml:space="preserve"> Feste Termine außerhalb der Wohnung – Sport, Kurs, Gottesdienst, Ehrenamt – geben Halt, wenn sonst wenig vertraut ist. Der Kalender lügt nicht: Was nicht eingetragen ist, findet in stressigen Wochen zuerst nicht statt.</w:t>
      </w:r>
    </w:p>
    <w:p>
      <w:pPr>
        <w:pStyle w:val="ListParagraph"/>
        <w:numPr>
          <w:ilvl w:val="0"/>
          <w:numId w:val="1"/>
        </w:numPr>
        <w:spacing w:lineRule="exact" w:line="288" w:before="0" w:after="60"/>
        <w:rPr/>
      </w:pPr>
      <w:r>
        <w:rPr>
          <w:rFonts w:eastAsia="Cambria" w:cs="Cambria"/>
          <w:b/>
          <w:bCs/>
          <w:i w:val="false"/>
          <w:iCs w:val="false"/>
          <w:sz w:val="22"/>
          <w:szCs w:val="22"/>
        </w:rPr>
        <w:t>Rituale.</w:t>
      </w:r>
      <w:r>
        <w:rPr>
          <w:rFonts w:eastAsia="Cambria" w:cs="Cambria"/>
          <w:b w:val="false"/>
          <w:bCs w:val="false"/>
          <w:i w:val="false"/>
          <w:iCs w:val="false"/>
          <w:sz w:val="22"/>
          <w:szCs w:val="22"/>
        </w:rPr>
        <w:t xml:space="preserve"> Kleine, wiederkehrende Anker verbinden altes und neues Leben: der Sonntagsanruf nach Deutschland zur gleichen Uhrzeit, der deutsche Brotbäcker im Ort, ein selbst gestalteter Nikolaustag für die Kinder, obwohl ihn hier niemand kennt.</w:t>
      </w:r>
    </w:p>
    <w:p>
      <w:pPr>
        <w:pStyle w:val="ListParagraph"/>
        <w:numPr>
          <w:ilvl w:val="0"/>
          <w:numId w:val="1"/>
        </w:numPr>
        <w:spacing w:lineRule="exact" w:line="288" w:before="0" w:after="60"/>
        <w:rPr/>
      </w:pPr>
      <w:r>
        <w:rPr>
          <w:rFonts w:eastAsia="Cambria" w:cs="Cambria"/>
          <w:b/>
          <w:bCs/>
          <w:i w:val="false"/>
          <w:iCs w:val="false"/>
          <w:sz w:val="22"/>
          <w:szCs w:val="22"/>
        </w:rPr>
        <w:t>Bewegung.</w:t>
      </w:r>
      <w:r>
        <w:rPr>
          <w:rFonts w:eastAsia="Cambria" w:cs="Cambria"/>
          <w:b w:val="false"/>
          <w:bCs w:val="false"/>
          <w:i w:val="false"/>
          <w:iCs w:val="false"/>
          <w:sz w:val="22"/>
          <w:szCs w:val="22"/>
        </w:rPr>
        <w:t xml:space="preserve"> Regelmäßige körperliche Aktivität wirkt nachweislich stimmungsaufhellend und ist zugleich ein einfacher Weg zu neuen Kontakten (Lauf- oder Sportgruppen,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Sprache.</w:t>
      </w:r>
      <w:r>
        <w:rPr>
          <w:rFonts w:eastAsia="Cambria" w:cs="Cambria"/>
          <w:b w:val="false"/>
          <w:bCs w:val="false"/>
          <w:i w:val="false"/>
          <w:iCs w:val="false"/>
          <w:sz w:val="22"/>
          <w:szCs w:val="22"/>
        </w:rPr>
        <w:t xml:space="preserve"> Jeder Fortschritt im Englischen senkt die tägliche Erschöpfung durch ständiges Übersetzen im Kopf und öffnet zugleich soziale Türen. Wie du Englisch lernst, ohne das Deutsche der Kinder zu vernachlässigen, steht in Kapitel </w:t>
      </w:r>
      <w:hyperlink w:anchor="k37">
        <w:r>
          <w:rPr>
            <w:rStyle w:val="ListLabel115"/>
            <w:rFonts w:eastAsia="Cambria" w:cs="Cambria"/>
            <w:b w:val="false"/>
            <w:bCs w:val="false"/>
            <w:i w:val="false"/>
            <w:iCs w:val="false"/>
            <w:sz w:val="22"/>
            <w:szCs w:val="22"/>
          </w:rPr>
          <w:t>37</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Laufgruppen, Bibliotheksprogramme und die Angebote der städtischen Freizeitverwaltung kosten meist nichts oder wenig und liefern gleichzeitig Struktur, Bewegung und Kontakt – drei Bausteine gegen die Talsohle auf einmal.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Wann du dir Hilfe holen solltest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Heimweh und ein hartes erstes Jahr sind normal. Professionelle Unterstützung ist sinnvoll, wenn eines oder mehrere der folgenden Anzeichen </w:t>
      </w:r>
      <w:r>
        <w:rPr>
          <w:rFonts w:eastAsia="Cambria" w:cs="Cambria"/>
          <w:b/>
          <w:bCs/>
          <w:i w:val="false"/>
          <w:iCs w:val="false"/>
          <w:sz w:val="22"/>
          <w:szCs w:val="22"/>
        </w:rPr>
        <w:t>über etwa zwei Wochen</w:t>
      </w:r>
      <w:r>
        <w:rPr>
          <w:rFonts w:eastAsia="Cambria" w:cs="Cambria"/>
          <w:b w:val="false"/>
          <w:bCs w:val="false"/>
          <w:i w:val="false"/>
          <w:iCs w:val="false"/>
          <w:sz w:val="22"/>
          <w:szCs w:val="22"/>
        </w:rPr>
        <w:t xml:space="preserve"> fast täglich auftreten:</w:t>
      </w:r>
    </w:p>
    <w:p>
      <w:pPr>
        <w:pStyle w:val="ListParagraph"/>
        <w:numPr>
          <w:ilvl w:val="0"/>
          <w:numId w:val="1"/>
        </w:numPr>
        <w:spacing w:lineRule="exact" w:line="288" w:before="0" w:after="60"/>
        <w:rPr/>
      </w:pPr>
      <w:r>
        <w:rPr>
          <w:rFonts w:eastAsia="Cambria" w:cs="Cambria"/>
          <w:b w:val="false"/>
          <w:bCs w:val="false"/>
          <w:i w:val="false"/>
          <w:iCs w:val="false"/>
          <w:sz w:val="22"/>
          <w:szCs w:val="22"/>
        </w:rPr>
        <w:t>anhaltende Traurigkeit, Leere oder Reizbarkeit, die sich nicht mehr von selbst bessert</w:t>
      </w:r>
    </w:p>
    <w:p>
      <w:pPr>
        <w:pStyle w:val="ListParagraph"/>
        <w:numPr>
          <w:ilvl w:val="0"/>
          <w:numId w:val="1"/>
        </w:numPr>
        <w:spacing w:lineRule="exact" w:line="288" w:before="0" w:after="60"/>
        <w:rPr/>
      </w:pPr>
      <w:r>
        <w:rPr>
          <w:rFonts w:eastAsia="Cambria" w:cs="Cambria"/>
          <w:b w:val="false"/>
          <w:bCs w:val="false"/>
          <w:i w:val="false"/>
          <w:iCs w:val="false"/>
          <w:sz w:val="22"/>
          <w:szCs w:val="22"/>
        </w:rPr>
        <w:t>Interessenverlust an Dingen, die sonst Freude machen</w:t>
      </w:r>
    </w:p>
    <w:p>
      <w:pPr>
        <w:pStyle w:val="ListParagraph"/>
        <w:numPr>
          <w:ilvl w:val="0"/>
          <w:numId w:val="1"/>
        </w:numPr>
        <w:spacing w:lineRule="exact" w:line="288" w:before="0" w:after="60"/>
        <w:rPr/>
      </w:pPr>
      <w:r>
        <w:rPr>
          <w:rFonts w:eastAsia="Cambria" w:cs="Cambria"/>
          <w:b w:val="false"/>
          <w:bCs w:val="false"/>
          <w:i w:val="false"/>
          <w:iCs w:val="false"/>
          <w:sz w:val="22"/>
          <w:szCs w:val="22"/>
        </w:rPr>
        <w:t>Schlaf- oder Appetitveränderungen, ständige Erschöpfung</w:t>
      </w:r>
    </w:p>
    <w:p>
      <w:pPr>
        <w:pStyle w:val="ListParagraph"/>
        <w:numPr>
          <w:ilvl w:val="0"/>
          <w:numId w:val="1"/>
        </w:numPr>
        <w:spacing w:lineRule="exact" w:line="288" w:before="0" w:after="60"/>
        <w:rPr/>
      </w:pPr>
      <w:r>
        <w:rPr>
          <w:rFonts w:eastAsia="Cambria" w:cs="Cambria"/>
          <w:b w:val="false"/>
          <w:bCs w:val="false"/>
          <w:i w:val="false"/>
          <w:iCs w:val="false"/>
          <w:sz w:val="22"/>
          <w:szCs w:val="22"/>
        </w:rPr>
        <w:t>spürbar schlechtere Leistung bei Arbeit, Schule oder im Alltag</w:t>
      </w:r>
    </w:p>
    <w:p>
      <w:pPr>
        <w:pStyle w:val="ListParagraph"/>
        <w:numPr>
          <w:ilvl w:val="0"/>
          <w:numId w:val="1"/>
        </w:numPr>
        <w:spacing w:lineRule="exact" w:line="288" w:before="0" w:after="60"/>
        <w:rPr/>
      </w:pPr>
      <w:r>
        <w:rPr>
          <w:rFonts w:eastAsia="Cambria" w:cs="Cambria"/>
          <w:b w:val="false"/>
          <w:bCs w:val="false"/>
          <w:i w:val="false"/>
          <w:iCs w:val="false"/>
          <w:sz w:val="22"/>
          <w:szCs w:val="22"/>
        </w:rPr>
        <w:t>Rückzug von Familie und den wenigen neuen Kontakten</w:t>
      </w:r>
    </w:p>
    <w:p>
      <w:pPr>
        <w:pStyle w:val="ListParagraph"/>
        <w:numPr>
          <w:ilvl w:val="0"/>
          <w:numId w:val="1"/>
        </w:numPr>
        <w:spacing w:lineRule="exact" w:line="288" w:before="0" w:after="60"/>
        <w:rPr/>
      </w:pPr>
      <w:r>
        <w:rPr>
          <w:rFonts w:eastAsia="Cambria" w:cs="Cambria"/>
          <w:b w:val="false"/>
          <w:bCs w:val="false"/>
          <w:i w:val="false"/>
          <w:iCs w:val="false"/>
          <w:sz w:val="22"/>
          <w:szCs w:val="22"/>
        </w:rPr>
        <w:t>mehr Alkohol oder Beruhigungsmittel als sonst, um den Tag zu überstehen</w:t>
      </w:r>
    </w:p>
    <w:p>
      <w:pPr>
        <w:pStyle w:val="ListParagraph"/>
        <w:numPr>
          <w:ilvl w:val="0"/>
          <w:numId w:val="1"/>
        </w:numPr>
        <w:spacing w:lineRule="exact" w:line="288" w:before="0" w:after="60"/>
        <w:rPr/>
      </w:pPr>
      <w:r>
        <w:rPr>
          <w:rFonts w:eastAsia="Cambria" w:cs="Cambria"/>
          <w:b w:val="false"/>
          <w:bCs w:val="false"/>
          <w:i w:val="false"/>
          <w:iCs w:val="false"/>
          <w:sz w:val="22"/>
          <w:szCs w:val="22"/>
        </w:rPr>
        <w:t>körperliche Beschwerden ohne erkennbare Ursache</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ist kein Diagnoseinstrument, sondern eine Einladung, das Gefühl ernst zu nehmen und sich fachlich beraten zu lassen, statt es auszusitzen.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Bei akuten Gedanken, sich selbst oder anderen etwas anzutun, wartest du nicht ab. Ruf, chatte oder schreibe sofort 988 (die </w:t>
            </w:r>
            <w:r>
              <w:rPr>
                <w:rFonts w:eastAsia="Cambria" w:cs="Cambria"/>
                <w:b w:val="false"/>
                <w:bCs w:val="false"/>
                <w:i/>
                <w:iCs/>
                <w:sz w:val="20"/>
                <w:szCs w:val="20"/>
              </w:rPr>
              <w:t>988 Suicide &amp; Crisis Lifeline</w:t>
            </w:r>
            <w:r>
              <w:rPr>
                <w:rFonts w:eastAsia="Cambria" w:cs="Cambria"/>
                <w:b w:val="false"/>
                <w:bCs w:val="false"/>
                <w:i w:val="false"/>
                <w:iCs w:val="false"/>
                <w:sz w:val="20"/>
                <w:szCs w:val="20"/>
              </w:rPr>
              <w:t>, kostenlose Krisenhilfe rund um die Uhr) oder wähle in unmittelbarer Gefahr 911. Die deutsche Auslandsvertretung ist keine Krisenhotline, hilft aber in echten Notlagen (etwa nach einem Verbrechen, Unfall oder Todesfall) rund um die Uhr weiter; die Nummer des zuständigen Generalkonsulats trägst du dir am besten schon vor dem Umzug ein (Kapitel </w:t>
            </w:r>
            <w:hyperlink w:anchor="k16">
              <w:r>
                <w:rPr>
                  <w:rStyle w:val="ListLabel114"/>
                  <w:rFonts w:eastAsia="Cambria" w:cs="Cambria"/>
                  <w:b w:val="false"/>
                  <w:bCs w:val="false"/>
                  <w:i w:val="false"/>
                  <w:iCs w:val="false"/>
                  <w:sz w:val="20"/>
                  <w:szCs w:val="20"/>
                </w:rPr>
                <w:t>16</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Wie Therapie in den USA funktioniert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Anders als die vertraute Krankenkassen-Überweisung in Deutschland ist Psychotherapie in den USA meist Verhandlungssache zwischen Angebot, Versicherung und Geldbeutel. Ein Überblick über die wichtigsten Wege:</w:t>
      </w:r>
    </w:p>
    <w:p>
      <w:pPr>
        <w:pStyle w:val="ListParagraph"/>
        <w:numPr>
          <w:ilvl w:val="0"/>
          <w:numId w:val="1"/>
        </w:numPr>
        <w:spacing w:lineRule="exact" w:line="288" w:before="0" w:after="60"/>
        <w:rPr/>
      </w:pPr>
      <w:r>
        <w:rPr>
          <w:rFonts w:eastAsia="Cambria" w:cs="Cambria"/>
          <w:b/>
          <w:bCs/>
          <w:i w:val="false"/>
          <w:iCs w:val="false"/>
          <w:sz w:val="22"/>
          <w:szCs w:val="22"/>
        </w:rPr>
        <w:t>Direkt bezahlen.</w:t>
      </w:r>
      <w:r>
        <w:rPr>
          <w:rFonts w:eastAsia="Cambria" w:cs="Cambria"/>
          <w:b w:val="false"/>
          <w:bCs w:val="false"/>
          <w:i w:val="false"/>
          <w:iCs w:val="false"/>
          <w:sz w:val="22"/>
          <w:szCs w:val="22"/>
        </w:rPr>
        <w:t xml:space="preserve"> Eine reguläre Sitzung bei einer Therapeutin oder einem Therapeuten kostet ohne Versicherung meist etwa 80–200 $ (Stand 2026). Ob und wie viel deine Krankenversicherung übernimmt, hängt vom </w:t>
      </w:r>
      <w:r>
        <w:rPr>
          <w:rFonts w:eastAsia="Cambria" w:cs="Cambria"/>
          <w:b w:val="false"/>
          <w:bCs w:val="false"/>
          <w:i/>
          <w:iCs/>
          <w:sz w:val="22"/>
          <w:szCs w:val="22"/>
        </w:rPr>
        <w:t>Deductible</w:t>
      </w:r>
      <w:r>
        <w:rPr>
          <w:rFonts w:eastAsia="Cambria" w:cs="Cambria"/>
          <w:b w:val="false"/>
          <w:bCs w:val="false"/>
          <w:i w:val="false"/>
          <w:iCs w:val="false"/>
          <w:sz w:val="22"/>
          <w:szCs w:val="22"/>
        </w:rPr>
        <w:t xml:space="preserve"> (Jahres-Selbstbehalt) und </w:t>
      </w:r>
      <w:r>
        <w:rPr>
          <w:rFonts w:eastAsia="Cambria" w:cs="Cambria"/>
          <w:b w:val="false"/>
          <w:bCs w:val="false"/>
          <w:i/>
          <w:iCs/>
          <w:sz w:val="22"/>
          <w:szCs w:val="22"/>
        </w:rPr>
        <w:t>Copay</w:t>
      </w:r>
      <w:r>
        <w:rPr>
          <w:rFonts w:eastAsia="Cambria" w:cs="Cambria"/>
          <w:b w:val="false"/>
          <w:bCs w:val="false"/>
          <w:i w:val="false"/>
          <w:iCs w:val="false"/>
          <w:sz w:val="22"/>
          <w:szCs w:val="22"/>
        </w:rPr>
        <w:t xml:space="preserve"> (Zuzahlung pro Sitzung) deines Plans ab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frage vor dem ersten Termin gezielt nach, ob die Praxis „in-network“ ist.</w:t>
      </w:r>
    </w:p>
    <w:p>
      <w:pPr>
        <w:pStyle w:val="ListParagraph"/>
        <w:numPr>
          <w:ilvl w:val="0"/>
          <w:numId w:val="1"/>
        </w:numPr>
        <w:spacing w:lineRule="exact" w:line="288" w:before="0" w:after="60"/>
        <w:rPr/>
      </w:pPr>
      <w:r>
        <w:rPr>
          <w:rFonts w:eastAsia="Cambria" w:cs="Cambria"/>
          <w:b/>
          <w:bCs/>
          <w:i w:val="false"/>
          <w:iCs w:val="false"/>
          <w:sz w:val="22"/>
          <w:szCs w:val="22"/>
        </w:rPr>
        <w:t>Betriebliche Beratung.</w:t>
      </w:r>
      <w:r>
        <w:rPr>
          <w:rFonts w:eastAsia="Cambria" w:cs="Cambria"/>
          <w:b w:val="false"/>
          <w:bCs w:val="false"/>
          <w:i w:val="false"/>
          <w:iCs w:val="false"/>
          <w:sz w:val="22"/>
          <w:szCs w:val="22"/>
        </w:rPr>
        <w:t xml:space="preserve"> Viele Arbeitgeber bieten ein </w:t>
      </w:r>
      <w:r>
        <w:rPr>
          <w:rFonts w:eastAsia="Cambria" w:cs="Cambria"/>
          <w:b w:val="false"/>
          <w:bCs w:val="false"/>
          <w:i/>
          <w:iCs/>
          <w:sz w:val="22"/>
          <w:szCs w:val="22"/>
        </w:rPr>
        <w:t>Employee Assistance Program</w:t>
      </w:r>
      <w:r>
        <w:rPr>
          <w:rFonts w:eastAsia="Cambria" w:cs="Cambria"/>
          <w:b w:val="false"/>
          <w:bCs w:val="false"/>
          <w:i w:val="false"/>
          <w:iCs w:val="false"/>
          <w:sz w:val="22"/>
          <w:szCs w:val="22"/>
        </w:rPr>
        <w:t xml:space="preserve"> (EAP, betriebliches Beratungs- und Vermittlungsprogramm) an, das meist mehrere – häufig drei bis acht – kostenlose Sitzungen pro Thema und Jahr umfasst, oft auch für mitversicherte Angehörige. Frage beim Arbeitgeber gezielt nach der Zahl der Sitzungen und ob Familienmitglieder eingeschlossen sind.</w:t>
      </w:r>
    </w:p>
    <w:p>
      <w:pPr>
        <w:pStyle w:val="ListParagraph"/>
        <w:numPr>
          <w:ilvl w:val="0"/>
          <w:numId w:val="1"/>
        </w:numPr>
        <w:spacing w:lineRule="exact" w:line="288" w:before="0" w:after="60"/>
        <w:rPr/>
      </w:pPr>
      <w:r>
        <w:rPr>
          <w:rFonts w:eastAsia="Cambria" w:cs="Cambria"/>
          <w:b/>
          <w:bCs/>
          <w:i w:val="false"/>
          <w:iCs w:val="false"/>
          <w:sz w:val="22"/>
          <w:szCs w:val="22"/>
        </w:rPr>
        <w:t>Telehealth.</w:t>
      </w:r>
      <w:r>
        <w:rPr>
          <w:rFonts w:eastAsia="Cambria" w:cs="Cambria"/>
          <w:b w:val="false"/>
          <w:bCs w:val="false"/>
          <w:i w:val="false"/>
          <w:iCs w:val="false"/>
          <w:sz w:val="22"/>
          <w:szCs w:val="22"/>
        </w:rPr>
        <w:t xml:space="preserve"> Fernbehandlung per Video oder Telefon (</w:t>
      </w:r>
      <w:r>
        <w:rPr>
          <w:rFonts w:eastAsia="Cambria" w:cs="Cambria"/>
          <w:b w:val="false"/>
          <w:bCs w:val="false"/>
          <w:i/>
          <w:iCs/>
          <w:sz w:val="22"/>
          <w:szCs w:val="22"/>
        </w:rPr>
        <w:t>Telehealth</w:t>
      </w:r>
      <w:r>
        <w:rPr>
          <w:rFonts w:eastAsia="Cambria" w:cs="Cambria"/>
          <w:b w:val="false"/>
          <w:bCs w:val="false"/>
          <w:i w:val="false"/>
          <w:iCs w:val="false"/>
          <w:sz w:val="22"/>
          <w:szCs w:val="22"/>
        </w:rPr>
        <w:t>) ist in den USA weit verbreitet und oft der schnellste Einstieg. Plattformen wie BetterHelp oder Talkspace verlangen im Abo meist umgerechnet etwa 260–400 $ im Monat ohne Versicherung; mit Versicherung liegt die Zuzahlung pro Sitzung oft deutlich niedriger. Achte darauf, dass die Therapeutin oder der Therapeut in deinem Bundesstaat lizenziert ist – das ist in den USA Pflicht.</w:t>
      </w:r>
    </w:p>
    <w:p>
      <w:pPr>
        <w:pStyle w:val="ListParagraph"/>
        <w:numPr>
          <w:ilvl w:val="0"/>
          <w:numId w:val="1"/>
        </w:numPr>
        <w:spacing w:lineRule="exact" w:line="288" w:before="0" w:after="60"/>
        <w:rPr/>
      </w:pPr>
      <w:r>
        <w:rPr>
          <w:rFonts w:eastAsia="Cambria" w:cs="Cambria"/>
          <w:b/>
          <w:bCs/>
          <w:i w:val="false"/>
          <w:iCs w:val="false"/>
          <w:sz w:val="22"/>
          <w:szCs w:val="22"/>
        </w:rPr>
        <w:t>Günstige und kostenlose Angebote.</w:t>
      </w:r>
      <w:r>
        <w:rPr>
          <w:rFonts w:eastAsia="Cambria" w:cs="Cambria"/>
          <w:b w:val="false"/>
          <w:bCs w:val="false"/>
          <w:i w:val="false"/>
          <w:iCs w:val="false"/>
          <w:sz w:val="22"/>
          <w:szCs w:val="22"/>
        </w:rPr>
        <w:t xml:space="preserve"> Open Path Collective vermittelt Sitzungen für etwa 40–70 $ (einmalige Mitgliedsgebühr rund 65 $); Community Mental Health Centers und, bei Studierenden, Universitätskliniken arbeiten oft nach Einkommen gestaffelt. FindTreatment.gov (eine Datenbank der US-Bundesbehörde SAMHSA) hilft bei der Suche nach lokalen Anlaufstellen.</w:t>
      </w:r>
    </w:p>
    <w:p>
      <w:pPr>
        <w:pStyle w:val="ListParagraph"/>
        <w:numPr>
          <w:ilvl w:val="0"/>
          <w:numId w:val="1"/>
        </w:numPr>
        <w:spacing w:lineRule="exact" w:line="288" w:before="0" w:after="60"/>
        <w:rPr/>
      </w:pPr>
      <w:r>
        <w:rPr>
          <w:rFonts w:eastAsia="Cambria" w:cs="Cambria"/>
          <w:b/>
          <w:bCs/>
          <w:i w:val="false"/>
          <w:iCs w:val="false"/>
          <w:sz w:val="22"/>
          <w:szCs w:val="22"/>
        </w:rPr>
        <w:t>Deutschsprachige Therapeuten.</w:t>
      </w:r>
      <w:r>
        <w:rPr>
          <w:rFonts w:eastAsia="Cambria" w:cs="Cambria"/>
          <w:b w:val="false"/>
          <w:bCs w:val="false"/>
          <w:i w:val="false"/>
          <w:iCs w:val="false"/>
          <w:sz w:val="22"/>
          <w:szCs w:val="22"/>
        </w:rPr>
        <w:t xml:space="preserve"> Verzeichnisse wie Psychology Today (Sprachfilter „German“), Zencare oder therapist.com listen deutschsprachige Therapeutinnen und Therapeuten, viele davon auch per Telehealth über Bundesstaatsgrenzen hinweg erreichbar, solange die Lizenz zum Wohnsitzstaat passt.</w:t>
      </w:r>
    </w:p>
    <w:p>
      <w:pPr>
        <w:pStyle w:val="ListParagraph"/>
        <w:numPr>
          <w:ilvl w:val="0"/>
          <w:numId w:val="1"/>
        </w:numPr>
        <w:spacing w:lineRule="exact" w:line="288" w:before="0" w:after="60"/>
        <w:rPr/>
      </w:pPr>
      <w:r>
        <w:rPr>
          <w:rFonts w:eastAsia="Cambria" w:cs="Cambria"/>
          <w:b/>
          <w:bCs/>
          <w:i w:val="false"/>
          <w:iCs w:val="false"/>
          <w:sz w:val="22"/>
          <w:szCs w:val="22"/>
        </w:rPr>
        <w:t>Krisenhilfe 988.</w:t>
      </w:r>
      <w:r>
        <w:rPr>
          <w:rFonts w:eastAsia="Cambria" w:cs="Cambria"/>
          <w:b w:val="false"/>
          <w:bCs w:val="false"/>
          <w:i w:val="false"/>
          <w:iCs w:val="false"/>
          <w:sz w:val="22"/>
          <w:szCs w:val="22"/>
        </w:rPr>
        <w:t xml:space="preserve"> Die 988 Suicide &amp; Crisis Lifeline ist rund um die Uhr per Anruf, SMS oder Chat erreichbar, kostenlos, mit Dolmetscherdiensten in über 240 Sprachen für Anrufe; ob Deutsch namentlich gelistet ist, war zuletzt nicht sicher zu bestätigen – im Zweifel einfach die gewünschte Sprache nennen.</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Gespräche im EAP gelten grundsätzlich als vertraulich, doch in kleinen Firmen erfährt die Personalabteilung mitunter, dass jemand das Programm nutzt (ohne Gesprächsinhalte). Frage beim Erstkontakt offen nach den Vertraulichkeitsregeln, wenn dir das wichtig ist.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Kontakt zur Familie: Zeitverschiebung und Pflegefall zu Hause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Berlin liegt sechs Stunden vor der Ostküste und neun vor der Westküste (Standardzeit; Details zur Zeitverschiebung im Alltag stehen in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 Für regelmäßigen Kontakt hilft ein fester Termin mehr als spontane Anrufe, die an der Zeitverschiebung meist scheitern – etwa der Sonntagabend deutscher Zeit, an der Westküste eher der Vormittag.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Schwieriger wird es, wenn ein Elternteil oder Angehöriger zu Hause pflegebedürftig wird. Drei Dinge helfen, wenn dieser Fall eintritt: eine </w:t>
      </w:r>
      <w:r>
        <w:rPr>
          <w:rFonts w:eastAsia="Cambria" w:cs="Cambria"/>
          <w:b/>
          <w:bCs/>
          <w:i w:val="false"/>
          <w:iCs w:val="false"/>
          <w:sz w:val="22"/>
          <w:szCs w:val="22"/>
        </w:rPr>
        <w:t>Vorsorgevollmacht</w:t>
      </w:r>
      <w:r>
        <w:rPr>
          <w:rFonts w:eastAsia="Cambria" w:cs="Cambria"/>
          <w:b w:val="false"/>
          <w:bCs w:val="false"/>
          <w:i w:val="false"/>
          <w:iCs w:val="false"/>
          <w:sz w:val="22"/>
          <w:szCs w:val="22"/>
        </w:rPr>
        <w:t xml:space="preserve"> für eine Person vor Ort, die im Ernstfall handeln kann; ein </w:t>
      </w:r>
      <w:r>
        <w:rPr>
          <w:rFonts w:eastAsia="Cambria" w:cs="Cambria"/>
          <w:b/>
          <w:bCs/>
          <w:i w:val="false"/>
          <w:iCs w:val="false"/>
          <w:sz w:val="22"/>
          <w:szCs w:val="22"/>
        </w:rPr>
        <w:t>realistischer Plan</w:t>
      </w:r>
      <w:r>
        <w:rPr>
          <w:rFonts w:eastAsia="Cambria" w:cs="Cambria"/>
          <w:b w:val="false"/>
          <w:bCs w:val="false"/>
          <w:i w:val="false"/>
          <w:iCs w:val="false"/>
          <w:sz w:val="22"/>
          <w:szCs w:val="22"/>
        </w:rPr>
        <w:t xml:space="preserve">, wer die Pflege organisiert (Geschwister, ambulanter Pflegedienst, Heimplatz); und </w:t>
      </w:r>
      <w:r>
        <w:rPr>
          <w:rFonts w:eastAsia="Cambria" w:cs="Cambria"/>
          <w:b/>
          <w:bCs/>
          <w:i w:val="false"/>
          <w:iCs w:val="false"/>
          <w:sz w:val="22"/>
          <w:szCs w:val="22"/>
        </w:rPr>
        <w:t>Klarheit über deinen eigenen Status</w:t>
      </w:r>
      <w:r>
        <w:rPr>
          <w:rFonts w:eastAsia="Cambria" w:cs="Cambria"/>
          <w:b w:val="false"/>
          <w:bCs w:val="false"/>
          <w:i w:val="false"/>
          <w:iCs w:val="false"/>
          <w:sz w:val="22"/>
          <w:szCs w:val="22"/>
        </w:rPr>
        <w:t>, bevor du kurzfristig fliegst. Wer mitten im Green-Card-Verfahren steckt, braucht unter Umständen vorab eine Reiseerlaubnis (</w:t>
      </w:r>
      <w:r>
        <w:rPr>
          <w:rFonts w:eastAsia="Cambria" w:cs="Cambria"/>
          <w:b w:val="false"/>
          <w:bCs w:val="false"/>
          <w:i/>
          <w:iCs/>
          <w:sz w:val="22"/>
          <w:szCs w:val="22"/>
        </w:rPr>
        <w:t>Advance Parole</w:t>
      </w:r>
      <w:r>
        <w:rPr>
          <w:rFonts w:eastAsia="Cambria" w:cs="Cambria"/>
          <w:b w:val="false"/>
          <w:bCs w:val="false"/>
          <w:i w:val="false"/>
          <w:iCs w:val="false"/>
          <w:sz w:val="22"/>
          <w:szCs w:val="22"/>
        </w:rPr>
        <w:t>), um die USA ohne Nachteile für das Verfahren zu verlassen und wieder einzureisen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xml:space="preserve">); bei anderen Visa reicht meist ein gültiger Einreisestempel beziehungsweise ein gültiges Visum im Pass. Das unbezahlte </w:t>
      </w:r>
      <w:r>
        <w:rPr>
          <w:rFonts w:eastAsia="Cambria" w:cs="Cambria"/>
          <w:b w:val="false"/>
          <w:bCs w:val="false"/>
          <w:i/>
          <w:iCs/>
          <w:sz w:val="22"/>
          <w:szCs w:val="22"/>
        </w:rPr>
        <w:t>Family and Medical Leave Act</w:t>
      </w:r>
      <w:r>
        <w:rPr>
          <w:rFonts w:eastAsia="Cambria" w:cs="Cambria"/>
          <w:b w:val="false"/>
          <w:bCs w:val="false"/>
          <w:i w:val="false"/>
          <w:iCs w:val="false"/>
          <w:sz w:val="22"/>
          <w:szCs w:val="22"/>
        </w:rPr>
        <w:t xml:space="preserve"> (FMLA, Bundesgesetz zur Familienfreistellung) erlaubt unter bestimmten Voraussetzungen – mindestens zwölf Monate und 1.250 Stunden bei einem Arbeitgeber mit mindestens 50 Beschäftigten im Umkreis von 75 Meilen – bis zu zwölf Wochen Freistellung auch für die Pflege eines Elternteils; ob das auch für Angehörige im Ausland gilt, kläre frühzeitig mit der Personalabteilung.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Kläre deinen Status </w:t>
            </w:r>
            <w:r>
              <w:rPr>
                <w:rFonts w:eastAsia="Cambria" w:cs="Cambria"/>
                <w:b/>
                <w:bCs/>
                <w:i w:val="false"/>
                <w:iCs w:val="false"/>
                <w:sz w:val="20"/>
                <w:szCs w:val="20"/>
              </w:rPr>
              <w:t>bevor</w:t>
            </w:r>
            <w:r>
              <w:rPr>
                <w:rFonts w:eastAsia="Cambria" w:cs="Cambria"/>
                <w:b w:val="false"/>
                <w:bCs w:val="false"/>
                <w:i w:val="false"/>
                <w:iCs w:val="false"/>
                <w:sz w:val="20"/>
                <w:szCs w:val="20"/>
              </w:rPr>
              <w:t xml:space="preserve"> ein Notfall eintritt, nicht währenddessen. Wer erst am Flughafen merkt, dass eine Reiseerlaubnis fehlt, riskiert im schlimmsten Fall Monate oder Jahre eines laufenden Verfahrens.</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Anna Brandt (fiktiv) durchlebt im dritten Monat in der Nähe von Detroit die klassische Kulturschock-Talsohle. Sie schläft schlecht, weint häufiger beim Telefonat mit ihrer Mutter und zweifelt am ganzen Umzug. Auslöser ist oft eine Kleinigkeit: Als ihre Mutter am Telefon beiläufig fragt, ob der Kuchen von nebenan noch genauso schmeckt, kann Anna für den Rest des Gesprächs nicht mehr sprechen. Markus’ Arbeitgeber bietet ein EAP mit mehreren kostenlosen Sitzungen pro Thema und Jahr, das auch mitversicherte Angehörige nutzen dürfen. Über ein Online-Verzeichnis mit Sprachfilter findet Anna eine deutschsprachige Therapeutin und vereinbart drei Video-Sitzungen. Danach fällt es ihr leichter, sich feste Termine zu setzen, statt sich zurückzuziehen (Kapitel </w:t>
            </w:r>
            <w:hyperlink w:anchor="k32">
              <w:r>
                <w:rPr>
                  <w:rStyle w:val="ListLabel114"/>
                  <w:rFonts w:eastAsia="Cambria" w:cs="Cambria"/>
                  <w:b w:val="false"/>
                  <w:bCs w:val="false"/>
                  <w:i w:val="false"/>
                  <w:iCs w:val="false"/>
                  <w:sz w:val="20"/>
                  <w:szCs w:val="20"/>
                </w:rPr>
                <w:t>32</w:t>
              </w:r>
            </w:hyperlink>
            <w:r>
              <w:rPr>
                <w:rFonts w:eastAsia="Cambria" w:cs="Cambria"/>
                <w:b w:val="false"/>
                <w:bCs w:val="false"/>
                <w:i w:val="false"/>
                <w:iCs w:val="false"/>
                <w:sz w:val="20"/>
                <w:szCs w:val="20"/>
              </w:rPr>
              <w:t>). Nach sechs Wochen ist die akute Krise vorbei; schlechte Tage gibt es weiterhin, aber jetzt kennt sie Werkzeuge dagegen.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Paare unter Stress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Umzug in die USA belastet auch stabile Beziehungen. Häufige Gründe: unterschiedliches Anpassungstempo (oft läuft es beim einen Partner über die Arbeit runder als beim anderen zu Hause), die längeren, weniger planbaren Arbeitszeiten vieler US-Jobs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 finanzielle Abhängigkeit bei fehlender Arbeitserlaubnis und der Wegfall des gewohnten Unterstützungsnetzes aus Familie und alten Freunden, das in Krisen sonst auffängt. Wer das offen anspricht, statt es zu verdrängen, kommt meist besser durch die ersten Jahre.</w:t>
      </w:r>
    </w:p>
    <w:p>
      <w:pPr>
        <w:pStyle w:val="ListParagraph"/>
        <w:numPr>
          <w:ilvl w:val="0"/>
          <w:numId w:val="1"/>
        </w:numPr>
        <w:spacing w:lineRule="exact" w:line="288" w:before="0" w:after="60"/>
        <w:rPr/>
      </w:pPr>
      <w:r>
        <w:rPr>
          <w:rFonts w:eastAsia="Cambria" w:cs="Cambria"/>
          <w:b w:val="false"/>
          <w:bCs w:val="false"/>
          <w:i w:val="false"/>
          <w:iCs w:val="false"/>
          <w:sz w:val="22"/>
          <w:szCs w:val="22"/>
        </w:rPr>
        <w:t>Vereinbart ein festes wöchentliches Gespräch nur zu zweit, ohne Handy, in dem beide offen sagen dürfen, was fehlt.</w:t>
      </w:r>
    </w:p>
    <w:p>
      <w:pPr>
        <w:pStyle w:val="ListParagraph"/>
        <w:numPr>
          <w:ilvl w:val="0"/>
          <w:numId w:val="1"/>
        </w:numPr>
        <w:spacing w:lineRule="exact" w:line="288" w:before="0" w:after="60"/>
        <w:rPr/>
      </w:pPr>
      <w:r>
        <w:rPr>
          <w:rFonts w:eastAsia="Cambria" w:cs="Cambria"/>
          <w:b w:val="false"/>
          <w:bCs w:val="false"/>
          <w:i w:val="false"/>
          <w:iCs w:val="false"/>
          <w:sz w:val="22"/>
          <w:szCs w:val="22"/>
        </w:rPr>
        <w:t>Verteilt Verantwortung neu, wenn ein Partner zu Hause bleibt – finanzielle Abhängigkeit heißt nicht automatisch weniger Mitsprache.</w:t>
      </w:r>
    </w:p>
    <w:p>
      <w:pPr>
        <w:pStyle w:val="ListParagraph"/>
        <w:numPr>
          <w:ilvl w:val="0"/>
          <w:numId w:val="1"/>
        </w:numPr>
        <w:spacing w:lineRule="exact" w:line="288" w:before="0" w:after="60"/>
        <w:rPr/>
      </w:pPr>
      <w:r>
        <w:rPr>
          <w:rFonts w:eastAsia="Cambria" w:cs="Cambria"/>
          <w:b w:val="false"/>
          <w:bCs w:val="false"/>
          <w:i w:val="false"/>
          <w:iCs w:val="false"/>
          <w:sz w:val="22"/>
          <w:szCs w:val="22"/>
        </w:rPr>
        <w:t>Nutzt bei Bedarf Paarberatung; viele EAPs und Telehealth-Anbieter vermitteln auch Paarsitzungen, nicht nur Einzeltherapie.</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Große Entscheidungen – Kündigung, vorzeitige Rückkehr nach Deutschland, Trennung – solltest du nach Möglichkeit nicht mitten in der Kulturschock-Talsohle treffen. Was sich im dritten Monat unerträglich anfühlt, sieht im siebten oft anders aus. Zum ehrlichen Plan B gehört Kapitel </w:t>
            </w:r>
            <w:hyperlink w:anchor="k42">
              <w:r>
                <w:rPr>
                  <w:rStyle w:val="ListLabel114"/>
                  <w:rFonts w:eastAsia="Cambria" w:cs="Cambria"/>
                  <w:b w:val="false"/>
                  <w:bCs w:val="false"/>
                  <w:i w:val="false"/>
                  <w:iCs w:val="false"/>
                  <w:sz w:val="20"/>
                  <w:szCs w:val="20"/>
                </w:rPr>
                <w:t>42</w:t>
              </w:r>
            </w:hyperlink>
            <w:r>
              <w:rPr>
                <w:rFonts w:eastAsia="Cambria" w:cs="Cambria"/>
                <w:b w:val="false"/>
                <w:bCs w:val="false"/>
                <w:i w:val="false"/>
                <w:iCs w:val="false"/>
                <w:sz w:val="20"/>
                <w:szCs w:val="20"/>
              </w:rPr>
              <w: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Sich professionelle Hilfe zu holen, ist in den USA weit verbreitet und kein Zeichen des Scheiterns – es ist eher die Ausnahme, die niemand in Anspruch nimmt, die auffällt.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Neue Herausforderungen stärken oft Selbstvertrauen und Problemlösefähigkeit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 Wegfall vertrauter Netzwerke wiegt in Krisen schwer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US-Arbeitgeber bieten häufiger EAP und Telehealth als deutsche Betriebe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Therapiekosten und Versicherungsregeln sind ohne Plan unübersichtlich</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Videotelefonie hält Familie und Freunde näher als frühere Auswanderergenerationen es kannten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Zeitverschiebung erschwert spontane Nähe im Notfall</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 Kulturschock ist zeitlich begrenzt und meist überwindbar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Manche Beziehungen zerbrechen am Druck der ersten Jahre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Wer die Talsohle übersteht, gewinnt oft eine stabilere, bikulturelle Identität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Rückzug in die eigene Wohnung verlängert die Einsamkeit zusätzlich</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Baue schon in den ersten Wochen zwei bis drei feste Termine außerhalb der Wohnung ein, bevor die Talsohle überhaupt erreicht ist. Sucht dir und deinem Partner gemeinsam heraus, was dein Arbeitgeber an EAP bietet, und speichere dir eine deutschsprachige Therapeutin oder einen Therapeuten sowie 988, bevor du sie brauchst. Vereinbart einen festen Familientermin trotz Zeitverschiebung und sprecht als Paar einmal wöchentlich offen darüber, wie es beiden wirklich geht.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Zwei bis drei feste Wochentermine außerhalb der Wohnung von Anfang an einplanen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EAP-Leistungen des Arbeitgebers erfragen: Zahl der Sitzungen, Einschluss von Angehörigen, Vertraulichkeit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Eine deutschsprachige Therapeutin oder einen Therapeuten über ein Online-Verzeichnis vormerken, bevor akuter Bedarf besteht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988 in den Kontakten speichern; wissen, dass Anruf, SMS und Chat möglich sind</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Heimatbesuchen zu Feiertagen früh buchen statt im Tief spontan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Kindern und Teenagern auf Schlaf, Noten, Rückzug und körperliche Beschwerden achten und offen ansprechen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Eine Vorsorgevollmacht für Angehörige zu Hause klären, bevor ein Pflegefall eintritt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laufendem Green-Card-Verfahren die Regeln zu Advance Parole vor jeder Reise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Als Paar ein festes wöchentliches Gespräch ohne Ablenkung vereinbaren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Große Entscheidungen (Kündigung, Rückkehr, Trennung) nicht in der akuten Talsohle treffen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988 Suicide &amp; Crisis Lifeline — Krisenhilfe, Sprachen, Kontaktwege (</w:t>
      </w:r>
      <w:hyperlink r:id="rId319">
        <w:r>
          <w:rPr>
            <w:rStyle w:val="ListLabel113"/>
            <w:rFonts w:eastAsia="Cambria" w:cs="Cambria"/>
            <w:b w:val="false"/>
            <w:bCs w:val="false"/>
            <w:i w:val="false"/>
            <w:iCs w:val="false"/>
            <w:color w:val="0563C1"/>
            <w:sz w:val="22"/>
            <w:szCs w:val="22"/>
            <w:u w:val="single"/>
          </w:rPr>
          <w:t>988lifeline.org</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SAMHSA — Häufige Fragen zu 988 (</w:t>
      </w:r>
      <w:hyperlink r:id="rId320">
        <w:r>
          <w:rPr>
            <w:rStyle w:val="ListLabel113"/>
            <w:rFonts w:eastAsia="Cambria" w:cs="Cambria"/>
            <w:b w:val="false"/>
            <w:bCs w:val="false"/>
            <w:i w:val="false"/>
            <w:iCs w:val="false"/>
            <w:color w:val="0563C1"/>
            <w:sz w:val="22"/>
            <w:szCs w:val="22"/>
            <w:u w:val="single"/>
          </w:rPr>
          <w:t>samhsa.gov/mental-health/988/faqs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SAMHSA — Behandlungssuche FindTreatment.gov (</w:t>
      </w:r>
      <w:hyperlink r:id="rId321">
        <w:r>
          <w:rPr>
            <w:rStyle w:val="ListLabel113"/>
            <w:rFonts w:eastAsia="Cambria" w:cs="Cambria"/>
            <w:b w:val="false"/>
            <w:bCs w:val="false"/>
            <w:i w:val="false"/>
            <w:iCs w:val="false"/>
            <w:color w:val="0563C1"/>
            <w:sz w:val="22"/>
            <w:szCs w:val="22"/>
            <w:u w:val="single"/>
          </w:rPr>
          <w:t>findtreatment.gov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Psychology Today — deutschsprachige Therapeutensuche (</w:t>
      </w:r>
      <w:hyperlink r:id="rId322">
        <w:r>
          <w:rPr>
            <w:rStyle w:val="ListLabel113"/>
            <w:rFonts w:eastAsia="Cambria" w:cs="Cambria"/>
            <w:b w:val="false"/>
            <w:bCs w:val="false"/>
            <w:i w:val="false"/>
            <w:iCs w:val="false"/>
            <w:color w:val="0563C1"/>
            <w:sz w:val="22"/>
            <w:szCs w:val="22"/>
            <w:u w:val="single"/>
          </w:rPr>
          <w:t>psychologytoday.com/us/therapists/german</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Open Path Collective — reduzierte Therapiepreise (</w:t>
      </w:r>
      <w:hyperlink r:id="rId323">
        <w:r>
          <w:rPr>
            <w:rStyle w:val="ListLabel113"/>
            <w:rFonts w:eastAsia="Cambria" w:cs="Cambria"/>
            <w:b w:val="false"/>
            <w:bCs w:val="false"/>
            <w:i w:val="false"/>
            <w:iCs w:val="false"/>
            <w:color w:val="0563C1"/>
            <w:sz w:val="22"/>
            <w:szCs w:val="22"/>
            <w:u w:val="single"/>
          </w:rPr>
          <w:t>openpathcollective.org</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 Office of Personnel Management — Employee Assistance Programs (</w:t>
      </w:r>
      <w:hyperlink r:id="rId324">
        <w:r>
          <w:rPr>
            <w:rStyle w:val="ListLabel113"/>
            <w:rFonts w:eastAsia="Cambria" w:cs="Cambria"/>
            <w:b w:val="false"/>
            <w:bCs w:val="false"/>
            <w:i w:val="false"/>
            <w:iCs w:val="false"/>
            <w:color w:val="0563C1"/>
            <w:sz w:val="22"/>
            <w:szCs w:val="22"/>
            <w:u w:val="single"/>
          </w:rPr>
          <w:t>opm.gov</w:t>
        </w:r>
      </w:hyperlink>
      <w:r>
        <w:rPr>
          <w:rFonts w:eastAsia="Cambria" w:cs="Cambria"/>
          <w:b w:val="false"/>
          <w:bCs w:val="false"/>
          <w:i w:val="false"/>
          <w:iCs w:val="false"/>
          <w:sz w:val="22"/>
          <w:szCs w:val="22"/>
        </w:rPr>
        <w:t>, Suche: employee assistance program)</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schnell: Preise für Telehealth-Anbieter, die genaue Sitzungszahl einzelner EAPs, die Sprachabdeckung von 988 sowie Versicherungsregeln für Psychotherapie. Prüfe vor einer Entscheidung die aktuellen Angaben deines Arbeitgebers, deiner Versicherung und der genannten Stellen.</w:t>
            </w:r>
          </w:p>
        </w:tc>
      </w:tr>
    </w:tbl>
    <w:p>
      <w:pPr>
        <w:pStyle w:val="Normal"/>
        <w:spacing w:lineRule="exact" w:line="220" w:before="0" w:after="0"/>
        <w:rPr/>
      </w:pPr>
      <w:r>
        <w:rPr/>
      </w:r>
      <w:r>
        <w:br w:type="page"/>
      </w:r>
    </w:p>
    <w:p>
      <w:pPr>
        <w:pStyle w:val="Heading2"/>
        <w:keepNext w:val="true"/>
        <w:spacing w:before="0" w:after="300"/>
        <w:jc w:val="center"/>
        <w:rPr/>
      </w:pPr>
      <w:bookmarkStart w:id="83" w:name="__RefHeading___Toc56509_3769931028"/>
      <w:bookmarkStart w:id="84" w:name="k34"/>
      <w:bookmarkEnd w:id="83"/>
      <w:r>
        <w:rPr>
          <w:rFonts w:eastAsia="Amazon Ember" w:cs="Amazon Ember" w:ascii="Amazon Ember" w:hAnsi="Amazon Ember"/>
          <w:b/>
          <w:bCs/>
          <w:color w:val="0000FF"/>
          <w:sz w:val="36"/>
          <w:szCs w:val="36"/>
        </w:rPr>
        <w:t>Kapitel 34: Kleidung: Was man trägt, was man kauft, was man mitnimmt</w:t>
      </w:r>
      <w:bookmarkEnd w:id="84"/>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ersten Arbeitstag steht der Abteilungsleiter in Jeans und Kapuzenpullover im Flur, die Kollegin trägt Leggings und Sneaker, und der Einzige mit Sakko bist du. Im Supermarkt schiebt jemand im Schlafanzugoberteil den Einkaufswagen, und niemand dreht sich um. Kleidung ist eines der wenigen Themen, bei denen du den Unterschied zu Deutschland schon am ersten Tag siehst. Die Regeln dahinter sind selten aufgeschrieben, aber gut zu beobachten.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Komfort geht vor Anlass: Im Alltag und in den meisten Büros ist Legeres normal; Anzüge bleiben Finanzen, Recht und formellen Anlässen vorbehalten.</w:t>
            </w:r>
          </w:p>
          <w:p>
            <w:pPr>
              <w:pStyle w:val="ListParagraph"/>
              <w:numPr>
                <w:ilvl w:val="0"/>
                <w:numId w:val="1"/>
              </w:numPr>
              <w:spacing w:lineRule="exact" w:line="264" w:before="0" w:after="50"/>
              <w:rPr/>
            </w:pPr>
            <w:r>
              <w:rPr>
                <w:rFonts w:eastAsia="Cambria" w:cs="Cambria"/>
                <w:b w:val="false"/>
                <w:bCs w:val="false"/>
                <w:i w:val="false"/>
                <w:iCs w:val="false"/>
                <w:sz w:val="20"/>
                <w:szCs w:val="20"/>
              </w:rPr>
              <w:t>Einen Dresscode findest du selten schriftlich. Frage nach; zum Vorstellungsgespräch kommst du eine Stufe formeller.</w:t>
            </w:r>
          </w:p>
          <w:p>
            <w:pPr>
              <w:pStyle w:val="ListParagraph"/>
              <w:numPr>
                <w:ilvl w:val="0"/>
                <w:numId w:val="1"/>
              </w:numPr>
              <w:spacing w:lineRule="exact" w:line="264" w:before="0" w:after="50"/>
              <w:rPr/>
            </w:pPr>
            <w:r>
              <w:rPr>
                <w:rFonts w:eastAsia="Cambria" w:cs="Cambria"/>
                <w:b w:val="false"/>
                <w:bCs w:val="false"/>
                <w:i w:val="false"/>
                <w:iCs w:val="false"/>
                <w:sz w:val="20"/>
                <w:szCs w:val="20"/>
              </w:rPr>
              <w:t>US-Größen schwanken je Marke (</w:t>
            </w:r>
            <w:r>
              <w:rPr>
                <w:rFonts w:eastAsia="Cambria" w:cs="Cambria"/>
                <w:b w:val="false"/>
                <w:bCs w:val="false"/>
                <w:i/>
                <w:iCs/>
                <w:sz w:val="20"/>
                <w:szCs w:val="20"/>
              </w:rPr>
              <w:t>Vanity Sizing</w:t>
            </w:r>
            <w:r>
              <w:rPr>
                <w:rFonts w:eastAsia="Cambria" w:cs="Cambria"/>
                <w:b w:val="false"/>
                <w:bCs w:val="false"/>
                <w:i w:val="false"/>
                <w:iCs w:val="false"/>
                <w:sz w:val="20"/>
                <w:szCs w:val="20"/>
              </w:rPr>
              <w:t>). Die Tabellen hier sind ein Startpunkt, anprobieren bleibt Pflicht.</w:t>
            </w:r>
          </w:p>
          <w:p>
            <w:pPr>
              <w:pStyle w:val="ListParagraph"/>
              <w:numPr>
                <w:ilvl w:val="0"/>
                <w:numId w:val="1"/>
              </w:numPr>
              <w:spacing w:lineRule="exact" w:line="264" w:before="0" w:after="50"/>
              <w:rPr/>
            </w:pPr>
            <w:r>
              <w:rPr>
                <w:rFonts w:eastAsia="Cambria" w:cs="Cambria"/>
                <w:b w:val="false"/>
                <w:bCs w:val="false"/>
                <w:i w:val="false"/>
                <w:iCs w:val="false"/>
                <w:sz w:val="20"/>
                <w:szCs w:val="20"/>
              </w:rPr>
              <w:t>Basics, Winterausrüstung und Kinderkleidung kaufst du vor Ort: Off-Price-Ketten, Sales, Second Hand.</w:t>
            </w:r>
          </w:p>
          <w:p>
            <w:pPr>
              <w:pStyle w:val="ListParagraph"/>
              <w:numPr>
                <w:ilvl w:val="0"/>
                <w:numId w:val="1"/>
              </w:numPr>
              <w:spacing w:lineRule="exact" w:line="264" w:before="0" w:after="50"/>
              <w:rPr/>
            </w:pPr>
            <w:r>
              <w:rPr>
                <w:rFonts w:eastAsia="Cambria" w:cs="Cambria"/>
                <w:b w:val="false"/>
                <w:bCs w:val="false"/>
                <w:i w:val="false"/>
                <w:iCs w:val="false"/>
                <w:sz w:val="20"/>
                <w:szCs w:val="20"/>
              </w:rPr>
              <w:t>Mitnehmen lohnt sich für gute Schuhe, eine warme Jacke bei kaltem Klima, ein bis zwei Business-Outfits, Tracht und Outdoor-Ausrüstung.</w:t>
            </w:r>
          </w:p>
          <w:p>
            <w:pPr>
              <w:pStyle w:val="ListParagraph"/>
              <w:numPr>
                <w:ilvl w:val="0"/>
                <w:numId w:val="1"/>
              </w:numPr>
              <w:spacing w:lineRule="exact" w:line="264" w:before="0" w:after="50"/>
              <w:rPr/>
            </w:pPr>
            <w:r>
              <w:rPr>
                <w:rFonts w:eastAsia="Cambria" w:cs="Cambria"/>
                <w:b w:val="false"/>
                <w:bCs w:val="false"/>
                <w:i w:val="false"/>
                <w:iCs w:val="false"/>
                <w:sz w:val="20"/>
                <w:szCs w:val="20"/>
              </w:rPr>
              <w:t>Am Strand und im Pool ist Badebekleidung Pflicht, FKK praktisch unüblich. Im fremden Haus fragst du, ob die Schuhe an bleiben.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Grundprinzip: Komfort vor Anlass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Wer vor allem amerikanische Filme und Serien kennt, erwartet im Büro Anzug und Krawatte wie im Wall-Street-Klischee. Tatsächlich ist meist das Gegenteil der Fall: Wer sich wohlfühlt, kleidet sich richtig. Sneaker, Jeans, Kapuzenpullover und Sportkleidung (</w:t>
      </w:r>
      <w:r>
        <w:rPr>
          <w:rFonts w:eastAsia="Cambria" w:cs="Cambria"/>
          <w:b w:val="false"/>
          <w:bCs w:val="false"/>
          <w:i/>
          <w:iCs/>
          <w:sz w:val="22"/>
          <w:szCs w:val="22"/>
        </w:rPr>
        <w:t>Athleisure</w:t>
      </w:r>
      <w:r>
        <w:rPr>
          <w:rFonts w:eastAsia="Cambria" w:cs="Cambria"/>
          <w:b w:val="false"/>
          <w:bCs w:val="false"/>
          <w:i w:val="false"/>
          <w:iCs w:val="false"/>
          <w:sz w:val="22"/>
          <w:szCs w:val="22"/>
        </w:rPr>
        <w:t>: Leggings, Jogginghosen und Funktionsshirts als Alltagskleidung) gehen im Büro, im Klassenzimmer und oft auch im Restaurant. Flip-Flops sind in warmen Regionen von Frühjahr bis Herbst allgegenwärtig. Wer im Januar in Shorts zur Schule geht, hat meist nur den Weg vom beheizten Auto ins beheizte Gebäude vor sich. Und eine Pyjamahose im Supermarkt ist kein Notfall, sondern ein gewöhnlicher Dienstagvormittag.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Legerheit heißt nicht Gleichgültigkeit: Sauber, ohne Löcher und zum Anlass passend zählt weiterhin. Wer im Anzug erscheint, wo alle Jeans tragen, wird selten schief angesehen, fällt aber auf – als hätte er die Einladung zum Grillabend mit der zur Hochzeit verwechselt.</w:t>
      </w:r>
    </w:p>
    <w:p>
      <w:pPr>
        <w:pStyle w:val="Heading3"/>
        <w:keepNext w:val="true"/>
        <w:spacing w:before="280" w:after="100"/>
        <w:jc w:val="center"/>
        <w:rPr/>
      </w:pPr>
      <w:r>
        <w:rPr>
          <w:rFonts w:eastAsia="Amazon Ember" w:cs="Amazon Ember" w:ascii="Amazon Ember" w:hAnsi="Amazon Ember"/>
          <w:b/>
          <w:bCs/>
          <w:color w:val="0000FF"/>
          <w:sz w:val="36"/>
          <w:szCs w:val="36"/>
        </w:rPr>
        <w:t>Dresscodes im Job: nach Branche und Region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Kein Gesetz schreibt dir vor, was du im Büro trägst; jeder Arbeitgeber regelt das selbst, oft im </w:t>
      </w:r>
      <w:r>
        <w:rPr>
          <w:rFonts w:eastAsia="Cambria" w:cs="Cambria"/>
          <w:b w:val="false"/>
          <w:bCs w:val="false"/>
          <w:i/>
          <w:iCs/>
          <w:sz w:val="22"/>
          <w:szCs w:val="22"/>
        </w:rPr>
        <w:t>Employee Handbook</w:t>
      </w:r>
      <w:r>
        <w:rPr>
          <w:rFonts w:eastAsia="Cambria" w:cs="Cambria"/>
          <w:b w:val="false"/>
          <w:bCs w:val="false"/>
          <w:i w:val="false"/>
          <w:iCs w:val="false"/>
          <w:sz w:val="22"/>
          <w:szCs w:val="22"/>
        </w:rPr>
        <w:t xml:space="preserve"> (Mitarbeiterhandbuch). Drei Stufen begegnen dir am häufigsten: </w:t>
      </w:r>
      <w:r>
        <w:rPr>
          <w:rFonts w:eastAsia="Cambria" w:cs="Cambria"/>
          <w:b w:val="false"/>
          <w:bCs w:val="false"/>
          <w:i/>
          <w:iCs/>
          <w:sz w:val="22"/>
          <w:szCs w:val="22"/>
        </w:rPr>
        <w:t>Business Formal</w:t>
      </w:r>
      <w:r>
        <w:rPr>
          <w:rFonts w:eastAsia="Cambria" w:cs="Cambria"/>
          <w:b w:val="false"/>
          <w:bCs w:val="false"/>
          <w:i w:val="false"/>
          <w:iCs w:val="false"/>
          <w:sz w:val="22"/>
          <w:szCs w:val="22"/>
        </w:rPr>
        <w:t xml:space="preserve"> (Anzug und Krawatte oder Kostüm), </w:t>
      </w:r>
      <w:r>
        <w:rPr>
          <w:rFonts w:eastAsia="Cambria" w:cs="Cambria"/>
          <w:b w:val="false"/>
          <w:bCs w:val="false"/>
          <w:i/>
          <w:iCs/>
          <w:sz w:val="22"/>
          <w:szCs w:val="22"/>
        </w:rPr>
        <w:t>Business Casual</w:t>
      </w:r>
      <w:r>
        <w:rPr>
          <w:rFonts w:eastAsia="Cambria" w:cs="Cambria"/>
          <w:b w:val="false"/>
          <w:bCs w:val="false"/>
          <w:i w:val="false"/>
          <w:iCs w:val="false"/>
          <w:sz w:val="22"/>
          <w:szCs w:val="22"/>
        </w:rPr>
        <w:t xml:space="preserve"> (Hemd oder Bluse, Chino oder Stoffhose, keine Krawatte) und </w:t>
      </w:r>
      <w:r>
        <w:rPr>
          <w:rFonts w:eastAsia="Cambria" w:cs="Cambria"/>
          <w:b w:val="false"/>
          <w:bCs w:val="false"/>
          <w:i/>
          <w:iCs/>
          <w:sz w:val="22"/>
          <w:szCs w:val="22"/>
        </w:rPr>
        <w:t>Casual</w:t>
      </w:r>
      <w:r>
        <w:rPr>
          <w:rFonts w:eastAsia="Cambria" w:cs="Cambria"/>
          <w:b w:val="false"/>
          <w:bCs w:val="false"/>
          <w:i w:val="false"/>
          <w:iCs w:val="false"/>
          <w:sz w:val="22"/>
          <w:szCs w:val="22"/>
        </w:rPr>
        <w:t xml:space="preserve"> (Jeans, T-Shirt, Sneaker). Die meisten Büros liegen bei Business Casual oder darunter.</w:t>
      </w:r>
    </w:p>
    <w:tbl>
      <w:tblPr>
        <w:tblW w:w="6480" w:type="dxa"/>
        <w:jc w:val="left"/>
        <w:tblInd w:w="0" w:type="dxa"/>
        <w:tblLayout w:type="fixed"/>
        <w:tblCellMar>
          <w:top w:w="50" w:type="dxa"/>
          <w:left w:w="80" w:type="dxa"/>
          <w:bottom w:w="50" w:type="dxa"/>
          <w:right w:w="80" w:type="dxa"/>
        </w:tblCellMar>
      </w:tblPr>
      <w:tblGrid>
        <w:gridCol w:w="1012"/>
        <w:gridCol w:w="2726"/>
        <w:gridCol w:w="2742"/>
      </w:tblGrid>
      <w:tr>
        <w:trPr>
          <w:tblHeader w:val="true"/>
          <w:cantSplit w:val="true"/>
        </w:trPr>
        <w:tc>
          <w:tcPr>
            <w:tcW w:w="101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Branche</w:t>
            </w:r>
          </w:p>
        </w:tc>
        <w:tc>
          <w:tcPr>
            <w:tcW w:w="272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Üblich im Alltag</w:t>
            </w:r>
          </w:p>
        </w:tc>
        <w:tc>
          <w:tcPr>
            <w:tcW w:w="274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Hinweis</w:t>
            </w:r>
          </w:p>
        </w:tc>
      </w:tr>
      <w:tr>
        <w:trPr>
          <w:cantSplit w:val="true"/>
        </w:trPr>
        <w:tc>
          <w:tcPr>
            <w:tcW w:w="10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Tech und Software</w:t>
            </w:r>
          </w:p>
        </w:tc>
        <w:tc>
          <w:tcPr>
            <w:tcW w:w="27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Jeans, T-Shirt oder Hoodie, Sneaker</w:t>
            </w:r>
          </w:p>
        </w:tc>
        <w:tc>
          <w:tcPr>
            <w:tcW w:w="27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Anzug wirkt eher deplatziert</w:t>
            </w:r>
          </w:p>
        </w:tc>
      </w:tr>
      <w:tr>
        <w:trPr>
          <w:cantSplit w:val="true"/>
        </w:trPr>
        <w:tc>
          <w:tcPr>
            <w:tcW w:w="10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Ingenieurbüro, Fertigung</w:t>
            </w:r>
          </w:p>
        </w:tc>
        <w:tc>
          <w:tcPr>
            <w:tcW w:w="27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Business Casual im Büro, Polo und Arbeitshose in der Halle</w:t>
            </w:r>
          </w:p>
        </w:tc>
        <w:tc>
          <w:tcPr>
            <w:tcW w:w="27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Schutzbrille, Sicherheitsschuhe meist Pflicht; kläre, wer zahlt</w:t>
            </w:r>
          </w:p>
        </w:tc>
      </w:tr>
      <w:tr>
        <w:trPr>
          <w:cantSplit w:val="true"/>
        </w:trPr>
        <w:tc>
          <w:tcPr>
            <w:tcW w:w="10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Finanzen und Recht</w:t>
            </w:r>
          </w:p>
        </w:tc>
        <w:tc>
          <w:tcPr>
            <w:tcW w:w="27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Anzug oder Kostüm bei Kunden und Gericht, sonst Business Casual</w:t>
            </w:r>
          </w:p>
        </w:tc>
        <w:tc>
          <w:tcPr>
            <w:tcW w:w="27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 nach Firma streng</w:t>
            </w:r>
          </w:p>
        </w:tc>
      </w:tr>
      <w:tr>
        <w:trPr>
          <w:cantSplit w:val="true"/>
        </w:trPr>
        <w:tc>
          <w:tcPr>
            <w:tcW w:w="10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Medizin</w:t>
            </w:r>
          </w:p>
        </w:tc>
        <w:tc>
          <w:tcPr>
            <w:tcW w:w="27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Kittel oder </w:t>
            </w:r>
            <w:r>
              <w:rPr>
                <w:rFonts w:eastAsia="Cambria" w:cs="Cambria"/>
                <w:b w:val="false"/>
                <w:bCs w:val="false"/>
                <w:i/>
                <w:iCs/>
                <w:sz w:val="18"/>
                <w:szCs w:val="18"/>
              </w:rPr>
              <w:t>Scrubs</w:t>
            </w:r>
            <w:r>
              <w:rPr>
                <w:rFonts w:eastAsia="Cambria" w:cs="Cambria"/>
                <w:b w:val="false"/>
                <w:bCs w:val="false"/>
                <w:i w:val="false"/>
                <w:iCs w:val="false"/>
                <w:sz w:val="18"/>
                <w:szCs w:val="18"/>
              </w:rPr>
              <w:t xml:space="preserve"> (OP-Kleidung)</w:t>
            </w:r>
          </w:p>
        </w:tc>
        <w:tc>
          <w:tcPr>
            <w:tcW w:w="27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Kleidung und geschlossene Schuhe meist vorgegeben</w:t>
            </w:r>
          </w:p>
        </w:tc>
      </w:tr>
      <w:tr>
        <w:trPr>
          <w:cantSplit w:val="true"/>
        </w:trPr>
        <w:tc>
          <w:tcPr>
            <w:tcW w:w="10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Universität</w:t>
            </w:r>
          </w:p>
        </w:tc>
        <w:tc>
          <w:tcPr>
            <w:tcW w:w="27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Casual bis Business Casual</w:t>
            </w:r>
          </w:p>
        </w:tc>
        <w:tc>
          <w:tcPr>
            <w:tcW w:w="27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Lehrende Hemd und Sakko, Studierende Jeans und Uni-Sweatshirt</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die Region prägt den Ton. An der Westküste, in Kalifornien und Seattle, kleidet man sich am legersten; Outdoor-Jacken und Fleece gehören selbst im Büro dazu. In New York und Boston fällt die Kleidung in Finanzen, Recht und Beratung formeller aus, im Süden zählt für Kirche, Feiern und Restaurants ordentliche Kleidung, im Alltag die Hitze. Im Mittleren Westen, etwa im Großraum Detroit, überwiegt das Funktionale: Fleecejacken, Flanellhemden, Arbeitsstiefel. Das sind Tendenzen: Zwei Firmen in derselben Stadt unterscheiden sich oft stärker als zwei Regionen.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Zum Vorstellungsgespräch gilt eine Stufe formeller als der Firmenalltag: bei Tech-Unternehmen Business Casual, bei Banken, Kanzleien und Beratungen der Anzug. Frage die Personalabteilung ruhig: „What is the dress code for the interview?“ Das ist üblich und wirkt nicht unsicher.</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Dresscode steht selten irgendwo, aber er ist fast immer sichtbar. Beobachte in der ersten Woche, was Kolleginnen, Kollegen, Eltern und Nachbarn tragen, und richte dich danach.</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Anlässe: Restaurant, Hochzeit, Halloween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Restaurants sind meist casual; an vielen Türen hängt das Schild „No Shirt, No Shoes, No Service“. Gehobene Häuser erwarten </w:t>
      </w:r>
      <w:r>
        <w:rPr>
          <w:rFonts w:eastAsia="Cambria" w:cs="Cambria"/>
          <w:b w:val="false"/>
          <w:bCs w:val="false"/>
          <w:i/>
          <w:iCs/>
          <w:sz w:val="22"/>
          <w:szCs w:val="22"/>
        </w:rPr>
        <w:t>Business Casual</w:t>
      </w:r>
      <w:r>
        <w:rPr>
          <w:rFonts w:eastAsia="Cambria" w:cs="Cambria"/>
          <w:b w:val="false"/>
          <w:bCs w:val="false"/>
          <w:i w:val="false"/>
          <w:iCs w:val="false"/>
          <w:sz w:val="22"/>
          <w:szCs w:val="22"/>
        </w:rPr>
        <w:t>, teils mit Jackett, das steht auf der Website.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Bei Hochzeiten nennt die Einladung häufig den Dresscode: </w:t>
      </w:r>
      <w:r>
        <w:rPr>
          <w:rFonts w:eastAsia="Cambria" w:cs="Cambria"/>
          <w:b w:val="false"/>
          <w:bCs w:val="false"/>
          <w:i/>
          <w:iCs/>
          <w:sz w:val="22"/>
          <w:szCs w:val="22"/>
        </w:rPr>
        <w:t>Black Tie</w:t>
      </w:r>
      <w:r>
        <w:rPr>
          <w:rFonts w:eastAsia="Cambria" w:cs="Cambria"/>
          <w:b w:val="false"/>
          <w:bCs w:val="false"/>
          <w:i w:val="false"/>
          <w:iCs w:val="false"/>
          <w:sz w:val="22"/>
          <w:szCs w:val="22"/>
        </w:rPr>
        <w:t xml:space="preserve"> (Smoking, langes Kleid), </w:t>
      </w:r>
      <w:r>
        <w:rPr>
          <w:rFonts w:eastAsia="Cambria" w:cs="Cambria"/>
          <w:b w:val="false"/>
          <w:bCs w:val="false"/>
          <w:i/>
          <w:iCs/>
          <w:sz w:val="22"/>
          <w:szCs w:val="22"/>
        </w:rPr>
        <w:t>Cocktail Attire</w:t>
      </w:r>
      <w:r>
        <w:rPr>
          <w:rFonts w:eastAsia="Cambria" w:cs="Cambria"/>
          <w:b w:val="false"/>
          <w:bCs w:val="false"/>
          <w:i w:val="false"/>
          <w:iCs w:val="false"/>
          <w:sz w:val="22"/>
          <w:szCs w:val="22"/>
        </w:rPr>
        <w:t xml:space="preserve"> (Anzug, Cocktailkleid) oder </w:t>
      </w:r>
      <w:r>
        <w:rPr>
          <w:rFonts w:eastAsia="Cambria" w:cs="Cambria"/>
          <w:b w:val="false"/>
          <w:bCs w:val="false"/>
          <w:i/>
          <w:iCs/>
          <w:sz w:val="22"/>
          <w:szCs w:val="22"/>
        </w:rPr>
        <w:t>Casual</w:t>
      </w:r>
      <w:r>
        <w:rPr>
          <w:rFonts w:eastAsia="Cambria" w:cs="Cambria"/>
          <w:b w:val="false"/>
          <w:bCs w:val="false"/>
          <w:i w:val="false"/>
          <w:iCs w:val="false"/>
          <w:sz w:val="22"/>
          <w:szCs w:val="22"/>
        </w:rPr>
        <w:t xml:space="preserve">. Weiß trägt traditionell die Braut. In der Kirche reicht die Spanne von Jeans bis Sonntagsstaat; schau beim ersten Besuch, was die Gemeinde trägt. Konzerte und Sportveranstaltungen sind leger, viele tragen Trikot oder Sweatshirt ihres Teams oder Colleges. Viele Stadien lassen nur durchsichtige Taschen ein. Bei Schulveranstaltungen genügt Alltagskleidung, am </w:t>
      </w:r>
      <w:r>
        <w:rPr>
          <w:rFonts w:eastAsia="Cambria" w:cs="Cambria"/>
          <w:b w:val="false"/>
          <w:bCs w:val="false"/>
          <w:i/>
          <w:iCs/>
          <w:sz w:val="22"/>
          <w:szCs w:val="22"/>
        </w:rPr>
        <w:t>Picture Day</w:t>
      </w:r>
      <w:r>
        <w:rPr>
          <w:rFonts w:eastAsia="Cambria" w:cs="Cambria"/>
          <w:b w:val="false"/>
          <w:bCs w:val="false"/>
          <w:i w:val="false"/>
          <w:iCs w:val="false"/>
          <w:sz w:val="22"/>
          <w:szCs w:val="22"/>
        </w:rPr>
        <w:t xml:space="preserve"> (Fototag) etwas mehr.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Halloween am 31. Oktober ist auch für Erwachsene ein Kostümanlass: Kinder ziehen verkleidet von Haustür zu Haustür (</w:t>
      </w:r>
      <w:r>
        <w:rPr>
          <w:rFonts w:eastAsia="Cambria" w:cs="Cambria"/>
          <w:b w:val="false"/>
          <w:bCs w:val="false"/>
          <w:i/>
          <w:iCs/>
          <w:sz w:val="22"/>
          <w:szCs w:val="22"/>
        </w:rPr>
        <w:t>Trick-or-Treating</w:t>
      </w:r>
      <w:r>
        <w:rPr>
          <w:rFonts w:eastAsia="Cambria" w:cs="Cambria"/>
          <w:b w:val="false"/>
          <w:bCs w:val="false"/>
          <w:i w:val="false"/>
          <w:iCs w:val="false"/>
          <w:sz w:val="22"/>
          <w:szCs w:val="22"/>
        </w:rPr>
        <w:t>), Schulen veranstalten Kostümparaden, manche Büros Kostümtage. Kostüme, die Kulturen oder Gruppen karikieren, gelten als anstößig und können am Arbeitsplatz Folgen haben; Figuren, Tiere und Berufe sind die sichere Wahl.</w:t>
      </w:r>
    </w:p>
    <w:p>
      <w:pPr>
        <w:pStyle w:val="Heading3"/>
        <w:keepNext w:val="true"/>
        <w:spacing w:before="280" w:after="100"/>
        <w:jc w:val="center"/>
        <w:rPr/>
      </w:pPr>
      <w:r>
        <w:rPr>
          <w:rFonts w:eastAsia="Amazon Ember" w:cs="Amazon Ember" w:ascii="Amazon Ember" w:hAnsi="Amazon Ember"/>
          <w:b/>
          <w:bCs/>
          <w:color w:val="0000FF"/>
          <w:sz w:val="36"/>
          <w:szCs w:val="36"/>
        </w:rPr>
        <w:t>Kinder und Schule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Schuluniformen sind die Ausnahme. Nach der US-Bildungsstatistik (NCES) verlangten im Schuljahr 2019/20 rund 19 % der öffentlichen Schulen Uniformen, an Grundschulen 21 %, an weiterführenden Schulen 12 %. Häufiger sind sie an privaten und kirchlich getragenen Schulen, meist als Poloshirt und Hose oder Rock in festen Farben.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An den übrigen Schulen gilt ein </w:t>
      </w:r>
      <w:r>
        <w:rPr>
          <w:rFonts w:eastAsia="Cambria" w:cs="Cambria"/>
          <w:b w:val="false"/>
          <w:bCs w:val="false"/>
          <w:i/>
          <w:iCs/>
          <w:sz w:val="22"/>
          <w:szCs w:val="22"/>
        </w:rPr>
        <w:t>Dress Code</w:t>
      </w:r>
      <w:r>
        <w:rPr>
          <w:rFonts w:eastAsia="Cambria" w:cs="Cambria"/>
          <w:b w:val="false"/>
          <w:bCs w:val="false"/>
          <w:i w:val="false"/>
          <w:iCs w:val="false"/>
          <w:sz w:val="22"/>
          <w:szCs w:val="22"/>
        </w:rPr>
        <w:t>, den der Schuldistrikt im Schülerhandbuch festlegt. Typisch sind Regeln zur Länge von Shorts und Röcken (oft: mindestens bis zu den Fingerspitzen), zu sehr schmalen Trägern, zu Kopfbedeckungen im Unterricht und zu Aufdrucken mit Gewalt-, Drogen- oder Alkoholbezug. Lies das Handbuch bei der Anmeldung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den Sportunterricht sind feste Sportschuhe Pflicht. Bei Vereins- und Schulsport stellt das Team das Trikot meist gegen Gebühr, Stollenschuhe oder Schienbeinschoner kaufst du selbst. Ein Detail für Eltern: Kinderschlafanzüge müssen nach den Vorschriften der Verbraucherschutzbehörde CPSC flammhemmend oder eng geschnitten sein. Schmale Baumwollpyjamas sind also kein Fehlkauf.</w:t>
      </w:r>
    </w:p>
    <w:p>
      <w:pPr>
        <w:pStyle w:val="Heading3"/>
        <w:keepNext w:val="true"/>
        <w:spacing w:before="280" w:after="100"/>
        <w:jc w:val="center"/>
        <w:rPr/>
      </w:pPr>
      <w:r>
        <w:rPr>
          <w:rFonts w:eastAsia="Amazon Ember" w:cs="Amazon Ember" w:ascii="Amazon Ember" w:hAnsi="Amazon Ember"/>
          <w:b/>
          <w:bCs/>
          <w:color w:val="0000FF"/>
          <w:sz w:val="36"/>
          <w:szCs w:val="36"/>
        </w:rPr>
        <w:t>Größen umrechnen: Damen, Herren, Kinder, Schuhe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US-Größen sind eine eigene Welt: Damen kaufen nach Zahlen (0–16), Herren nach Zoll (</w:t>
      </w:r>
      <w:r>
        <w:rPr>
          <w:rFonts w:eastAsia="Cambria" w:cs="Cambria"/>
          <w:b w:val="false"/>
          <w:bCs w:val="false"/>
          <w:i/>
          <w:iCs/>
          <w:sz w:val="22"/>
          <w:szCs w:val="22"/>
        </w:rPr>
        <w:t>inch</w:t>
      </w:r>
      <w:r>
        <w:rPr>
          <w:rFonts w:eastAsia="Cambria" w:cs="Cambria"/>
          <w:b w:val="false"/>
          <w:bCs w:val="false"/>
          <w:i w:val="false"/>
          <w:iCs w:val="false"/>
          <w:sz w:val="22"/>
          <w:szCs w:val="22"/>
        </w:rPr>
        <w:t>: 1 Zoll = 2,54 cm), Kinder nach Größe und Lebensjahr. Die Tabellen sind Näherungswerte (Schuhe nach Nike, Kindergrößen nach Carter’s); verlässlich ist nur die Maßtabelle der Marke, bei der du kaufst.</w:t>
      </w:r>
    </w:p>
    <w:p>
      <w:pPr>
        <w:pStyle w:val="Normal"/>
        <w:keepNext w:val="false"/>
        <w:keepLines w:val="false"/>
        <w:spacing w:lineRule="exact" w:line="288" w:before="0" w:after="140"/>
        <w:jc w:val="left"/>
        <w:rPr/>
      </w:pPr>
      <w:r>
        <w:rPr>
          <w:rFonts w:eastAsia="Cambria" w:cs="Cambria"/>
          <w:b/>
          <w:bCs/>
          <w:i w:val="false"/>
          <w:iCs w:val="false"/>
          <w:sz w:val="22"/>
          <w:szCs w:val="22"/>
        </w:rPr>
        <w:t>Damen:</w:t>
      </w:r>
      <w:r>
        <w:rPr>
          <w:rFonts w:eastAsia="Cambria" w:cs="Cambria"/>
          <w:b w:val="false"/>
          <w:bCs w:val="false"/>
          <w:i w:val="false"/>
          <w:iCs w:val="false"/>
          <w:sz w:val="22"/>
          <w:szCs w:val="22"/>
        </w:rPr>
        <w:t xml:space="preserve"> Faustformel: US-Größe plus 30 ergibt die deutsche Größe. In Frankreich und Italien fallen die Zahlen höher aus, „EU“ steht im Online-Shop deshalb nicht immer für Deutschland.</w:t>
      </w:r>
    </w:p>
    <w:tbl>
      <w:tblPr>
        <w:tblW w:w="6480" w:type="dxa"/>
        <w:jc w:val="left"/>
        <w:tblInd w:w="0" w:type="dxa"/>
        <w:tblLayout w:type="fixed"/>
        <w:tblCellMar>
          <w:top w:w="50" w:type="dxa"/>
          <w:left w:w="80" w:type="dxa"/>
          <w:bottom w:w="50" w:type="dxa"/>
          <w:right w:w="80" w:type="dxa"/>
        </w:tblCellMar>
      </w:tblPr>
      <w:tblGrid>
        <w:gridCol w:w="2160"/>
        <w:gridCol w:w="2160"/>
        <w:gridCol w:w="2160"/>
      </w:tblGrid>
      <w:tr>
        <w:trPr>
          <w:tblHeader w:val="true"/>
          <w:cantSplit w:val="true"/>
        </w:trPr>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w:t>
            </w:r>
          </w:p>
        </w:tc>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Deutschland</w:t>
            </w:r>
          </w:p>
        </w:tc>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Buchstabe (US-Handel)</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0–2</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30–32</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XS</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34</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36</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38</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42</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44</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46</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XL</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Herren:</w:t>
      </w:r>
      <w:r>
        <w:rPr>
          <w:rFonts w:eastAsia="Cambria" w:cs="Cambria"/>
          <w:b w:val="false"/>
          <w:bCs w:val="false"/>
          <w:i w:val="false"/>
          <w:iCs w:val="false"/>
          <w:sz w:val="22"/>
          <w:szCs w:val="22"/>
        </w:rPr>
        <w:t xml:space="preserve"> Anzüge und Jacken tragen den Brustumfang in Zoll, Hemden die Kragenweite in Zoll. Jeans gibt es wie in Deutschland als Bundweite/Schrittlänge in Zoll, etwa 32/32.</w:t>
      </w:r>
    </w:p>
    <w:tbl>
      <w:tblPr>
        <w:tblW w:w="6480" w:type="dxa"/>
        <w:jc w:val="left"/>
        <w:tblInd w:w="0" w:type="dxa"/>
        <w:tblLayout w:type="fixed"/>
        <w:tblCellMar>
          <w:top w:w="50" w:type="dxa"/>
          <w:left w:w="80" w:type="dxa"/>
          <w:bottom w:w="50" w:type="dxa"/>
          <w:right w:w="80" w:type="dxa"/>
        </w:tblCellMar>
      </w:tblPr>
      <w:tblGrid>
        <w:gridCol w:w="1318"/>
        <w:gridCol w:w="2533"/>
        <w:gridCol w:w="2629"/>
      </w:tblGrid>
      <w:tr>
        <w:trPr>
          <w:tblHeader w:val="true"/>
          <w:cantSplit w:val="true"/>
        </w:trPr>
        <w:tc>
          <w:tcPr>
            <w:tcW w:w="131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Herren</w:t>
            </w:r>
          </w:p>
        </w:tc>
        <w:tc>
          <w:tcPr>
            <w:tcW w:w="253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Deutschland</w:t>
            </w:r>
          </w:p>
        </w:tc>
        <w:tc>
          <w:tcPr>
            <w:tcW w:w="262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USA</w:t>
            </w:r>
          </w:p>
        </w:tc>
      </w:tr>
      <w:tr>
        <w:trPr>
          <w:cantSplit w:val="true"/>
        </w:trPr>
        <w:tc>
          <w:tcPr>
            <w:tcW w:w="13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Anzug, Sakko</w:t>
            </w:r>
          </w:p>
        </w:tc>
        <w:tc>
          <w:tcPr>
            <w:tcW w:w="25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46 / 48 / 50 / 52 / 54</w:t>
            </w:r>
          </w:p>
        </w:tc>
        <w:tc>
          <w:tcPr>
            <w:tcW w:w="26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36 / 38 / 40 / 42 / 44</w:t>
            </w:r>
          </w:p>
        </w:tc>
      </w:tr>
      <w:tr>
        <w:trPr>
          <w:cantSplit w:val="true"/>
        </w:trPr>
        <w:tc>
          <w:tcPr>
            <w:tcW w:w="13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Hemdkragen</w:t>
            </w:r>
          </w:p>
        </w:tc>
        <w:tc>
          <w:tcPr>
            <w:tcW w:w="25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38 / 40 / 42 / 44 cm</w:t>
            </w:r>
          </w:p>
        </w:tc>
        <w:tc>
          <w:tcPr>
            <w:tcW w:w="26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 / 15¾ / 16½ / 17½ Zoll</w:t>
            </w:r>
          </w:p>
        </w:tc>
      </w:tr>
      <w:tr>
        <w:trPr>
          <w:cantSplit w:val="true"/>
        </w:trPr>
        <w:tc>
          <w:tcPr>
            <w:tcW w:w="13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Hosenbund</w:t>
            </w:r>
          </w:p>
        </w:tc>
        <w:tc>
          <w:tcPr>
            <w:tcW w:w="25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76 / 81 / 86 / 91 cm</w:t>
            </w:r>
          </w:p>
        </w:tc>
        <w:tc>
          <w:tcPr>
            <w:tcW w:w="26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 / 32 / 34 / 36 Zoll</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Kinder:</w:t>
      </w:r>
      <w:r>
        <w:rPr>
          <w:rFonts w:eastAsia="Cambria" w:cs="Cambria"/>
          <w:b w:val="false"/>
          <w:bCs w:val="false"/>
          <w:i w:val="false"/>
          <w:iCs w:val="false"/>
          <w:sz w:val="22"/>
          <w:szCs w:val="22"/>
        </w:rPr>
        <w:t xml:space="preserve"> Deutsche Größen entsprechen der Körpergröße in cm, US-Größen folgen grob dem Lebensjahr („T“ steht für </w:t>
      </w:r>
      <w:r>
        <w:rPr>
          <w:rFonts w:eastAsia="Cambria" w:cs="Cambria"/>
          <w:b w:val="false"/>
          <w:bCs w:val="false"/>
          <w:i/>
          <w:iCs/>
          <w:sz w:val="22"/>
          <w:szCs w:val="22"/>
        </w:rPr>
        <w:t>Toddler</w:t>
      </w:r>
      <w:r>
        <w:rPr>
          <w:rFonts w:eastAsia="Cambria" w:cs="Cambria"/>
          <w:b w:val="false"/>
          <w:bCs w:val="false"/>
          <w:i w:val="false"/>
          <w:iCs w:val="false"/>
          <w:sz w:val="22"/>
          <w:szCs w:val="22"/>
        </w:rPr>
        <w:t xml:space="preserve">, Kleinkind). Jungengrößen gibt es oft in </w:t>
      </w:r>
      <w:r>
        <w:rPr>
          <w:rFonts w:eastAsia="Cambria" w:cs="Cambria"/>
          <w:b w:val="false"/>
          <w:bCs w:val="false"/>
          <w:i/>
          <w:iCs/>
          <w:sz w:val="22"/>
          <w:szCs w:val="22"/>
        </w:rPr>
        <w:t>Slim</w:t>
      </w:r>
      <w:r>
        <w:rPr>
          <w:rFonts w:eastAsia="Cambria" w:cs="Cambria"/>
          <w:b w:val="false"/>
          <w:bCs w:val="false"/>
          <w:i w:val="false"/>
          <w:iCs w:val="false"/>
          <w:sz w:val="22"/>
          <w:szCs w:val="22"/>
        </w:rPr>
        <w:t xml:space="preserve">, </w:t>
      </w:r>
      <w:r>
        <w:rPr>
          <w:rFonts w:eastAsia="Cambria" w:cs="Cambria"/>
          <w:b w:val="false"/>
          <w:bCs w:val="false"/>
          <w:i/>
          <w:iCs/>
          <w:sz w:val="22"/>
          <w:szCs w:val="22"/>
        </w:rPr>
        <w:t>Regular</w:t>
      </w:r>
      <w:r>
        <w:rPr>
          <w:rFonts w:eastAsia="Cambria" w:cs="Cambria"/>
          <w:b w:val="false"/>
          <w:bCs w:val="false"/>
          <w:i w:val="false"/>
          <w:iCs w:val="false"/>
          <w:sz w:val="22"/>
          <w:szCs w:val="22"/>
        </w:rPr>
        <w:t xml:space="preserve"> und </w:t>
      </w:r>
      <w:r>
        <w:rPr>
          <w:rFonts w:eastAsia="Cambria" w:cs="Cambria"/>
          <w:b w:val="false"/>
          <w:bCs w:val="false"/>
          <w:i/>
          <w:iCs/>
          <w:sz w:val="22"/>
          <w:szCs w:val="22"/>
        </w:rPr>
        <w:t>Husky</w:t>
      </w:r>
      <w:r>
        <w:rPr>
          <w:rFonts w:eastAsia="Cambria" w:cs="Cambria"/>
          <w:b w:val="false"/>
          <w:bCs w:val="false"/>
          <w:i w:val="false"/>
          <w:iCs w:val="false"/>
          <w:sz w:val="22"/>
          <w:szCs w:val="22"/>
        </w:rPr>
        <w:t xml:space="preserve"> (weit).</w:t>
      </w:r>
    </w:p>
    <w:tbl>
      <w:tblPr>
        <w:tblW w:w="6480" w:type="dxa"/>
        <w:jc w:val="left"/>
        <w:tblInd w:w="0" w:type="dxa"/>
        <w:tblLayout w:type="fixed"/>
        <w:tblCellMar>
          <w:top w:w="50" w:type="dxa"/>
          <w:left w:w="80" w:type="dxa"/>
          <w:bottom w:w="50" w:type="dxa"/>
          <w:right w:w="80" w:type="dxa"/>
        </w:tblCellMar>
      </w:tblPr>
      <w:tblGrid>
        <w:gridCol w:w="2160"/>
        <w:gridCol w:w="2160"/>
        <w:gridCol w:w="2160"/>
      </w:tblGrid>
      <w:tr>
        <w:trPr>
          <w:tblHeader w:val="true"/>
          <w:cantSplit w:val="true"/>
        </w:trPr>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Deutschland (cm)</w:t>
            </w:r>
          </w:p>
        </w:tc>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US-Größe</w:t>
            </w:r>
          </w:p>
        </w:tc>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Jahre (ca.)</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92</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2T</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104</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4T</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116</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128</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152</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Schuhe:</w:t>
      </w:r>
      <w:r>
        <w:rPr>
          <w:rFonts w:eastAsia="Cambria" w:cs="Cambria"/>
          <w:b w:val="false"/>
          <w:bCs w:val="false"/>
          <w:i w:val="false"/>
          <w:iCs w:val="false"/>
          <w:sz w:val="22"/>
          <w:szCs w:val="22"/>
        </w:rPr>
        <w:t xml:space="preserve"> Herren- und Damenschuhe laufen getrennt; die Damengröße liegt anderthalb Nummern über der Herrengröße desselben Schuhs.</w:t>
      </w:r>
    </w:p>
    <w:tbl>
      <w:tblPr>
        <w:tblW w:w="6480" w:type="dxa"/>
        <w:jc w:val="left"/>
        <w:tblInd w:w="0" w:type="dxa"/>
        <w:tblLayout w:type="fixed"/>
        <w:tblCellMar>
          <w:top w:w="50" w:type="dxa"/>
          <w:left w:w="80" w:type="dxa"/>
          <w:bottom w:w="50" w:type="dxa"/>
          <w:right w:w="80" w:type="dxa"/>
        </w:tblCellMar>
      </w:tblPr>
      <w:tblGrid>
        <w:gridCol w:w="2160"/>
        <w:gridCol w:w="2160"/>
        <w:gridCol w:w="2160"/>
      </w:tblGrid>
      <w:tr>
        <w:trPr>
          <w:tblHeader w:val="true"/>
          <w:cantSplit w:val="true"/>
        </w:trPr>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EU</w:t>
            </w:r>
          </w:p>
        </w:tc>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 Damen</w:t>
            </w:r>
          </w:p>
        </w:tc>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 Herren</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38</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5,5</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39</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6,5</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8,5</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41</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9,5</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42</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8,5</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43</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9,5</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44</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11,5</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45</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12,5</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46</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13,5</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Kinderschuhe haben ein eigenes System: „C“ (</w:t>
      </w:r>
      <w:r>
        <w:rPr>
          <w:rFonts w:eastAsia="Cambria" w:cs="Cambria"/>
          <w:b w:val="false"/>
          <w:bCs w:val="false"/>
          <w:i/>
          <w:iCs/>
          <w:sz w:val="22"/>
          <w:szCs w:val="22"/>
        </w:rPr>
        <w:t>Children</w:t>
      </w:r>
      <w:r>
        <w:rPr>
          <w:rFonts w:eastAsia="Cambria" w:cs="Cambria"/>
          <w:b w:val="false"/>
          <w:bCs w:val="false"/>
          <w:i w:val="false"/>
          <w:iCs w:val="false"/>
          <w:sz w:val="22"/>
          <w:szCs w:val="22"/>
        </w:rPr>
        <w:t>) bis 13,5, danach „Y“ (</w:t>
      </w:r>
      <w:r>
        <w:rPr>
          <w:rFonts w:eastAsia="Cambria" w:cs="Cambria"/>
          <w:b w:val="false"/>
          <w:bCs w:val="false"/>
          <w:i/>
          <w:iCs/>
          <w:sz w:val="22"/>
          <w:szCs w:val="22"/>
        </w:rPr>
        <w:t>Youth</w:t>
      </w:r>
      <w:r>
        <w:rPr>
          <w:rFonts w:eastAsia="Cambria" w:cs="Cambria"/>
          <w:b w:val="false"/>
          <w:bCs w:val="false"/>
          <w:i w:val="false"/>
          <w:iCs w:val="false"/>
          <w:sz w:val="22"/>
          <w:szCs w:val="22"/>
        </w:rPr>
        <w:t>), etwa EU 27 = 10C, EU 31 = 13C, EU 35 = 3Y. Viele Modelle gibt es zusätzlich in Weiten (</w:t>
      </w:r>
      <w:r>
        <w:rPr>
          <w:rFonts w:eastAsia="Cambria" w:cs="Cambria"/>
          <w:b w:val="false"/>
          <w:bCs w:val="false"/>
          <w:i/>
          <w:iCs/>
          <w:sz w:val="22"/>
          <w:szCs w:val="22"/>
        </w:rPr>
        <w:t>Medium</w:t>
      </w:r>
      <w:r>
        <w:rPr>
          <w:rFonts w:eastAsia="Cambria" w:cs="Cambria"/>
          <w:b w:val="false"/>
          <w:bCs w:val="false"/>
          <w:i w:val="false"/>
          <w:iCs w:val="false"/>
          <w:sz w:val="22"/>
          <w:szCs w:val="22"/>
        </w:rPr>
        <w:t xml:space="preserve">, </w:t>
      </w:r>
      <w:r>
        <w:rPr>
          <w:rFonts w:eastAsia="Cambria" w:cs="Cambria"/>
          <w:b w:val="false"/>
          <w:bCs w:val="false"/>
          <w:i/>
          <w:iCs/>
          <w:sz w:val="22"/>
          <w:szCs w:val="22"/>
        </w:rPr>
        <w:t>Wide</w:t>
      </w:r>
      <w:r>
        <w:rPr>
          <w:rFonts w:eastAsia="Cambria" w:cs="Cambria"/>
          <w:b w:val="false"/>
          <w:bCs w:val="false"/>
          <w:i w:val="false"/>
          <w:iCs w:val="false"/>
          <w:sz w:val="22"/>
          <w:szCs w:val="22"/>
        </w:rPr>
        <w:t>), ein Vorteil bei breiten Füßen.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Dieselbe Person trägt bei einer Marke Größe 6 und bei der nächsten Größe 10. Diese Größeninflation heißt </w:t>
            </w:r>
            <w:r>
              <w:rPr>
                <w:rFonts w:eastAsia="Cambria" w:cs="Cambria"/>
                <w:b w:val="false"/>
                <w:bCs w:val="false"/>
                <w:i/>
                <w:iCs/>
                <w:sz w:val="20"/>
                <w:szCs w:val="20"/>
              </w:rPr>
              <w:t>Vanity Sizing</w:t>
            </w:r>
            <w:r>
              <w:rPr>
                <w:rFonts w:eastAsia="Cambria" w:cs="Cambria"/>
                <w:b w:val="false"/>
                <w:bCs w:val="false"/>
                <w:i w:val="false"/>
                <w:iCs w:val="false"/>
                <w:sz w:val="20"/>
                <w:szCs w:val="20"/>
              </w:rPr>
              <w:t>: Marken schneiden großzügiger, damit die Zahl im Etikett kleiner ausfällt – nett fürs Ego, wenig hilfreich beim Online-Kauf ohne Anprobe. Nach US-Normdaten (ASTM D5585) stand Größe 8 im Jahr 1958 für rund 83 cm Brustumfang, 2011 für rund 92 cm. Verlass dich auf die Maßtabelle der Marke (Brust, Taille, Hüfte in Zoll), nicht auf die Zahl.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Wo du einkaufst und was es kostet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Jede Sorte Laden hat ihre Rolle:</w:t>
      </w:r>
    </w:p>
    <w:p>
      <w:pPr>
        <w:pStyle w:val="ListParagraph"/>
        <w:numPr>
          <w:ilvl w:val="0"/>
          <w:numId w:val="1"/>
        </w:numPr>
        <w:spacing w:lineRule="exact" w:line="288" w:before="0" w:after="60"/>
        <w:rPr/>
      </w:pPr>
      <w:r>
        <w:rPr>
          <w:rFonts w:eastAsia="Cambria" w:cs="Cambria"/>
          <w:b/>
          <w:bCs/>
          <w:i w:val="false"/>
          <w:iCs w:val="false"/>
          <w:sz w:val="22"/>
          <w:szCs w:val="22"/>
        </w:rPr>
        <w:t>Off-Price-Ketten</w:t>
      </w:r>
      <w:r>
        <w:rPr>
          <w:rFonts w:eastAsia="Cambria" w:cs="Cambria"/>
          <w:b w:val="false"/>
          <w:bCs w:val="false"/>
          <w:i w:val="false"/>
          <w:iCs w:val="false"/>
          <w:sz w:val="22"/>
          <w:szCs w:val="22"/>
        </w:rPr>
        <w:t xml:space="preserve"> (</w:t>
      </w:r>
      <w:r>
        <w:rPr>
          <w:rFonts w:eastAsia="Cambria" w:cs="Cambria"/>
          <w:b w:val="false"/>
          <w:bCs w:val="false"/>
          <w:i/>
          <w:iCs/>
          <w:sz w:val="22"/>
          <w:szCs w:val="22"/>
        </w:rPr>
        <w:t>Off-Price</w:t>
      </w:r>
      <w:r>
        <w:rPr>
          <w:rFonts w:eastAsia="Cambria" w:cs="Cambria"/>
          <w:b w:val="false"/>
          <w:bCs w:val="false"/>
          <w:i w:val="false"/>
          <w:iCs w:val="false"/>
          <w:sz w:val="22"/>
          <w:szCs w:val="22"/>
        </w:rPr>
        <w:t>: Markenware aus Überbeständen, deutlich reduziert) wie TJ Maxx, Marshalls, Ross oder Nordstrom Rack: wechselndes Sortiment, lückenhafte Größen, lohnende Schatzsuche.</w:t>
      </w:r>
    </w:p>
    <w:p>
      <w:pPr>
        <w:pStyle w:val="ListParagraph"/>
        <w:numPr>
          <w:ilvl w:val="0"/>
          <w:numId w:val="1"/>
        </w:numPr>
        <w:spacing w:lineRule="exact" w:line="288" w:before="0" w:after="60"/>
        <w:rPr/>
      </w:pPr>
      <w:r>
        <w:rPr>
          <w:rFonts w:eastAsia="Cambria" w:cs="Cambria"/>
          <w:b/>
          <w:bCs/>
          <w:i w:val="false"/>
          <w:iCs w:val="false"/>
          <w:sz w:val="22"/>
          <w:szCs w:val="22"/>
        </w:rPr>
        <w:t>Kaufhäuser und Fachketten</w:t>
      </w:r>
      <w:r>
        <w:rPr>
          <w:rFonts w:eastAsia="Cambria" w:cs="Cambria"/>
          <w:b w:val="false"/>
          <w:bCs w:val="false"/>
          <w:i w:val="false"/>
          <w:iCs w:val="false"/>
          <w:sz w:val="22"/>
          <w:szCs w:val="22"/>
        </w:rPr>
        <w:t xml:space="preserve"> wie Macy’s, Nordstrom, Kohl’s, Gap, Old Navy oder H&amp;M. Old Navy und Target sind eine feste Adresse für Basics und Kinderkleidung.</w:t>
      </w:r>
    </w:p>
    <w:p>
      <w:pPr>
        <w:pStyle w:val="ListParagraph"/>
        <w:numPr>
          <w:ilvl w:val="0"/>
          <w:numId w:val="1"/>
        </w:numPr>
        <w:spacing w:lineRule="exact" w:line="288" w:before="0" w:after="60"/>
        <w:rPr/>
      </w:pPr>
      <w:r>
        <w:rPr>
          <w:rFonts w:eastAsia="Cambria" w:cs="Cambria"/>
          <w:b/>
          <w:bCs/>
          <w:i w:val="false"/>
          <w:iCs w:val="false"/>
          <w:sz w:val="22"/>
          <w:szCs w:val="22"/>
        </w:rPr>
        <w:t>Outlets</w:t>
      </w:r>
      <w:r>
        <w:rPr>
          <w:rFonts w:eastAsia="Cambria" w:cs="Cambria"/>
          <w:b w:val="false"/>
          <w:bCs w:val="false"/>
          <w:i w:val="false"/>
          <w:iCs w:val="false"/>
          <w:sz w:val="22"/>
          <w:szCs w:val="22"/>
        </w:rPr>
        <w:t xml:space="preserve"> liegen meist außerhalb der Städte; nicht jeder Outlet-Preis ist ein Schnäppchen.</w:t>
      </w:r>
    </w:p>
    <w:p>
      <w:pPr>
        <w:pStyle w:val="ListParagraph"/>
        <w:numPr>
          <w:ilvl w:val="0"/>
          <w:numId w:val="1"/>
        </w:numPr>
        <w:spacing w:lineRule="exact" w:line="288" w:before="0" w:after="60"/>
        <w:rPr/>
      </w:pPr>
      <w:r>
        <w:rPr>
          <w:rFonts w:eastAsia="Cambria" w:cs="Cambria"/>
          <w:b/>
          <w:bCs/>
          <w:i w:val="false"/>
          <w:iCs w:val="false"/>
          <w:sz w:val="22"/>
          <w:szCs w:val="22"/>
        </w:rPr>
        <w:t>Costco und Amazon:</w:t>
      </w:r>
      <w:r>
        <w:rPr>
          <w:rFonts w:eastAsia="Cambria" w:cs="Cambria"/>
          <w:b w:val="false"/>
          <w:bCs w:val="false"/>
          <w:i w:val="false"/>
          <w:iCs w:val="false"/>
          <w:sz w:val="22"/>
          <w:szCs w:val="22"/>
        </w:rPr>
        <w:t xml:space="preserve"> Costco führt Basics unter der Eigenmarke Kirkland Signature (Mitgliedschaft nötig, Kapitel </w:t>
      </w:r>
      <w:hyperlink w:anchor="k35">
        <w:r>
          <w:rPr>
            <w:rStyle w:val="ListLabel115"/>
            <w:rFonts w:eastAsia="Cambria" w:cs="Cambria"/>
            <w:b w:val="false"/>
            <w:bCs w:val="false"/>
            <w:i w:val="false"/>
            <w:iCs w:val="false"/>
            <w:sz w:val="22"/>
            <w:szCs w:val="22"/>
          </w:rPr>
          <w:t>35</w:t>
        </w:r>
      </w:hyperlink>
      <w:r>
        <w:rPr>
          <w:rFonts w:eastAsia="Cambria" w:cs="Cambria"/>
          <w:b w:val="false"/>
          <w:bCs w:val="false"/>
          <w:i w:val="false"/>
          <w:iCs w:val="false"/>
          <w:sz w:val="22"/>
          <w:szCs w:val="22"/>
        </w:rPr>
        <w:t>). Bei Amazon prüfst du vor dem Kauf Größentabelle und Rückgabebedingungen.</w:t>
      </w:r>
    </w:p>
    <w:p>
      <w:pPr>
        <w:pStyle w:val="ListParagraph"/>
        <w:numPr>
          <w:ilvl w:val="0"/>
          <w:numId w:val="1"/>
        </w:numPr>
        <w:spacing w:lineRule="exact" w:line="288" w:before="0" w:after="60"/>
        <w:rPr/>
      </w:pPr>
      <w:r>
        <w:rPr>
          <w:rFonts w:eastAsia="Cambria" w:cs="Cambria"/>
          <w:b/>
          <w:bCs/>
          <w:i w:val="false"/>
          <w:iCs w:val="false"/>
          <w:sz w:val="22"/>
          <w:szCs w:val="22"/>
        </w:rPr>
        <w:t>REI:</w:t>
      </w:r>
      <w:r>
        <w:rPr>
          <w:rFonts w:eastAsia="Cambria" w:cs="Cambria"/>
          <w:b w:val="false"/>
          <w:bCs w:val="false"/>
          <w:i w:val="false"/>
          <w:iCs w:val="false"/>
          <w:sz w:val="22"/>
          <w:szCs w:val="22"/>
        </w:rPr>
        <w:t xml:space="preserve"> Genossenschaft für Outdoor-Ausrüstung mit guter Beratung und Rückvergütung für Mitglieder.</w:t>
      </w:r>
    </w:p>
    <w:p>
      <w:pPr>
        <w:pStyle w:val="ListParagraph"/>
        <w:numPr>
          <w:ilvl w:val="0"/>
          <w:numId w:val="1"/>
        </w:numPr>
        <w:spacing w:lineRule="exact" w:line="288" w:before="0" w:after="60"/>
        <w:rPr/>
      </w:pPr>
      <w:r>
        <w:rPr>
          <w:rFonts w:eastAsia="Cambria" w:cs="Cambria"/>
          <w:b/>
          <w:bCs/>
          <w:i w:val="false"/>
          <w:iCs w:val="false"/>
          <w:sz w:val="22"/>
          <w:szCs w:val="22"/>
        </w:rPr>
        <w:t>Second Hand:</w:t>
      </w:r>
      <w:r>
        <w:rPr>
          <w:rFonts w:eastAsia="Cambria" w:cs="Cambria"/>
          <w:b w:val="false"/>
          <w:bCs w:val="false"/>
          <w:i w:val="false"/>
          <w:iCs w:val="false"/>
          <w:sz w:val="22"/>
          <w:szCs w:val="22"/>
        </w:rPr>
        <w:t xml:space="preserve"> </w:t>
      </w:r>
      <w:r>
        <w:rPr>
          <w:rFonts w:eastAsia="Cambria" w:cs="Cambria"/>
          <w:b w:val="false"/>
          <w:bCs w:val="false"/>
          <w:i/>
          <w:iCs/>
          <w:sz w:val="22"/>
          <w:szCs w:val="22"/>
        </w:rPr>
        <w:t>Thrift Stores</w:t>
      </w:r>
      <w:r>
        <w:rPr>
          <w:rFonts w:eastAsia="Cambria" w:cs="Cambria"/>
          <w:b w:val="false"/>
          <w:bCs w:val="false"/>
          <w:i w:val="false"/>
          <w:iCs w:val="false"/>
          <w:sz w:val="22"/>
          <w:szCs w:val="22"/>
        </w:rPr>
        <w:t xml:space="preserve"> (Second-Hand-Läden) wie Goodwill und Salvation Army, Kommissionsläden, online ThredUp, Poshmark oder Facebook Marketplace. Gebrauchtes ist gesellschaftlich normal und für Kinderkleidung, Winterjacken und Sportausrüstung die günstigste Quelle.</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Feste Termine für Saisonverkäufe sind </w:t>
      </w:r>
      <w:r>
        <w:rPr>
          <w:rFonts w:eastAsia="Cambria" w:cs="Cambria"/>
          <w:b/>
          <w:bCs/>
          <w:i w:val="false"/>
          <w:iCs w:val="false"/>
          <w:sz w:val="22"/>
          <w:szCs w:val="22"/>
        </w:rPr>
        <w:t>Memorial Day</w:t>
      </w:r>
      <w:r>
        <w:rPr>
          <w:rFonts w:eastAsia="Cambria" w:cs="Cambria"/>
          <w:b w:val="false"/>
          <w:bCs w:val="false"/>
          <w:i w:val="false"/>
          <w:iCs w:val="false"/>
          <w:sz w:val="22"/>
          <w:szCs w:val="22"/>
        </w:rPr>
        <w:t xml:space="preserve"> (letzter Montag im Mai), </w:t>
      </w:r>
      <w:r>
        <w:rPr>
          <w:rFonts w:eastAsia="Cambria" w:cs="Cambria"/>
          <w:b/>
          <w:bCs/>
          <w:i w:val="false"/>
          <w:iCs w:val="false"/>
          <w:sz w:val="22"/>
          <w:szCs w:val="22"/>
        </w:rPr>
        <w:t>Labor Day</w:t>
      </w:r>
      <w:r>
        <w:rPr>
          <w:rFonts w:eastAsia="Cambria" w:cs="Cambria"/>
          <w:b w:val="false"/>
          <w:bCs w:val="false"/>
          <w:i w:val="false"/>
          <w:iCs w:val="false"/>
          <w:sz w:val="22"/>
          <w:szCs w:val="22"/>
        </w:rPr>
        <w:t xml:space="preserve"> (erster Montag im September) und </w:t>
      </w:r>
      <w:r>
        <w:rPr>
          <w:rFonts w:eastAsia="Cambria" w:cs="Cambria"/>
          <w:b/>
          <w:bCs/>
          <w:i w:val="false"/>
          <w:iCs w:val="false"/>
          <w:sz w:val="22"/>
          <w:szCs w:val="22"/>
        </w:rPr>
        <w:t>Black Friday</w:t>
      </w:r>
      <w:r>
        <w:rPr>
          <w:rFonts w:eastAsia="Cambria" w:cs="Cambria"/>
          <w:b w:val="false"/>
          <w:bCs w:val="false"/>
          <w:i w:val="false"/>
          <w:iCs w:val="false"/>
          <w:sz w:val="22"/>
          <w:szCs w:val="22"/>
        </w:rPr>
        <w:t xml:space="preserve"> (Tag nach Thanksgiving). Winterware wird ab Januar herabgesetzt, Sommerware ab August, Schulkleidung gibt es im Juli günstig.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allgemeines gesetzliches Widerrufsrecht wie in Deutschland gibt es nicht; die Rückgabe regelt jeder Händler selbst (</w:t>
      </w:r>
      <w:r>
        <w:rPr>
          <w:rFonts w:eastAsia="Cambria" w:cs="Cambria"/>
          <w:b w:val="false"/>
          <w:bCs w:val="false"/>
          <w:i/>
          <w:iCs/>
          <w:sz w:val="22"/>
          <w:szCs w:val="22"/>
        </w:rPr>
        <w:t>Return Policy</w:t>
      </w:r>
      <w:r>
        <w:rPr>
          <w:rFonts w:eastAsia="Cambria" w:cs="Cambria"/>
          <w:b w:val="false"/>
          <w:bCs w:val="false"/>
          <w:i w:val="false"/>
          <w:iCs w:val="false"/>
          <w:sz w:val="22"/>
          <w:szCs w:val="22"/>
        </w:rPr>
        <w:t>). Üblich sind 30 bis 90 Tage, oft nur mit Kassenbon und Etikett, online meist mit kostenloser Rücksendung. Costco und REI sind für kulante Rücknahme bekannt (mehr zur Rückgabekultur in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Zur groben Orientierung (Stand 2026, stark abhängig von Marke und Aktion): Jeans kosten meist 30–100 $, eine gefütterte Winterjacke 100–300 $ (Premium-Daunenparkas ab 400 $), Sneaker 50–150 $, Leder- und Winterstiefel 100–250 $. Die Verkaufssteuer kommt erst an der Kasse dazu.</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In einigen Bundesstaaten ist Kleidung ganz oder teilweise steuerfrei: Pennsylvania, New Jersey, Minnesota und Vermont, in New York bis 110 $ und in Massachusetts bis 175 $ je Stück (Stand 2026; prüfe die Regel deines Bundesstaats).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Marken: was in den USA Standard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Als US-Standard gelten Levi’s und Wrangler (Jeans), Carhartt (Arbeitskleidung, Hauptsitz Dearborn bei Detroit), Patagonia, The North Face und Columbia (Outdoor), L.L.Bean sowie Nike, Under Armour und New Balance (Sport). Adidas, Puma und Birkenstock findest du überall. Kleinere deutsche Marken gibt es meist nur online oder in wenigen Läden, oft teurer.</w:t>
      </w:r>
    </w:p>
    <w:p>
      <w:pPr>
        <w:pStyle w:val="Heading3"/>
        <w:keepNext w:val="true"/>
        <w:spacing w:before="280" w:after="100"/>
        <w:jc w:val="center"/>
        <w:rPr/>
      </w:pPr>
      <w:r>
        <w:rPr>
          <w:rFonts w:eastAsia="Amazon Ember" w:cs="Amazon Ember" w:ascii="Amazon Ember" w:hAnsi="Amazon Ember"/>
          <w:b/>
          <w:bCs/>
          <w:color w:val="0000FF"/>
          <w:sz w:val="36"/>
          <w:szCs w:val="36"/>
        </w:rPr>
        <w:t>Klimagarderobe: Layering, Regen, Hitze, Kälte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Klima entscheidet über deine Garderobe stärker als jeder Dresscode (Regionen und Naturrisiken: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Bewährt ist das Schichtenprinzip (</w:t>
      </w:r>
      <w:r>
        <w:rPr>
          <w:rFonts w:eastAsia="Cambria" w:cs="Cambria"/>
          <w:b w:val="false"/>
          <w:bCs w:val="false"/>
          <w:i/>
          <w:iCs/>
          <w:sz w:val="22"/>
          <w:szCs w:val="22"/>
        </w:rPr>
        <w:t>Layering</w:t>
      </w:r>
      <w:r>
        <w:rPr>
          <w:rFonts w:eastAsia="Cambria" w:cs="Cambria"/>
          <w:b w:val="false"/>
          <w:bCs w:val="false"/>
          <w:i w:val="false"/>
          <w:iCs w:val="false"/>
          <w:sz w:val="22"/>
          <w:szCs w:val="22"/>
        </w:rPr>
        <w:t>): Basisschicht (Merino oder Kunstfaser), wärmende Schicht (Fleece oder Daune) und Schale gegen Wind und Nässe. Innenräume sind im Winter stark geheizt und im Sommer oft heruntergekühlt; eine Strickjacke im Büro ist auch im Juli normal.</w:t>
      </w:r>
    </w:p>
    <w:p>
      <w:pPr>
        <w:pStyle w:val="Normal"/>
        <w:keepNext w:val="false"/>
        <w:keepLines w:val="false"/>
        <w:spacing w:lineRule="exact" w:line="288" w:before="0" w:after="140"/>
        <w:jc w:val="left"/>
        <w:rPr/>
      </w:pPr>
      <w:r>
        <w:rPr>
          <w:rFonts w:eastAsia="Cambria" w:cs="Cambria"/>
          <w:b/>
          <w:bCs/>
          <w:i w:val="false"/>
          <w:iCs w:val="false"/>
          <w:sz w:val="22"/>
          <w:szCs w:val="22"/>
        </w:rPr>
        <w:t>Kälte:</w:t>
      </w:r>
      <w:r>
        <w:rPr>
          <w:rFonts w:eastAsia="Cambria" w:cs="Cambria"/>
          <w:b w:val="false"/>
          <w:bCs w:val="false"/>
          <w:i w:val="false"/>
          <w:iCs w:val="false"/>
          <w:sz w:val="22"/>
          <w:szCs w:val="22"/>
        </w:rPr>
        <w:t xml:space="preserve"> In Michigan, Minnesota oder Neuengland brauchst du Daunenparka, Mütze, Handschuhe, wasserdichte gefütterte Stiefel und Thermounterwäsche. Wind zählt mehr als die Gradzahl: Bei 0 °F (−18 °C) und 15 mph (24 km/h) Wind fühlt es sich laut Nationalem Wetterdienst wie −19 °F (−28 °C) an; ungeschützte Haut kann in 30 Minuten erfrieren.</w:t>
      </w:r>
    </w:p>
    <w:p>
      <w:pPr>
        <w:pStyle w:val="Normal"/>
        <w:keepNext w:val="false"/>
        <w:keepLines w:val="false"/>
        <w:spacing w:lineRule="exact" w:line="288" w:before="0" w:after="140"/>
        <w:jc w:val="left"/>
        <w:rPr/>
      </w:pPr>
      <w:r>
        <w:rPr>
          <w:rFonts w:eastAsia="Cambria" w:cs="Cambria"/>
          <w:b/>
          <w:bCs/>
          <w:i w:val="false"/>
          <w:iCs w:val="false"/>
          <w:sz w:val="22"/>
          <w:szCs w:val="22"/>
        </w:rPr>
        <w:t>Regen:</w:t>
      </w:r>
      <w:r>
        <w:rPr>
          <w:rFonts w:eastAsia="Cambria" w:cs="Cambria"/>
          <w:b w:val="false"/>
          <w:bCs w:val="false"/>
          <w:i w:val="false"/>
          <w:iCs w:val="false"/>
          <w:sz w:val="22"/>
          <w:szCs w:val="22"/>
        </w:rPr>
        <w:t xml:space="preserve"> Im Nordwesten genügt meist eine atmungsaktive Regenjacke mit Kapuze. Im Südosten kommt der Regen in Wolkenbrüchen; schnell trocknende Stoffe und wasserfeste Sandalen schlagen dort Leder.</w:t>
      </w:r>
    </w:p>
    <w:p>
      <w:pPr>
        <w:pStyle w:val="Normal"/>
        <w:keepNext w:val="false"/>
        <w:keepLines w:val="false"/>
        <w:spacing w:lineRule="exact" w:line="288" w:before="0" w:after="140"/>
        <w:jc w:val="left"/>
        <w:rPr/>
      </w:pPr>
      <w:r>
        <w:rPr>
          <w:rFonts w:eastAsia="Cambria" w:cs="Cambria"/>
          <w:b/>
          <w:bCs/>
          <w:i w:val="false"/>
          <w:iCs w:val="false"/>
          <w:sz w:val="22"/>
          <w:szCs w:val="22"/>
        </w:rPr>
        <w:t>Hitze und Sonne:</w:t>
      </w:r>
      <w:r>
        <w:rPr>
          <w:rFonts w:eastAsia="Cambria" w:cs="Cambria"/>
          <w:b w:val="false"/>
          <w:bCs w:val="false"/>
          <w:i w:val="false"/>
          <w:iCs w:val="false"/>
          <w:sz w:val="22"/>
          <w:szCs w:val="22"/>
        </w:rPr>
        <w:t xml:space="preserve"> In Arizona, Texas oder Florida trägst du leichte, helle, luftige Stoffe, einen Hut mit breiter Krempe und eine Sonnenbrille mit UV-Schutz. Sonnenschutzkleidung mit UPF-Kennzeichnung (</w:t>
      </w:r>
      <w:r>
        <w:rPr>
          <w:rFonts w:eastAsia="Cambria" w:cs="Cambria"/>
          <w:b w:val="false"/>
          <w:bCs w:val="false"/>
          <w:i/>
          <w:iCs/>
          <w:sz w:val="22"/>
          <w:szCs w:val="22"/>
        </w:rPr>
        <w:t>UPF</w:t>
      </w:r>
      <w:r>
        <w:rPr>
          <w:rFonts w:eastAsia="Cambria" w:cs="Cambria"/>
          <w:b w:val="false"/>
          <w:bCs w:val="false"/>
          <w:i w:val="false"/>
          <w:iCs w:val="false"/>
          <w:sz w:val="22"/>
          <w:szCs w:val="22"/>
        </w:rPr>
        <w:t>: Lichtschutzfaktor von Textilien) gibt es bei Outdoor-Händlern.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Unterschätze die Sonne nicht. Im Süden und Südwesten liegt der UV-Index im Sommer häufig bei „sehr hoch“ bis „extrem“. Die amerikanische Hautärztevereinigung (AAD) empfiehlt breitbandigen, wasserfesten Sonnenschutz mit Lichtschutzfaktor 30 oder höher.</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 landet im August bei 80 °F (27 °C) im Großraum Detroit. Markus und Anna haben ihre Winterjacken dabei; für Lena (9) und Jonas (5) passt nichts mehr, Schneehosen fehlen ganz. Als der erste Schnee fällt, steht Jonas im Vorgarten und wundert sich laut, warum seine Jacke aus Deutschland auf einmal bis zum Bauch reicht statt bis zu den Knien – er ist seit dem Umzug zwei Nummern gewachsen. Im Schülerhandbuch steht: Bei Frost gehen die Kinder oft in die Pause nach draußen, verlangt sind Schneehose, Stiefel, Mütze und Handschuhe. In den Black-Friday-Wochen kauft Anna bei Target, Old Navy und in einem Kommissionsladen für Kinderkleidung; für rund 300 $ sind beide Kinder komplett ausgerüstet. Markus ergänzt Thermounterwäsche. Ihr Fazit nach dem ersten Winter: Die eigenen Jacken würden sie wieder mitnehmen, die Kinderkleidung nicht.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Waschen und Trocknen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Wäschetrockner (</w:t>
      </w:r>
      <w:r>
        <w:rPr>
          <w:rFonts w:eastAsia="Cambria" w:cs="Cambria"/>
          <w:b w:val="false"/>
          <w:bCs w:val="false"/>
          <w:i/>
          <w:iCs/>
          <w:sz w:val="22"/>
          <w:szCs w:val="22"/>
        </w:rPr>
        <w:t>Dryer</w:t>
      </w:r>
      <w:r>
        <w:rPr>
          <w:rFonts w:eastAsia="Cambria" w:cs="Cambria"/>
          <w:b w:val="false"/>
          <w:bCs w:val="false"/>
          <w:i w:val="false"/>
          <w:iCs w:val="false"/>
          <w:sz w:val="22"/>
          <w:szCs w:val="22"/>
        </w:rPr>
        <w:t>) ist in den USA Standard, und er arbeitet heiß genug, dass der erste eingelaufene Lieblingspullover für viele Neuankömmlinge zu einer Art Initiationsritus wird: Baumwolle und Wolle können einlaufen, Funktionsjacken und elastische Stoffe leiden. Textilbekleidung muss in den USA mit dauerhaftem Pflegeetikett verkauft werden (Vorgabe der Handelsbehörde FTC). Wähle bei Unsicherheit „Tumble Dry Low“ (niedrige Stufe) oder trockne an der Luft.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Wollpullover und Funktionsjacken gehören nicht ungeprüft in den Trockner; auf dem Wäscheständer trocknen sie sicher. Eine Wäscheleine im Freien ist in vielen Mietanlagen und Eigentümergemeinschaften (</w:t>
            </w:r>
            <w:r>
              <w:rPr>
                <w:rFonts w:eastAsia="Cambria" w:cs="Cambria"/>
                <w:b w:val="false"/>
                <w:bCs w:val="false"/>
                <w:i/>
                <w:iCs/>
                <w:sz w:val="20"/>
                <w:szCs w:val="20"/>
              </w:rPr>
              <w:t>HOA</w:t>
            </w:r>
            <w:r>
              <w:rPr>
                <w:rFonts w:eastAsia="Cambria" w:cs="Cambria"/>
                <w:b w:val="false"/>
                <w:bCs w:val="false"/>
                <w:i w:val="false"/>
                <w:iCs w:val="false"/>
                <w:sz w:val="20"/>
                <w:szCs w:val="20"/>
              </w:rPr>
              <w:t>) untersagt; einzelne Bundesstaaten schützen das Trocknen an der Leine per Gesetz (</w:t>
            </w:r>
            <w:r>
              <w:rPr>
                <w:rFonts w:eastAsia="Cambria" w:cs="Cambria"/>
                <w:b w:val="false"/>
                <w:bCs w:val="false"/>
                <w:i/>
                <w:iCs/>
                <w:sz w:val="20"/>
                <w:szCs w:val="20"/>
              </w:rPr>
              <w:t>Right to Dry</w:t>
            </w:r>
            <w:r>
              <w:rPr>
                <w:rFonts w:eastAsia="Cambria" w:cs="Cambria"/>
                <w:b w:val="false"/>
                <w:bCs w:val="false"/>
                <w:i w:val="false"/>
                <w:iCs w:val="false"/>
                <w:sz w:val="20"/>
                <w:szCs w:val="20"/>
              </w:rPr>
              <w: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Ob und wo du wäschst, hängt von der Wohnung ab: Maschinen in der Wohnung (</w:t>
      </w:r>
      <w:r>
        <w:rPr>
          <w:rFonts w:eastAsia="Cambria" w:cs="Cambria"/>
          <w:b w:val="false"/>
          <w:bCs w:val="false"/>
          <w:i/>
          <w:iCs/>
          <w:sz w:val="22"/>
          <w:szCs w:val="22"/>
        </w:rPr>
        <w:t>In-Unit Laundry</w:t>
      </w:r>
      <w:r>
        <w:rPr>
          <w:rFonts w:eastAsia="Cambria" w:cs="Cambria"/>
          <w:b w:val="false"/>
          <w:bCs w:val="false"/>
          <w:i w:val="false"/>
          <w:iCs w:val="false"/>
          <w:sz w:val="22"/>
          <w:szCs w:val="22"/>
        </w:rPr>
        <w:t>), Waschraum im Haus mit Münz- oder Kartenbetrieb (</w:t>
      </w:r>
      <w:r>
        <w:rPr>
          <w:rFonts w:eastAsia="Cambria" w:cs="Cambria"/>
          <w:b w:val="false"/>
          <w:bCs w:val="false"/>
          <w:i/>
          <w:iCs/>
          <w:sz w:val="22"/>
          <w:szCs w:val="22"/>
        </w:rPr>
        <w:t>Laundry Room</w:t>
      </w:r>
      <w:r>
        <w:rPr>
          <w:rFonts w:eastAsia="Cambria" w:cs="Cambria"/>
          <w:b w:val="false"/>
          <w:bCs w:val="false"/>
          <w:i w:val="false"/>
          <w:iCs w:val="false"/>
          <w:sz w:val="22"/>
          <w:szCs w:val="22"/>
        </w:rPr>
        <w:t>), Waschsalon (</w:t>
      </w:r>
      <w:r>
        <w:rPr>
          <w:rFonts w:eastAsia="Cambria" w:cs="Cambria"/>
          <w:b w:val="false"/>
          <w:bCs w:val="false"/>
          <w:i/>
          <w:iCs/>
          <w:sz w:val="22"/>
          <w:szCs w:val="22"/>
        </w:rPr>
        <w:t>Laundromat</w:t>
      </w:r>
      <w:r>
        <w:rPr>
          <w:rFonts w:eastAsia="Cambria" w:cs="Cambria"/>
          <w:b w:val="false"/>
          <w:bCs w:val="false"/>
          <w:i w:val="false"/>
          <w:iCs w:val="false"/>
          <w:sz w:val="22"/>
          <w:szCs w:val="22"/>
        </w:rPr>
        <w:t>) oder nur Anschlüsse für eigene Geräte (</w:t>
      </w:r>
      <w:r>
        <w:rPr>
          <w:rFonts w:eastAsia="Cambria" w:cs="Cambria"/>
          <w:b w:val="false"/>
          <w:bCs w:val="false"/>
          <w:i/>
          <w:iCs/>
          <w:sz w:val="22"/>
          <w:szCs w:val="22"/>
        </w:rPr>
        <w:t>Hookups</w:t>
      </w:r>
      <w:r>
        <w:rPr>
          <w:rFonts w:eastAsia="Cambria" w:cs="Cambria"/>
          <w:b w:val="false"/>
          <w:bCs w:val="false"/>
          <w:i w:val="false"/>
          <w:iCs w:val="false"/>
          <w:sz w:val="22"/>
          <w:szCs w:val="22"/>
        </w:rPr>
        <w:t>). Im Waschraum zahlst du pro Ladung meist mehrere Dollar. Frage bei der Wohnungssuche danach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Was du mitnimmst und was nicht</w:t>
      </w:r>
    </w:p>
    <w:p>
      <w:pPr>
        <w:pStyle w:val="Normal"/>
        <w:keepNext w:val="false"/>
        <w:keepLines w:val="false"/>
        <w:spacing w:lineRule="exact" w:line="288" w:before="0" w:after="140"/>
        <w:jc w:val="left"/>
        <w:rPr/>
      </w:pPr>
      <w:r>
        <w:rPr>
          <w:rFonts w:eastAsia="Cambria" w:cs="Cambria"/>
          <w:b/>
          <w:bCs/>
          <w:i w:val="false"/>
          <w:iCs w:val="false"/>
          <w:sz w:val="22"/>
          <w:szCs w:val="22"/>
        </w:rPr>
        <w:t>Mitnehmen:</w:t>
      </w:r>
    </w:p>
    <w:p>
      <w:pPr>
        <w:pStyle w:val="ListParagraph"/>
        <w:numPr>
          <w:ilvl w:val="0"/>
          <w:numId w:val="1"/>
        </w:numPr>
        <w:spacing w:lineRule="exact" w:line="288" w:before="0" w:after="60"/>
        <w:rPr/>
      </w:pPr>
      <w:r>
        <w:rPr>
          <w:rFonts w:eastAsia="Cambria" w:cs="Cambria"/>
          <w:b/>
          <w:bCs/>
          <w:i w:val="false"/>
          <w:iCs w:val="false"/>
          <w:sz w:val="22"/>
          <w:szCs w:val="22"/>
        </w:rPr>
        <w:t>Winterjacke:</w:t>
      </w:r>
      <w:r>
        <w:rPr>
          <w:rFonts w:eastAsia="Cambria" w:cs="Cambria"/>
          <w:b w:val="false"/>
          <w:bCs w:val="false"/>
          <w:i w:val="false"/>
          <w:iCs w:val="false"/>
          <w:sz w:val="22"/>
          <w:szCs w:val="22"/>
        </w:rPr>
        <w:t xml:space="preserve"> In kalten Regionen ist eine gute Jacke sinnvoll, vor allem bei Ankunft im Herbst. In Kalifornien oder im Süden reicht eine Übergangsjacke.</w:t>
      </w:r>
    </w:p>
    <w:p>
      <w:pPr>
        <w:pStyle w:val="ListParagraph"/>
        <w:numPr>
          <w:ilvl w:val="0"/>
          <w:numId w:val="1"/>
        </w:numPr>
        <w:spacing w:lineRule="exact" w:line="288" w:before="0" w:after="60"/>
        <w:rPr/>
      </w:pPr>
      <w:r>
        <w:rPr>
          <w:rFonts w:eastAsia="Cambria" w:cs="Cambria"/>
          <w:b/>
          <w:bCs/>
          <w:i w:val="false"/>
          <w:iCs w:val="false"/>
          <w:sz w:val="22"/>
          <w:szCs w:val="22"/>
        </w:rPr>
        <w:t>Hochwertige Schuhe:</w:t>
      </w:r>
      <w:r>
        <w:rPr>
          <w:rFonts w:eastAsia="Cambria" w:cs="Cambria"/>
          <w:b w:val="false"/>
          <w:bCs w:val="false"/>
          <w:i w:val="false"/>
          <w:iCs w:val="false"/>
          <w:sz w:val="22"/>
          <w:szCs w:val="22"/>
        </w:rPr>
        <w:t xml:space="preserve"> Eingelaufene Lederschuhe, Wanderstiefel und Laufschuhe sind schwer zu ersetzen.</w:t>
      </w:r>
    </w:p>
    <w:p>
      <w:pPr>
        <w:pStyle w:val="ListParagraph"/>
        <w:numPr>
          <w:ilvl w:val="0"/>
          <w:numId w:val="1"/>
        </w:numPr>
        <w:spacing w:lineRule="exact" w:line="288" w:before="0" w:after="60"/>
        <w:rPr/>
      </w:pPr>
      <w:r>
        <w:rPr>
          <w:rFonts w:eastAsia="Cambria" w:cs="Cambria"/>
          <w:b/>
          <w:bCs/>
          <w:i w:val="false"/>
          <w:iCs w:val="false"/>
          <w:sz w:val="22"/>
          <w:szCs w:val="22"/>
        </w:rPr>
        <w:t>Business-Kleidung:</w:t>
      </w:r>
      <w:r>
        <w:rPr>
          <w:rFonts w:eastAsia="Cambria" w:cs="Cambria"/>
          <w:b w:val="false"/>
          <w:bCs w:val="false"/>
          <w:i w:val="false"/>
          <w:iCs w:val="false"/>
          <w:sz w:val="22"/>
          <w:szCs w:val="22"/>
        </w:rPr>
        <w:t xml:space="preserve"> Ein bis zwei gute Anzüge oder Kostüme mit Hemden und Blusen reichen für Interviews und den Anfang.</w:t>
      </w:r>
    </w:p>
    <w:p>
      <w:pPr>
        <w:pStyle w:val="ListParagraph"/>
        <w:numPr>
          <w:ilvl w:val="0"/>
          <w:numId w:val="1"/>
        </w:numPr>
        <w:spacing w:lineRule="exact" w:line="288" w:before="0" w:after="60"/>
        <w:rPr/>
      </w:pPr>
      <w:r>
        <w:rPr>
          <w:rFonts w:eastAsia="Cambria" w:cs="Cambria"/>
          <w:b/>
          <w:bCs/>
          <w:i w:val="false"/>
          <w:iCs w:val="false"/>
          <w:sz w:val="22"/>
          <w:szCs w:val="22"/>
        </w:rPr>
        <w:t>Tracht:</w:t>
      </w:r>
      <w:r>
        <w:rPr>
          <w:rFonts w:eastAsia="Cambria" w:cs="Cambria"/>
          <w:b w:val="false"/>
          <w:bCs w:val="false"/>
          <w:i w:val="false"/>
          <w:iCs w:val="false"/>
          <w:sz w:val="22"/>
          <w:szCs w:val="22"/>
        </w:rPr>
        <w:t xml:space="preserve"> Dirndl oder Lederhose sind bei Oktoberfesten willkommen, etwa in Cincinnati (einem der größten der USA) oder Leavenworth (Washington).</w:t>
      </w:r>
    </w:p>
    <w:p>
      <w:pPr>
        <w:pStyle w:val="ListParagraph"/>
        <w:numPr>
          <w:ilvl w:val="0"/>
          <w:numId w:val="1"/>
        </w:numPr>
        <w:spacing w:lineRule="exact" w:line="288" w:before="0" w:after="60"/>
        <w:rPr/>
      </w:pPr>
      <w:r>
        <w:rPr>
          <w:rFonts w:eastAsia="Cambria" w:cs="Cambria"/>
          <w:b/>
          <w:bCs/>
          <w:i w:val="false"/>
          <w:iCs w:val="false"/>
          <w:sz w:val="22"/>
          <w:szCs w:val="22"/>
        </w:rPr>
        <w:t>Outdoor-Ausrüstung:</w:t>
      </w:r>
      <w:r>
        <w:rPr>
          <w:rFonts w:eastAsia="Cambria" w:cs="Cambria"/>
          <w:b w:val="false"/>
          <w:bCs w:val="false"/>
          <w:i w:val="false"/>
          <w:iCs w:val="false"/>
          <w:sz w:val="22"/>
          <w:szCs w:val="22"/>
        </w:rPr>
        <w:t xml:space="preserve"> Rucksack, Wanderjacke und Schlafsack sind bewährt und eingelaufen. Zu Fahrrädern und Sportgeräten siehe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Besser vor Ort kaufen:</w:t>
      </w:r>
      <w:r>
        <w:rPr>
          <w:rFonts w:eastAsia="Cambria" w:cs="Cambria"/>
          <w:b w:val="false"/>
          <w:bCs w:val="false"/>
          <w:i w:val="false"/>
          <w:iCs w:val="false"/>
          <w:sz w:val="22"/>
          <w:szCs w:val="22"/>
        </w:rPr>
        <w:t xml:space="preserve"> Basics wie T-Shirts, Socken und Unterwäsche, Kinderkleidung und Kleidung für ein anderes Klima. Umzugsvolumen kostet Geld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Bettwäsche und Handtücher sind wegen der US-Bettgrößen ein Sonderfall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 dort auch die Packliste für die ersten zwei Wochen).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Nimm mit, was schwer zu ersetzen ist (Qualität, Passform, Erinnerung), und kaufe vor Ort, was leicht zu ersetzen ist. Beobachte vier bis sechs Wochen, bevor du eine ganze Garderobe kaufst.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Badekleidung, Sauna und Nacktheit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öffentlichen Strand, im Freibad und im Hotelpool ist Badebekleidung Pflicht. Männer tragen meist knielange Shorts; enge Badehosen sind vor allem im Schwimmsport üblich. Frauen dürfen in vielen Bundesstaaten nicht oben ohne baden.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Saunen gibt es vor allem in Fitnessstudios, Hotels und Spas, und sie sind fast immer Textilsaunen: Du trägst Badebekleidung oder ein Handtuch, in den Umkleiden nutzen viele Einzelduschkabinen. Eine Ausnahme sind koreanische Spas mit nach Geschlecht getrennten Nacktbereichen; gemischte Bereiche verlangen Spa-Kleidung.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Nacktheit in der Öffentlichkeit ist in den meisten Bundesstaaten und Gemeinden als </w:t>
            </w:r>
            <w:r>
              <w:rPr>
                <w:rFonts w:eastAsia="Cambria" w:cs="Cambria"/>
                <w:b w:val="false"/>
                <w:bCs w:val="false"/>
                <w:i/>
                <w:iCs/>
                <w:sz w:val="20"/>
                <w:szCs w:val="20"/>
              </w:rPr>
              <w:t>Indecent Exposure</w:t>
            </w:r>
            <w:r>
              <w:rPr>
                <w:rFonts w:eastAsia="Cambria" w:cs="Cambria"/>
                <w:b w:val="false"/>
                <w:bCs w:val="false"/>
                <w:i w:val="false"/>
                <w:iCs w:val="false"/>
                <w:sz w:val="20"/>
                <w:szCs w:val="20"/>
              </w:rPr>
              <w:t xml:space="preserve"> (unsittliche Entblößung) strafbar, unter Umständen auch im eigenen Garten, wenn Nachbarn es sehen können. FKK-Bereiche gibt es nur an einzelnen gekennzeichneten Orten, etwa im nördlichen Abschnitt von Haulover Beach in Florida. Ohne Kennzeichnung gilt: Textil.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Schuhe im Haus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Ob du im Haus die Schuhe ausziehst, ist Haushaltssache. In vielen Familien, vor allem mit Kleinkindern oder bei Schnee, stehen die Schuhe an der Tür; in anderen Häusern bleiben sie an. Achte beim ersten Besuch auf den Eingang oder frage: „Should I take my shoes off?“ Sagt der Gastgeber „Oh, keep them on“, behältst du sie an. Ein Paar heile Socken in der Tasche kann nicht schaden.</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Kleiderkultur in den USA im Überblick:</w:t>
      </w:r>
    </w:p>
    <w:tbl>
      <w:tblPr>
        <w:tblW w:w="6480" w:type="dxa"/>
        <w:jc w:val="left"/>
        <w:tblInd w:w="0" w:type="dxa"/>
        <w:tblLayout w:type="fixed"/>
        <w:tblCellMar>
          <w:top w:w="50" w:type="dxa"/>
          <w:left w:w="80" w:type="dxa"/>
          <w:bottom w:w="50" w:type="dxa"/>
          <w:right w:w="80" w:type="dxa"/>
        </w:tblCellMar>
      </w:tblPr>
      <w:tblGrid>
        <w:gridCol w:w="3182"/>
        <w:gridCol w:w="3297"/>
      </w:tblGrid>
      <w:tr>
        <w:trPr>
          <w:tblHeader w:val="true"/>
          <w:cantSplit w:val="true"/>
        </w:trPr>
        <w:tc>
          <w:tcPr>
            <w:tcW w:w="318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9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1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Große Toleranz im Alltag: Bequemes ist überall akzeptiert</w:t>
            </w:r>
          </w:p>
        </w:tc>
        <w:tc>
          <w:tcPr>
            <w:tcW w:w="32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Ungeschriebene Regeln für Job und Anlass; beobachten und fragen</w:t>
            </w:r>
          </w:p>
        </w:tc>
      </w:tr>
      <w:tr>
        <w:trPr>
          <w:cantSplit w:val="true"/>
        </w:trPr>
        <w:tc>
          <w:tcPr>
            <w:tcW w:w="31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Riesige Auswahl, Sales, Off-Price und Second Hand</w:t>
            </w:r>
          </w:p>
        </w:tc>
        <w:tc>
          <w:tcPr>
            <w:tcW w:w="32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Größen schwanken je Marke; Umrechnung bleibt Näherung</w:t>
            </w:r>
          </w:p>
        </w:tc>
      </w:tr>
      <w:tr>
        <w:trPr>
          <w:cantSplit w:val="true"/>
        </w:trPr>
        <w:tc>
          <w:tcPr>
            <w:tcW w:w="31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Kulante Rückgaben bei vielen Ketten</w:t>
            </w:r>
          </w:p>
        </w:tc>
        <w:tc>
          <w:tcPr>
            <w:tcW w:w="32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gesetzliches Widerrufsrecht; Fristen unterscheiden sich</w:t>
            </w:r>
          </w:p>
        </w:tc>
      </w:tr>
      <w:tr>
        <w:trPr>
          <w:cantSplit w:val="true"/>
        </w:trPr>
        <w:tc>
          <w:tcPr>
            <w:tcW w:w="31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Gute Outdoor- und Arbeitskleidung in großer Auswahl</w:t>
            </w:r>
          </w:p>
        </w:tc>
        <w:tc>
          <w:tcPr>
            <w:tcW w:w="32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Heißer Trockner schadet Wolle und Funktionskleidung</w:t>
            </w:r>
          </w:p>
        </w:tc>
      </w:tr>
      <w:tr>
        <w:trPr>
          <w:cantSplit w:val="true"/>
        </w:trPr>
        <w:tc>
          <w:tcPr>
            <w:tcW w:w="31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Second Hand gilt als völlig normal</w:t>
            </w:r>
          </w:p>
        </w:tc>
        <w:tc>
          <w:tcPr>
            <w:tcW w:w="32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Verkaufssteuer kommt erst an der Kasse dazu</w:t>
            </w:r>
          </w:p>
        </w:tc>
      </w:tr>
      <w:tr>
        <w:trPr>
          <w:cantSplit w:val="true"/>
        </w:trPr>
        <w:tc>
          <w:tcPr>
            <w:tcW w:w="31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Viel Spielraum bei Arbeitgebern und Schulen</w:t>
            </w:r>
          </w:p>
        </w:tc>
        <w:tc>
          <w:tcPr>
            <w:tcW w:w="32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Klimaanlagen kühlen Büros im Sommer stark herunter</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Frage Arbeitgeber und Schule nach dem Üblichen, notiere Maße in Zoll und entscheide, was in Koffer oder Container kommt. Kaufe in den ersten Wochen nur wenig, bis du siehst, was in deiner Region getragen wird.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Beim Arbeitgeber nach dem Dresscode fragen, auch fürs Vorstellungsgespräch</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Maße in Zoll notieren: Brust, Taille, Hüfte, Schrittlänge, Fußlänge, dazu die Kindergrößen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Winterjacke, gute Schuhe, Business-Outfits, Tracht und Outdoor-Ausrüstung entscheiden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Kinderkleidung nicht in Mengen mitnehmen, sondern vor Ort second hand und im Sale kaufen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Dress Code und Winterregeln der Schule im Schülerhandbuch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der Wohnungssuche klären: Waschmaschine und Trockner in Wohnung oder Haus?</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Sonnenschutz und Regenjacke einplanen, Kassenbon und Rückgabefrist beachten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US-Bildungsstatistik (NCES) — Schuluniformen an öffentlichen Schulen (</w:t>
      </w:r>
      <w:hyperlink r:id="rId325">
        <w:r>
          <w:rPr>
            <w:rStyle w:val="ListLabel113"/>
            <w:rFonts w:eastAsia="Cambria" w:cs="Cambria"/>
            <w:b w:val="false"/>
            <w:bCs w:val="false"/>
            <w:i w:val="false"/>
            <w:iCs w:val="false"/>
            <w:color w:val="0563C1"/>
            <w:sz w:val="22"/>
            <w:szCs w:val="22"/>
            <w:u w:val="single"/>
          </w:rPr>
          <w:t>nces.ed.gov/fastfacts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Verbraucherschutzbehörde CPSC — Vorschriften für Kinderschlafkleidung (</w:t>
      </w:r>
      <w:hyperlink r:id="rId326">
        <w:r>
          <w:rPr>
            <w:rStyle w:val="ListLabel113"/>
            <w:rFonts w:eastAsia="Cambria" w:cs="Cambria"/>
            <w:b w:val="false"/>
            <w:bCs w:val="false"/>
            <w:i w:val="false"/>
            <w:iCs w:val="false"/>
            <w:color w:val="0563C1"/>
            <w:sz w:val="22"/>
            <w:szCs w:val="22"/>
            <w:u w:val="single"/>
          </w:rPr>
          <w:t>cpsc.gov</w:t>
        </w:r>
      </w:hyperlink>
      <w:r>
        <w:rPr>
          <w:rFonts w:eastAsia="Cambria" w:cs="Cambria"/>
          <w:b w:val="false"/>
          <w:bCs w:val="false"/>
          <w:i w:val="false"/>
          <w:iCs w:val="false"/>
          <w:sz w:val="22"/>
          <w:szCs w:val="22"/>
        </w:rPr>
        <w:t>, Suche: children’s sleepwear)</w:t>
      </w:r>
    </w:p>
    <w:p>
      <w:pPr>
        <w:pStyle w:val="ListParagraph"/>
        <w:numPr>
          <w:ilvl w:val="0"/>
          <w:numId w:val="1"/>
        </w:numPr>
        <w:spacing w:lineRule="exact" w:line="288" w:before="0" w:after="60"/>
        <w:rPr/>
      </w:pPr>
      <w:r>
        <w:rPr>
          <w:rFonts w:eastAsia="Cambria" w:cs="Cambria"/>
          <w:b w:val="false"/>
          <w:bCs w:val="false"/>
          <w:i w:val="false"/>
          <w:iCs w:val="false"/>
          <w:sz w:val="22"/>
          <w:szCs w:val="22"/>
        </w:rPr>
        <w:t>Handelsbehörde FTC — Pflegekennzeichnung von Kleidung (</w:t>
      </w:r>
      <w:hyperlink r:id="rId327">
        <w:r>
          <w:rPr>
            <w:rStyle w:val="ListLabel113"/>
            <w:rFonts w:eastAsia="Cambria" w:cs="Cambria"/>
            <w:b w:val="false"/>
            <w:bCs w:val="false"/>
            <w:i w:val="false"/>
            <w:iCs w:val="false"/>
            <w:color w:val="0563C1"/>
            <w:sz w:val="22"/>
            <w:szCs w:val="22"/>
            <w:u w:val="single"/>
          </w:rPr>
          <w:t>ftc.gov</w:t>
        </w:r>
      </w:hyperlink>
      <w:r>
        <w:rPr>
          <w:rFonts w:eastAsia="Cambria" w:cs="Cambria"/>
          <w:b w:val="false"/>
          <w:bCs w:val="false"/>
          <w:i w:val="false"/>
          <w:iCs w:val="false"/>
          <w:sz w:val="22"/>
          <w:szCs w:val="22"/>
        </w:rPr>
        <w:t>, Suche: care labeling rule)</w:t>
      </w:r>
    </w:p>
    <w:p>
      <w:pPr>
        <w:pStyle w:val="ListParagraph"/>
        <w:numPr>
          <w:ilvl w:val="0"/>
          <w:numId w:val="1"/>
        </w:numPr>
        <w:spacing w:lineRule="exact" w:line="288" w:before="0" w:after="60"/>
        <w:rPr/>
      </w:pPr>
      <w:r>
        <w:rPr>
          <w:rFonts w:eastAsia="Cambria" w:cs="Cambria"/>
          <w:b w:val="false"/>
          <w:bCs w:val="false"/>
          <w:i w:val="false"/>
          <w:iCs w:val="false"/>
          <w:sz w:val="22"/>
          <w:szCs w:val="22"/>
        </w:rPr>
        <w:t>Nationaler Wetterdienst (NWS) — Windchill und Kälte (</w:t>
      </w:r>
      <w:hyperlink r:id="rId328">
        <w:r>
          <w:rPr>
            <w:rStyle w:val="ListLabel113"/>
            <w:rFonts w:eastAsia="Cambria" w:cs="Cambria"/>
            <w:b w:val="false"/>
            <w:bCs w:val="false"/>
            <w:i w:val="false"/>
            <w:iCs w:val="false"/>
            <w:color w:val="0563C1"/>
            <w:sz w:val="22"/>
            <w:szCs w:val="22"/>
            <w:u w:val="single"/>
          </w:rPr>
          <w:t>weather.gov/safety</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American Academy of Dermatology — Sonnenschutz (</w:t>
      </w:r>
      <w:hyperlink r:id="rId329">
        <w:r>
          <w:rPr>
            <w:rStyle w:val="ListLabel113"/>
            <w:rFonts w:eastAsia="Cambria" w:cs="Cambria"/>
            <w:b w:val="false"/>
            <w:bCs w:val="false"/>
            <w:i w:val="false"/>
            <w:iCs w:val="false"/>
            <w:color w:val="0563C1"/>
            <w:sz w:val="22"/>
            <w:szCs w:val="22"/>
            <w:u w:val="single"/>
          </w:rPr>
          <w:t>aad.org</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Finanzbehörden der Bundesstaaten — Verkaufssteuer auf Kleidung (z. B. </w:t>
      </w:r>
      <w:hyperlink r:id="rId330">
        <w:r>
          <w:rPr>
            <w:rStyle w:val="ListLabel113"/>
            <w:rFonts w:eastAsia="Cambria" w:cs="Cambria"/>
            <w:b w:val="false"/>
            <w:bCs w:val="false"/>
            <w:i w:val="false"/>
            <w:iCs w:val="false"/>
            <w:color w:val="0563C1"/>
            <w:sz w:val="22"/>
            <w:szCs w:val="22"/>
            <w:u w:val="single"/>
          </w:rPr>
          <w:t>tax.ny.gov</w:t>
        </w:r>
      </w:hyperlink>
      <w:r>
        <w:rPr>
          <w:rFonts w:eastAsia="Cambria" w:cs="Cambria"/>
          <w:b w:val="false"/>
          <w:bCs w:val="false"/>
          <w:i w:val="false"/>
          <w:iCs w:val="false"/>
          <w:sz w:val="22"/>
          <w:szCs w:val="22"/>
        </w:rPr>
        <w:t xml:space="preserve">, </w:t>
      </w:r>
      <w:hyperlink r:id="rId331">
        <w:r>
          <w:rPr>
            <w:rStyle w:val="ListLabel113"/>
            <w:rFonts w:eastAsia="Cambria" w:cs="Cambria"/>
            <w:b w:val="false"/>
            <w:bCs w:val="false"/>
            <w:i w:val="false"/>
            <w:iCs w:val="false"/>
            <w:color w:val="0563C1"/>
            <w:sz w:val="22"/>
            <w:szCs w:val="22"/>
            <w:u w:val="single"/>
          </w:rPr>
          <w:t>revenue.pa.gov</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Preisspannen, Rückgabefristen und Steuerregeln für Kleidung ändern sich häufig; die Größentabellen sind Näherungswerte. Prüfe vor dem Kauf die Maßtabelle der Marke, die Return Policy des Händlers und die Steuerregeln deines Bundesstaats.</w:t>
            </w:r>
          </w:p>
        </w:tc>
      </w:tr>
    </w:tbl>
    <w:p>
      <w:pPr>
        <w:pStyle w:val="Normal"/>
        <w:spacing w:lineRule="exact" w:line="220" w:before="0" w:after="0"/>
        <w:rPr/>
      </w:pPr>
      <w:r>
        <w:rPr/>
      </w:r>
      <w:r>
        <w:br w:type="page"/>
      </w:r>
    </w:p>
    <w:p>
      <w:pPr>
        <w:pStyle w:val="Heading2"/>
        <w:keepNext w:val="true"/>
        <w:spacing w:before="0" w:after="300"/>
        <w:jc w:val="center"/>
        <w:rPr/>
      </w:pPr>
      <w:bookmarkStart w:id="85" w:name="__RefHeading___Toc56511_3769931028"/>
      <w:bookmarkStart w:id="86" w:name="k35"/>
      <w:bookmarkEnd w:id="85"/>
      <w:r>
        <w:rPr>
          <w:rFonts w:eastAsia="Amazon Ember" w:cs="Amazon Ember" w:ascii="Amazon Ember" w:hAnsi="Amazon Ember"/>
          <w:b/>
          <w:bCs/>
          <w:color w:val="0000FF"/>
          <w:sz w:val="36"/>
          <w:szCs w:val="36"/>
        </w:rPr>
        <w:t>Kapitel 35: Essen, Trinken, Einkaufen</w:t>
      </w:r>
      <w:bookmarkEnd w:id="86"/>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erste Wocheneinkauf dauert länger als geplant. Die Milch steht in Kanistern von knapp vier Litern im Kühlregal, die Eier stehen gleich daneben, das Toastbrot lässt sich mit einer Hand zusammendrücken, und das Fleisch wird nach Pfund berechnet. Das Essen ist in den USA nicht besser oder schlechter als in Deutschland, sondern anders organisiert. Wer Ketten, Maßeinheiten und Ersatzprodukte kennt, spart Geld und Nerven.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Für den Wocheneinkauf sind Aldi, Walmart und Costco günstig, Kroger, Meijer oder Target liegen in der Mitte, Whole Foods darüber. Eine Familie mit zwei Schulkindern rechnet für Lebensmittel zu Hause mit rund 1.000–1.700 $ im Monat.</w:t>
            </w:r>
          </w:p>
          <w:p>
            <w:pPr>
              <w:pStyle w:val="ListParagraph"/>
              <w:numPr>
                <w:ilvl w:val="0"/>
                <w:numId w:val="1"/>
              </w:numPr>
              <w:spacing w:lineRule="exact" w:line="264" w:before="0" w:after="50"/>
              <w:rPr/>
            </w:pPr>
            <w:r>
              <w:rPr>
                <w:rFonts w:eastAsia="Cambria" w:cs="Cambria"/>
                <w:b w:val="false"/>
                <w:bCs w:val="false"/>
                <w:i w:val="false"/>
                <w:iCs w:val="false"/>
                <w:sz w:val="20"/>
                <w:szCs w:val="20"/>
              </w:rPr>
              <w:t>Eier und Milch stehen gekühlt im Regal; Milch gibt es in Gallonen (3,8 l). Unverarbeitete Lebensmittel sind in den meisten Bundesstaaten steuerfrei oder niedriger besteuert.</w:t>
            </w:r>
          </w:p>
          <w:p>
            <w:pPr>
              <w:pStyle w:val="ListParagraph"/>
              <w:numPr>
                <w:ilvl w:val="0"/>
                <w:numId w:val="1"/>
              </w:numPr>
              <w:spacing w:lineRule="exact" w:line="264" w:before="0" w:after="50"/>
              <w:rPr/>
            </w:pPr>
            <w:r>
              <w:rPr>
                <w:rFonts w:eastAsia="Cambria" w:cs="Cambria"/>
                <w:b w:val="false"/>
                <w:bCs w:val="false"/>
                <w:i w:val="false"/>
                <w:iCs w:val="false"/>
                <w:sz w:val="20"/>
                <w:szCs w:val="20"/>
              </w:rPr>
              <w:t>Brot, Wurst und Käse in deutscher Qualität findest du nur in Spezialläden, bei Saisonaktionen oder online; vieles backst und kochst du selbst.</w:t>
            </w:r>
          </w:p>
          <w:p>
            <w:pPr>
              <w:pStyle w:val="ListParagraph"/>
              <w:numPr>
                <w:ilvl w:val="0"/>
                <w:numId w:val="1"/>
              </w:numPr>
              <w:spacing w:lineRule="exact" w:line="264" w:before="0" w:after="50"/>
              <w:rPr/>
            </w:pPr>
            <w:r>
              <w:rPr>
                <w:rFonts w:eastAsia="Cambria" w:cs="Cambria"/>
                <w:b w:val="false"/>
                <w:bCs w:val="false"/>
                <w:i w:val="false"/>
                <w:iCs w:val="false"/>
                <w:sz w:val="20"/>
                <w:szCs w:val="20"/>
              </w:rPr>
              <w:t>Alkohol gibt es ab 21 gegen Ausweis. Verkauf und Uhrzeiten regelt jeder Bundesstaat; geöffnete Flaschen im Auto und Trinken im Park sind fast überall verboten.</w:t>
            </w:r>
          </w:p>
          <w:p>
            <w:pPr>
              <w:pStyle w:val="ListParagraph"/>
              <w:numPr>
                <w:ilvl w:val="0"/>
                <w:numId w:val="1"/>
              </w:numPr>
              <w:spacing w:lineRule="exact" w:line="264" w:before="0" w:after="50"/>
              <w:rPr/>
            </w:pPr>
            <w:r>
              <w:rPr>
                <w:rFonts w:eastAsia="Cambria" w:cs="Cambria"/>
                <w:b w:val="false"/>
                <w:bCs w:val="false"/>
                <w:i w:val="false"/>
                <w:iCs w:val="false"/>
                <w:sz w:val="20"/>
                <w:szCs w:val="20"/>
              </w:rPr>
              <w:t>Leitungswasser ist meist trinkbar; in Häusern vor 1986 prüfst du auf Blei.</w:t>
            </w:r>
          </w:p>
          <w:p>
            <w:pPr>
              <w:pStyle w:val="ListParagraph"/>
              <w:numPr>
                <w:ilvl w:val="0"/>
                <w:numId w:val="1"/>
              </w:numPr>
              <w:spacing w:lineRule="exact" w:line="264" w:before="0" w:after="50"/>
              <w:rPr/>
            </w:pPr>
            <w:r>
              <w:rPr>
                <w:rFonts w:eastAsia="Cambria" w:cs="Cambria"/>
                <w:b w:val="false"/>
                <w:bCs w:val="false"/>
                <w:i w:val="false"/>
                <w:iCs w:val="false"/>
                <w:sz w:val="20"/>
                <w:szCs w:val="20"/>
              </w:rPr>
              <w:t>Rezepte rechnest du von Cups und Fahrenheit um; eine Küchenwaage mit Gramm und Unzen erspart Ärger.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Supermarktketten: Wo du einkaufst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Ladenschlussgesetz wie in Deutschland gibt es nicht: Die meisten Supermärkte öffnen täglich, auch sonntags, oft von 7 oder 8 bis 22 Uhr. Welche Kette in deiner Nähe liegt, hängt stark von der Region ab. Aldi wächst schnell: Der US-Ableger (betrieben von Aldi Süd) will bis Ende 2026 fast 2.800 Filialen erreichen und zieht als 40. Bundesstaat nach Maine. Lidl hat rund 200 Filialen, überwiegend an der Ostküste.</w:t>
      </w:r>
    </w:p>
    <w:tbl>
      <w:tblPr>
        <w:tblW w:w="6480" w:type="dxa"/>
        <w:jc w:val="left"/>
        <w:tblInd w:w="0" w:type="dxa"/>
        <w:tblLayout w:type="fixed"/>
        <w:tblCellMar>
          <w:top w:w="50" w:type="dxa"/>
          <w:left w:w="80" w:type="dxa"/>
          <w:bottom w:w="50" w:type="dxa"/>
          <w:right w:w="80" w:type="dxa"/>
        </w:tblCellMar>
      </w:tblPr>
      <w:tblGrid>
        <w:gridCol w:w="1415"/>
        <w:gridCol w:w="1955"/>
        <w:gridCol w:w="950"/>
        <w:gridCol w:w="2159"/>
      </w:tblGrid>
      <w:tr>
        <w:trPr>
          <w:tblHeader w:val="true"/>
          <w:cantSplit w:val="true"/>
        </w:trPr>
        <w:tc>
          <w:tcPr>
            <w:tcW w:w="141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Kette</w:t>
            </w:r>
          </w:p>
        </w:tc>
        <w:tc>
          <w:tcPr>
            <w:tcW w:w="195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Stärke</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Preisniveau</w:t>
            </w:r>
          </w:p>
        </w:tc>
        <w:tc>
          <w:tcPr>
            <w:tcW w:w="215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Hinweis</w:t>
            </w:r>
          </w:p>
        </w:tc>
      </w:tr>
      <w:tr>
        <w:trPr>
          <w:cantSplit w:val="true"/>
        </w:trPr>
        <w:tc>
          <w:tcPr>
            <w:tcW w:w="1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Aldi</w:t>
            </w:r>
          </w:p>
        </w:tc>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Eigenmarken, kleines Sortiment, vertrautes Prinzip</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günstig</w:t>
            </w:r>
          </w:p>
        </w:tc>
        <w:tc>
          <w:tcPr>
            <w:tcW w:w="21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Wagen gegen 25-Cent-Münze, Tüten kosten extra</w:t>
            </w:r>
          </w:p>
        </w:tc>
      </w:tr>
      <w:tr>
        <w:trPr>
          <w:cantSplit w:val="true"/>
        </w:trPr>
        <w:tc>
          <w:tcPr>
            <w:tcW w:w="1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Lidl</w:t>
            </w:r>
          </w:p>
        </w:tc>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Backstation im Laden, europäische Produkte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günstig</w:t>
            </w:r>
          </w:p>
        </w:tc>
        <w:tc>
          <w:tcPr>
            <w:tcW w:w="21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an der Ostküste verbreitet</w:t>
            </w:r>
          </w:p>
        </w:tc>
      </w:tr>
      <w:tr>
        <w:trPr>
          <w:cantSplit w:val="true"/>
        </w:trPr>
        <w:tc>
          <w:tcPr>
            <w:tcW w:w="1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Walmart</w:t>
            </w:r>
          </w:p>
        </w:tc>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Alles unter einem Dach, Eigenmarke Great Value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günstig</w:t>
            </w:r>
          </w:p>
        </w:tc>
        <w:tc>
          <w:tcPr>
            <w:tcW w:w="21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Größte Lebensmittelkette des Landes</w:t>
            </w:r>
          </w:p>
        </w:tc>
      </w:tr>
      <w:tr>
        <w:trPr>
          <w:cantSplit w:val="true"/>
        </w:trPr>
        <w:tc>
          <w:tcPr>
            <w:tcW w:w="1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Costco, Sam’s Club</w:t>
            </w:r>
          </w:p>
        </w:tc>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Großpackungen, Fleisch, Milch, Tanken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günstig je Einheit</w:t>
            </w:r>
          </w:p>
        </w:tc>
        <w:tc>
          <w:tcPr>
            <w:tcW w:w="21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Mitgliedschaft nötig, bei Costco ab 65 $ im Jahr</w:t>
            </w:r>
          </w:p>
        </w:tc>
      </w:tr>
      <w:tr>
        <w:trPr>
          <w:cantSplit w:val="true"/>
        </w:trPr>
        <w:tc>
          <w:tcPr>
            <w:tcW w:w="1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Trader Joe’s</w:t>
            </w:r>
          </w:p>
        </w:tc>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Eigenmarken, Tiefkühlkost, saisonale Importe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günstig bis mittel</w:t>
            </w:r>
          </w:p>
        </w:tc>
        <w:tc>
          <w:tcPr>
            <w:tcW w:w="21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Kleine Läden, begrenzte Auswahl</w:t>
            </w:r>
          </w:p>
        </w:tc>
      </w:tr>
      <w:tr>
        <w:trPr>
          <w:cantSplit w:val="true"/>
        </w:trPr>
        <w:tc>
          <w:tcPr>
            <w:tcW w:w="1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Kroger, Safeway, Meijer, Publix, H-E-B, Wegmans</w:t>
            </w:r>
          </w:p>
        </w:tc>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Vollsortiment, Frischetheken, Apotheke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mittel</w:t>
            </w:r>
          </w:p>
        </w:tc>
        <w:tc>
          <w:tcPr>
            <w:tcW w:w="21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Regional verschieden; Angebote nur mit Kundenkarte</w:t>
            </w:r>
          </w:p>
        </w:tc>
      </w:tr>
      <w:tr>
        <w:trPr>
          <w:cantSplit w:val="true"/>
        </w:trPr>
        <w:tc>
          <w:tcPr>
            <w:tcW w:w="1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Whole Foods, Sprouts</w:t>
            </w:r>
          </w:p>
        </w:tc>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Bio, Naturkost, Backwaren, Käsetheke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mittel bis hoch</w:t>
            </w:r>
          </w:p>
        </w:tc>
        <w:tc>
          <w:tcPr>
            <w:tcW w:w="21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Whole Foods gehört zu Amazon</w:t>
            </w:r>
          </w:p>
        </w:tc>
      </w:tr>
      <w:tr>
        <w:trPr>
          <w:cantSplit w:val="true"/>
        </w:trPr>
        <w:tc>
          <w:tcPr>
            <w:tcW w:w="1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 Mart, Patel Brothers, Latino-Märkte</w:t>
            </w:r>
          </w:p>
        </w:tc>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Gemüse, Fisch, Fleisch, Gewürze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günstig</w:t>
            </w:r>
          </w:p>
        </w:tc>
        <w:tc>
          <w:tcPr>
            <w:tcW w:w="21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Große Auswahl an Zutaten der jeweiligen Küche</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Wochenmärkte (</w:t>
      </w:r>
      <w:r>
        <w:rPr>
          <w:rFonts w:eastAsia="Cambria" w:cs="Cambria"/>
          <w:b w:val="false"/>
          <w:bCs w:val="false"/>
          <w:i/>
          <w:iCs/>
          <w:sz w:val="22"/>
          <w:szCs w:val="22"/>
        </w:rPr>
        <w:t>Farmers Markets</w:t>
      </w:r>
      <w:r>
        <w:rPr>
          <w:rFonts w:eastAsia="Cambria" w:cs="Cambria"/>
          <w:b w:val="false"/>
          <w:bCs w:val="false"/>
          <w:i w:val="false"/>
          <w:iCs w:val="false"/>
          <w:sz w:val="22"/>
          <w:szCs w:val="22"/>
        </w:rPr>
        <w:t>) laufen meist von Frühjahr bis Herbst; die Preise liegen oft über denen im Discounter.</w:t>
      </w:r>
    </w:p>
    <w:p>
      <w:pPr>
        <w:pStyle w:val="Heading3"/>
        <w:keepNext w:val="true"/>
        <w:spacing w:before="280" w:after="100"/>
        <w:jc w:val="center"/>
        <w:rPr/>
      </w:pPr>
      <w:r>
        <w:rPr>
          <w:rFonts w:eastAsia="Amazon Ember" w:cs="Amazon Ember" w:ascii="Amazon Ember" w:hAnsi="Amazon Ember"/>
          <w:b/>
          <w:bCs/>
          <w:color w:val="0000FF"/>
          <w:sz w:val="36"/>
          <w:szCs w:val="36"/>
        </w:rPr>
        <w:t>Preise und Monatsbudget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Preise schwanken nach Region stark; an den Küsten und in Großstädten liegen sie deutlich über dem Mittleren Westen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Als Orientierung dienen die US-Durchschnittspreise der Statistikbehörde BLS für Juli 2026: 12 Eier 2,19 $ (im August 2025 waren es wegen der Vogelgrippe noch 3,59 $), 1 Gallone Vollmilch 4,31 $, 1 lb (454 g) Weißbrot 1,82 $, 1 lb Rinderhack 6,89 $ (rund 15 $ pro Kilo), 1 lb ganzes Hähnchen 2,01 $ und 1 lb gemahlener Kaffee 9,32 $. Geflügel ist günstig, Rindfleisch und Kaffee eher teuer.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das Monatsbudget liefert das Landwirtschaftsministerium USDA vier Richtwerte für Lebensmittel zu Hause (</w:t>
      </w:r>
      <w:r>
        <w:rPr>
          <w:rFonts w:eastAsia="Cambria" w:cs="Cambria"/>
          <w:b w:val="false"/>
          <w:bCs w:val="false"/>
          <w:i/>
          <w:iCs/>
          <w:sz w:val="22"/>
          <w:szCs w:val="22"/>
        </w:rPr>
        <w:t>Food Plans</w:t>
      </w:r>
      <w:r>
        <w:rPr>
          <w:rFonts w:eastAsia="Cambria" w:cs="Cambria"/>
          <w:b w:val="false"/>
          <w:bCs w:val="false"/>
          <w:i w:val="false"/>
          <w:iCs w:val="false"/>
          <w:sz w:val="22"/>
          <w:szCs w:val="22"/>
        </w:rPr>
        <w:t>). Für ein Paar mit zwei Kindern im Grundschulalter liegen sie 2026 bei rund 1.010 $ (</w:t>
      </w:r>
      <w:r>
        <w:rPr>
          <w:rFonts w:eastAsia="Cambria" w:cs="Cambria"/>
          <w:b w:val="false"/>
          <w:bCs w:val="false"/>
          <w:i/>
          <w:iCs/>
          <w:sz w:val="22"/>
          <w:szCs w:val="22"/>
        </w:rPr>
        <w:t>Thrifty</w:t>
      </w:r>
      <w:r>
        <w:rPr>
          <w:rFonts w:eastAsia="Cambria" w:cs="Cambria"/>
          <w:b w:val="false"/>
          <w:bCs w:val="false"/>
          <w:i w:val="false"/>
          <w:iCs w:val="false"/>
          <w:sz w:val="22"/>
          <w:szCs w:val="22"/>
        </w:rPr>
        <w:t>, sparsam), 1.120 $ (</w:t>
      </w:r>
      <w:r>
        <w:rPr>
          <w:rFonts w:eastAsia="Cambria" w:cs="Cambria"/>
          <w:b w:val="false"/>
          <w:bCs w:val="false"/>
          <w:i/>
          <w:iCs/>
          <w:sz w:val="22"/>
          <w:szCs w:val="22"/>
        </w:rPr>
        <w:t>Low-Cost</w:t>
      </w:r>
      <w:r>
        <w:rPr>
          <w:rFonts w:eastAsia="Cambria" w:cs="Cambria"/>
          <w:b w:val="false"/>
          <w:bCs w:val="false"/>
          <w:i w:val="false"/>
          <w:iCs w:val="false"/>
          <w:sz w:val="22"/>
          <w:szCs w:val="22"/>
        </w:rPr>
        <w:t>), 1.380 $ (</w:t>
      </w:r>
      <w:r>
        <w:rPr>
          <w:rFonts w:eastAsia="Cambria" w:cs="Cambria"/>
          <w:b w:val="false"/>
          <w:bCs w:val="false"/>
          <w:i/>
          <w:iCs/>
          <w:sz w:val="22"/>
          <w:szCs w:val="22"/>
        </w:rPr>
        <w:t>Moderate</w:t>
      </w:r>
      <w:r>
        <w:rPr>
          <w:rFonts w:eastAsia="Cambria" w:cs="Cambria"/>
          <w:b w:val="false"/>
          <w:bCs w:val="false"/>
          <w:i w:val="false"/>
          <w:iCs w:val="false"/>
          <w:sz w:val="22"/>
          <w:szCs w:val="22"/>
        </w:rPr>
        <w:t>) und 1.670 $ (</w:t>
      </w:r>
      <w:r>
        <w:rPr>
          <w:rFonts w:eastAsia="Cambria" w:cs="Cambria"/>
          <w:b w:val="false"/>
          <w:bCs w:val="false"/>
          <w:i/>
          <w:iCs/>
          <w:sz w:val="22"/>
          <w:szCs w:val="22"/>
        </w:rPr>
        <w:t>Liberal</w:t>
      </w:r>
      <w:r>
        <w:rPr>
          <w:rFonts w:eastAsia="Cambria" w:cs="Cambria"/>
          <w:b w:val="false"/>
          <w:bCs w:val="false"/>
          <w:i w:val="false"/>
          <w:iCs w:val="false"/>
          <w:sz w:val="22"/>
          <w:szCs w:val="22"/>
        </w:rPr>
        <w:t>) im Monat. Alleinstehende brauchen pro Kopf etwa ein Fünftel mehr, also grob 300–500 $. Restaurant, Lieferdienste, Alkohol und Haushaltswaren wie Putzmittel und Küchenpapier sind darin nicht enthalten.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 plant für ihren ersten Monat im Großraum Detroit mit den USDA-Richtwerten für vier Personen: 1.120 $ (</w:t>
            </w:r>
            <w:r>
              <w:rPr>
                <w:rFonts w:eastAsia="Cambria" w:cs="Cambria"/>
                <w:b w:val="false"/>
                <w:bCs w:val="false"/>
                <w:i/>
                <w:iCs/>
                <w:sz w:val="20"/>
                <w:szCs w:val="20"/>
              </w:rPr>
              <w:t>Low-Cost</w:t>
            </w:r>
            <w:r>
              <w:rPr>
                <w:rFonts w:eastAsia="Cambria" w:cs="Cambria"/>
                <w:b w:val="false"/>
                <w:bCs w:val="false"/>
                <w:i w:val="false"/>
                <w:iCs w:val="false"/>
                <w:sz w:val="20"/>
                <w:szCs w:val="20"/>
              </w:rPr>
              <w:t>) bis 1.380 $ (</w:t>
            </w:r>
            <w:r>
              <w:rPr>
                <w:rFonts w:eastAsia="Cambria" w:cs="Cambria"/>
                <w:b w:val="false"/>
                <w:bCs w:val="false"/>
                <w:i/>
                <w:iCs/>
                <w:sz w:val="20"/>
                <w:szCs w:val="20"/>
              </w:rPr>
              <w:t>Moderate</w:t>
            </w:r>
            <w:r>
              <w:rPr>
                <w:rFonts w:eastAsia="Cambria" w:cs="Cambria"/>
                <w:b w:val="false"/>
                <w:bCs w:val="false"/>
                <w:i w:val="false"/>
                <w:iCs w:val="false"/>
                <w:sz w:val="20"/>
                <w:szCs w:val="20"/>
              </w:rPr>
              <w:t>). Anna kauft wöchentlich bei Aldi und Meijer, Markus fährt einmal im Monat zu Costco und zahlt 65 $ für die Mitgliedschaft. Am Monatsende stehen 1.290 $ für Lebensmittel auf der Liste, dazu rund 240 $ für zwei Restaurantbesuche und drei Lieferbestellungen. Das Toastbrot mögen weder Lena noch Jonas – „Papa, das schmeckt nach nichts“, findet Jonas beim ersten Frühstück –, am Wochenende backt Markus deshalb Roggenmischbrot nach deutschem Rezept, abgewogen in Gramm. Die Pfandflaschen bringen in Michigan 10 Cent je Stück, die Kinder werfen sie in den Automaten im Supermarkt.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Einkaufsalltag: Einheiten, Kundenkarte, Steuer, Pfand</w:t>
      </w:r>
    </w:p>
    <w:p>
      <w:pPr>
        <w:pStyle w:val="Normal"/>
        <w:keepNext w:val="false"/>
        <w:keepLines w:val="false"/>
        <w:spacing w:lineRule="exact" w:line="288" w:before="0" w:after="140"/>
        <w:jc w:val="left"/>
        <w:rPr/>
      </w:pPr>
      <w:r>
        <w:rPr>
          <w:rFonts w:eastAsia="Cambria" w:cs="Cambria"/>
          <w:b/>
          <w:bCs/>
          <w:i w:val="false"/>
          <w:iCs w:val="false"/>
          <w:sz w:val="22"/>
          <w:szCs w:val="22"/>
        </w:rPr>
        <w:t>Einheiten.</w:t>
      </w:r>
      <w:r>
        <w:rPr>
          <w:rFonts w:eastAsia="Cambria" w:cs="Cambria"/>
          <w:b w:val="false"/>
          <w:bCs w:val="false"/>
          <w:i w:val="false"/>
          <w:iCs w:val="false"/>
          <w:sz w:val="22"/>
          <w:szCs w:val="22"/>
        </w:rPr>
        <w:t xml:space="preserve"> Verpackungen und Preisschilder rechnen in </w:t>
      </w:r>
      <w:r>
        <w:rPr>
          <w:rFonts w:eastAsia="Cambria" w:cs="Cambria"/>
          <w:b w:val="false"/>
          <w:bCs w:val="false"/>
          <w:i/>
          <w:iCs/>
          <w:sz w:val="22"/>
          <w:szCs w:val="22"/>
        </w:rPr>
        <w:t>Gallons</w:t>
      </w:r>
      <w:r>
        <w:rPr>
          <w:rFonts w:eastAsia="Cambria" w:cs="Cambria"/>
          <w:b w:val="false"/>
          <w:bCs w:val="false"/>
          <w:i w:val="false"/>
          <w:iCs w:val="false"/>
          <w:sz w:val="22"/>
          <w:szCs w:val="22"/>
        </w:rPr>
        <w:t xml:space="preserve">, </w:t>
      </w:r>
      <w:r>
        <w:rPr>
          <w:rFonts w:eastAsia="Cambria" w:cs="Cambria"/>
          <w:b w:val="false"/>
          <w:bCs w:val="false"/>
          <w:i/>
          <w:iCs/>
          <w:sz w:val="22"/>
          <w:szCs w:val="22"/>
        </w:rPr>
        <w:t>Pounds</w:t>
      </w:r>
      <w:r>
        <w:rPr>
          <w:rFonts w:eastAsia="Cambria" w:cs="Cambria"/>
          <w:b w:val="false"/>
          <w:bCs w:val="false"/>
          <w:i w:val="false"/>
          <w:iCs w:val="false"/>
          <w:sz w:val="22"/>
          <w:szCs w:val="22"/>
        </w:rPr>
        <w:t xml:space="preserve"> (lb) und </w:t>
      </w:r>
      <w:r>
        <w:rPr>
          <w:rFonts w:eastAsia="Cambria" w:cs="Cambria"/>
          <w:b w:val="false"/>
          <w:bCs w:val="false"/>
          <w:i/>
          <w:iCs/>
          <w:sz w:val="22"/>
          <w:szCs w:val="22"/>
        </w:rPr>
        <w:t>Ounces</w:t>
      </w:r>
      <w:r>
        <w:rPr>
          <w:rFonts w:eastAsia="Cambria" w:cs="Cambria"/>
          <w:b w:val="false"/>
          <w:bCs w:val="false"/>
          <w:i w:val="false"/>
          <w:iCs w:val="false"/>
          <w:sz w:val="22"/>
          <w:szCs w:val="22"/>
        </w:rPr>
        <w:t xml:space="preserve"> (oz): 1 lb = 454 g, 1 oz = 28 g. Neben dem Verkaufspreis steht der Preis pro Einheit (</w:t>
      </w:r>
      <w:r>
        <w:rPr>
          <w:rFonts w:eastAsia="Cambria" w:cs="Cambria"/>
          <w:b w:val="false"/>
          <w:bCs w:val="false"/>
          <w:i/>
          <w:iCs/>
          <w:sz w:val="22"/>
          <w:szCs w:val="22"/>
        </w:rPr>
        <w:t>Unit Price</w:t>
      </w:r>
      <w:r>
        <w:rPr>
          <w:rFonts w:eastAsia="Cambria" w:cs="Cambria"/>
          <w:b w:val="false"/>
          <w:bCs w:val="false"/>
          <w:i w:val="false"/>
          <w:iCs w:val="false"/>
          <w:sz w:val="22"/>
          <w:szCs w:val="22"/>
        </w:rPr>
        <w:t>, etwa pro Unze); er ist der einzige faire Vergleich, weil Packungsgrößen ständig wechseln.</w:t>
      </w:r>
    </w:p>
    <w:p>
      <w:pPr>
        <w:pStyle w:val="Normal"/>
        <w:keepNext w:val="false"/>
        <w:keepLines w:val="false"/>
        <w:spacing w:lineRule="exact" w:line="288" w:before="0" w:after="140"/>
        <w:jc w:val="left"/>
        <w:rPr/>
      </w:pPr>
      <w:r>
        <w:rPr>
          <w:rFonts w:eastAsia="Cambria" w:cs="Cambria"/>
          <w:b/>
          <w:bCs/>
          <w:i w:val="false"/>
          <w:iCs w:val="false"/>
          <w:sz w:val="22"/>
          <w:szCs w:val="22"/>
        </w:rPr>
        <w:t>Kundenkarte.</w:t>
      </w:r>
      <w:r>
        <w:rPr>
          <w:rFonts w:eastAsia="Cambria" w:cs="Cambria"/>
          <w:b w:val="false"/>
          <w:bCs w:val="false"/>
          <w:i w:val="false"/>
          <w:iCs w:val="false"/>
          <w:sz w:val="22"/>
          <w:szCs w:val="22"/>
        </w:rPr>
        <w:t xml:space="preserve"> Bei Kroger, Safeway, Meijer und vielen anderen Ketten gelten die Angebotspreise nur mit </w:t>
      </w:r>
      <w:r>
        <w:rPr>
          <w:rFonts w:eastAsia="Cambria" w:cs="Cambria"/>
          <w:b w:val="false"/>
          <w:bCs w:val="false"/>
          <w:i/>
          <w:iCs/>
          <w:sz w:val="22"/>
          <w:szCs w:val="22"/>
        </w:rPr>
        <w:t>Loyalty Card</w:t>
      </w:r>
      <w:r>
        <w:rPr>
          <w:rFonts w:eastAsia="Cambria" w:cs="Cambria"/>
          <w:b w:val="false"/>
          <w:bCs w:val="false"/>
          <w:i w:val="false"/>
          <w:iCs w:val="false"/>
          <w:sz w:val="22"/>
          <w:szCs w:val="22"/>
        </w:rPr>
        <w:t xml:space="preserve"> (Kundenkarte) oder App. Die Anmeldung dauert eine Minute; an der Kasse genügt oft die Telefonnummer.</w:t>
      </w:r>
    </w:p>
    <w:p>
      <w:pPr>
        <w:pStyle w:val="Normal"/>
        <w:keepNext w:val="false"/>
        <w:keepLines w:val="false"/>
        <w:spacing w:lineRule="exact" w:line="288" w:before="0" w:after="140"/>
        <w:jc w:val="left"/>
        <w:rPr/>
      </w:pPr>
      <w:r>
        <w:rPr>
          <w:rFonts w:eastAsia="Cambria" w:cs="Cambria"/>
          <w:b/>
          <w:bCs/>
          <w:i w:val="false"/>
          <w:iCs w:val="false"/>
          <w:sz w:val="22"/>
          <w:szCs w:val="22"/>
        </w:rPr>
        <w:t>Steuer und Tüten.</w:t>
      </w:r>
      <w:r>
        <w:rPr>
          <w:rFonts w:eastAsia="Cambria" w:cs="Cambria"/>
          <w:b w:val="false"/>
          <w:bCs w:val="false"/>
          <w:i w:val="false"/>
          <w:iCs w:val="false"/>
          <w:sz w:val="22"/>
          <w:szCs w:val="22"/>
        </w:rPr>
        <w:t xml:space="preserve"> Restaurantessen, Alkohol und Nichtlebensmittel zahlen den vollen Steuersatz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In Michigan bleibt der Supermarkteinkauf steuerfrei, das Restaurantessen kostet 6 %. In Kalifornien, New York, Oregon und Washington sind Einwegplastiktüten verboten oder kostenpflichtig; bring eigene Taschen mit.</w:t>
      </w:r>
    </w:p>
    <w:p>
      <w:pPr>
        <w:pStyle w:val="Normal"/>
        <w:keepNext w:val="false"/>
        <w:keepLines w:val="false"/>
        <w:spacing w:lineRule="exact" w:line="288" w:before="0" w:after="140"/>
        <w:jc w:val="left"/>
        <w:rPr/>
      </w:pPr>
      <w:r>
        <w:rPr>
          <w:rFonts w:eastAsia="Cambria" w:cs="Cambria"/>
          <w:b/>
          <w:bCs/>
          <w:i w:val="false"/>
          <w:iCs w:val="false"/>
          <w:sz w:val="22"/>
          <w:szCs w:val="22"/>
        </w:rPr>
        <w:t>Pfand.</w:t>
      </w:r>
      <w:r>
        <w:rPr>
          <w:rFonts w:eastAsia="Cambria" w:cs="Cambria"/>
          <w:b w:val="false"/>
          <w:bCs w:val="false"/>
          <w:i w:val="false"/>
          <w:iCs w:val="false"/>
          <w:sz w:val="22"/>
          <w:szCs w:val="22"/>
        </w:rPr>
        <w:t xml:space="preserve"> Zehn Bundesstaaten kennen Pfand auf Flaschen und Dosen, meist 5 Cent, in Michigan und Oregon 10 Cent. Die Rückgabe läuft über Automaten im Supermarkt.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Kaufe Eigenmarken (</w:t>
            </w:r>
            <w:r>
              <w:rPr>
                <w:rFonts w:eastAsia="Cambria" w:cs="Cambria"/>
                <w:b w:val="false"/>
                <w:bCs w:val="false"/>
                <w:i/>
                <w:iCs/>
                <w:sz w:val="20"/>
                <w:szCs w:val="20"/>
              </w:rPr>
              <w:t>Store Brands</w:t>
            </w:r>
            <w:r>
              <w:rPr>
                <w:rFonts w:eastAsia="Cambria" w:cs="Cambria"/>
                <w:b w:val="false"/>
                <w:bCs w:val="false"/>
                <w:i w:val="false"/>
                <w:iCs w:val="false"/>
                <w:sz w:val="20"/>
                <w:szCs w:val="20"/>
              </w:rPr>
              <w:t xml:space="preserve"> wie Great Value, Kirkland Signature oder die Aldi-Marken). Sie kosten oft ein Fünftel bis ein Drittel weniger als Markenware. Costco rechnet sich für Familien, die dort regelmäßig Fleisch, Milch und Getränke kaufen; Einpersonenhaushalte bleiben meist bei Aldi.</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Qualität, Zusatzstoffe und Bio-Siegel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Sicherheit sorgen zwei Behörden: Die FDA (Arzneimittel- und Lebensmittelbehörde) überwacht die meisten Lebensmittel, das Landwirtschaftsministerium USDA Fleisch und Geflügel. Einige Regeln weichen von der EU ab: Erlaubt sind etwa Wachstumshormone in der Rindermast, antimikrobielle Waschbäder für Geflügel und mehr Farb- und Zusatzstoffe. Wie schwer das wiegt, ist auch in den USA umstritten; praktisch hilft die Zutatenliste.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Farbstoffen ändert sich gerade viel (Stand September 2026): Die FDA hat die Zulassung von Red No. 3 für Lebensmittel widerrufen, Hersteller müssen bis 15. Januar 2027 umstellen. Für sechs weitere synthetische Farbstoffe wie Red 40 und Yellow 5 gibt es einen freiwilligen Ausstieg der Industrie, kein Verbot. Texas und West Virginia haben Warnhinweise oder Verbote beschlossen; die Gerichte haben sie vorerst ausgesetzt.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Nährwerttabelle (</w:t>
      </w:r>
      <w:r>
        <w:rPr>
          <w:rFonts w:eastAsia="Cambria" w:cs="Cambria"/>
          <w:b w:val="false"/>
          <w:bCs w:val="false"/>
          <w:i/>
          <w:iCs/>
          <w:sz w:val="22"/>
          <w:szCs w:val="22"/>
        </w:rPr>
        <w:t>Nutrition Facts</w:t>
      </w:r>
      <w:r>
        <w:rPr>
          <w:rFonts w:eastAsia="Cambria" w:cs="Cambria"/>
          <w:b w:val="false"/>
          <w:bCs w:val="false"/>
          <w:i w:val="false"/>
          <w:iCs w:val="false"/>
          <w:sz w:val="22"/>
          <w:szCs w:val="22"/>
        </w:rPr>
        <w:t>) nennt Werte pro Portion (</w:t>
      </w:r>
      <w:r>
        <w:rPr>
          <w:rFonts w:eastAsia="Cambria" w:cs="Cambria"/>
          <w:b w:val="false"/>
          <w:bCs w:val="false"/>
          <w:i/>
          <w:iCs/>
          <w:sz w:val="22"/>
          <w:szCs w:val="22"/>
        </w:rPr>
        <w:t>Serving Size</w:t>
      </w:r>
      <w:r>
        <w:rPr>
          <w:rFonts w:eastAsia="Cambria" w:cs="Cambria"/>
          <w:b w:val="false"/>
          <w:bCs w:val="false"/>
          <w:i w:val="false"/>
          <w:iCs w:val="false"/>
          <w:sz w:val="22"/>
          <w:szCs w:val="22"/>
        </w:rPr>
        <w:t>), nicht pro 100 g, und eine Packung enthält oft mehrere Portionen. Zugesetzter Zucker (</w:t>
      </w:r>
      <w:r>
        <w:rPr>
          <w:rFonts w:eastAsia="Cambria" w:cs="Cambria"/>
          <w:b w:val="false"/>
          <w:bCs w:val="false"/>
          <w:i/>
          <w:iCs/>
          <w:sz w:val="22"/>
          <w:szCs w:val="22"/>
        </w:rPr>
        <w:t>Added Sugars</w:t>
      </w:r>
      <w:r>
        <w:rPr>
          <w:rFonts w:eastAsia="Cambria" w:cs="Cambria"/>
          <w:b w:val="false"/>
          <w:bCs w:val="false"/>
          <w:i w:val="false"/>
          <w:iCs w:val="false"/>
          <w:sz w:val="22"/>
          <w:szCs w:val="22"/>
        </w:rPr>
        <w:t xml:space="preserve">) hat eine eigene Zeile, ein Blick lohnt bei Cerealien, Joghurt und Softdrinks. Allergene stehen in einer </w:t>
      </w:r>
      <w:r>
        <w:rPr>
          <w:rFonts w:eastAsia="Cambria" w:cs="Cambria"/>
          <w:b w:val="false"/>
          <w:bCs w:val="false"/>
          <w:i/>
          <w:iCs/>
          <w:sz w:val="22"/>
          <w:szCs w:val="22"/>
        </w:rPr>
        <w:t>Contains</w:t>
      </w:r>
      <w:r>
        <w:rPr>
          <w:rFonts w:eastAsia="Cambria" w:cs="Cambria"/>
          <w:b w:val="false"/>
          <w:bCs w:val="false"/>
          <w:i w:val="false"/>
          <w:iCs w:val="false"/>
          <w:sz w:val="22"/>
          <w:szCs w:val="22"/>
        </w:rPr>
        <w:t>-Zeile; seit 2023 gehört Sesam zu den neun Hauptallergenen.</w:t>
      </w:r>
    </w:p>
    <w:p>
      <w:pPr>
        <w:pStyle w:val="Normal"/>
        <w:keepNext w:val="false"/>
        <w:keepLines w:val="false"/>
        <w:spacing w:lineRule="exact" w:line="288" w:before="0" w:after="140"/>
        <w:jc w:val="left"/>
        <w:rPr/>
      </w:pPr>
      <w:r>
        <w:rPr>
          <w:rFonts w:eastAsia="Cambria" w:cs="Cambria"/>
          <w:b w:val="false"/>
          <w:bCs w:val="false"/>
          <w:i/>
          <w:iCs/>
          <w:sz w:val="22"/>
          <w:szCs w:val="22"/>
        </w:rPr>
        <w:t>USDA Organic</w:t>
      </w:r>
      <w:r>
        <w:rPr>
          <w:rFonts w:eastAsia="Cambria" w:cs="Cambria"/>
          <w:b w:val="false"/>
          <w:bCs w:val="false"/>
          <w:i w:val="false"/>
          <w:iCs w:val="false"/>
          <w:sz w:val="22"/>
          <w:szCs w:val="22"/>
        </w:rPr>
        <w:t xml:space="preserve"> ist streng geregelt: „Organic“ verlangt mindestens 95 % Bio-Zutaten, „100 % Organic“ alle; Gentechnik ist ausgeschlossen, synthetische Pestizide sind weitgehend untersagt. „Made with Organic Ingredients“ (mindestens 70 %) darf das Siegel nicht tragen. „Natural“ hat dagegen keine feste Bedeutung. Lebensmittel mit gentechnisch verändertem Erbgut müssen seit 2022 als </w:t>
      </w:r>
      <w:r>
        <w:rPr>
          <w:rFonts w:eastAsia="Cambria" w:cs="Cambria"/>
          <w:b w:val="false"/>
          <w:bCs w:val="false"/>
          <w:i/>
          <w:iCs/>
          <w:sz w:val="22"/>
          <w:szCs w:val="22"/>
        </w:rPr>
        <w:t>Bioengineered</w:t>
      </w:r>
      <w:r>
        <w:rPr>
          <w:rFonts w:eastAsia="Cambria" w:cs="Cambria"/>
          <w:b w:val="false"/>
          <w:bCs w:val="false"/>
          <w:i w:val="false"/>
          <w:iCs w:val="false"/>
          <w:sz w:val="22"/>
          <w:szCs w:val="22"/>
        </w:rPr>
        <w:t xml:space="preserve"> gekennzeichnet sein.</w:t>
      </w:r>
    </w:p>
    <w:p>
      <w:pPr>
        <w:pStyle w:val="Heading3"/>
        <w:keepNext w:val="true"/>
        <w:spacing w:before="280" w:after="100"/>
        <w:jc w:val="center"/>
        <w:rPr/>
      </w:pPr>
      <w:r>
        <w:rPr>
          <w:rFonts w:eastAsia="Amazon Ember" w:cs="Amazon Ember" w:ascii="Amazon Ember" w:hAnsi="Amazon Ember"/>
          <w:b/>
          <w:bCs/>
          <w:color w:val="0000FF"/>
          <w:sz w:val="36"/>
          <w:szCs w:val="36"/>
        </w:rPr>
        <w:t>Milch, Eier und Butter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Wer aus Deutschland kommt, hält gekühlte Eier im Regal zunächst für einen Verpackungsfehler – dort liegen sie schließlich ungekühlt neben dem Mehl. Tatsächlich werden Eier in den USA vor dem Verkauf gewaschen und desinfiziert; dabei geht der natürliche Schutzfilm verloren. Deshalb stehen sie im Laden gekühlt und gehören auch bei dir in den Kühlschrank, anders als die ungewaschenen Eier im deutschen Regal. Standard ist Größe </w:t>
      </w:r>
      <w:r>
        <w:rPr>
          <w:rFonts w:eastAsia="Cambria" w:cs="Cambria"/>
          <w:b w:val="false"/>
          <w:bCs w:val="false"/>
          <w:i/>
          <w:iCs/>
          <w:sz w:val="22"/>
          <w:szCs w:val="22"/>
        </w:rPr>
        <w:t>Large</w:t>
      </w:r>
      <w:r>
        <w:rPr>
          <w:rFonts w:eastAsia="Cambria" w:cs="Cambria"/>
          <w:b w:val="false"/>
          <w:bCs w:val="false"/>
          <w:i w:val="false"/>
          <w:iCs w:val="false"/>
          <w:sz w:val="22"/>
          <w:szCs w:val="22"/>
        </w:rPr>
        <w:t xml:space="preserve"> (ca. 57 g), meist zwölf Stück (</w:t>
      </w:r>
      <w:r>
        <w:rPr>
          <w:rFonts w:eastAsia="Cambria" w:cs="Cambria"/>
          <w:b w:val="false"/>
          <w:bCs w:val="false"/>
          <w:i/>
          <w:iCs/>
          <w:sz w:val="22"/>
          <w:szCs w:val="22"/>
        </w:rPr>
        <w:t>Dozen</w:t>
      </w:r>
      <w:r>
        <w:rPr>
          <w:rFonts w:eastAsia="Cambria" w:cs="Cambria"/>
          <w:b w:val="false"/>
          <w:bCs w:val="false"/>
          <w:i w:val="false"/>
          <w:iCs w:val="false"/>
          <w:sz w:val="22"/>
          <w:szCs w:val="22"/>
        </w:rPr>
        <w:t>); für Tiramisu oder Mayonnaise gibt es pasteurisierte Eier in der Schale.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Milch kommt in Gallonen (3,8 l), halben Gallonen und Quarts (0,95 l) als </w:t>
      </w:r>
      <w:r>
        <w:rPr>
          <w:rFonts w:eastAsia="Cambria" w:cs="Cambria"/>
          <w:b w:val="false"/>
          <w:bCs w:val="false"/>
          <w:i/>
          <w:iCs/>
          <w:sz w:val="22"/>
          <w:szCs w:val="22"/>
        </w:rPr>
        <w:t>Whole Milk</w:t>
      </w:r>
      <w:r>
        <w:rPr>
          <w:rFonts w:eastAsia="Cambria" w:cs="Cambria"/>
          <w:b w:val="false"/>
          <w:bCs w:val="false"/>
          <w:i w:val="false"/>
          <w:iCs w:val="false"/>
          <w:sz w:val="22"/>
          <w:szCs w:val="22"/>
        </w:rPr>
        <w:t xml:space="preserve"> (mindestens 3,25 % Fett), </w:t>
      </w:r>
      <w:r>
        <w:rPr>
          <w:rFonts w:eastAsia="Cambria" w:cs="Cambria"/>
          <w:b w:val="false"/>
          <w:bCs w:val="false"/>
          <w:i/>
          <w:iCs/>
          <w:sz w:val="22"/>
          <w:szCs w:val="22"/>
        </w:rPr>
        <w:t>2 %</w:t>
      </w:r>
      <w:r>
        <w:rPr>
          <w:rFonts w:eastAsia="Cambria" w:cs="Cambria"/>
          <w:b w:val="false"/>
          <w:bCs w:val="false"/>
          <w:i w:val="false"/>
          <w:iCs w:val="false"/>
          <w:sz w:val="22"/>
          <w:szCs w:val="22"/>
        </w:rPr>
        <w:t xml:space="preserve">, </w:t>
      </w:r>
      <w:r>
        <w:rPr>
          <w:rFonts w:eastAsia="Cambria" w:cs="Cambria"/>
          <w:b w:val="false"/>
          <w:bCs w:val="false"/>
          <w:i/>
          <w:iCs/>
          <w:sz w:val="22"/>
          <w:szCs w:val="22"/>
        </w:rPr>
        <w:t>1 %</w:t>
      </w:r>
      <w:r>
        <w:rPr>
          <w:rFonts w:eastAsia="Cambria" w:cs="Cambria"/>
          <w:b w:val="false"/>
          <w:bCs w:val="false"/>
          <w:i w:val="false"/>
          <w:iCs w:val="false"/>
          <w:sz w:val="22"/>
          <w:szCs w:val="22"/>
        </w:rPr>
        <w:t xml:space="preserve"> oder </w:t>
      </w:r>
      <w:r>
        <w:rPr>
          <w:rFonts w:eastAsia="Cambria" w:cs="Cambria"/>
          <w:b w:val="false"/>
          <w:bCs w:val="false"/>
          <w:i/>
          <w:iCs/>
          <w:sz w:val="22"/>
          <w:szCs w:val="22"/>
        </w:rPr>
        <w:t>Skim</w:t>
      </w:r>
      <w:r>
        <w:rPr>
          <w:rFonts w:eastAsia="Cambria" w:cs="Cambria"/>
          <w:b w:val="false"/>
          <w:bCs w:val="false"/>
          <w:i w:val="false"/>
          <w:iCs w:val="false"/>
          <w:sz w:val="22"/>
          <w:szCs w:val="22"/>
        </w:rPr>
        <w:t xml:space="preserve"> (entrahmt), dazu laktosefrei und pflanzlich (Hafer, Mandel, Soja). H-Milch ist eine Nische. Butter gibt es in Riegeln (</w:t>
      </w:r>
      <w:r>
        <w:rPr>
          <w:rFonts w:eastAsia="Cambria" w:cs="Cambria"/>
          <w:b w:val="false"/>
          <w:bCs w:val="false"/>
          <w:i/>
          <w:iCs/>
          <w:sz w:val="22"/>
          <w:szCs w:val="22"/>
        </w:rPr>
        <w:t>Sticks</w:t>
      </w:r>
      <w:r>
        <w:rPr>
          <w:rFonts w:eastAsia="Cambria" w:cs="Cambria"/>
          <w:b w:val="false"/>
          <w:bCs w:val="false"/>
          <w:i w:val="false"/>
          <w:iCs w:val="false"/>
          <w:sz w:val="22"/>
          <w:szCs w:val="22"/>
        </w:rPr>
        <w:t xml:space="preserve">, je 113 g), meist gesalzen; für deutsche Backrezepte nimmst du </w:t>
      </w:r>
      <w:r>
        <w:rPr>
          <w:rFonts w:eastAsia="Cambria" w:cs="Cambria"/>
          <w:b w:val="false"/>
          <w:bCs w:val="false"/>
          <w:i/>
          <w:iCs/>
          <w:sz w:val="22"/>
          <w:szCs w:val="22"/>
        </w:rPr>
        <w:t>Unsalted</w:t>
      </w:r>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Brot, Wurst, Käse: Wo bekommt man was?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Hier liegt der größte Umstellungsbedarf – der Moment, in dem viele Deutsche zum ersten Mal ernsthaft übers Brotbacken nachdenken. Amerikanische Supermärkte führen viel, aber selten deutschen Aufschnitt, Roggenbrot oder Quark. Die Tabelle zeigt, wo du am ehesten Ersatz findest.</w:t>
      </w:r>
    </w:p>
    <w:tbl>
      <w:tblPr>
        <w:tblW w:w="6480" w:type="dxa"/>
        <w:jc w:val="left"/>
        <w:tblInd w:w="0" w:type="dxa"/>
        <w:tblLayout w:type="fixed"/>
        <w:tblCellMar>
          <w:top w:w="50" w:type="dxa"/>
          <w:left w:w="80" w:type="dxa"/>
          <w:bottom w:w="50" w:type="dxa"/>
          <w:right w:w="80" w:type="dxa"/>
        </w:tblCellMar>
      </w:tblPr>
      <w:tblGrid>
        <w:gridCol w:w="949"/>
        <w:gridCol w:w="2670"/>
        <w:gridCol w:w="2861"/>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Produkt</w:t>
            </w:r>
          </w:p>
        </w:tc>
        <w:tc>
          <w:tcPr>
            <w:tcW w:w="267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es gibt</w:t>
            </w:r>
          </w:p>
        </w:tc>
        <w:tc>
          <w:tcPr>
            <w:tcW w:w="286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Wo du suchst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Brot</w:t>
            </w:r>
          </w:p>
        </w:tc>
        <w:tc>
          <w:tcPr>
            <w:tcW w:w="26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Weiches Sandwichbrot, </w:t>
            </w:r>
            <w:r>
              <w:rPr>
                <w:rFonts w:eastAsia="Cambria" w:cs="Cambria"/>
                <w:b w:val="false"/>
                <w:bCs w:val="false"/>
                <w:i/>
                <w:iCs/>
                <w:sz w:val="18"/>
                <w:szCs w:val="18"/>
              </w:rPr>
              <w:t>Sourdough</w:t>
            </w:r>
            <w:r>
              <w:rPr>
                <w:rFonts w:eastAsia="Cambria" w:cs="Cambria"/>
                <w:b w:val="false"/>
                <w:bCs w:val="false"/>
                <w:i w:val="false"/>
                <w:iCs w:val="false"/>
                <w:sz w:val="18"/>
                <w:szCs w:val="18"/>
              </w:rPr>
              <w:t xml:space="preserve">, </w:t>
            </w:r>
            <w:r>
              <w:rPr>
                <w:rFonts w:eastAsia="Cambria" w:cs="Cambria"/>
                <w:b w:val="false"/>
                <w:bCs w:val="false"/>
                <w:i/>
                <w:iCs/>
                <w:sz w:val="18"/>
                <w:szCs w:val="18"/>
              </w:rPr>
              <w:t>Rye</w:t>
            </w:r>
            <w:r>
              <w:rPr>
                <w:rFonts w:eastAsia="Cambria" w:cs="Cambria"/>
                <w:b w:val="false"/>
                <w:bCs w:val="false"/>
                <w:i w:val="false"/>
                <w:iCs w:val="false"/>
                <w:sz w:val="18"/>
                <w:szCs w:val="18"/>
              </w:rPr>
              <w:t xml:space="preserve"> (Roggenmischbrot mit Kümmel)</w:t>
            </w:r>
          </w:p>
        </w:tc>
        <w:tc>
          <w:tcPr>
            <w:tcW w:w="28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Bäckereitheke bei Whole Foods, Wegmans, Publix, Lidl; Bäckereien, Wochenmärkte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Brötchen</w:t>
            </w:r>
          </w:p>
        </w:tc>
        <w:tc>
          <w:tcPr>
            <w:tcW w:w="26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Hard Rolls</w:t>
            </w:r>
            <w:r>
              <w:rPr>
                <w:rFonts w:eastAsia="Cambria" w:cs="Cambria"/>
                <w:b w:val="false"/>
                <w:bCs w:val="false"/>
                <w:i w:val="false"/>
                <w:iCs w:val="false"/>
                <w:sz w:val="18"/>
                <w:szCs w:val="18"/>
              </w:rPr>
              <w:t xml:space="preserve">, </w:t>
            </w:r>
            <w:r>
              <w:rPr>
                <w:rFonts w:eastAsia="Cambria" w:cs="Cambria"/>
                <w:b w:val="false"/>
                <w:bCs w:val="false"/>
                <w:i/>
                <w:iCs/>
                <w:sz w:val="18"/>
                <w:szCs w:val="18"/>
              </w:rPr>
              <w:t>Kaiser Rolls</w:t>
            </w:r>
            <w:r>
              <w:rPr>
                <w:rFonts w:eastAsia="Cambria" w:cs="Cambria"/>
                <w:b w:val="false"/>
                <w:bCs w:val="false"/>
                <w:i w:val="false"/>
                <w:iCs w:val="false"/>
                <w:sz w:val="18"/>
                <w:szCs w:val="18"/>
              </w:rPr>
              <w:t xml:space="preserve">, </w:t>
            </w:r>
            <w:r>
              <w:rPr>
                <w:rFonts w:eastAsia="Cambria" w:cs="Cambria"/>
                <w:b w:val="false"/>
                <w:bCs w:val="false"/>
                <w:i/>
                <w:iCs/>
                <w:sz w:val="18"/>
                <w:szCs w:val="18"/>
              </w:rPr>
              <w:t>Pretzel Rolls</w:t>
            </w:r>
            <w:r>
              <w:rPr>
                <w:rFonts w:eastAsia="Cambria" w:cs="Cambria"/>
                <w:b w:val="false"/>
                <w:bCs w:val="false"/>
                <w:i w:val="false"/>
                <w:iCs w:val="false"/>
                <w:sz w:val="18"/>
                <w:szCs w:val="18"/>
              </w:rPr>
              <w:t>, Ciabatta</w:t>
            </w:r>
          </w:p>
        </w:tc>
        <w:tc>
          <w:tcPr>
            <w:tcW w:w="28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Bäckerei im Supermarkt, Costco</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Wurst</w:t>
            </w:r>
          </w:p>
        </w:tc>
        <w:tc>
          <w:tcPr>
            <w:tcW w:w="26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Deli Meats</w:t>
            </w:r>
            <w:r>
              <w:rPr>
                <w:rFonts w:eastAsia="Cambria" w:cs="Cambria"/>
                <w:b w:val="false"/>
                <w:bCs w:val="false"/>
                <w:i w:val="false"/>
                <w:iCs w:val="false"/>
                <w:sz w:val="18"/>
                <w:szCs w:val="18"/>
              </w:rPr>
              <w:t xml:space="preserve"> (Schinken, Truthahn, Salami, dünn geschnitten), Bratwurst (</w:t>
            </w:r>
            <w:r>
              <w:rPr>
                <w:rFonts w:eastAsia="Cambria" w:cs="Cambria"/>
                <w:b w:val="false"/>
                <w:bCs w:val="false"/>
                <w:i/>
                <w:iCs/>
                <w:sz w:val="18"/>
                <w:szCs w:val="18"/>
              </w:rPr>
              <w:t>Brats</w:t>
            </w:r>
            <w:r>
              <w:rPr>
                <w:rFonts w:eastAsia="Cambria" w:cs="Cambria"/>
                <w:b w:val="false"/>
                <w:bCs w:val="false"/>
                <w:i w:val="false"/>
                <w:iCs w:val="false"/>
                <w:sz w:val="18"/>
                <w:szCs w:val="18"/>
              </w:rPr>
              <w:t>), Kielbasa, Hot Dogs</w:t>
            </w:r>
          </w:p>
        </w:tc>
        <w:tc>
          <w:tcPr>
            <w:tcW w:w="28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Deli Counter</w:t>
            </w:r>
            <w:r>
              <w:rPr>
                <w:rFonts w:eastAsia="Cambria" w:cs="Cambria"/>
                <w:b w:val="false"/>
                <w:bCs w:val="false"/>
                <w:i w:val="false"/>
                <w:iCs w:val="false"/>
                <w:sz w:val="18"/>
                <w:szCs w:val="18"/>
              </w:rPr>
              <w:t>; Brats vor allem im Mittleren Westen, Kielbasa in polnischen Läden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Deutscher Aufschnitt</w:t>
            </w:r>
          </w:p>
        </w:tc>
        <w:tc>
          <w:tcPr>
            <w:tcW w:w="26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Lyoner, Leberkäse, Teewurst: selten</w:t>
            </w:r>
          </w:p>
        </w:tc>
        <w:tc>
          <w:tcPr>
            <w:tcW w:w="28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German Delis</w:t>
            </w:r>
            <w:r>
              <w:rPr>
                <w:rFonts w:eastAsia="Cambria" w:cs="Cambria"/>
                <w:b w:val="false"/>
                <w:bCs w:val="false"/>
                <w:i w:val="false"/>
                <w:iCs w:val="false"/>
                <w:sz w:val="18"/>
                <w:szCs w:val="18"/>
              </w:rPr>
              <w:t xml:space="preserve"> in Städten mit deutscher Einwanderung (etwa Milwaukee, Cincinnati, Chicago, New York); Onlineshops</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Käse</w:t>
            </w:r>
          </w:p>
        </w:tc>
        <w:tc>
          <w:tcPr>
            <w:tcW w:w="26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Cheddar, Gouda, Emmentaler (</w:t>
            </w:r>
            <w:r>
              <w:rPr>
                <w:rFonts w:eastAsia="Cambria" w:cs="Cambria"/>
                <w:b w:val="false"/>
                <w:bCs w:val="false"/>
                <w:i/>
                <w:iCs/>
                <w:sz w:val="18"/>
                <w:szCs w:val="18"/>
              </w:rPr>
              <w:t>Swiss</w:t>
            </w:r>
            <w:r>
              <w:rPr>
                <w:rFonts w:eastAsia="Cambria" w:cs="Cambria"/>
                <w:b w:val="false"/>
                <w:bCs w:val="false"/>
                <w:i w:val="false"/>
                <w:iCs w:val="false"/>
                <w:sz w:val="18"/>
                <w:szCs w:val="18"/>
              </w:rPr>
              <w:t>), Havarti, Mozzarella, Parmesan</w:t>
            </w:r>
          </w:p>
        </w:tc>
        <w:tc>
          <w:tcPr>
            <w:tcW w:w="28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Käseregal und -theke; Costco, Trader Joe’s, Whole Foods</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Quark, Schmand</w:t>
            </w:r>
          </w:p>
        </w:tc>
        <w:tc>
          <w:tcPr>
            <w:tcW w:w="26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Quark selten; Ersatz: </w:t>
            </w:r>
            <w:r>
              <w:rPr>
                <w:rFonts w:eastAsia="Cambria" w:cs="Cambria"/>
                <w:b w:val="false"/>
                <w:bCs w:val="false"/>
                <w:i/>
                <w:iCs/>
                <w:sz w:val="18"/>
                <w:szCs w:val="18"/>
              </w:rPr>
              <w:t>Skyr</w:t>
            </w:r>
            <w:r>
              <w:rPr>
                <w:rFonts w:eastAsia="Cambria" w:cs="Cambria"/>
                <w:b w:val="false"/>
                <w:bCs w:val="false"/>
                <w:i w:val="false"/>
                <w:iCs w:val="false"/>
                <w:sz w:val="18"/>
                <w:szCs w:val="18"/>
              </w:rPr>
              <w:t xml:space="preserve">, abgetropfter </w:t>
            </w:r>
            <w:r>
              <w:rPr>
                <w:rFonts w:eastAsia="Cambria" w:cs="Cambria"/>
                <w:b w:val="false"/>
                <w:bCs w:val="false"/>
                <w:i/>
                <w:iCs/>
                <w:sz w:val="18"/>
                <w:szCs w:val="18"/>
              </w:rPr>
              <w:t>Greek Yogurt</w:t>
            </w:r>
            <w:r>
              <w:rPr>
                <w:rFonts w:eastAsia="Cambria" w:cs="Cambria"/>
                <w:b w:val="false"/>
                <w:bCs w:val="false"/>
                <w:i w:val="false"/>
                <w:iCs w:val="false"/>
                <w:sz w:val="18"/>
                <w:szCs w:val="18"/>
              </w:rPr>
              <w:t xml:space="preserve">, </w:t>
            </w:r>
            <w:r>
              <w:rPr>
                <w:rFonts w:eastAsia="Cambria" w:cs="Cambria"/>
                <w:b w:val="false"/>
                <w:bCs w:val="false"/>
                <w:i/>
                <w:iCs/>
                <w:sz w:val="18"/>
                <w:szCs w:val="18"/>
              </w:rPr>
              <w:t>Sour Cream</w:t>
            </w:r>
          </w:p>
        </w:tc>
        <w:tc>
          <w:tcPr>
            <w:tcW w:w="28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Joghurtregal; </w:t>
            </w:r>
            <w:r>
              <w:rPr>
                <w:rFonts w:eastAsia="Cambria" w:cs="Cambria"/>
                <w:b w:val="false"/>
                <w:bCs w:val="false"/>
                <w:i/>
                <w:iCs/>
                <w:sz w:val="18"/>
                <w:szCs w:val="18"/>
              </w:rPr>
              <w:t>Farmer Cheese</w:t>
            </w:r>
            <w:r>
              <w:rPr>
                <w:rFonts w:eastAsia="Cambria" w:cs="Cambria"/>
                <w:b w:val="false"/>
                <w:bCs w:val="false"/>
                <w:i w:val="false"/>
                <w:iCs w:val="false"/>
                <w:sz w:val="18"/>
                <w:szCs w:val="18"/>
              </w:rPr>
              <w:t xml:space="preserve"> in osteuropäischen Läden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Beim Brot lohnt der Blick aufs Etikett: „Wheat Bread“ ist nicht automatisch Vollkorn, gesucht ist „100 % Whole Wheat“. Roggenmehl (</w:t>
      </w:r>
      <w:r>
        <w:rPr>
          <w:rFonts w:eastAsia="Cambria" w:cs="Cambria"/>
          <w:b w:val="false"/>
          <w:bCs w:val="false"/>
          <w:i/>
          <w:iCs/>
          <w:sz w:val="22"/>
          <w:szCs w:val="22"/>
        </w:rPr>
        <w:t>Rye Flour</w:t>
      </w:r>
      <w:r>
        <w:rPr>
          <w:rFonts w:eastAsia="Cambria" w:cs="Cambria"/>
          <w:b w:val="false"/>
          <w:bCs w:val="false"/>
          <w:i w:val="false"/>
          <w:iCs w:val="false"/>
          <w:sz w:val="22"/>
          <w:szCs w:val="22"/>
        </w:rPr>
        <w:t>), Dinkelmehl (</w:t>
      </w:r>
      <w:r>
        <w:rPr>
          <w:rFonts w:eastAsia="Cambria" w:cs="Cambria"/>
          <w:b w:val="false"/>
          <w:bCs w:val="false"/>
          <w:i/>
          <w:iCs/>
          <w:sz w:val="22"/>
          <w:szCs w:val="22"/>
        </w:rPr>
        <w:t>Spelt</w:t>
      </w:r>
      <w:r>
        <w:rPr>
          <w:rFonts w:eastAsia="Cambria" w:cs="Cambria"/>
          <w:b w:val="false"/>
          <w:bCs w:val="false"/>
          <w:i w:val="false"/>
          <w:iCs w:val="false"/>
          <w:sz w:val="22"/>
          <w:szCs w:val="22"/>
        </w:rPr>
        <w:t>) und Sauerteigstarter gibt es im Backregal oder online; viele Deutsche backen ihr Brot selbst. Käse aus Rohmilch darf meist nur verkauft werden, wenn er mindestens 60 Tage gereift ist; Camembert und Brie sind daher meist pasteurisiert. Rohes Hackfleisch zum Essen (Mett, Hackepeter) verkauft niemand; Hackfleisch wird durchgegart.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Bei Grundnahrungsmitteln sind US-Supermärkte günstig und vielfältig; der Aufwand steckt bei Brot, Wurst und Käse. Behandle das als kleines Projekt der ersten Monate, nicht als tägliche Enttäuschung.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Deutsche Lebensmittel finden und mitbringen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Haribo, Ritter Sport, Milka und Maggi stehen oft im Regal für internationale Lebensmittel oder lassen sich online bestellen. Zum Oktoberfest im Herbst und in der Weihnachtszeit führen Aldi, Lidl, Trader Joe’s und Whole Foods teils Brezeln, Senf, Spekulatius, Lebkuchen und Stollen. Sauerkraut und Essiggurken gibt es fast überall, Spätzle und Backzutaten in </w:t>
      </w:r>
      <w:r>
        <w:rPr>
          <w:rFonts w:eastAsia="Cambria" w:cs="Cambria"/>
          <w:b w:val="false"/>
          <w:bCs w:val="false"/>
          <w:i/>
          <w:iCs/>
          <w:sz w:val="22"/>
          <w:szCs w:val="22"/>
        </w:rPr>
        <w:t>German Delis</w:t>
      </w:r>
      <w:r>
        <w:rPr>
          <w:rFonts w:eastAsia="Cambria" w:cs="Cambria"/>
          <w:b w:val="false"/>
          <w:bCs w:val="false"/>
          <w:i w:val="false"/>
          <w:iCs w:val="false"/>
          <w:sz w:val="22"/>
          <w:szCs w:val="22"/>
        </w:rPr>
        <w:t xml:space="preserve"> und Onlineshops; der Versand kostet oft so viel wie die Ware. Lokale Gruppen von Deutschen kennen die besten Bezugsquellen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Das klassische Überraschungsei ist in den USA verboten, weil Spielzeug in Lebensmitteln als Erstickungsgefahr gilt; erlaubt sind Varianten mit getrennten Fächern wie Kinder Joy. Wer eines im Koffer hat, riskiert Beschlagnahme und Bußgeld. Bei der Einreise musst du alle Lebensmittel angeben: Fleisch- und Wurstwaren sind meist verboten oder streng eingeschränkt, Käse und Backwaren eher unproblematisch (Kapitel </w:t>
            </w:r>
            <w:hyperlink w:anchor="k23">
              <w:r>
                <w:rPr>
                  <w:rStyle w:val="ListLabel114"/>
                  <w:rFonts w:eastAsia="Cambria" w:cs="Cambria"/>
                  <w:b w:val="false"/>
                  <w:bCs w:val="false"/>
                  <w:i w:val="false"/>
                  <w:iCs w:val="false"/>
                  <w:sz w:val="20"/>
                  <w:szCs w:val="20"/>
                </w:rPr>
                <w:t>23</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Alkohol: ab 21, Regeln je Bundesstaat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Mindestalter für Kauf und Konsum liegt in allen Bundesstaaten bei 21 Jahren; in Deutschland sind es 16 für Bier und Wein und 18 für Spirituosen. Läden und Bars kontrollieren streng, oft jeden, der jünger als 30 aussieht: Führerschein, </w:t>
      </w:r>
      <w:r>
        <w:rPr>
          <w:rFonts w:eastAsia="Cambria" w:cs="Cambria"/>
          <w:b w:val="false"/>
          <w:bCs w:val="false"/>
          <w:i/>
          <w:iCs/>
          <w:sz w:val="22"/>
          <w:szCs w:val="22"/>
        </w:rPr>
        <w:t>State ID</w:t>
      </w:r>
      <w:r>
        <w:rPr>
          <w:rFonts w:eastAsia="Cambria" w:cs="Cambria"/>
          <w:b w:val="false"/>
          <w:bCs w:val="false"/>
          <w:i w:val="false"/>
          <w:iCs w:val="false"/>
          <w:sz w:val="22"/>
          <w:szCs w:val="22"/>
        </w:rPr>
        <w:t xml:space="preserve"> oder Reisepass gehören in die Tasche, eine Kopie genügt nicht. Auch das Glas Wein für ein 16-jähriges Kind am Familientisch ist heikel: Wer Alkohol an unter 21-Jährige abgibt, kann sich strafbar machen; einige Bundesstaaten nehmen Eltern zu Hause aus.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Wo und wann du Alkohol kaufst, regelt jeder Bundesstaat, teils der Landkreis. In vielen Staaten verkaufen Supermärkte Bier und Wein, Spirituosen nur </w:t>
      </w:r>
      <w:r>
        <w:rPr>
          <w:rFonts w:eastAsia="Cambria" w:cs="Cambria"/>
          <w:b w:val="false"/>
          <w:bCs w:val="false"/>
          <w:i/>
          <w:iCs/>
          <w:sz w:val="22"/>
          <w:szCs w:val="22"/>
        </w:rPr>
        <w:t>Liquor Stores</w:t>
      </w:r>
      <w:r>
        <w:rPr>
          <w:rFonts w:eastAsia="Cambria" w:cs="Cambria"/>
          <w:b w:val="false"/>
          <w:bCs w:val="false"/>
          <w:i w:val="false"/>
          <w:iCs w:val="false"/>
          <w:sz w:val="22"/>
          <w:szCs w:val="22"/>
        </w:rPr>
        <w:t xml:space="preserve">; in Kalifornien und Michigan gibt es Spirituosen auch im Supermarkt. In 17 </w:t>
      </w:r>
      <w:r>
        <w:rPr>
          <w:rFonts w:eastAsia="Cambria" w:cs="Cambria"/>
          <w:b w:val="false"/>
          <w:bCs w:val="false"/>
          <w:i/>
          <w:iCs/>
          <w:sz w:val="22"/>
          <w:szCs w:val="22"/>
        </w:rPr>
        <w:t>Control States</w:t>
      </w:r>
      <w:r>
        <w:rPr>
          <w:rFonts w:eastAsia="Cambria" w:cs="Cambria"/>
          <w:b w:val="false"/>
          <w:bCs w:val="false"/>
          <w:i w:val="false"/>
          <w:iCs w:val="false"/>
          <w:sz w:val="22"/>
          <w:szCs w:val="22"/>
        </w:rPr>
        <w:t xml:space="preserve"> kontrolliert der Staat den Großhandel, in einigen (etwa Pennsylvania, Utah, Virginia) auch den Verkauf in eigenen Läden mit festen Öffnungszeiten. Sonntags gelten teils Einschränkungen, und in </w:t>
      </w:r>
      <w:r>
        <w:rPr>
          <w:rFonts w:eastAsia="Cambria" w:cs="Cambria"/>
          <w:b w:val="false"/>
          <w:bCs w:val="false"/>
          <w:i/>
          <w:iCs/>
          <w:sz w:val="22"/>
          <w:szCs w:val="22"/>
        </w:rPr>
        <w:t>Dry Counties</w:t>
      </w:r>
      <w:r>
        <w:rPr>
          <w:rFonts w:eastAsia="Cambria" w:cs="Cambria"/>
          <w:b w:val="false"/>
          <w:bCs w:val="false"/>
          <w:i w:val="false"/>
          <w:iCs w:val="false"/>
          <w:sz w:val="22"/>
          <w:szCs w:val="22"/>
        </w:rPr>
        <w:t xml:space="preserve"> (vor allem im Süden, etwa in Teilen von Kentucky und Tennessee) ist der Verkauf ganz oder teilweise verboten. Die Regeln aller Staaten stehen in der NIAAA-Datenbank (Quellenliste).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Bars liegt die letzte Bestellung (</w:t>
      </w:r>
      <w:r>
        <w:rPr>
          <w:rFonts w:eastAsia="Cambria" w:cs="Cambria"/>
          <w:b w:val="false"/>
          <w:bCs w:val="false"/>
          <w:i/>
          <w:iCs/>
          <w:sz w:val="22"/>
          <w:szCs w:val="22"/>
        </w:rPr>
        <w:t>Last Call</w:t>
      </w:r>
      <w:r>
        <w:rPr>
          <w:rFonts w:eastAsia="Cambria" w:cs="Cambria"/>
          <w:b w:val="false"/>
          <w:bCs w:val="false"/>
          <w:i w:val="false"/>
          <w:iCs w:val="false"/>
          <w:sz w:val="22"/>
          <w:szCs w:val="22"/>
        </w:rPr>
        <w:t>) je nach Stadt zwischen etwa 1 und 4 Uhr. In Großstädten kostet ein Bier oft 7–10 $, ein Cocktail 14–20 $, dazu Steuer und Trinkgeld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Craft-Brauereien brauen häufig Pils, Kölsch und Weizen.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geöffneter Alkoholbehälter im Fahrgastraum (</w:t>
            </w:r>
            <w:r>
              <w:rPr>
                <w:rFonts w:eastAsia="Cambria" w:cs="Cambria"/>
                <w:b w:val="false"/>
                <w:bCs w:val="false"/>
                <w:i/>
                <w:iCs/>
                <w:sz w:val="20"/>
                <w:szCs w:val="20"/>
              </w:rPr>
              <w:t>Open Container</w:t>
            </w:r>
            <w:r>
              <w:rPr>
                <w:rFonts w:eastAsia="Cambria" w:cs="Cambria"/>
                <w:b w:val="false"/>
                <w:bCs w:val="false"/>
                <w:i w:val="false"/>
                <w:iCs w:val="false"/>
                <w:sz w:val="20"/>
                <w:szCs w:val="20"/>
              </w:rPr>
              <w:t>) ist fast überall verboten, auch für Beifahrer; angebrochene Flaschen gehören verschlossen in den Kofferraum. Trinken auf der Straße, im Park oder am Strand ist in den meisten Städten untersagt, Ausnahmen gibt es etwa in Teilen von New Orleans und Las Vegas. Am Steuer gilt 0,08 % (in Utah 0,05 %); eine Trunkenheitsfahrt (</w:t>
            </w:r>
            <w:r>
              <w:rPr>
                <w:rFonts w:eastAsia="Cambria" w:cs="Cambria"/>
                <w:b w:val="false"/>
                <w:bCs w:val="false"/>
                <w:i/>
                <w:iCs/>
                <w:sz w:val="20"/>
                <w:szCs w:val="20"/>
              </w:rPr>
              <w:t>DUI</w:t>
            </w:r>
            <w:r>
              <w:rPr>
                <w:rFonts w:eastAsia="Cambria" w:cs="Cambria"/>
                <w:b w:val="false"/>
                <w:bCs w:val="false"/>
                <w:i w:val="false"/>
                <w:iCs w:val="false"/>
                <w:sz w:val="20"/>
                <w:szCs w:val="20"/>
              </w:rPr>
              <w:t>) kostet Führerschein und Geld und kann Visum und Green Card gefährden (Kapitel </w:t>
            </w:r>
            <w:hyperlink w:anchor="k27">
              <w:r>
                <w:rPr>
                  <w:rStyle w:val="ListLabel114"/>
                  <w:rFonts w:eastAsia="Cambria" w:cs="Cambria"/>
                  <w:b w:val="false"/>
                  <w:bCs w:val="false"/>
                  <w:i w:val="false"/>
                  <w:iCs w:val="false"/>
                  <w:sz w:val="20"/>
                  <w:szCs w:val="20"/>
                </w:rPr>
                <w:t>27</w:t>
              </w:r>
            </w:hyperlink>
            <w:r>
              <w:rPr>
                <w:rFonts w:eastAsia="Cambria" w:cs="Cambria"/>
                <w:b w:val="false"/>
                <w:bCs w:val="false"/>
                <w:i w:val="false"/>
                <w:iCs w:val="false"/>
                <w:sz w:val="20"/>
                <w:szCs w:val="20"/>
              </w:rPr>
              <w:t xml:space="preserve"> und </w:t>
            </w:r>
            <w:hyperlink w:anchor="k40">
              <w:r>
                <w:rPr>
                  <w:rStyle w:val="ListLabel114"/>
                  <w:rFonts w:eastAsia="Cambria" w:cs="Cambria"/>
                  <w:b w:val="false"/>
                  <w:bCs w:val="false"/>
                  <w:i w:val="false"/>
                  <w:iCs w:val="false"/>
                  <w:sz w:val="20"/>
                  <w:szCs w:val="20"/>
                </w:rPr>
                <w:t>40</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Restaurants und Lieferdienste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Trinkgeld, Preise ohne Steuer, Reste und Rechnung teilen stehen in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Im Alltag zählt außerdem: Du wartest am Eingang auf die Platzanweisung (</w:t>
      </w:r>
      <w:r>
        <w:rPr>
          <w:rFonts w:eastAsia="Cambria" w:cs="Cambria"/>
          <w:b w:val="false"/>
          <w:bCs w:val="false"/>
          <w:i/>
          <w:iCs/>
          <w:sz w:val="22"/>
          <w:szCs w:val="22"/>
        </w:rPr>
        <w:t>Please wait to be seated</w:t>
      </w:r>
      <w:r>
        <w:rPr>
          <w:rFonts w:eastAsia="Cambria" w:cs="Cambria"/>
          <w:b w:val="false"/>
          <w:bCs w:val="false"/>
          <w:i w:val="false"/>
          <w:iCs w:val="false"/>
          <w:sz w:val="22"/>
          <w:szCs w:val="22"/>
        </w:rPr>
        <w:t>), beliebte Lokale nehmen Reservierungen über Apps wie OpenTable oder Resy an, sonst kommst du auf eine Warteliste. Die Küche schließt früh, in Kleinstädten oft um 21 Uhr.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Lieferdienste wie DoorDash, Uber Eats und Grubhub bringen Restaurantessen, Instacart, Walmart und Amazon Supermarktware. Die App-Preise liegen oft über denen im Lokal, dazu kommen Lieferpauschale, Servicegebühr, Steuer und Trinkgeld: Aus 20 $ Essen werden schnell 30 $. Abos wie DashPass, Uber One oder Instacart+ kosten rund 10 $ im Monat und lohnen nur bei regelmäßigen Bestellungen. Günstiger ist die Abholung am Supermarkt (</w:t>
      </w:r>
      <w:r>
        <w:rPr>
          <w:rFonts w:eastAsia="Cambria" w:cs="Cambria"/>
          <w:b w:val="false"/>
          <w:bCs w:val="false"/>
          <w:i/>
          <w:iCs/>
          <w:sz w:val="22"/>
          <w:szCs w:val="22"/>
        </w:rPr>
        <w:t>Curbside Pickup</w:t>
      </w:r>
      <w:r>
        <w:rPr>
          <w:rFonts w:eastAsia="Cambria" w:cs="Cambria"/>
          <w:b w:val="false"/>
          <w:bCs w:val="false"/>
          <w:i w:val="false"/>
          <w:iCs w:val="false"/>
          <w:sz w:val="22"/>
          <w:szCs w:val="22"/>
        </w:rPr>
        <w:t>): Du bestellst online, ein Mitarbeiter lädt die Ware in dein Auto, meist kostenlos oder gegen kleine Gebühr.</w:t>
      </w:r>
    </w:p>
    <w:p>
      <w:pPr>
        <w:pStyle w:val="Heading3"/>
        <w:keepNext w:val="true"/>
        <w:spacing w:before="280" w:after="100"/>
        <w:jc w:val="center"/>
        <w:rPr/>
      </w:pPr>
      <w:r>
        <w:rPr>
          <w:rFonts w:eastAsia="Amazon Ember" w:cs="Amazon Ember" w:ascii="Amazon Ember" w:hAnsi="Amazon Ember"/>
          <w:b/>
          <w:bCs/>
          <w:color w:val="0000FF"/>
          <w:sz w:val="36"/>
          <w:szCs w:val="36"/>
        </w:rPr>
        <w:t>Kochen: Cups, Ounces und Fahrenheit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US-Rezepte messen Volumen statt Gewicht – wer nach deutschem Rezept 250 g Mehl abwiegen will, steht zunächst ratlos vor einem Becherset ohne Waage. Ein Satz Messbecher (</w:t>
      </w:r>
      <w:r>
        <w:rPr>
          <w:rFonts w:eastAsia="Cambria" w:cs="Cambria"/>
          <w:b w:val="false"/>
          <w:bCs w:val="false"/>
          <w:i/>
          <w:iCs/>
          <w:sz w:val="22"/>
          <w:szCs w:val="22"/>
        </w:rPr>
        <w:t>Measuring Cups</w:t>
      </w:r>
      <w:r>
        <w:rPr>
          <w:rFonts w:eastAsia="Cambria" w:cs="Cambria"/>
          <w:b w:val="false"/>
          <w:bCs w:val="false"/>
          <w:i w:val="false"/>
          <w:iCs w:val="false"/>
          <w:sz w:val="22"/>
          <w:szCs w:val="22"/>
        </w:rPr>
        <w:t>), eine Küchenwaage mit Gramm- und Unzen-Anzeige und ein Fleischthermometer erleichtern alles. Die wichtigsten Werte:</w:t>
      </w:r>
    </w:p>
    <w:tbl>
      <w:tblPr>
        <w:tblW w:w="6480" w:type="dxa"/>
        <w:jc w:val="left"/>
        <w:tblInd w:w="0" w:type="dxa"/>
        <w:tblLayout w:type="fixed"/>
        <w:tblCellMar>
          <w:top w:w="50" w:type="dxa"/>
          <w:left w:w="80" w:type="dxa"/>
          <w:bottom w:w="50" w:type="dxa"/>
          <w:right w:w="80" w:type="dxa"/>
        </w:tblCellMar>
      </w:tblPr>
      <w:tblGrid>
        <w:gridCol w:w="1881"/>
        <w:gridCol w:w="1377"/>
        <w:gridCol w:w="3222"/>
      </w:tblGrid>
      <w:tr>
        <w:trPr>
          <w:tblHeader w:val="true"/>
          <w:cantSplit w:val="true"/>
        </w:trPr>
        <w:tc>
          <w:tcPr>
            <w:tcW w:w="188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US-Maß</w:t>
            </w:r>
          </w:p>
        </w:tc>
        <w:tc>
          <w:tcPr>
            <w:tcW w:w="137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Metrisch</w:t>
            </w:r>
          </w:p>
        </w:tc>
        <w:tc>
          <w:tcPr>
            <w:tcW w:w="322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Hinweis</w:t>
            </w:r>
          </w:p>
        </w:tc>
      </w:tr>
      <w:tr>
        <w:trPr>
          <w:cantSplit w:val="true"/>
        </w:trPr>
        <w:tc>
          <w:tcPr>
            <w:tcW w:w="1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 cup</w:t>
            </w:r>
          </w:p>
        </w:tc>
        <w:tc>
          <w:tcPr>
            <w:tcW w:w="13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237 ml</w:t>
            </w:r>
          </w:p>
        </w:tc>
        <w:tc>
          <w:tcPr>
            <w:tcW w:w="32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 cup Mehl ca. 125 g, Zucker ca. 200 g, Butter ca. 225 g</w:t>
            </w:r>
          </w:p>
        </w:tc>
      </w:tr>
      <w:tr>
        <w:trPr>
          <w:cantSplit w:val="true"/>
        </w:trPr>
        <w:tc>
          <w:tcPr>
            <w:tcW w:w="1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 tablespoon (Tbsp)</w:t>
            </w:r>
          </w:p>
        </w:tc>
        <w:tc>
          <w:tcPr>
            <w:tcW w:w="13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15 ml</w:t>
            </w:r>
          </w:p>
        </w:tc>
        <w:tc>
          <w:tcPr>
            <w:tcW w:w="32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 teaspoon (tsp) ca. 5 ml</w:t>
            </w:r>
          </w:p>
        </w:tc>
      </w:tr>
      <w:tr>
        <w:trPr>
          <w:cantSplit w:val="true"/>
        </w:trPr>
        <w:tc>
          <w:tcPr>
            <w:tcW w:w="1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 fluid ounce (fl oz)</w:t>
            </w:r>
          </w:p>
        </w:tc>
        <w:tc>
          <w:tcPr>
            <w:tcW w:w="13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30 ml</w:t>
            </w:r>
          </w:p>
        </w:tc>
        <w:tc>
          <w:tcPr>
            <w:tcW w:w="32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 fl oz = 1 cup</w:t>
            </w:r>
          </w:p>
        </w:tc>
      </w:tr>
      <w:tr>
        <w:trPr>
          <w:cantSplit w:val="true"/>
        </w:trPr>
        <w:tc>
          <w:tcPr>
            <w:tcW w:w="1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 pint, 1 quart, 1 gallon</w:t>
            </w:r>
          </w:p>
        </w:tc>
        <w:tc>
          <w:tcPr>
            <w:tcW w:w="13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473 ml, 0,95 l, 3,8 l</w:t>
            </w:r>
          </w:p>
        </w:tc>
        <w:tc>
          <w:tcPr>
            <w:tcW w:w="32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 pints = 1 quart, 4 quarts = 1 gallon</w:t>
            </w:r>
          </w:p>
        </w:tc>
      </w:tr>
      <w:tr>
        <w:trPr>
          <w:cantSplit w:val="true"/>
        </w:trPr>
        <w:tc>
          <w:tcPr>
            <w:tcW w:w="1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 ounce (oz), 1 pound (lb)</w:t>
            </w:r>
          </w:p>
        </w:tc>
        <w:tc>
          <w:tcPr>
            <w:tcW w:w="13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28 g, 454 g</w:t>
            </w:r>
          </w:p>
        </w:tc>
        <w:tc>
          <w:tcPr>
            <w:tcW w:w="32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 oz = 1 lb</w:t>
            </w:r>
          </w:p>
        </w:tc>
      </w:tr>
      <w:tr>
        <w:trPr>
          <w:cantSplit w:val="true"/>
        </w:trPr>
        <w:tc>
          <w:tcPr>
            <w:tcW w:w="1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 stick Butter</w:t>
            </w:r>
          </w:p>
        </w:tc>
        <w:tc>
          <w:tcPr>
            <w:tcW w:w="13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113 g</w:t>
            </w:r>
          </w:p>
        </w:tc>
        <w:tc>
          <w:tcPr>
            <w:tcW w:w="32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½ cup = 8 Tbsp</w:t>
            </w:r>
          </w:p>
        </w:tc>
      </w:tr>
      <w:tr>
        <w:trPr>
          <w:cantSplit w:val="true"/>
        </w:trPr>
        <w:tc>
          <w:tcPr>
            <w:tcW w:w="1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350 °F, 400 °F, 450 °F</w:t>
            </w:r>
          </w:p>
        </w:tc>
        <w:tc>
          <w:tcPr>
            <w:tcW w:w="13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175 °C, 200 °C, 230 °C</w:t>
            </w:r>
          </w:p>
        </w:tc>
        <w:tc>
          <w:tcPr>
            <w:tcW w:w="32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 minus 32, geteilt durch 1,8</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Backofen kennt </w:t>
      </w:r>
      <w:r>
        <w:rPr>
          <w:rFonts w:eastAsia="Cambria" w:cs="Cambria"/>
          <w:b w:val="false"/>
          <w:bCs w:val="false"/>
          <w:i/>
          <w:iCs/>
          <w:sz w:val="22"/>
          <w:szCs w:val="22"/>
        </w:rPr>
        <w:t>Bake</w:t>
      </w:r>
      <w:r>
        <w:rPr>
          <w:rFonts w:eastAsia="Cambria" w:cs="Cambria"/>
          <w:b w:val="false"/>
          <w:bCs w:val="false"/>
          <w:i w:val="false"/>
          <w:iCs w:val="false"/>
          <w:sz w:val="22"/>
          <w:szCs w:val="22"/>
        </w:rPr>
        <w:t xml:space="preserve"> (Ober- und Unterhitze), </w:t>
      </w:r>
      <w:r>
        <w:rPr>
          <w:rFonts w:eastAsia="Cambria" w:cs="Cambria"/>
          <w:b w:val="false"/>
          <w:bCs w:val="false"/>
          <w:i/>
          <w:iCs/>
          <w:sz w:val="22"/>
          <w:szCs w:val="22"/>
        </w:rPr>
        <w:t>Convection</w:t>
      </w:r>
      <w:r>
        <w:rPr>
          <w:rFonts w:eastAsia="Cambria" w:cs="Cambria"/>
          <w:b w:val="false"/>
          <w:bCs w:val="false"/>
          <w:i w:val="false"/>
          <w:iCs w:val="false"/>
          <w:sz w:val="22"/>
          <w:szCs w:val="22"/>
        </w:rPr>
        <w:t xml:space="preserve"> (Umluft; Temperatur etwa 25 °F senken) und </w:t>
      </w:r>
      <w:r>
        <w:rPr>
          <w:rFonts w:eastAsia="Cambria" w:cs="Cambria"/>
          <w:b w:val="false"/>
          <w:bCs w:val="false"/>
          <w:i/>
          <w:iCs/>
          <w:sz w:val="22"/>
          <w:szCs w:val="22"/>
        </w:rPr>
        <w:t>Broil</w:t>
      </w:r>
      <w:r>
        <w:rPr>
          <w:rFonts w:eastAsia="Cambria" w:cs="Cambria"/>
          <w:b w:val="false"/>
          <w:bCs w:val="false"/>
          <w:i w:val="false"/>
          <w:iCs w:val="false"/>
          <w:sz w:val="22"/>
          <w:szCs w:val="22"/>
        </w:rPr>
        <w:t xml:space="preserve"> (Grill). Wichtige Zutaten: Backpulver heißt </w:t>
      </w:r>
      <w:r>
        <w:rPr>
          <w:rFonts w:eastAsia="Cambria" w:cs="Cambria"/>
          <w:b w:val="false"/>
          <w:bCs w:val="false"/>
          <w:i/>
          <w:iCs/>
          <w:sz w:val="22"/>
          <w:szCs w:val="22"/>
        </w:rPr>
        <w:t>baking powder</w:t>
      </w:r>
      <w:r>
        <w:rPr>
          <w:rFonts w:eastAsia="Cambria" w:cs="Cambria"/>
          <w:b w:val="false"/>
          <w:bCs w:val="false"/>
          <w:i w:val="false"/>
          <w:iCs w:val="false"/>
          <w:sz w:val="22"/>
          <w:szCs w:val="22"/>
        </w:rPr>
        <w:t xml:space="preserve">, Natron </w:t>
      </w:r>
      <w:r>
        <w:rPr>
          <w:rFonts w:eastAsia="Cambria" w:cs="Cambria"/>
          <w:b w:val="false"/>
          <w:bCs w:val="false"/>
          <w:i/>
          <w:iCs/>
          <w:sz w:val="22"/>
          <w:szCs w:val="22"/>
        </w:rPr>
        <w:t>baking soda</w:t>
      </w:r>
      <w:r>
        <w:rPr>
          <w:rFonts w:eastAsia="Cambria" w:cs="Cambria"/>
          <w:b w:val="false"/>
          <w:bCs w:val="false"/>
          <w:i w:val="false"/>
          <w:iCs w:val="false"/>
          <w:sz w:val="22"/>
          <w:szCs w:val="22"/>
        </w:rPr>
        <w:t xml:space="preserve"> (nicht verwechseln), Speisestärke </w:t>
      </w:r>
      <w:r>
        <w:rPr>
          <w:rFonts w:eastAsia="Cambria" w:cs="Cambria"/>
          <w:b w:val="false"/>
          <w:bCs w:val="false"/>
          <w:i/>
          <w:iCs/>
          <w:sz w:val="22"/>
          <w:szCs w:val="22"/>
        </w:rPr>
        <w:t>cornstarch</w:t>
      </w:r>
      <w:r>
        <w:rPr>
          <w:rFonts w:eastAsia="Cambria" w:cs="Cambria"/>
          <w:b w:val="false"/>
          <w:bCs w:val="false"/>
          <w:i w:val="false"/>
          <w:iCs w:val="false"/>
          <w:sz w:val="22"/>
          <w:szCs w:val="22"/>
        </w:rPr>
        <w:t xml:space="preserve">, Schlagsahne </w:t>
      </w:r>
      <w:r>
        <w:rPr>
          <w:rFonts w:eastAsia="Cambria" w:cs="Cambria"/>
          <w:b w:val="false"/>
          <w:bCs w:val="false"/>
          <w:i/>
          <w:iCs/>
          <w:sz w:val="22"/>
          <w:szCs w:val="22"/>
        </w:rPr>
        <w:t>heavy cream</w:t>
      </w:r>
      <w:r>
        <w:rPr>
          <w:rFonts w:eastAsia="Cambria" w:cs="Cambria"/>
          <w:b w:val="false"/>
          <w:bCs w:val="false"/>
          <w:i w:val="false"/>
          <w:iCs w:val="false"/>
          <w:sz w:val="22"/>
          <w:szCs w:val="22"/>
        </w:rPr>
        <w:t xml:space="preserve">, Schmand </w:t>
      </w:r>
      <w:r>
        <w:rPr>
          <w:rFonts w:eastAsia="Cambria" w:cs="Cambria"/>
          <w:b w:val="false"/>
          <w:bCs w:val="false"/>
          <w:i/>
          <w:iCs/>
          <w:sz w:val="22"/>
          <w:szCs w:val="22"/>
        </w:rPr>
        <w:t>sour cream</w:t>
      </w:r>
      <w:r>
        <w:rPr>
          <w:rFonts w:eastAsia="Cambria" w:cs="Cambria"/>
          <w:b w:val="false"/>
          <w:bCs w:val="false"/>
          <w:i w:val="false"/>
          <w:iCs w:val="false"/>
          <w:sz w:val="22"/>
          <w:szCs w:val="22"/>
        </w:rPr>
        <w:t xml:space="preserve">; Weizenmehl Type 550 entspricht etwa </w:t>
      </w:r>
      <w:r>
        <w:rPr>
          <w:rFonts w:eastAsia="Cambria" w:cs="Cambria"/>
          <w:b w:val="false"/>
          <w:bCs w:val="false"/>
          <w:i/>
          <w:iCs/>
          <w:sz w:val="22"/>
          <w:szCs w:val="22"/>
        </w:rPr>
        <w:t>all-purpose flour</w:t>
      </w:r>
      <w:r>
        <w:rPr>
          <w:rFonts w:eastAsia="Cambria" w:cs="Cambria"/>
          <w:b w:val="false"/>
          <w:bCs w:val="false"/>
          <w:i w:val="false"/>
          <w:iCs w:val="false"/>
          <w:sz w:val="22"/>
          <w:szCs w:val="22"/>
        </w:rPr>
        <w:t>. Als Kerntemperatur gelten für Geflügel 165 °F (74 °C), für Hackfleisch 160 °F (71 °C). Elektrische Küchengeräte aus Deutschland laufen an 120 Volt meist nicht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Trinkwasser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Leitungswasser ist in den USA fast überall trinkbar und im Restaurant gratis. Öffentliche Wasserwerke unterliegen dem Bundesgesetz </w:t>
      </w:r>
      <w:r>
        <w:rPr>
          <w:rFonts w:eastAsia="Cambria" w:cs="Cambria"/>
          <w:b w:val="false"/>
          <w:bCs w:val="false"/>
          <w:i/>
          <w:iCs/>
          <w:sz w:val="22"/>
          <w:szCs w:val="22"/>
        </w:rPr>
        <w:t>Safe Drinking Water Act</w:t>
      </w:r>
      <w:r>
        <w:rPr>
          <w:rFonts w:eastAsia="Cambria" w:cs="Cambria"/>
          <w:b w:val="false"/>
          <w:bCs w:val="false"/>
          <w:i w:val="false"/>
          <w:iCs w:val="false"/>
          <w:sz w:val="22"/>
          <w:szCs w:val="22"/>
        </w:rPr>
        <w:t xml:space="preserve"> und der Aufsicht der Umweltbehörde EPA. Jedes Jahr, meist bis 1. Juli, veröffentlichen sie einen Wasserqualitätsbericht (</w:t>
      </w:r>
      <w:r>
        <w:rPr>
          <w:rFonts w:eastAsia="Cambria" w:cs="Cambria"/>
          <w:b w:val="false"/>
          <w:bCs w:val="false"/>
          <w:i/>
          <w:iCs/>
          <w:sz w:val="22"/>
          <w:szCs w:val="22"/>
        </w:rPr>
        <w:t>Consumer Confidence Report</w:t>
      </w:r>
      <w:r>
        <w:rPr>
          <w:rFonts w:eastAsia="Cambria" w:cs="Cambria"/>
          <w:b w:val="false"/>
          <w:bCs w:val="false"/>
          <w:i w:val="false"/>
          <w:iCs w:val="false"/>
          <w:sz w:val="22"/>
          <w:szCs w:val="22"/>
        </w:rPr>
        <w:t xml:space="preserve">) mit den Messwerten. Viele Werke desinfizieren mit Chlor oder Chloramin, im Südwesten ist das Wasser so hart, dass sich in Wasserkocher und Kaffeemaschine schon nach wenigen Wochen eine weiße Kalkkruste bildet; ein Kannen- oder Kühlschrankfilter mildert wenigstens den Geschmack. Sprudelwasser heißt </w:t>
      </w:r>
      <w:r>
        <w:rPr>
          <w:rFonts w:eastAsia="Cambria" w:cs="Cambria"/>
          <w:b w:val="false"/>
          <w:bCs w:val="false"/>
          <w:i/>
          <w:iCs/>
          <w:sz w:val="22"/>
          <w:szCs w:val="22"/>
        </w:rPr>
        <w:t>Seltzer</w:t>
      </w:r>
      <w:r>
        <w:rPr>
          <w:rFonts w:eastAsia="Cambria" w:cs="Cambria"/>
          <w:b w:val="false"/>
          <w:bCs w:val="false"/>
          <w:i w:val="false"/>
          <w:iCs w:val="false"/>
          <w:sz w:val="22"/>
          <w:szCs w:val="22"/>
        </w:rPr>
        <w:t xml:space="preserve"> oder </w:t>
      </w:r>
      <w:r>
        <w:rPr>
          <w:rFonts w:eastAsia="Cambria" w:cs="Cambria"/>
          <w:b w:val="false"/>
          <w:bCs w:val="false"/>
          <w:i/>
          <w:iCs/>
          <w:sz w:val="22"/>
          <w:szCs w:val="22"/>
        </w:rPr>
        <w:t>Sparkling Water</w:t>
      </w:r>
      <w:r>
        <w:rPr>
          <w:rFonts w:eastAsia="Cambria" w:cs="Cambria"/>
          <w:b w:val="false"/>
          <w:bCs w:val="false"/>
          <w:i w:val="false"/>
          <w:iCs w:val="false"/>
          <w:sz w:val="22"/>
          <w:szCs w:val="22"/>
        </w:rPr>
        <w:t xml:space="preserve"> und ist meist milder als deutsches Mineralwasser.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Zwei Themen sind im Fluss: PFAS (langlebige Industriechemikalien) und Fluorid. Für PFOA und PFOS gilt ein Grenzwert von 4 ng/l; nach einem EPA-Vorschlag vom Mai 2026 soll er bleiben, die Frist bis 2031 verlängert werden können. Viele Werke setzen Fluorid zur Kariesvorbeugung zu; Utah und Florida haben das 2025 per Gesetz beendet. Wie du bei Kindern damit umgehst, klärst du mit Kinder- oder Zahnarzt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xml:space="preserve">). Bei Rohrbrüchen ordnet der Versorger eine </w:t>
      </w:r>
      <w:r>
        <w:rPr>
          <w:rFonts w:eastAsia="Cambria" w:cs="Cambria"/>
          <w:b w:val="false"/>
          <w:bCs w:val="false"/>
          <w:i/>
          <w:iCs/>
          <w:sz w:val="22"/>
          <w:szCs w:val="22"/>
        </w:rPr>
        <w:t>Boil Water Advisory</w:t>
      </w:r>
      <w:r>
        <w:rPr>
          <w:rFonts w:eastAsia="Cambria" w:cs="Cambria"/>
          <w:b w:val="false"/>
          <w:bCs w:val="false"/>
          <w:i w:val="false"/>
          <w:iCs w:val="false"/>
          <w:sz w:val="22"/>
          <w:szCs w:val="22"/>
        </w:rPr>
        <w:t xml:space="preserve"> an: Wasser vor dem Trinken eine Minute sprudelnd kochen.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Bis 1986 durften Bleirohre und bleihaltiges Lötzinn verbaut werden; in älteren Häusern kann Blei ins Wasser gelangen, für Kleinkinder und Schwangere ist keine Menge unbedenklich. Bekannt wurde das Problem durch die Stadt Flint in Michigan (2014/15). Frage den Versorger nach dem Material der Hausanschlussleitung, lass das Wasser bei Bedarf testen und nutze zum Trinken und Kochen nur kaltes Wasser. Filter sollten für Blei zertifiziert sein (NSF/ANSI 53). Seit Oktober 2024 verlangt die EPA-Regel LCRI, dass Versorger alle Bleileitungen binnen zehn Jahren ersetzen; die Frist beginnt am 1. November 2027.</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Schulessen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Öffentliche Schulen bieten Frühstück und Mittagessen in der </w:t>
      </w:r>
      <w:r>
        <w:rPr>
          <w:rFonts w:eastAsia="Cambria" w:cs="Cambria"/>
          <w:b w:val="false"/>
          <w:bCs w:val="false"/>
          <w:i/>
          <w:iCs/>
          <w:sz w:val="22"/>
          <w:szCs w:val="22"/>
        </w:rPr>
        <w:t>Cafeteria</w:t>
      </w:r>
      <w:r>
        <w:rPr>
          <w:rFonts w:eastAsia="Cambria" w:cs="Cambria"/>
          <w:b w:val="false"/>
          <w:bCs w:val="false"/>
          <w:i w:val="false"/>
          <w:iCs w:val="false"/>
          <w:sz w:val="22"/>
          <w:szCs w:val="22"/>
        </w:rPr>
        <w:t xml:space="preserve"> über das </w:t>
      </w:r>
      <w:r>
        <w:rPr>
          <w:rFonts w:eastAsia="Cambria" w:cs="Cambria"/>
          <w:b w:val="false"/>
          <w:bCs w:val="false"/>
          <w:i/>
          <w:iCs/>
          <w:sz w:val="22"/>
          <w:szCs w:val="22"/>
        </w:rPr>
        <w:t>National School Lunch Program</w:t>
      </w:r>
      <w:r>
        <w:rPr>
          <w:rFonts w:eastAsia="Cambria" w:cs="Cambria"/>
          <w:b w:val="false"/>
          <w:bCs w:val="false"/>
          <w:i w:val="false"/>
          <w:iCs w:val="false"/>
          <w:sz w:val="22"/>
          <w:szCs w:val="22"/>
        </w:rPr>
        <w:t>. Das Mittagessen liegt früh, oft zwischen 10:30 und 12:30 Uhr, und dauert 20 bis 30 Minuten. Pizza, Nuggets und Pasta stehen neben Salat, Obst und Milch. Den Preis legt der Distrikt fest, meist einige Dollar je Mahlzeit.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neun Bundesstaaten sind Schulmahlzeiten für alle Kinder kostenlos: Kalifornien, Colorado, Maine, Massachusetts, Michigan, Minnesota, New Mexico, New York und Vermont (Schuljahr 2026/27). Anderswo essen Kinder aus Haushalten bis 130 % der Armutsgrenze kostenlos, bis 185 % zu ermäßigten Preisen: 2026/27 sind das für vier Personen 42.900 $ beziehungsweise 61.050 $ Jahreseinkommen. Der Einwanderungsstatus spielt für die Teilnahme keine Rolle. Wer selbst packt, gibt eine Lunchbox mit. Viele Schulen sind wegen Allergien nussfrei (</w:t>
      </w:r>
      <w:r>
        <w:rPr>
          <w:rFonts w:eastAsia="Cambria" w:cs="Cambria"/>
          <w:b w:val="false"/>
          <w:bCs w:val="false"/>
          <w:i/>
          <w:iCs/>
          <w:sz w:val="22"/>
          <w:szCs w:val="22"/>
        </w:rPr>
        <w:t>Peanut-Free</w:t>
      </w:r>
      <w:r>
        <w:rPr>
          <w:rFonts w:eastAsia="Cambria" w:cs="Cambria"/>
          <w:b w:val="false"/>
          <w:bCs w:val="false"/>
          <w:i w:val="false"/>
          <w:iCs w:val="false"/>
          <w:sz w:val="22"/>
          <w:szCs w:val="22"/>
        </w:rPr>
        <w:t>): Melde Allergien bei der Anmeldung. Guthaben lädst du meist per App des Distrikts auf. Mehr zum Schulsystem steht in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170"/>
        <w:gridCol w:w="3309"/>
      </w:tblGrid>
      <w:tr>
        <w:trPr>
          <w:tblHeader w:val="true"/>
          <w:cantSplit w:val="true"/>
        </w:trPr>
        <w:tc>
          <w:tcPr>
            <w:tcW w:w="317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30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1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Lange Öffnungszeiten, auch sonntags</w:t>
            </w:r>
          </w:p>
        </w:tc>
        <w:tc>
          <w:tcPr>
            <w:tcW w:w="33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Auto ist der Einkauf in vielen Regionen mühsam</w:t>
            </w:r>
          </w:p>
        </w:tc>
      </w:tr>
      <w:tr>
        <w:trPr>
          <w:cantSplit w:val="true"/>
        </w:trPr>
        <w:tc>
          <w:tcPr>
            <w:tcW w:w="31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Günstige Grundnahrungsmittel bei Aldi, Walmart und Costco</w:t>
            </w:r>
          </w:p>
        </w:tc>
        <w:tc>
          <w:tcPr>
            <w:tcW w:w="33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Brot, Wurst und Käse in deutscher Qualität nur mit Aufwand</w:t>
            </w:r>
          </w:p>
        </w:tc>
      </w:tr>
      <w:tr>
        <w:trPr>
          <w:cantSplit w:val="true"/>
        </w:trPr>
        <w:tc>
          <w:tcPr>
            <w:tcW w:w="31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Große Vielfalt an Küchen und Zutaten</w:t>
            </w:r>
          </w:p>
        </w:tc>
        <w:tc>
          <w:tcPr>
            <w:tcW w:w="33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Mehr Zusatzstoffe und Zucker in vielen Fertigprodukten</w:t>
            </w:r>
          </w:p>
        </w:tc>
      </w:tr>
      <w:tr>
        <w:trPr>
          <w:cantSplit w:val="true"/>
        </w:trPr>
        <w:tc>
          <w:tcPr>
            <w:tcW w:w="31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Kulante Rückgabe bei Ketten wie Aldi und Costco</w:t>
            </w:r>
          </w:p>
        </w:tc>
        <w:tc>
          <w:tcPr>
            <w:tcW w:w="33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Restaurant und Lieferdienst kosten 25–30 % Aufschlag</w:t>
            </w:r>
          </w:p>
        </w:tc>
      </w:tr>
      <w:tr>
        <w:trPr>
          <w:cantSplit w:val="true"/>
        </w:trPr>
        <w:tc>
          <w:tcPr>
            <w:tcW w:w="31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Craft-Bier-, Wein- und Kaffeekultur</w:t>
            </w:r>
          </w:p>
        </w:tc>
        <w:tc>
          <w:tcPr>
            <w:tcW w:w="33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Zersplitterte Alkoholregeln, Ausweispflicht, kein Trinken in der Öffentlichkeit</w:t>
            </w:r>
          </w:p>
        </w:tc>
      </w:tr>
      <w:tr>
        <w:trPr>
          <w:cantSplit w:val="true"/>
        </w:trPr>
        <w:tc>
          <w:tcPr>
            <w:tcW w:w="31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Leitungswasser meist gut, im Restaurant gratis</w:t>
            </w:r>
          </w:p>
        </w:tc>
        <w:tc>
          <w:tcPr>
            <w:tcW w:w="33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Bleirohre in alten Häusern, regional verschiedene Wasserqualität</w:t>
            </w:r>
          </w:p>
        </w:tc>
      </w:tr>
      <w:tr>
        <w:trPr>
          <w:cantSplit w:val="true"/>
        </w:trPr>
        <w:tc>
          <w:tcPr>
            <w:tcW w:w="31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Kostenlose Schulmahlzeiten in neun Bundesstaaten</w:t>
            </w:r>
          </w:p>
        </w:tc>
        <w:tc>
          <w:tcPr>
            <w:tcW w:w="33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Cups, Ounces und Fahrenheit verlangen Umgewöhnung</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Lege in der ersten Woche zwei Basisläden fest, einen Discounter und einen Vollsortimenter, und hole dir die Kundenkarten. Kaufe früh eine Küchenwaage und einen Wasserfilter, frage bei der Wohnungssuche nach Baujahr und Leitungsmaterial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 und probiere Ersatz für Brot, Wurst und Käse in Ruhe aus.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Zwei Basisläden festlegen (Discounter und Vollsortimenter), Kundenkarten oder Apps einrichten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Monatsbudget für Lebensmittel mit den USDA-Richtwerten planen, Restaurant und Lieferdienst extra</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Prüfen, ob sich eine Costco-Mitgliedschaft für deinen Haushalt rechnet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Ersatz für Brot, Wurst und Käse finden: Bäckereitheke, German Deli, Onlineshop, Backzutaten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Führerschein oder State ID für Alkoholkäufe mitnehmen; Alkohol im Auto nur verschlossen im Kofferraum</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Wasserqualitätsbericht des Versorgers lesen; bei Häusern vor 1986 Bleitest und zertifizierten Filter erwägen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Küchenwaage mit Gramm und Unzen, Messbecher und Fleischthermometer kaufen; Küchengeräte auf 120 Volt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Lebensmittel bei der Einreise angeben und keine Wurstwaren mitbringen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Schulkindern Preise, Allergieregeln und Guthabenkonto der Schulcafeteria klären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US-Landwirtschaftsministerium (USDA) — Richtwerte für Lebensmittelkosten (</w:t>
      </w:r>
      <w:hyperlink r:id="rId332">
        <w:r>
          <w:rPr>
            <w:rStyle w:val="ListLabel113"/>
            <w:rFonts w:eastAsia="Cambria" w:cs="Cambria"/>
            <w:b w:val="false"/>
            <w:bCs w:val="false"/>
            <w:i w:val="false"/>
            <w:iCs w:val="false"/>
            <w:color w:val="0563C1"/>
            <w:sz w:val="22"/>
            <w:szCs w:val="22"/>
            <w:u w:val="single"/>
          </w:rPr>
          <w:t>fna.usda.gov/research/cnpp/usda-food-plans</w:t>
        </w:r>
      </w:hyperlink>
      <w:r>
        <w:rPr>
          <w:rFonts w:eastAsia="Cambria" w:cs="Cambria"/>
          <w:b w:val="false"/>
          <w:bCs w:val="false"/>
          <w:i w:val="false"/>
          <w:iCs w:val="false"/>
          <w:sz w:val="22"/>
          <w:szCs w:val="22"/>
        </w:rPr>
        <w:t>) und Schulmahlzeiten (</w:t>
      </w:r>
      <w:hyperlink r:id="rId333">
        <w:r>
          <w:rPr>
            <w:rStyle w:val="ListLabel113"/>
            <w:rFonts w:eastAsia="Cambria" w:cs="Cambria"/>
            <w:b w:val="false"/>
            <w:bCs w:val="false"/>
            <w:i w:val="false"/>
            <w:iCs w:val="false"/>
            <w:color w:val="0563C1"/>
            <w:sz w:val="22"/>
            <w:szCs w:val="22"/>
            <w:u w:val="single"/>
          </w:rPr>
          <w:t>fna.usda.gov/nslp</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Statistikbehörde BLS — Durchschnittspreise für Lebensmittel (</w:t>
      </w:r>
      <w:hyperlink r:id="rId334">
        <w:r>
          <w:rPr>
            <w:rStyle w:val="ListLabel113"/>
            <w:rFonts w:eastAsia="Cambria" w:cs="Cambria"/>
            <w:b w:val="false"/>
            <w:bCs w:val="false"/>
            <w:i w:val="false"/>
            <w:iCs w:val="false"/>
            <w:color w:val="0563C1"/>
            <w:sz w:val="22"/>
            <w:szCs w:val="22"/>
            <w:u w:val="single"/>
          </w:rPr>
          <w:t>bls.gov</w:t>
        </w:r>
      </w:hyperlink>
      <w:r>
        <w:rPr>
          <w:rFonts w:eastAsia="Cambria" w:cs="Cambria"/>
          <w:b w:val="false"/>
          <w:bCs w:val="false"/>
          <w:i w:val="false"/>
          <w:iCs w:val="false"/>
          <w:sz w:val="22"/>
          <w:szCs w:val="22"/>
        </w:rPr>
        <w:t>, Suche: average retail food and energy prices)</w:t>
      </w:r>
    </w:p>
    <w:p>
      <w:pPr>
        <w:pStyle w:val="ListParagraph"/>
        <w:numPr>
          <w:ilvl w:val="0"/>
          <w:numId w:val="1"/>
        </w:numPr>
        <w:spacing w:lineRule="exact" w:line="288" w:before="0" w:after="60"/>
        <w:rPr/>
      </w:pPr>
      <w:r>
        <w:rPr>
          <w:rFonts w:eastAsia="Cambria" w:cs="Cambria"/>
          <w:b w:val="false"/>
          <w:bCs w:val="false"/>
          <w:i w:val="false"/>
          <w:iCs w:val="false"/>
          <w:sz w:val="22"/>
          <w:szCs w:val="22"/>
        </w:rPr>
        <w:t>USDA — Bio-Kennzeichnung (</w:t>
      </w:r>
      <w:hyperlink r:id="rId335">
        <w:r>
          <w:rPr>
            <w:rStyle w:val="ListLabel113"/>
            <w:rFonts w:eastAsia="Cambria" w:cs="Cambria"/>
            <w:b w:val="false"/>
            <w:bCs w:val="false"/>
            <w:i w:val="false"/>
            <w:iCs w:val="false"/>
            <w:color w:val="0563C1"/>
            <w:sz w:val="22"/>
            <w:szCs w:val="22"/>
            <w:u w:val="single"/>
          </w:rPr>
          <w:t>usda.gov/topics/organic</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Lebensmittelbehörde FDA — Farbstoffe und Zusatzstoffe (</w:t>
      </w:r>
      <w:hyperlink r:id="rId336">
        <w:r>
          <w:rPr>
            <w:rStyle w:val="ListLabel113"/>
            <w:rFonts w:eastAsia="Cambria" w:cs="Cambria"/>
            <w:b w:val="false"/>
            <w:bCs w:val="false"/>
            <w:i w:val="false"/>
            <w:iCs w:val="false"/>
            <w:color w:val="0563C1"/>
            <w:sz w:val="22"/>
            <w:szCs w:val="22"/>
            <w:u w:val="single"/>
          </w:rPr>
          <w:t>fda.gov/food</w:t>
        </w:r>
      </w:hyperlink>
      <w:r>
        <w:rPr>
          <w:rFonts w:eastAsia="Cambria" w:cs="Cambria"/>
          <w:b w:val="false"/>
          <w:bCs w:val="false"/>
          <w:i w:val="false"/>
          <w:iCs w:val="false"/>
          <w:sz w:val="22"/>
          <w:szCs w:val="22"/>
        </w:rPr>
        <w:t>, Suche: Red No. 3)</w:t>
      </w:r>
    </w:p>
    <w:p>
      <w:pPr>
        <w:pStyle w:val="ListParagraph"/>
        <w:numPr>
          <w:ilvl w:val="0"/>
          <w:numId w:val="1"/>
        </w:numPr>
        <w:spacing w:lineRule="exact" w:line="288" w:before="0" w:after="60"/>
        <w:rPr/>
      </w:pPr>
      <w:r>
        <w:rPr>
          <w:rFonts w:eastAsia="Cambria" w:cs="Cambria"/>
          <w:b w:val="false"/>
          <w:bCs w:val="false"/>
          <w:i w:val="false"/>
          <w:iCs w:val="false"/>
          <w:sz w:val="22"/>
          <w:szCs w:val="22"/>
        </w:rPr>
        <w:t>Umweltbehörde EPA — Trinkwasser, Blei und Wasserqualitätsbericht (</w:t>
      </w:r>
      <w:hyperlink r:id="rId337">
        <w:r>
          <w:rPr>
            <w:rStyle w:val="ListLabel113"/>
            <w:rFonts w:eastAsia="Cambria" w:cs="Cambria"/>
            <w:b w:val="false"/>
            <w:bCs w:val="false"/>
            <w:i w:val="false"/>
            <w:iCs w:val="false"/>
            <w:color w:val="0563C1"/>
            <w:sz w:val="22"/>
            <w:szCs w:val="22"/>
            <w:u w:val="single"/>
          </w:rPr>
          <w:t>epa.gov/ground-water-and-drinking-water</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Alkoholpolitik-Datenbank des NIAAA — Gesetze der Bundesstaaten (</w:t>
      </w:r>
      <w:hyperlink r:id="rId338">
        <w:r>
          <w:rPr>
            <w:rStyle w:val="ListLabel113"/>
            <w:rFonts w:eastAsia="Cambria" w:cs="Cambria"/>
            <w:b w:val="false"/>
            <w:bCs w:val="false"/>
            <w:i w:val="false"/>
            <w:iCs w:val="false"/>
            <w:color w:val="0563C1"/>
            <w:sz w:val="22"/>
            <w:szCs w:val="22"/>
            <w:u w:val="single"/>
          </w:rPr>
          <w:t>alcoholpolicy.niaaa.nih.gov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Grenzschutzbehörde CBP — Einfuhr von Lebensmitteln (</w:t>
      </w:r>
      <w:hyperlink r:id="rId339">
        <w:r>
          <w:rPr>
            <w:rStyle w:val="ListLabel113"/>
            <w:rFonts w:eastAsia="Cambria" w:cs="Cambria"/>
            <w:b w:val="false"/>
            <w:bCs w:val="false"/>
            <w:i w:val="false"/>
            <w:iCs w:val="false"/>
            <w:color w:val="0563C1"/>
            <w:sz w:val="22"/>
            <w:szCs w:val="22"/>
            <w:u w:val="single"/>
          </w:rPr>
          <w:t>cbp.gov</w:t>
        </w:r>
      </w:hyperlink>
      <w:r>
        <w:rPr>
          <w:rFonts w:eastAsia="Cambria" w:cs="Cambria"/>
          <w:b w:val="false"/>
          <w:bCs w:val="false"/>
          <w:i w:val="false"/>
          <w:iCs w:val="false"/>
          <w:sz w:val="22"/>
          <w:szCs w:val="22"/>
        </w:rPr>
        <w:t>, Suche: prohibited and restricted items)</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schnell: Lebensmittelpreise (BLS-Werte für Juli 2026; Eierpreise schwanken stark), die monatlich aktualisierten USDA-Richtwerte, Filialzahlen von Aldi und Lidl, der Costco-Jahresbeitrag, Farbstoffregeln, Blei- und PFAS-Vorschriften, Alkoholgesetze der Bundesstaaten und die kostenlosen Schulmahlzeiten. Prüfe vor Entscheidungen die offiziellen Seiten und die Regeln deines Bundesstaats.</w:t>
            </w:r>
          </w:p>
        </w:tc>
      </w:tr>
    </w:tbl>
    <w:p>
      <w:pPr>
        <w:sectPr>
          <w:footerReference w:type="even" r:id="rId340"/>
          <w:footerReference w:type="default" r:id="rId341"/>
          <w:footerReference w:type="first" r:id="rId342"/>
          <w:type w:val="nextPage"/>
          <w:pgSz w:w="8640" w:h="12983"/>
          <w:pgMar w:left="1080" w:right="1080" w:gutter="0" w:header="0" w:top="1080" w:footer="708" w:bottom="1100"/>
          <w:pgNumType w:fmt="decimal"/>
          <w:formProt w:val="false"/>
          <w:textDirection w:val="lrTb"/>
          <w:docGrid w:type="default" w:linePitch="360" w:charSpace="4096"/>
        </w:sectPr>
        <w:pStyle w:val="Normal"/>
        <w:spacing w:lineRule="exact" w:line="220" w:before="0" w:after="0"/>
        <w:rPr/>
      </w:pPr>
      <w:r>
        <w:rPr/>
      </w:r>
    </w:p>
    <w:p>
      <w:pPr>
        <w:pStyle w:val="Heading1"/>
        <w:spacing w:before="0" w:after="360"/>
        <w:jc w:val="center"/>
        <w:rPr/>
      </w:pPr>
      <w:bookmarkStart w:id="87" w:name="__RefHeading___Toc56513_3769931028"/>
      <w:bookmarkEnd w:id="87"/>
      <w:r>
        <w:rPr>
          <w:rFonts w:eastAsia="Amazon Ember" w:cs="Amazon Ember" w:ascii="Amazon Ember" w:hAnsi="Amazon Ember"/>
          <w:b/>
          <w:bCs/>
          <w:color w:val="0000FF"/>
        </w:rPr>
        <w:t>TEIL IX — Kinder und Schule</w:t>
      </w:r>
    </w:p>
    <w:p>
      <w:pPr>
        <w:sectPr>
          <w:footerReference w:type="even" r:id="rId343"/>
          <w:footerReference w:type="default" r:id="rId344"/>
          <w:footerReference w:type="first" r:id="rId345"/>
          <w:type w:val="nextPage"/>
          <w:pgSz w:w="8640" w:h="12983"/>
          <w:pgMar w:left="1080" w:right="1080" w:gutter="0" w:header="0" w:top="1080" w:footer="708" w:bottom="1100"/>
          <w:pgNumType w:fmt="decimal"/>
          <w:formProt w:val="false"/>
          <w:vAlign w:val="center"/>
          <w:textDirection w:val="lrTb"/>
          <w:docGrid w:type="default" w:linePitch="360" w:charSpace="4096"/>
        </w:sectPr>
        <w:pStyle w:val="Normal"/>
        <w:spacing w:lineRule="exact" w:line="300" w:before="0" w:after="160"/>
        <w:ind w:left="400" w:right="400"/>
        <w:jc w:val="center"/>
        <w:rPr/>
      </w:pPr>
      <w:r>
        <w:rPr>
          <w:rFonts w:eastAsia="Cambria" w:cs="Cambria"/>
          <w:b w:val="false"/>
          <w:bCs w:val="false"/>
          <w:i/>
          <w:iCs/>
          <w:sz w:val="24"/>
          <w:szCs w:val="24"/>
        </w:rPr>
        <w:t>Schulsystem, Englisch als Zweitsprache, Babys, Teenager und College: was Eltern wissen müssen.</w:t>
      </w:r>
      <w:r>
        <w:br w:type="page"/>
      </w:r>
    </w:p>
    <w:p>
      <w:pPr>
        <w:pStyle w:val="Heading2"/>
        <w:keepNext w:val="true"/>
        <w:spacing w:before="0" w:after="300"/>
        <w:jc w:val="center"/>
        <w:rPr/>
      </w:pPr>
      <w:bookmarkStart w:id="88" w:name="__RefHeading___Toc56515_3769931028"/>
      <w:bookmarkStart w:id="89" w:name="k36"/>
      <w:bookmarkEnd w:id="88"/>
      <w:r>
        <w:rPr>
          <w:rFonts w:eastAsia="Amazon Ember" w:cs="Amazon Ember" w:ascii="Amazon Ember" w:hAnsi="Amazon Ember"/>
          <w:b/>
          <w:bCs/>
          <w:color w:val="0000FF"/>
          <w:sz w:val="36"/>
          <w:szCs w:val="36"/>
        </w:rPr>
        <w:t>Kapitel 36: Das amerikanische Schulsystem verstehen</w:t>
      </w:r>
      <w:bookmarkEnd w:id="89"/>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erste Frage der Maklerin gilt nicht dem Budget, sondern den Kindern: „Which school district are you looking at?“ In Deutschland suchst du erst die Wohnung und dann die Schule. In den USA ist es meist umgekehrt, denn die Adresse bestimmt, welche öffentliche Schule dein Kind besucht. Wer das früh versteht, spart Umzüge, Enttäuschungen und einen guten Teil der Sorgen, die Eltern beim Auswandern am stärksten beschäftigen.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Bildung regeln die Bundesstaaten und ihre Schuldistrikte; ein einheitliches Schulsystem gibt es nicht.</w:t>
            </w:r>
          </w:p>
          <w:p>
            <w:pPr>
              <w:pStyle w:val="ListParagraph"/>
              <w:numPr>
                <w:ilvl w:val="0"/>
                <w:numId w:val="1"/>
              </w:numPr>
              <w:spacing w:lineRule="exact" w:line="264" w:before="0" w:after="50"/>
              <w:rPr/>
            </w:pPr>
            <w:r>
              <w:rPr>
                <w:rFonts w:eastAsia="Cambria" w:cs="Cambria"/>
                <w:b w:val="false"/>
                <w:bCs w:val="false"/>
                <w:i w:val="false"/>
                <w:iCs w:val="false"/>
                <w:sz w:val="20"/>
                <w:szCs w:val="20"/>
              </w:rPr>
              <w:t>Wohnort gleich Schule: Deine Adresse bestimmt die öffentliche Schule, die Grundsteuer vor Ort finanziert sie zu großen Teilen. Prüfe den Distrikt, bevor du mietest oder kaufst.</w:t>
            </w:r>
          </w:p>
          <w:p>
            <w:pPr>
              <w:pStyle w:val="ListParagraph"/>
              <w:numPr>
                <w:ilvl w:val="0"/>
                <w:numId w:val="1"/>
              </w:numPr>
              <w:spacing w:lineRule="exact" w:line="264" w:before="0" w:after="50"/>
              <w:rPr/>
            </w:pPr>
            <w:r>
              <w:rPr>
                <w:rFonts w:eastAsia="Cambria" w:cs="Cambria"/>
                <w:b w:val="false"/>
                <w:bCs w:val="false"/>
                <w:i w:val="false"/>
                <w:iCs w:val="false"/>
                <w:sz w:val="20"/>
                <w:szCs w:val="20"/>
              </w:rPr>
              <w:t>Der Weg führt vom Kindergarten (mit fünf Jahren) über Elementary, Middle und High School bis Grade 12. Die Tabelle unten ordnet deutsche Klassen ein.</w:t>
            </w:r>
          </w:p>
          <w:p>
            <w:pPr>
              <w:pStyle w:val="ListParagraph"/>
              <w:numPr>
                <w:ilvl w:val="0"/>
                <w:numId w:val="1"/>
              </w:numPr>
              <w:spacing w:lineRule="exact" w:line="264" w:before="0" w:after="50"/>
              <w:rPr/>
            </w:pPr>
            <w:r>
              <w:rPr>
                <w:rFonts w:eastAsia="Cambria" w:cs="Cambria"/>
                <w:b w:val="false"/>
                <w:bCs w:val="false"/>
                <w:i w:val="false"/>
                <w:iCs w:val="false"/>
                <w:sz w:val="20"/>
                <w:szCs w:val="20"/>
              </w:rPr>
              <w:t>Öffentliche Schulen sind kostenlos, die Anmeldung braucht keine SSN und keinen Statusnachweis, aber Wohnsitznachweis, Impfnachweis und Zeugnisse.</w:t>
            </w:r>
          </w:p>
          <w:p>
            <w:pPr>
              <w:pStyle w:val="ListParagraph"/>
              <w:numPr>
                <w:ilvl w:val="0"/>
                <w:numId w:val="1"/>
              </w:numPr>
              <w:spacing w:lineRule="exact" w:line="264" w:before="0" w:after="50"/>
              <w:rPr/>
            </w:pPr>
            <w:r>
              <w:rPr>
                <w:rFonts w:eastAsia="Cambria" w:cs="Cambria"/>
                <w:b w:val="false"/>
                <w:bCs w:val="false"/>
                <w:i w:val="false"/>
                <w:iCs w:val="false"/>
                <w:sz w:val="20"/>
                <w:szCs w:val="20"/>
              </w:rPr>
              <w:t>Bewertungsportale sind ein Startpunkt, kein Urteil; besuche die Schule.</w:t>
            </w:r>
          </w:p>
          <w:p>
            <w:pPr>
              <w:pStyle w:val="ListParagraph"/>
              <w:numPr>
                <w:ilvl w:val="0"/>
                <w:numId w:val="1"/>
              </w:numPr>
              <w:spacing w:lineRule="exact" w:line="264" w:before="0" w:after="50"/>
              <w:rPr/>
            </w:pPr>
            <w:r>
              <w:rPr>
                <w:rFonts w:eastAsia="Cambria" w:cs="Cambria"/>
                <w:b w:val="false"/>
                <w:bCs w:val="false"/>
                <w:i w:val="false"/>
                <w:iCs w:val="false"/>
                <w:sz w:val="20"/>
                <w:szCs w:val="20"/>
              </w:rPr>
              <w:t>Schwierig ist vor allem der Umzug in Grade 11 oder 12; das US-Diploma ist nicht automatisch das Abitur.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Wohnort gleich Schule: Schuldistrikt und Grundsteuer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Schulwesen ist Sache der Bundesstaaten, die vieles an örtliche Schuldistrikte (</w:t>
      </w:r>
      <w:r>
        <w:rPr>
          <w:rFonts w:eastAsia="Cambria" w:cs="Cambria"/>
          <w:b w:val="false"/>
          <w:bCs w:val="false"/>
          <w:i/>
          <w:iCs/>
          <w:sz w:val="22"/>
          <w:szCs w:val="22"/>
        </w:rPr>
        <w:t>School Districts</w:t>
      </w:r>
      <w:r>
        <w:rPr>
          <w:rFonts w:eastAsia="Cambria" w:cs="Cambria"/>
          <w:b w:val="false"/>
          <w:bCs w:val="false"/>
          <w:i w:val="false"/>
          <w:iCs w:val="false"/>
          <w:sz w:val="22"/>
          <w:szCs w:val="22"/>
        </w:rPr>
        <w:t>) weitergeben – mit eigener Verwaltung, meist einem gewählten Gremium (</w:t>
      </w:r>
      <w:r>
        <w:rPr>
          <w:rFonts w:eastAsia="Cambria" w:cs="Cambria"/>
          <w:b w:val="false"/>
          <w:bCs w:val="false"/>
          <w:i/>
          <w:iCs/>
          <w:sz w:val="22"/>
          <w:szCs w:val="22"/>
        </w:rPr>
        <w:t>School Board</w:t>
      </w:r>
      <w:r>
        <w:rPr>
          <w:rFonts w:eastAsia="Cambria" w:cs="Cambria"/>
          <w:b w:val="false"/>
          <w:bCs w:val="false"/>
          <w:i w:val="false"/>
          <w:iCs w:val="false"/>
          <w:sz w:val="22"/>
          <w:szCs w:val="22"/>
        </w:rPr>
        <w:t>), und eigenem Budget. Die Grenzen decken sich oft nicht mit Stadt oder Landkreis: Ein Distrikt kann mehrere Gemeinden umfassen, eine Stadt mehrere Distrikte.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Von den 954 Mrd. $, die öffentliche Schulen 2020–21 einnahmen, kamen 46 % von den Staaten, 44 % aus lokalen Quellen und 11 % vom Bund (inklusive Corona-Hilfen). Von den lokalen Mitteln stammten 83 % aus der Grundsteuer (</w:t>
      </w:r>
      <w:r>
        <w:rPr>
          <w:rFonts w:eastAsia="Cambria" w:cs="Cambria"/>
          <w:b w:val="false"/>
          <w:bCs w:val="false"/>
          <w:i/>
          <w:iCs/>
          <w:sz w:val="22"/>
          <w:szCs w:val="22"/>
        </w:rPr>
        <w:t>Property Tax</w:t>
      </w:r>
      <w:r>
        <w:rPr>
          <w:rFonts w:eastAsia="Cambria" w:cs="Cambria"/>
          <w:b w:val="false"/>
          <w:bCs w:val="false"/>
          <w:i w:val="false"/>
          <w:iCs w:val="false"/>
          <w:sz w:val="22"/>
          <w:szCs w:val="22"/>
        </w:rPr>
        <w:t>), rund 36 % aller Einnahmen (NCES, National Center for Education Statistics). Die Anteile schwanken: In Hawaii und Vermont zahlt der Staat 88 %, in New Hampshire und Nebraska nur 31 %.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lokale Steuerbasis prägt also Ausstattung, Gebäude und Gehälter: Wo Häuser viel wert sind, bringt derselbe Steuersatz mehr Geld für die Schule, weshalb Häuser in gefragten Distrikten oft mehr kosten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 Mieter zahlen über die Miete indirekt mit.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Zuweisung läuft über das Einzugsgebiet (</w:t>
      </w:r>
      <w:r>
        <w:rPr>
          <w:rFonts w:eastAsia="Cambria" w:cs="Cambria"/>
          <w:b w:val="false"/>
          <w:bCs w:val="false"/>
          <w:i/>
          <w:iCs/>
          <w:sz w:val="22"/>
          <w:szCs w:val="22"/>
        </w:rPr>
        <w:t>Attendance Zone</w:t>
      </w:r>
      <w:r>
        <w:rPr>
          <w:rFonts w:eastAsia="Cambria" w:cs="Cambria"/>
          <w:b w:val="false"/>
          <w:bCs w:val="false"/>
          <w:i w:val="false"/>
          <w:iCs w:val="false"/>
          <w:sz w:val="22"/>
          <w:szCs w:val="22"/>
        </w:rPr>
        <w:t>): Kinder besuchen die Schule ihrer Adresse, gegenüberliegende Straßenseiten können zu verschiedenen Schulen gehören. Viele Staaten erlauben in Grenzen auch einen anderen Distrikt (</w:t>
      </w:r>
      <w:r>
        <w:rPr>
          <w:rFonts w:eastAsia="Cambria" w:cs="Cambria"/>
          <w:b w:val="false"/>
          <w:bCs w:val="false"/>
          <w:i/>
          <w:iCs/>
          <w:sz w:val="22"/>
          <w:szCs w:val="22"/>
        </w:rPr>
        <w:t>Open Enrollment</w:t>
      </w:r>
      <w:r>
        <w:rPr>
          <w:rFonts w:eastAsia="Cambria" w:cs="Cambria"/>
          <w:b w:val="false"/>
          <w:bCs w:val="false"/>
          <w:i w:val="false"/>
          <w:iCs w:val="false"/>
          <w:sz w:val="22"/>
          <w:szCs w:val="22"/>
        </w:rPr>
        <w:t>) bei freien Plätzen; Fristen, Regeln und Fahrdienst legt jeder Staat und Distrikt selbst fest.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Unterschreibe keinen Mietvertrag (Kapitel </w:t>
            </w:r>
            <w:hyperlink w:anchor="k13">
              <w:r>
                <w:rPr>
                  <w:rStyle w:val="ListLabel114"/>
                  <w:rFonts w:eastAsia="Cambria" w:cs="Cambria"/>
                  <w:b w:val="false"/>
                  <w:bCs w:val="false"/>
                  <w:i w:val="false"/>
                  <w:iCs w:val="false"/>
                  <w:sz w:val="20"/>
                  <w:szCs w:val="20"/>
                </w:rPr>
                <w:t>13</w:t>
              </w:r>
            </w:hyperlink>
            <w:r>
              <w:rPr>
                <w:rFonts w:eastAsia="Cambria" w:cs="Cambria"/>
                <w:b w:val="false"/>
                <w:bCs w:val="false"/>
                <w:i w:val="false"/>
                <w:iCs w:val="false"/>
                <w:sz w:val="20"/>
                <w:szCs w:val="20"/>
              </w:rPr>
              <w:t>), bevor der Distrikt schriftlich bestätigt, welche Schule zur Adresse gehört. Portale wie Zillow zeigen die Zuordnung meist an, verbindlich ist nur die Auskunft des Distrikts. Einzugsgebiete ändern sich zudem; frage nach geplanten Neuzuschnitten.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Welche Regionen zu deinem Beruf passen, steht in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Der Aufbau: von Pre-K bis Grade 12</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Bezeichnungen sind einheitlich, der Zuschnitt nicht: Meist folgen auf die freiwillige Vorschule (</w:t>
      </w:r>
      <w:r>
        <w:rPr>
          <w:rFonts w:eastAsia="Cambria" w:cs="Cambria"/>
          <w:b w:val="false"/>
          <w:bCs w:val="false"/>
          <w:i/>
          <w:iCs/>
          <w:sz w:val="22"/>
          <w:szCs w:val="22"/>
        </w:rPr>
        <w:t>Pre-K</w:t>
      </w:r>
      <w:r>
        <w:rPr>
          <w:rFonts w:eastAsia="Cambria" w:cs="Cambria"/>
          <w:b w:val="false"/>
          <w:bCs w:val="false"/>
          <w:i w:val="false"/>
          <w:iCs w:val="false"/>
          <w:sz w:val="22"/>
          <w:szCs w:val="22"/>
        </w:rPr>
        <w:t xml:space="preserve">, drei bis vier Jahre) der Kindergarten mit fünf, die </w:t>
      </w:r>
      <w:r>
        <w:rPr>
          <w:rFonts w:eastAsia="Cambria" w:cs="Cambria"/>
          <w:b w:val="false"/>
          <w:bCs w:val="false"/>
          <w:i/>
          <w:iCs/>
          <w:sz w:val="22"/>
          <w:szCs w:val="22"/>
        </w:rPr>
        <w:t>Elementary School</w:t>
      </w:r>
      <w:r>
        <w:rPr>
          <w:rFonts w:eastAsia="Cambria" w:cs="Cambria"/>
          <w:b w:val="false"/>
          <w:bCs w:val="false"/>
          <w:i w:val="false"/>
          <w:iCs w:val="false"/>
          <w:sz w:val="22"/>
          <w:szCs w:val="22"/>
        </w:rPr>
        <w:t xml:space="preserve"> (Grade 1–5), die </w:t>
      </w:r>
      <w:r>
        <w:rPr>
          <w:rFonts w:eastAsia="Cambria" w:cs="Cambria"/>
          <w:b w:val="false"/>
          <w:bCs w:val="false"/>
          <w:i/>
          <w:iCs/>
          <w:sz w:val="22"/>
          <w:szCs w:val="22"/>
        </w:rPr>
        <w:t>Middle School</w:t>
      </w:r>
      <w:r>
        <w:rPr>
          <w:rFonts w:eastAsia="Cambria" w:cs="Cambria"/>
          <w:b w:val="false"/>
          <w:bCs w:val="false"/>
          <w:i w:val="false"/>
          <w:iCs w:val="false"/>
          <w:sz w:val="22"/>
          <w:szCs w:val="22"/>
        </w:rPr>
        <w:t xml:space="preserve"> (Grade 6–8) und die </w:t>
      </w:r>
      <w:r>
        <w:rPr>
          <w:rFonts w:eastAsia="Cambria" w:cs="Cambria"/>
          <w:b w:val="false"/>
          <w:bCs w:val="false"/>
          <w:i/>
          <w:iCs/>
          <w:sz w:val="22"/>
          <w:szCs w:val="22"/>
        </w:rPr>
        <w:t>High School</w:t>
      </w:r>
      <w:r>
        <w:rPr>
          <w:rFonts w:eastAsia="Cambria" w:cs="Cambria"/>
          <w:b w:val="false"/>
          <w:bCs w:val="false"/>
          <w:i w:val="false"/>
          <w:iCs w:val="false"/>
          <w:sz w:val="22"/>
          <w:szCs w:val="22"/>
        </w:rPr>
        <w:t xml:space="preserve"> (Grade 9–12). Manche Distrikte schneiden anders zu (etwa K–8 oder 6–12); die vier High-School-Jahre heißen </w:t>
      </w:r>
      <w:r>
        <w:rPr>
          <w:rFonts w:eastAsia="Cambria" w:cs="Cambria"/>
          <w:b w:val="false"/>
          <w:bCs w:val="false"/>
          <w:i/>
          <w:iCs/>
          <w:sz w:val="22"/>
          <w:szCs w:val="22"/>
        </w:rPr>
        <w:t>Freshman</w:t>
      </w:r>
      <w:r>
        <w:rPr>
          <w:rFonts w:eastAsia="Cambria" w:cs="Cambria"/>
          <w:b w:val="false"/>
          <w:bCs w:val="false"/>
          <w:i w:val="false"/>
          <w:iCs w:val="false"/>
          <w:sz w:val="22"/>
          <w:szCs w:val="22"/>
        </w:rPr>
        <w:t xml:space="preserve">, </w:t>
      </w:r>
      <w:r>
        <w:rPr>
          <w:rFonts w:eastAsia="Cambria" w:cs="Cambria"/>
          <w:b w:val="false"/>
          <w:bCs w:val="false"/>
          <w:i/>
          <w:iCs/>
          <w:sz w:val="22"/>
          <w:szCs w:val="22"/>
        </w:rPr>
        <w:t>Sophomore</w:t>
      </w:r>
      <w:r>
        <w:rPr>
          <w:rFonts w:eastAsia="Cambria" w:cs="Cambria"/>
          <w:b w:val="false"/>
          <w:bCs w:val="false"/>
          <w:i w:val="false"/>
          <w:iCs w:val="false"/>
          <w:sz w:val="22"/>
          <w:szCs w:val="22"/>
        </w:rPr>
        <w:t xml:space="preserve">, </w:t>
      </w:r>
      <w:r>
        <w:rPr>
          <w:rFonts w:eastAsia="Cambria" w:cs="Cambria"/>
          <w:b w:val="false"/>
          <w:bCs w:val="false"/>
          <w:i/>
          <w:iCs/>
          <w:sz w:val="22"/>
          <w:szCs w:val="22"/>
        </w:rPr>
        <w:t>Junior</w:t>
      </w:r>
      <w:r>
        <w:rPr>
          <w:rFonts w:eastAsia="Cambria" w:cs="Cambria"/>
          <w:b w:val="false"/>
          <w:bCs w:val="false"/>
          <w:i w:val="false"/>
          <w:iCs w:val="false"/>
          <w:sz w:val="22"/>
          <w:szCs w:val="22"/>
        </w:rPr>
        <w:t xml:space="preserve"> und </w:t>
      </w:r>
      <w:r>
        <w:rPr>
          <w:rFonts w:eastAsia="Cambria" w:cs="Cambria"/>
          <w:b w:val="false"/>
          <w:bCs w:val="false"/>
          <w:i/>
          <w:iCs/>
          <w:sz w:val="22"/>
          <w:szCs w:val="22"/>
        </w:rPr>
        <w:t>Senior</w:t>
      </w:r>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Schulpflicht beginnt je nach Staat mit fünf bis acht Jahren und endet mit 16 bis 19 (NCES, Übersicht Stand 2017). Der Kindergarten ist meist Pflichtangebot, aber kein Pflichtbesuch. Den Stichtag legen Staat oder Distrikt fest, meist der 1. September, in einer Spanne von 1. Juli bis Oktober. Staatlich finanzierte Pre-K erreichte 2024–25 laut dem Forschungsinstitut NIEER 37 % der Vierjährigen (Kosten und Alternativen: Kapitel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Tabelle ist eine Näherung, keine amtliche Norm; der Distrikt entscheidet über die Einstufung.</w:t>
      </w:r>
    </w:p>
    <w:tbl>
      <w:tblPr>
        <w:tblW w:w="6480" w:type="dxa"/>
        <w:jc w:val="left"/>
        <w:tblInd w:w="0" w:type="dxa"/>
        <w:tblLayout w:type="fixed"/>
        <w:tblCellMar>
          <w:top w:w="50" w:type="dxa"/>
          <w:left w:w="80" w:type="dxa"/>
          <w:bottom w:w="50" w:type="dxa"/>
          <w:right w:w="80" w:type="dxa"/>
        </w:tblCellMar>
      </w:tblPr>
      <w:tblGrid>
        <w:gridCol w:w="1426"/>
        <w:gridCol w:w="1646"/>
        <w:gridCol w:w="1254"/>
        <w:gridCol w:w="2153"/>
      </w:tblGrid>
      <w:tr>
        <w:trPr>
          <w:tblHeader w:val="true"/>
          <w:cantSplit w:val="true"/>
        </w:trPr>
        <w:tc>
          <w:tcPr>
            <w:tcW w:w="142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Lebensalter zu Schuljahresbeginn</w:t>
            </w:r>
          </w:p>
        </w:tc>
        <w:tc>
          <w:tcPr>
            <w:tcW w:w="164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US-Stufe (</w:t>
            </w:r>
            <w:r>
              <w:rPr>
                <w:rFonts w:eastAsia="Cambria" w:cs="Cambria"/>
                <w:b/>
                <w:bCs/>
                <w:i/>
                <w:iCs/>
                <w:sz w:val="18"/>
                <w:szCs w:val="18"/>
              </w:rPr>
              <w:t>Grade</w:t>
            </w:r>
            <w:r>
              <w:rPr>
                <w:rFonts w:eastAsia="Cambria" w:cs="Cambria"/>
                <w:b/>
                <w:bCs/>
                <w:i w:val="false"/>
                <w:iCs w:val="false"/>
                <w:sz w:val="18"/>
                <w:szCs w:val="18"/>
              </w:rPr>
              <w:t>)</w:t>
            </w:r>
          </w:p>
        </w:tc>
        <w:tc>
          <w:tcPr>
            <w:tcW w:w="125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US-Schulform</w:t>
            </w:r>
          </w:p>
        </w:tc>
        <w:tc>
          <w:tcPr>
            <w:tcW w:w="215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Deutsche Klasse</w:t>
            </w:r>
          </w:p>
        </w:tc>
      </w:tr>
      <w:tr>
        <w:trPr>
          <w:cantSplit w:val="true"/>
        </w:trPr>
        <w:tc>
          <w:tcPr>
            <w:tcW w:w="14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w:t>
            </w:r>
          </w:p>
        </w:tc>
        <w:tc>
          <w:tcPr>
            <w:tcW w:w="16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Pre-K</w:t>
            </w:r>
          </w:p>
        </w:tc>
        <w:tc>
          <w:tcPr>
            <w:tcW w:w="12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Vorschule</w:t>
            </w:r>
          </w:p>
        </w:tc>
        <w:tc>
          <w:tcPr>
            <w:tcW w:w="21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Kita, Vorschulgruppe</w:t>
            </w:r>
          </w:p>
        </w:tc>
      </w:tr>
      <w:tr>
        <w:trPr>
          <w:cantSplit w:val="true"/>
        </w:trPr>
        <w:tc>
          <w:tcPr>
            <w:tcW w:w="14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w:t>
            </w:r>
          </w:p>
        </w:tc>
        <w:tc>
          <w:tcPr>
            <w:tcW w:w="16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Kindergarten (K)</w:t>
            </w:r>
          </w:p>
        </w:tc>
        <w:tc>
          <w:tcPr>
            <w:tcW w:w="12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Elementary</w:t>
            </w:r>
          </w:p>
        </w:tc>
        <w:tc>
          <w:tcPr>
            <w:tcW w:w="21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letztes Kita-Jahr, Vorklasse</w:t>
            </w:r>
          </w:p>
        </w:tc>
      </w:tr>
      <w:tr>
        <w:trPr>
          <w:cantSplit w:val="true"/>
        </w:trPr>
        <w:tc>
          <w:tcPr>
            <w:tcW w:w="14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w:t>
            </w:r>
          </w:p>
        </w:tc>
        <w:tc>
          <w:tcPr>
            <w:tcW w:w="16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Grade 1</w:t>
            </w:r>
          </w:p>
        </w:tc>
        <w:tc>
          <w:tcPr>
            <w:tcW w:w="12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Elementary</w:t>
            </w:r>
          </w:p>
        </w:tc>
        <w:tc>
          <w:tcPr>
            <w:tcW w:w="21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Klasse 1</w:t>
            </w:r>
          </w:p>
        </w:tc>
      </w:tr>
      <w:tr>
        <w:trPr>
          <w:cantSplit w:val="true"/>
        </w:trPr>
        <w:tc>
          <w:tcPr>
            <w:tcW w:w="14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7–9</w:t>
            </w:r>
          </w:p>
        </w:tc>
        <w:tc>
          <w:tcPr>
            <w:tcW w:w="16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Grade 2–4</w:t>
            </w:r>
          </w:p>
        </w:tc>
        <w:tc>
          <w:tcPr>
            <w:tcW w:w="12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Elementary</w:t>
            </w:r>
          </w:p>
        </w:tc>
        <w:tc>
          <w:tcPr>
            <w:tcW w:w="21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Klasse 2–4</w:t>
            </w:r>
          </w:p>
        </w:tc>
      </w:tr>
      <w:tr>
        <w:trPr>
          <w:cantSplit w:val="true"/>
        </w:trPr>
        <w:tc>
          <w:tcPr>
            <w:tcW w:w="14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w:t>
            </w:r>
          </w:p>
        </w:tc>
        <w:tc>
          <w:tcPr>
            <w:tcW w:w="16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Grade 5</w:t>
            </w:r>
          </w:p>
        </w:tc>
        <w:tc>
          <w:tcPr>
            <w:tcW w:w="12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Elementary</w:t>
            </w:r>
          </w:p>
        </w:tc>
        <w:tc>
          <w:tcPr>
            <w:tcW w:w="21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Klasse 5</w:t>
            </w:r>
          </w:p>
        </w:tc>
      </w:tr>
      <w:tr>
        <w:trPr>
          <w:cantSplit w:val="true"/>
        </w:trPr>
        <w:tc>
          <w:tcPr>
            <w:tcW w:w="14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11–13</w:t>
            </w:r>
          </w:p>
        </w:tc>
        <w:tc>
          <w:tcPr>
            <w:tcW w:w="16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Grade 6–8</w:t>
            </w:r>
          </w:p>
        </w:tc>
        <w:tc>
          <w:tcPr>
            <w:tcW w:w="12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Middle School</w:t>
            </w:r>
          </w:p>
        </w:tc>
        <w:tc>
          <w:tcPr>
            <w:tcW w:w="21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Klasse 6–8</w:t>
            </w:r>
          </w:p>
        </w:tc>
      </w:tr>
      <w:tr>
        <w:trPr>
          <w:cantSplit w:val="true"/>
        </w:trPr>
        <w:tc>
          <w:tcPr>
            <w:tcW w:w="14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w:t>
            </w:r>
          </w:p>
        </w:tc>
        <w:tc>
          <w:tcPr>
            <w:tcW w:w="16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Grade 9 (Freshman)</w:t>
            </w:r>
          </w:p>
        </w:tc>
        <w:tc>
          <w:tcPr>
            <w:tcW w:w="12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High School</w:t>
            </w:r>
          </w:p>
        </w:tc>
        <w:tc>
          <w:tcPr>
            <w:tcW w:w="21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Klasse 9</w:t>
            </w:r>
          </w:p>
        </w:tc>
      </w:tr>
      <w:tr>
        <w:trPr>
          <w:cantSplit w:val="true"/>
        </w:trPr>
        <w:tc>
          <w:tcPr>
            <w:tcW w:w="14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w:t>
            </w:r>
          </w:p>
        </w:tc>
        <w:tc>
          <w:tcPr>
            <w:tcW w:w="16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Grade 10 (Sophomore)</w:t>
            </w:r>
          </w:p>
        </w:tc>
        <w:tc>
          <w:tcPr>
            <w:tcW w:w="12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High School</w:t>
            </w:r>
          </w:p>
        </w:tc>
        <w:tc>
          <w:tcPr>
            <w:tcW w:w="21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Klasse 10</w:t>
            </w:r>
          </w:p>
        </w:tc>
      </w:tr>
      <w:tr>
        <w:trPr>
          <w:cantSplit w:val="true"/>
        </w:trPr>
        <w:tc>
          <w:tcPr>
            <w:tcW w:w="14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w:t>
            </w:r>
          </w:p>
        </w:tc>
        <w:tc>
          <w:tcPr>
            <w:tcW w:w="16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Grade 11 (Junior)</w:t>
            </w:r>
          </w:p>
        </w:tc>
        <w:tc>
          <w:tcPr>
            <w:tcW w:w="12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High School</w:t>
            </w:r>
          </w:p>
        </w:tc>
        <w:tc>
          <w:tcPr>
            <w:tcW w:w="21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Klasse 11</w:t>
            </w:r>
          </w:p>
        </w:tc>
      </w:tr>
      <w:tr>
        <w:trPr>
          <w:cantSplit w:val="true"/>
        </w:trPr>
        <w:tc>
          <w:tcPr>
            <w:tcW w:w="14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17</w:t>
            </w:r>
          </w:p>
        </w:tc>
        <w:tc>
          <w:tcPr>
            <w:tcW w:w="16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Grade 12 (Senior)</w:t>
            </w:r>
          </w:p>
        </w:tc>
        <w:tc>
          <w:tcPr>
            <w:tcW w:w="12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High School</w:t>
            </w:r>
          </w:p>
        </w:tc>
        <w:tc>
          <w:tcPr>
            <w:tcW w:w="21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Klasse 12, bei G9 Vorstufe zu 13</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Klasse 13 hat kein amerikanisches Gegenstück: Grade 12 endet mit dem </w:t>
      </w:r>
      <w:r>
        <w:rPr>
          <w:rFonts w:eastAsia="Cambria" w:cs="Cambria"/>
          <w:b w:val="false"/>
          <w:bCs w:val="false"/>
          <w:i/>
          <w:iCs/>
          <w:sz w:val="22"/>
          <w:szCs w:val="22"/>
        </w:rPr>
        <w:t>High School Diploma</w:t>
      </w:r>
      <w:r>
        <w:rPr>
          <w:rFonts w:eastAsia="Cambria" w:cs="Cambria"/>
          <w:b w:val="false"/>
          <w:bCs w:val="false"/>
          <w:i w:val="false"/>
          <w:iCs w:val="false"/>
          <w:sz w:val="22"/>
          <w:szCs w:val="22"/>
        </w:rPr>
        <w:t>. Deutsche Kinder mit Geburtstag im Juli oder August werden bei einem Stichtag am 1. September meist eine Stufe höher eingestuft als in Deutschland mit Stichtag 30. Juni. Frage den Distrikt vor der Terminplanung nach Stichtag und Einstufung, und sprich mit der Schule, wenn sie nicht passt.</w:t>
      </w:r>
    </w:p>
    <w:p>
      <w:pPr>
        <w:pStyle w:val="Heading3"/>
        <w:keepNext w:val="true"/>
        <w:spacing w:before="280" w:after="100"/>
        <w:jc w:val="center"/>
        <w:rPr/>
      </w:pPr>
      <w:r>
        <w:rPr>
          <w:rFonts w:eastAsia="Amazon Ember" w:cs="Amazon Ember" w:ascii="Amazon Ember" w:hAnsi="Amazon Ember"/>
          <w:b/>
          <w:bCs/>
          <w:color w:val="0000FF"/>
          <w:sz w:val="36"/>
          <w:szCs w:val="36"/>
        </w:rPr>
        <w:t>Schuljahr, Tagesablauf und Ferien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Schuljahr beginnt zwischen Mitte August und Anfang September und endet im Mai oder Juni, meist mit 180 vorgegebenen Unterrichtstagen; die Spanne reicht von 160 in Colorado bis 186 in Kansas, Texas rechnet nach Stunden (NCES, Stand 2018). Dazu kommen freie Tage zu Thanksgiving, zwei Wochen um Weihnachten (</w:t>
      </w:r>
      <w:r>
        <w:rPr>
          <w:rFonts w:eastAsia="Cambria" w:cs="Cambria"/>
          <w:b w:val="false"/>
          <w:bCs w:val="false"/>
          <w:i/>
          <w:iCs/>
          <w:sz w:val="22"/>
          <w:szCs w:val="22"/>
        </w:rPr>
        <w:t>Winter Break</w:t>
      </w:r>
      <w:r>
        <w:rPr>
          <w:rFonts w:eastAsia="Cambria" w:cs="Cambria"/>
          <w:b w:val="false"/>
          <w:bCs w:val="false"/>
          <w:i w:val="false"/>
          <w:iCs w:val="false"/>
          <w:sz w:val="22"/>
          <w:szCs w:val="22"/>
        </w:rPr>
        <w:t>), eine Woche im Frühjahr (</w:t>
      </w:r>
      <w:r>
        <w:rPr>
          <w:rFonts w:eastAsia="Cambria" w:cs="Cambria"/>
          <w:b w:val="false"/>
          <w:bCs w:val="false"/>
          <w:i/>
          <w:iCs/>
          <w:sz w:val="22"/>
          <w:szCs w:val="22"/>
        </w:rPr>
        <w:t>Spring Break</w:t>
      </w:r>
      <w:r>
        <w:rPr>
          <w:rFonts w:eastAsia="Cambria" w:cs="Cambria"/>
          <w:b w:val="false"/>
          <w:bCs w:val="false"/>
          <w:i w:val="false"/>
          <w:iCs w:val="false"/>
          <w:sz w:val="22"/>
          <w:szCs w:val="22"/>
        </w:rPr>
        <w:t>) und einzelne Fortbildungstage der Lehrkräfte.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Sommerferien dauern etwa 10 bis 12 Wochen, in Deutschland rund sechs. Wer arbeitet, braucht dafür Betreuung: Sommercamps kosten Geld, und beliebte Angebote sind im Frühjahr ausgebucht (Kapitel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Schultag beginnt meist zwischen 7:30 und 9 Uhr und endet zwischen 14:30 und 16 Uhr. In vielen Distrikten beginnt die High School früher als die Grundschule, weil dieselben Busse gestaffelt fahren. Dass ausgerechnet übernächtigte Teenager als Erste aufstehen müssen, während Grundschulkinder ausschlafen dürfen, wundert Schlafforscher seit Jahren – am Busplan hat es bislang wenig geändert. In der Grundschule unterrichtet eine Lehrkraft die meisten Fächer in fester Klasse (</w:t>
      </w:r>
      <w:r>
        <w:rPr>
          <w:rFonts w:eastAsia="Cambria" w:cs="Cambria"/>
          <w:b w:val="false"/>
          <w:bCs w:val="false"/>
          <w:i/>
          <w:iCs/>
          <w:sz w:val="22"/>
          <w:szCs w:val="22"/>
        </w:rPr>
        <w:t>Homeroom</w:t>
      </w:r>
      <w:r>
        <w:rPr>
          <w:rFonts w:eastAsia="Cambria" w:cs="Cambria"/>
          <w:b w:val="false"/>
          <w:bCs w:val="false"/>
          <w:i w:val="false"/>
          <w:iCs w:val="false"/>
          <w:sz w:val="22"/>
          <w:szCs w:val="22"/>
        </w:rPr>
        <w:t xml:space="preserve">), dazu kommen Fachkräfte für Sport, Musik und Kunst. Das Mittagessen in der </w:t>
      </w:r>
      <w:r>
        <w:rPr>
          <w:rFonts w:eastAsia="Cambria" w:cs="Cambria"/>
          <w:b w:val="false"/>
          <w:bCs w:val="false"/>
          <w:i/>
          <w:iCs/>
          <w:sz w:val="22"/>
          <w:szCs w:val="22"/>
        </w:rPr>
        <w:t>Cafeteria</w:t>
      </w:r>
      <w:r>
        <w:rPr>
          <w:rFonts w:eastAsia="Cambria" w:cs="Cambria"/>
          <w:b w:val="false"/>
          <w:bCs w:val="false"/>
          <w:i w:val="false"/>
          <w:iCs w:val="false"/>
          <w:sz w:val="22"/>
          <w:szCs w:val="22"/>
        </w:rPr>
        <w:t xml:space="preserve"> dauert oft nur 20 bis 30 Minuten (Kapitel </w:t>
      </w:r>
      <w:hyperlink w:anchor="k35">
        <w:r>
          <w:rPr>
            <w:rStyle w:val="ListLabel115"/>
            <w:rFonts w:eastAsia="Cambria" w:cs="Cambria"/>
            <w:b w:val="false"/>
            <w:bCs w:val="false"/>
            <w:i w:val="false"/>
            <w:iCs w:val="false"/>
            <w:sz w:val="22"/>
            <w:szCs w:val="22"/>
          </w:rPr>
          <w:t>35</w:t>
        </w:r>
      </w:hyperlink>
      <w:r>
        <w:rPr>
          <w:rFonts w:eastAsia="Cambria" w:cs="Cambria"/>
          <w:b w:val="false"/>
          <w:bCs w:val="false"/>
          <w:i w:val="false"/>
          <w:iCs w:val="false"/>
          <w:sz w:val="22"/>
          <w:szCs w:val="22"/>
        </w:rPr>
        <w:t>), dazu eine Pause im Freien (</w:t>
      </w:r>
      <w:r>
        <w:rPr>
          <w:rFonts w:eastAsia="Cambria" w:cs="Cambria"/>
          <w:b w:val="false"/>
          <w:bCs w:val="false"/>
          <w:i/>
          <w:iCs/>
          <w:sz w:val="22"/>
          <w:szCs w:val="22"/>
        </w:rPr>
        <w:t>Recess</w:t>
      </w:r>
      <w:r>
        <w:rPr>
          <w:rFonts w:eastAsia="Cambria" w:cs="Cambria"/>
          <w:b w:val="false"/>
          <w:bCs w:val="false"/>
          <w:i w:val="false"/>
          <w:iCs w:val="false"/>
          <w:sz w:val="22"/>
          <w:szCs w:val="22"/>
        </w:rPr>
        <w:t>). Ab der Middle School wechseln die Kinder zwischen Fachräumen und Lehrkräften.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Schule läuft damit bis in den Nachmittag, aber ohne Hort im deutschen Sinn: Wer länger arbeitet, bucht kostenpflichtige Betreuung vor und nach dem Unterricht (</w:t>
      </w:r>
      <w:r>
        <w:rPr>
          <w:rFonts w:eastAsia="Cambria" w:cs="Cambria"/>
          <w:b w:val="false"/>
          <w:bCs w:val="false"/>
          <w:i/>
          <w:iCs/>
          <w:sz w:val="22"/>
          <w:szCs w:val="22"/>
        </w:rPr>
        <w:t>Before Care</w:t>
      </w:r>
      <w:r>
        <w:rPr>
          <w:rFonts w:eastAsia="Cambria" w:cs="Cambria"/>
          <w:b w:val="false"/>
          <w:bCs w:val="false"/>
          <w:i w:val="false"/>
          <w:iCs w:val="false"/>
          <w:sz w:val="22"/>
          <w:szCs w:val="22"/>
        </w:rPr>
        <w:t xml:space="preserve">, </w:t>
      </w:r>
      <w:r>
        <w:rPr>
          <w:rFonts w:eastAsia="Cambria" w:cs="Cambria"/>
          <w:b w:val="false"/>
          <w:bCs w:val="false"/>
          <w:i/>
          <w:iCs/>
          <w:sz w:val="22"/>
          <w:szCs w:val="22"/>
        </w:rPr>
        <w:t>After Care</w:t>
      </w:r>
      <w:r>
        <w:rPr>
          <w:rFonts w:eastAsia="Cambria" w:cs="Cambria"/>
          <w:b w:val="false"/>
          <w:bCs w:val="false"/>
          <w:i w:val="false"/>
          <w:iCs w:val="false"/>
          <w:sz w:val="22"/>
          <w:szCs w:val="22"/>
        </w:rPr>
        <w:t>). Zur Schule geht es mit dem gelben Schulbus oder im Auto der Eltern (</w:t>
      </w:r>
      <w:r>
        <w:rPr>
          <w:rFonts w:eastAsia="Cambria" w:cs="Cambria"/>
          <w:b w:val="false"/>
          <w:bCs w:val="false"/>
          <w:i/>
          <w:iCs/>
          <w:sz w:val="22"/>
          <w:szCs w:val="22"/>
        </w:rPr>
        <w:t>Car Line</w:t>
      </w:r>
      <w:r>
        <w:rPr>
          <w:rFonts w:eastAsia="Cambria" w:cs="Cambria"/>
          <w:b w:val="false"/>
          <w:bCs w:val="false"/>
          <w:i w:val="false"/>
          <w:iCs w:val="false"/>
          <w:sz w:val="22"/>
          <w:szCs w:val="22"/>
        </w:rPr>
        <w:t xml:space="preserve"> heißt die Autoschlange vor dem Eingang) – laut Verkehrsbehörde NHTSA ist die Busfahrt mehr als 70-mal sicherer als dieselbe Strecke im Auto. Blinkt der Bus rot und klappt sein Stoppschild aus, müssen Autos anhalten (Kapitel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Öffentlich, Charter, Magnet, privat, Homeschooling</w:t>
      </w:r>
    </w:p>
    <w:tbl>
      <w:tblPr>
        <w:tblW w:w="6480" w:type="dxa"/>
        <w:jc w:val="left"/>
        <w:tblInd w:w="0" w:type="dxa"/>
        <w:tblLayout w:type="fixed"/>
        <w:tblCellMar>
          <w:top w:w="50" w:type="dxa"/>
          <w:left w:w="80" w:type="dxa"/>
          <w:bottom w:w="50" w:type="dxa"/>
          <w:right w:w="80" w:type="dxa"/>
        </w:tblCellMar>
      </w:tblPr>
      <w:tblGrid>
        <w:gridCol w:w="1638"/>
        <w:gridCol w:w="1307"/>
        <w:gridCol w:w="950"/>
        <w:gridCol w:w="2584"/>
      </w:tblGrid>
      <w:tr>
        <w:trPr>
          <w:tblHeader w:val="true"/>
          <w:cantSplit w:val="true"/>
        </w:trPr>
        <w:tc>
          <w:tcPr>
            <w:tcW w:w="163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Schultyp</w:t>
            </w:r>
          </w:p>
        </w:tc>
        <w:tc>
          <w:tcPr>
            <w:tcW w:w="130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Zugang</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Kosten</w:t>
            </w:r>
          </w:p>
        </w:tc>
        <w:tc>
          <w:tcPr>
            <w:tcW w:w="258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Kern</w:t>
            </w:r>
          </w:p>
        </w:tc>
      </w:tr>
      <w:tr>
        <w:trPr>
          <w:cantSplit w:val="true"/>
        </w:trPr>
        <w:tc>
          <w:tcPr>
            <w:tcW w:w="16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Öffentlich (</w:t>
            </w:r>
            <w:r>
              <w:rPr>
                <w:rFonts w:eastAsia="Cambria" w:cs="Cambria"/>
                <w:b w:val="false"/>
                <w:bCs w:val="false"/>
                <w:i/>
                <w:iCs/>
                <w:sz w:val="18"/>
                <w:szCs w:val="18"/>
              </w:rPr>
              <w:t>Public School</w:t>
            </w:r>
            <w:r>
              <w:rPr>
                <w:rFonts w:eastAsia="Cambria" w:cs="Cambria"/>
                <w:b w:val="false"/>
                <w:bCs w:val="false"/>
                <w:i w:val="false"/>
                <w:iCs w:val="false"/>
                <w:sz w:val="18"/>
                <w:szCs w:val="18"/>
              </w:rPr>
              <w:t>)</w:t>
            </w:r>
          </w:p>
        </w:tc>
        <w:tc>
          <w:tcPr>
            <w:tcW w:w="13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 Wohnadresse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kostenlos</w:t>
            </w:r>
          </w:p>
        </w:tc>
        <w:tc>
          <w:tcPr>
            <w:tcW w:w="25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49,6 Mio. Schüler (Herbst 2022)</w:t>
            </w:r>
          </w:p>
        </w:tc>
      </w:tr>
      <w:tr>
        <w:trPr>
          <w:cantSplit w:val="true"/>
        </w:trPr>
        <w:tc>
          <w:tcPr>
            <w:tcW w:w="16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Charter School</w:t>
            </w:r>
          </w:p>
        </w:tc>
        <w:tc>
          <w:tcPr>
            <w:tcW w:w="13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Bewerbung, oft Los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kostenlos</w:t>
            </w:r>
          </w:p>
        </w:tc>
        <w:tc>
          <w:tcPr>
            <w:tcW w:w="25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öffentlich finanziert, eigenes Konzept</w:t>
            </w:r>
          </w:p>
        </w:tc>
      </w:tr>
      <w:tr>
        <w:trPr>
          <w:cantSplit w:val="true"/>
        </w:trPr>
        <w:tc>
          <w:tcPr>
            <w:tcW w:w="16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Magnet School</w:t>
            </w:r>
          </w:p>
        </w:tc>
        <w:tc>
          <w:tcPr>
            <w:tcW w:w="13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Bewerbung, Auswahl</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kostenlos</w:t>
            </w:r>
          </w:p>
        </w:tc>
        <w:tc>
          <w:tcPr>
            <w:tcW w:w="25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Schwerpunkt, z. B. Technik, Kunst</w:t>
            </w:r>
          </w:p>
        </w:tc>
      </w:tr>
      <w:tr>
        <w:trPr>
          <w:cantSplit w:val="true"/>
        </w:trPr>
        <w:tc>
          <w:tcPr>
            <w:tcW w:w="16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Privat oder religiös</w:t>
            </w:r>
          </w:p>
        </w:tc>
        <w:tc>
          <w:tcPr>
            <w:tcW w:w="13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Bewerbung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Schulgeld</w:t>
            </w:r>
          </w:p>
        </w:tc>
        <w:tc>
          <w:tcPr>
            <w:tcW w:w="25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5,5 Mio. Schüler (Herbst 2021)</w:t>
            </w:r>
          </w:p>
        </w:tc>
      </w:tr>
      <w:tr>
        <w:trPr>
          <w:cantSplit w:val="true"/>
        </w:trPr>
        <w:tc>
          <w:tcPr>
            <w:tcW w:w="16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Homeschooling</w:t>
            </w:r>
          </w:p>
        </w:tc>
        <w:tc>
          <w:tcPr>
            <w:tcW w:w="13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Zuweisung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Materialkosten</w:t>
            </w:r>
          </w:p>
        </w:tc>
        <w:tc>
          <w:tcPr>
            <w:tcW w:w="25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3,3 % der Schüler</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t>
      </w:r>
      <w:r>
        <w:rPr>
          <w:rFonts w:eastAsia="Cambria" w:cs="Cambria"/>
          <w:b w:val="false"/>
          <w:bCs w:val="false"/>
          <w:i w:val="false"/>
          <w:iCs w:val="false"/>
          <w:sz w:val="22"/>
          <w:szCs w:val="22"/>
        </w:rPr>
        <w:t>Kostenlos“ gilt nur für den Unterricht der öffentlichen Schule; für Sport, Ausflüge, Instrumente und Materiallisten (</w:t>
      </w:r>
      <w:r>
        <w:rPr>
          <w:rFonts w:eastAsia="Cambria" w:cs="Cambria"/>
          <w:b w:val="false"/>
          <w:bCs w:val="false"/>
          <w:i/>
          <w:iCs/>
          <w:sz w:val="22"/>
          <w:szCs w:val="22"/>
        </w:rPr>
        <w:t>School Supply Lists</w:t>
      </w:r>
      <w:r>
        <w:rPr>
          <w:rFonts w:eastAsia="Cambria" w:cs="Cambria"/>
          <w:b w:val="false"/>
          <w:bCs w:val="false"/>
          <w:i w:val="false"/>
          <w:iCs w:val="false"/>
          <w:sz w:val="22"/>
          <w:szCs w:val="22"/>
        </w:rPr>
        <w:t>) zahlst du oft dazu.</w:t>
      </w:r>
    </w:p>
    <w:p>
      <w:pPr>
        <w:pStyle w:val="Normal"/>
        <w:keepNext w:val="false"/>
        <w:keepLines w:val="false"/>
        <w:spacing w:lineRule="exact" w:line="288" w:before="0" w:after="140"/>
        <w:jc w:val="left"/>
        <w:rPr/>
      </w:pPr>
      <w:r>
        <w:rPr>
          <w:rFonts w:eastAsia="Cambria" w:cs="Cambria"/>
          <w:b w:val="false"/>
          <w:bCs w:val="false"/>
          <w:i/>
          <w:iCs/>
          <w:sz w:val="22"/>
          <w:szCs w:val="22"/>
        </w:rPr>
        <w:t>Charter-Schulen</w:t>
      </w:r>
      <w:r>
        <w:rPr>
          <w:rFonts w:eastAsia="Cambria" w:cs="Cambria"/>
          <w:b w:val="false"/>
          <w:bCs w:val="false"/>
          <w:i w:val="false"/>
          <w:iCs w:val="false"/>
          <w:sz w:val="22"/>
          <w:szCs w:val="22"/>
        </w:rPr>
        <w:t xml:space="preserve"> sind öffentlich finanziert und gebührenfrei, arbeiten aber unabhängig von der Distriktverwaltung. 2021–22 gab es rund 7.800 mit 3,7 Mio. Schülern (7 % der öffentlichen Schüler). Charter-Gesetze gelten in 45 Staaten und Washington, D.C., wo 45 % der öffentlichen Schüler eine Charter-Schule besuchen (Arizona: 20 %). Bewerbungsfristen für Charter- und Magnet-Schulen liegen oft zwischen Dezember und Februar; gibt es mehr Bewerber als Plätze, entscheidet meist das Los.</w:t>
      </w:r>
    </w:p>
    <w:p>
      <w:pPr>
        <w:pStyle w:val="Normal"/>
        <w:keepNext w:val="false"/>
        <w:keepLines w:val="false"/>
        <w:spacing w:lineRule="exact" w:line="288" w:before="0" w:after="140"/>
        <w:jc w:val="left"/>
        <w:rPr/>
      </w:pPr>
      <w:r>
        <w:rPr>
          <w:rFonts w:eastAsia="Cambria" w:cs="Cambria"/>
          <w:b w:val="false"/>
          <w:bCs w:val="false"/>
          <w:i/>
          <w:iCs/>
          <w:sz w:val="22"/>
          <w:szCs w:val="22"/>
        </w:rPr>
        <w:t>Private und religiöse Schulen</w:t>
      </w:r>
      <w:r>
        <w:rPr>
          <w:rFonts w:eastAsia="Cambria" w:cs="Cambria"/>
          <w:b w:val="false"/>
          <w:bCs w:val="false"/>
          <w:i w:val="false"/>
          <w:iCs w:val="false"/>
          <w:sz w:val="22"/>
          <w:szCs w:val="22"/>
        </w:rPr>
        <w:t xml:space="preserve"> (katholisch, evangelisch, jüdisch, islamisch, unabhängig) verlangen Schulgeld: Der Durchschnitt lag laut NCES 2020–21 bei rund 12.800 $ pro Jahr – katholische Schulen rund 9.700 $, andere konfessionelle rund 10.900 $, nicht konfessionelle rund 19.600 $; heutige Preise liegen höher. Frage die Schule, wie stark der Glaube den Alltag prägt und ob sie Kinder anderer Konfessionen aufnimmt. Viele Staaten fördern Privatschulen zusätzlich über Gutscheine oder Bildungskonten (</w:t>
      </w:r>
      <w:r>
        <w:rPr>
          <w:rFonts w:eastAsia="Cambria" w:cs="Cambria"/>
          <w:b w:val="false"/>
          <w:bCs w:val="false"/>
          <w:i/>
          <w:iCs/>
          <w:sz w:val="22"/>
          <w:szCs w:val="22"/>
        </w:rPr>
        <w:t>Vouchers</w:t>
      </w:r>
      <w:r>
        <w:rPr>
          <w:rFonts w:eastAsia="Cambria" w:cs="Cambria"/>
          <w:b w:val="false"/>
          <w:bCs w:val="false"/>
          <w:i w:val="false"/>
          <w:iCs w:val="false"/>
          <w:sz w:val="22"/>
          <w:szCs w:val="22"/>
        </w:rPr>
        <w:t xml:space="preserve">, </w:t>
      </w:r>
      <w:r>
        <w:rPr>
          <w:rFonts w:eastAsia="Cambria" w:cs="Cambria"/>
          <w:b w:val="false"/>
          <w:bCs w:val="false"/>
          <w:i/>
          <w:iCs/>
          <w:sz w:val="22"/>
          <w:szCs w:val="22"/>
        </w:rPr>
        <w:t>Education Savings Accounts</w:t>
      </w:r>
      <w:r>
        <w:rPr>
          <w:rFonts w:eastAsia="Cambria" w:cs="Cambria"/>
          <w:b w:val="false"/>
          <w:bCs w:val="false"/>
          <w:i w:val="false"/>
          <w:iCs w:val="false"/>
          <w:sz w:val="22"/>
          <w:szCs w:val="22"/>
        </w:rPr>
        <w:t>); 2025 hatten 19 Staaten Programme für alle Familien, Berechtigung regelt jeder Staat selbst.</w:t>
      </w:r>
    </w:p>
    <w:p>
      <w:pPr>
        <w:pStyle w:val="Normal"/>
        <w:keepNext w:val="false"/>
        <w:keepLines w:val="false"/>
        <w:spacing w:lineRule="exact" w:line="288" w:before="0" w:after="140"/>
        <w:jc w:val="left"/>
        <w:rPr/>
      </w:pPr>
      <w:r>
        <w:rPr>
          <w:rFonts w:eastAsia="Cambria" w:cs="Cambria"/>
          <w:b w:val="false"/>
          <w:bCs w:val="false"/>
          <w:i/>
          <w:iCs/>
          <w:sz w:val="22"/>
          <w:szCs w:val="22"/>
        </w:rPr>
        <w:t>Homeschooling</w:t>
      </w:r>
      <w:r>
        <w:rPr>
          <w:rFonts w:eastAsia="Cambria" w:cs="Cambria"/>
          <w:b w:val="false"/>
          <w:bCs w:val="false"/>
          <w:i w:val="false"/>
          <w:iCs w:val="false"/>
          <w:sz w:val="22"/>
          <w:szCs w:val="22"/>
        </w:rPr>
        <w:t xml:space="preserve"> ist in allen 50 Staaten erlaubt, die Aufsicht reicht von keiner Anmeldepflicht (Texas) bis zur behördlichen Genehmigung (Massachusetts, Rhode Island). Rund 3,3 % der Schüler lernen zu Hause, etwa ein Fünftel davon zugleich an einer öffentlichen Schule eingeschrieben. In Deutschland ist Hausunterricht dagegen grundsätzlich unzulässig, weil die Schulpflicht dort für alle Kinder mit Wohnsitz gilt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Schulen bewerten: Ratings und ihre Grenzen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GreatSchools vergibt Bewertungen von 1 bis 10 aus drei Bausteinen: Testergebnisse (</w:t>
      </w:r>
      <w:r>
        <w:rPr>
          <w:rFonts w:eastAsia="Cambria" w:cs="Cambria"/>
          <w:b w:val="false"/>
          <w:bCs w:val="false"/>
          <w:i/>
          <w:iCs/>
          <w:sz w:val="22"/>
          <w:szCs w:val="22"/>
        </w:rPr>
        <w:t>Test Score</w:t>
      </w:r>
      <w:r>
        <w:rPr>
          <w:rFonts w:eastAsia="Cambria" w:cs="Cambria"/>
          <w:b w:val="false"/>
          <w:bCs w:val="false"/>
          <w:i w:val="false"/>
          <w:iCs w:val="false"/>
          <w:sz w:val="22"/>
          <w:szCs w:val="22"/>
        </w:rPr>
        <w:t>), Lernfortschritt (</w:t>
      </w:r>
      <w:r>
        <w:rPr>
          <w:rFonts w:eastAsia="Cambria" w:cs="Cambria"/>
          <w:b w:val="false"/>
          <w:bCs w:val="false"/>
          <w:i/>
          <w:iCs/>
          <w:sz w:val="22"/>
          <w:szCs w:val="22"/>
        </w:rPr>
        <w:t>Student Progress</w:t>
      </w:r>
      <w:r>
        <w:rPr>
          <w:rFonts w:eastAsia="Cambria" w:cs="Cambria"/>
          <w:b w:val="false"/>
          <w:bCs w:val="false"/>
          <w:i w:val="false"/>
          <w:iCs w:val="false"/>
          <w:sz w:val="22"/>
          <w:szCs w:val="22"/>
        </w:rPr>
        <w:t xml:space="preserve"> – wie stark die Leistungen über die Zeit wachsen) und, nur an High Schools, Studienvorbereitung (</w:t>
      </w:r>
      <w:r>
        <w:rPr>
          <w:rFonts w:eastAsia="Cambria" w:cs="Cambria"/>
          <w:b w:val="false"/>
          <w:bCs w:val="false"/>
          <w:i/>
          <w:iCs/>
          <w:sz w:val="22"/>
          <w:szCs w:val="22"/>
        </w:rPr>
        <w:t>College Readiness</w:t>
      </w:r>
      <w:r>
        <w:rPr>
          <w:rFonts w:eastAsia="Cambria" w:cs="Cambria"/>
          <w:b w:val="false"/>
          <w:bCs w:val="false"/>
          <w:i w:val="false"/>
          <w:iCs w:val="false"/>
          <w:sz w:val="22"/>
          <w:szCs w:val="22"/>
        </w:rPr>
        <w:t>: SAT/ACT, Abschlussquote, AP und IB). Niche mischt Daten mit Eltern- und Schülerumfragen. Außerdem muss jeder Staat nach ESSA (</w:t>
      </w:r>
      <w:r>
        <w:rPr>
          <w:rFonts w:eastAsia="Cambria" w:cs="Cambria"/>
          <w:b w:val="false"/>
          <w:bCs w:val="false"/>
          <w:i/>
          <w:iCs/>
          <w:sz w:val="22"/>
          <w:szCs w:val="22"/>
        </w:rPr>
        <w:t>Every Student Succeeds Act</w:t>
      </w:r>
      <w:r>
        <w:rPr>
          <w:rFonts w:eastAsia="Cambria" w:cs="Cambria"/>
          <w:b w:val="false"/>
          <w:bCs w:val="false"/>
          <w:i w:val="false"/>
          <w:iCs w:val="false"/>
          <w:sz w:val="22"/>
          <w:szCs w:val="22"/>
        </w:rPr>
        <w:t>) für jede Schule und jeden Distrikt einen Schulbericht (</w:t>
      </w:r>
      <w:r>
        <w:rPr>
          <w:rFonts w:eastAsia="Cambria" w:cs="Cambria"/>
          <w:b w:val="false"/>
          <w:bCs w:val="false"/>
          <w:i/>
          <w:iCs/>
          <w:sz w:val="22"/>
          <w:szCs w:val="22"/>
        </w:rPr>
        <w:t>School Report Card</w:t>
      </w:r>
      <w:r>
        <w:rPr>
          <w:rFonts w:eastAsia="Cambria" w:cs="Cambria"/>
          <w:b w:val="false"/>
          <w:bCs w:val="false"/>
          <w:i w:val="false"/>
          <w:iCs w:val="false"/>
          <w:sz w:val="22"/>
          <w:szCs w:val="22"/>
        </w:rPr>
        <w:t>) veröffentlichen, meist auf der Website der Landesbildungsbehörde.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Grenzen nennt GreatSchools selbst: Eine Bewertung erscheint nur bei genügend Daten, zeichnet kein Gesamtbild der Qualität, und an High Schools fehlen oft Wachstumsdaten. Hinzu kommt: Testergebnisse spiegeln stark wider, aus welchen Familien die Kinder kommen. Eine Schule mit Note 9 kann vor allem viele Kinder aus wohlhabenden Haushalten haben, eine mit Note 5 dagegen hervorragend unterrichten: Ein hohes Rating verrät manchmal mehr über die Postleitzahl der Eltern als über das Lehrerzimmer. Schau deshalb zuerst auf den Wachstumswert.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Ein Rating ersetzt keinen Besuch. Vergleiche Distrikte, nicht nur Einzelschulen, vereinbare einen Rundgang oder komm zum </w:t>
            </w:r>
            <w:r>
              <w:rPr>
                <w:rFonts w:eastAsia="Cambria" w:cs="Cambria"/>
                <w:b w:val="false"/>
                <w:bCs w:val="false"/>
                <w:i/>
                <w:iCs/>
                <w:sz w:val="20"/>
                <w:szCs w:val="20"/>
              </w:rPr>
              <w:t>Open House</w:t>
            </w:r>
            <w:r>
              <w:rPr>
                <w:rFonts w:eastAsia="Cambria" w:cs="Cambria"/>
                <w:b w:val="false"/>
                <w:bCs w:val="false"/>
                <w:i w:val="false"/>
                <w:iCs w:val="false"/>
                <w:sz w:val="20"/>
                <w:szCs w:val="20"/>
              </w:rPr>
              <w:t>, und sprich mit Schulleitung (</w:t>
            </w:r>
            <w:r>
              <w:rPr>
                <w:rFonts w:eastAsia="Cambria" w:cs="Cambria"/>
                <w:b w:val="false"/>
                <w:bCs w:val="false"/>
                <w:i/>
                <w:iCs/>
                <w:sz w:val="20"/>
                <w:szCs w:val="20"/>
              </w:rPr>
              <w:t>Principal</w:t>
            </w:r>
            <w:r>
              <w:rPr>
                <w:rFonts w:eastAsia="Cambria" w:cs="Cambria"/>
                <w:b w:val="false"/>
                <w:bCs w:val="false"/>
                <w:i w:val="false"/>
                <w:iCs w:val="false"/>
                <w:sz w:val="20"/>
                <w:szCs w:val="20"/>
              </w:rPr>
              <w:t>) und Eltern vor Ort. Frage nach Klassengröße, Förderung für neu Zugewanderte (Kapitel </w:t>
            </w:r>
            <w:hyperlink w:anchor="k37">
              <w:r>
                <w:rPr>
                  <w:rStyle w:val="ListLabel114"/>
                  <w:rFonts w:eastAsia="Cambria" w:cs="Cambria"/>
                  <w:b w:val="false"/>
                  <w:bCs w:val="false"/>
                  <w:i w:val="false"/>
                  <w:iCs w:val="false"/>
                  <w:sz w:val="20"/>
                  <w:szCs w:val="20"/>
                </w:rPr>
                <w:t>37</w:t>
              </w:r>
            </w:hyperlink>
            <w:r>
              <w:rPr>
                <w:rFonts w:eastAsia="Cambria" w:cs="Cambria"/>
                <w:b w:val="false"/>
                <w:bCs w:val="false"/>
                <w:i w:val="false"/>
                <w:iCs w:val="false"/>
                <w:sz w:val="20"/>
                <w:szCs w:val="20"/>
              </w:rPr>
              <w:t>), Sonderförderung, Sicherheitskonzept und Schulbus.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Anmeldung: Unterlagen und Ablauf</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Ohne Green Card oder gültigen Aufenthaltstitel bleibe einem Kind die öffentliche Schule verschlossen. Tatsächlich entschied der Oberste Gerichtshof (</w:t>
      </w:r>
      <w:r>
        <w:rPr>
          <w:rFonts w:eastAsia="Cambria" w:cs="Cambria"/>
          <w:b w:val="false"/>
          <w:bCs w:val="false"/>
          <w:i/>
          <w:iCs/>
          <w:sz w:val="22"/>
          <w:szCs w:val="22"/>
        </w:rPr>
        <w:t>Supreme Court</w:t>
      </w:r>
      <w:r>
        <w:rPr>
          <w:rFonts w:eastAsia="Cambria" w:cs="Cambria"/>
          <w:b w:val="false"/>
          <w:bCs w:val="false"/>
          <w:i w:val="false"/>
          <w:iCs w:val="false"/>
          <w:sz w:val="22"/>
          <w:szCs w:val="22"/>
        </w:rPr>
        <w:t xml:space="preserve">) 1982 in </w:t>
      </w:r>
      <w:r>
        <w:rPr>
          <w:rFonts w:eastAsia="Cambria" w:cs="Cambria"/>
          <w:b w:val="false"/>
          <w:bCs w:val="false"/>
          <w:i/>
          <w:iCs/>
          <w:sz w:val="22"/>
          <w:szCs w:val="22"/>
        </w:rPr>
        <w:t>Plyler v. Doe</w:t>
      </w:r>
      <w:r>
        <w:rPr>
          <w:rFonts w:eastAsia="Cambria" w:cs="Cambria"/>
          <w:b w:val="false"/>
          <w:bCs w:val="false"/>
          <w:i w:val="false"/>
          <w:iCs w:val="false"/>
          <w:sz w:val="22"/>
          <w:szCs w:val="22"/>
        </w:rPr>
        <w:t>, dass kein Staat Kindern wegen ihres Aufenthaltsstatus den Besuch öffentlicher Schulen verweigern darf. Schulen dürfen daher weder die SSN noch einen Nachweis von Aufenthalt oder Staatsangehörigkeit verlangen; eine ausländische Geburtsurkunde genügt. Gesetzentwürfe in einzelnen Staaten wollen das Urteil herausfordern; nach dem Stand vom Februar 2026 war keiner in Kraft.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brauchst du meist:</w:t>
      </w:r>
    </w:p>
    <w:p>
      <w:pPr>
        <w:pStyle w:val="ListParagraph"/>
        <w:numPr>
          <w:ilvl w:val="0"/>
          <w:numId w:val="1"/>
        </w:numPr>
        <w:spacing w:lineRule="exact" w:line="288" w:before="0" w:after="60"/>
        <w:rPr/>
      </w:pPr>
      <w:r>
        <w:rPr>
          <w:rFonts w:eastAsia="Cambria" w:cs="Cambria"/>
          <w:b/>
          <w:bCs/>
          <w:i w:val="false"/>
          <w:iCs w:val="false"/>
          <w:sz w:val="22"/>
          <w:szCs w:val="22"/>
        </w:rPr>
        <w:t>Altersnachweis:</w:t>
      </w:r>
      <w:r>
        <w:rPr>
          <w:rFonts w:eastAsia="Cambria" w:cs="Cambria"/>
          <w:b w:val="false"/>
          <w:bCs w:val="false"/>
          <w:i w:val="false"/>
          <w:iCs w:val="false"/>
          <w:sz w:val="22"/>
          <w:szCs w:val="22"/>
        </w:rPr>
        <w:t xml:space="preserve"> Geburtsurkunde oder Reisepass.</w:t>
      </w:r>
    </w:p>
    <w:p>
      <w:pPr>
        <w:pStyle w:val="ListParagraph"/>
        <w:numPr>
          <w:ilvl w:val="0"/>
          <w:numId w:val="1"/>
        </w:numPr>
        <w:spacing w:lineRule="exact" w:line="288" w:before="0" w:after="60"/>
        <w:rPr/>
      </w:pPr>
      <w:r>
        <w:rPr>
          <w:rFonts w:eastAsia="Cambria" w:cs="Cambria"/>
          <w:b/>
          <w:bCs/>
          <w:i w:val="false"/>
          <w:iCs w:val="false"/>
          <w:sz w:val="22"/>
          <w:szCs w:val="22"/>
        </w:rPr>
        <w:t>Wohnsitznachweis:</w:t>
      </w:r>
      <w:r>
        <w:rPr>
          <w:rFonts w:eastAsia="Cambria" w:cs="Cambria"/>
          <w:b w:val="false"/>
          <w:bCs w:val="false"/>
          <w:i w:val="false"/>
          <w:iCs w:val="false"/>
          <w:sz w:val="22"/>
          <w:szCs w:val="22"/>
        </w:rPr>
        <w:t xml:space="preserve"> Mietvertrag oder Kaufvertrag plus eine Rechnung mit deiner Adresse (Strom, Gas, Internet), oft zwei Belege. Melde Strom und Internet deshalb früh an.</w:t>
      </w:r>
    </w:p>
    <w:p>
      <w:pPr>
        <w:pStyle w:val="ListParagraph"/>
        <w:numPr>
          <w:ilvl w:val="0"/>
          <w:numId w:val="1"/>
        </w:numPr>
        <w:spacing w:lineRule="exact" w:line="288" w:before="0" w:after="60"/>
        <w:rPr/>
      </w:pPr>
      <w:r>
        <w:rPr>
          <w:rFonts w:eastAsia="Cambria" w:cs="Cambria"/>
          <w:b/>
          <w:bCs/>
          <w:i w:val="false"/>
          <w:iCs w:val="false"/>
          <w:sz w:val="22"/>
          <w:szCs w:val="22"/>
        </w:rPr>
        <w:t>Impfnachweis:</w:t>
      </w:r>
      <w:r>
        <w:rPr>
          <w:rFonts w:eastAsia="Cambria" w:cs="Cambria"/>
          <w:b w:val="false"/>
          <w:bCs w:val="false"/>
          <w:i w:val="false"/>
          <w:iCs w:val="false"/>
          <w:sz w:val="22"/>
          <w:szCs w:val="22"/>
        </w:rPr>
        <w:t xml:space="preserve"> der Impfpass; Pflichten und Ausnahmen legt jeder Staat fest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Manche Schulen wollen dazu eine ärztliche Bescheinigung (</w:t>
      </w:r>
      <w:r>
        <w:rPr>
          <w:rFonts w:eastAsia="Cambria" w:cs="Cambria"/>
          <w:b w:val="false"/>
          <w:bCs w:val="false"/>
          <w:i/>
          <w:iCs/>
          <w:sz w:val="22"/>
          <w:szCs w:val="22"/>
        </w:rPr>
        <w:t>Physical</w:t>
      </w:r>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Zeugnisse:</w:t>
      </w:r>
      <w:r>
        <w:rPr>
          <w:rFonts w:eastAsia="Cambria" w:cs="Cambria"/>
          <w:b w:val="false"/>
          <w:bCs w:val="false"/>
          <w:i w:val="false"/>
          <w:iCs w:val="false"/>
          <w:sz w:val="22"/>
          <w:szCs w:val="22"/>
        </w:rPr>
        <w:t xml:space="preserve"> die letzten Zeugnisse (</w:t>
      </w:r>
      <w:r>
        <w:rPr>
          <w:rFonts w:eastAsia="Cambria" w:cs="Cambria"/>
          <w:b w:val="false"/>
          <w:bCs w:val="false"/>
          <w:i/>
          <w:iCs/>
          <w:sz w:val="22"/>
          <w:szCs w:val="22"/>
        </w:rPr>
        <w:t>Transcripts</w:t>
      </w:r>
      <w:r>
        <w:rPr>
          <w:rFonts w:eastAsia="Cambria" w:cs="Cambria"/>
          <w:b w:val="false"/>
          <w:bCs w:val="false"/>
          <w:i w:val="false"/>
          <w:iCs w:val="false"/>
          <w:sz w:val="22"/>
          <w:szCs w:val="22"/>
        </w:rPr>
        <w:t>), an der High School mit Fächern und Stunden, am besten mit englischer Übersetzung.</w:t>
      </w:r>
    </w:p>
    <w:p>
      <w:pPr>
        <w:pStyle w:val="ListParagraph"/>
        <w:numPr>
          <w:ilvl w:val="0"/>
          <w:numId w:val="1"/>
        </w:numPr>
        <w:spacing w:lineRule="exact" w:line="288" w:before="0" w:after="60"/>
        <w:rPr/>
      </w:pPr>
      <w:r>
        <w:rPr>
          <w:rFonts w:eastAsia="Cambria" w:cs="Cambria"/>
          <w:b/>
          <w:bCs/>
          <w:i w:val="false"/>
          <w:iCs w:val="false"/>
          <w:sz w:val="22"/>
          <w:szCs w:val="22"/>
        </w:rPr>
        <w:t>Ausweis der Sorgeberechtigten</w:t>
      </w:r>
      <w:r>
        <w:rPr>
          <w:rFonts w:eastAsia="Cambria" w:cs="Cambria"/>
          <w:b w:val="false"/>
          <w:bCs w:val="false"/>
          <w:i w:val="false"/>
          <w:iCs w:val="false"/>
          <w:sz w:val="22"/>
          <w:szCs w:val="22"/>
        </w:rPr>
        <w:t xml:space="preserve"> und der Fragebogen zur Familiensprache (</w:t>
      </w:r>
      <w:r>
        <w:rPr>
          <w:rFonts w:eastAsia="Cambria" w:cs="Cambria"/>
          <w:b w:val="false"/>
          <w:bCs w:val="false"/>
          <w:i/>
          <w:iCs/>
          <w:sz w:val="22"/>
          <w:szCs w:val="22"/>
        </w:rPr>
        <w:t>Home Language Survey</w:t>
      </w:r>
      <w:r>
        <w:rPr>
          <w:rFonts w:eastAsia="Cambria" w:cs="Cambria"/>
          <w:b w:val="false"/>
          <w:bCs w:val="false"/>
          <w:i w:val="false"/>
          <w:iCs w:val="false"/>
          <w:sz w:val="22"/>
          <w:szCs w:val="22"/>
        </w:rPr>
        <w:t>), dessen Antworten einen Sprachtest auslösen können (Kapitel </w:t>
      </w:r>
      <w:hyperlink w:anchor="k37">
        <w:r>
          <w:rPr>
            <w:rStyle w:val="ListLabel115"/>
            <w:rFonts w:eastAsia="Cambria" w:cs="Cambria"/>
            <w:b w:val="false"/>
            <w:bCs w:val="false"/>
            <w:i w:val="false"/>
            <w:iCs w:val="false"/>
            <w:sz w:val="22"/>
            <w:szCs w:val="22"/>
          </w:rPr>
          <w:t>37</w:t>
        </w:r>
      </w:hyperlink>
      <w:r>
        <w:rPr>
          <w:rFonts w:eastAsia="Cambria" w:cs="Cambria"/>
          <w:b w:val="false"/>
          <w:bCs w:val="false"/>
          <w:i w:val="false"/>
          <w:iCs w:val="false"/>
          <w:sz w:val="22"/>
          <w:szCs w:val="22"/>
        </w:rPr>
        <w:t>).</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Anmeldung läuft heute meist online über das Portal des Distrikts, danach folgt ein Termin im Schulbüro. Eine bundesweite Frist gibt es nicht: Die reguläre Anmeldung liegt meist zwischen Januar und Mai, wer später zuzieht, meldet sich unterjährig an. Suche die Seite „Enrollment“ deines Distrikts.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Ohne den geforderten Impfnachweis nimmt die Schule dein Kind meist nicht auf, bis er vollständig ist. Lass den Impfpass vor dem Abflug vom Kinderarzt gegen die Liste des Zielstaats abgleichen und packe Zeugnisse, Impfpass und Geburtsurkunde ins Handgepäck.</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 sucht ihr Haus im Großraum Detroit nach dem Schulbezirk aus. Anna, in Deutschland Grundschullehrerin, vergleicht drei Distrikte, liest die Schulberichte des Staates und achtet auf den Lernfortschritt statt nur auf die Gesamtnote. Zwei Schulen besuchen die Brandts. Bei einer Besichtigung fragt Anna die Rektorin offen: „What happens with a child who barely speaks English?“ – die Antwort, ein fester Förderplan ab dem ersten Schultag, gibt am Ende den Ausschlag. Der Distrikt bestätigt per E-Mail, welche Grundschule zur Adresse gehört; erst dann unterschreiben sie den Mietvertrag. Nach dem Einzug melden sie Strom sofort an. Mit Mietvertrag, erster Stromrechnung, Impfpässen, Geburtsurkunden und Lenas Zeugnis gehen sie zur Anmeldung. Lena (9) kommt in Grade 4, Jonas (5) in den Kindergarten; rund vier Wochen nach der Landung sitzen beide im Klassenzimmer.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Lehrplan, Tests, Noten und Abschluss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Inhalte legen die Staaten als Standards fest; wie Lehrkräfte sie umsetzen und welche Bücher sie nutzen, entscheiden Distrikt und Schule. Es gibt keine bundesweite Abschlussprüfung wie das Abitur, einzelne Staaten verlangen eigene Tests.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ESSA müssen Staaten Mathematik und Lesen jährlich in Grade 3 bis 8 und einmal in Grade 9 bis 12 testen, Naturwissenschaften je einmal in Grade 3–5, 6–9 und 10–12, bei 95 % Teilnahme als Rechenschaftsgröße. Die Tests heißen je Staat anders und dienen vor allem der Bewertung der Schulen; ob sie für Versetzung oder Abschluss zählen, regeln die Staaten. Für Neuzugewanderte gelten Sonderregeln (Kapitel </w:t>
      </w:r>
      <w:hyperlink w:anchor="k37">
        <w:r>
          <w:rPr>
            <w:rStyle w:val="ListLabel115"/>
            <w:rFonts w:eastAsia="Cambria" w:cs="Cambria"/>
            <w:b w:val="false"/>
            <w:bCs w:val="false"/>
            <w:i w:val="false"/>
            <w:iCs w:val="false"/>
            <w:sz w:val="22"/>
            <w:szCs w:val="22"/>
          </w:rPr>
          <w:t>37</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Noten laufen meist von A (sehr gut) bis F (nicht bestanden), oft mit Prozentwerten dahinter, etwa 90–100 % für ein A – die Richtung ist also umgekehrt zu den deutschen Noten 1 bis 6. Der Notendurchschnitt (</w:t>
      </w:r>
      <w:r>
        <w:rPr>
          <w:rFonts w:eastAsia="Cambria" w:cs="Cambria"/>
          <w:b w:val="false"/>
          <w:bCs w:val="false"/>
          <w:i/>
          <w:iCs/>
          <w:sz w:val="22"/>
          <w:szCs w:val="22"/>
        </w:rPr>
        <w:t>GPA</w:t>
      </w:r>
      <w:r>
        <w:rPr>
          <w:rFonts w:eastAsia="Cambria" w:cs="Cambria"/>
          <w:b w:val="false"/>
          <w:bCs w:val="false"/>
          <w:i w:val="false"/>
          <w:iCs w:val="false"/>
          <w:sz w:val="22"/>
          <w:szCs w:val="22"/>
        </w:rPr>
        <w:t xml:space="preserve">, </w:t>
      </w:r>
      <w:r>
        <w:rPr>
          <w:rFonts w:eastAsia="Cambria" w:cs="Cambria"/>
          <w:b w:val="false"/>
          <w:bCs w:val="false"/>
          <w:i/>
          <w:iCs/>
          <w:sz w:val="22"/>
          <w:szCs w:val="22"/>
        </w:rPr>
        <w:t>Grade Point Average</w:t>
      </w:r>
      <w:r>
        <w:rPr>
          <w:rFonts w:eastAsia="Cambria" w:cs="Cambria"/>
          <w:b w:val="false"/>
          <w:bCs w:val="false"/>
          <w:i w:val="false"/>
          <w:iCs w:val="false"/>
          <w:sz w:val="22"/>
          <w:szCs w:val="22"/>
        </w:rPr>
        <w:t>) rechnet A = 4, B = 3, C = 2, D = 1, F = 0 und reicht bis 4,0; Honors- und AP-Kurse zählen an vielen Schulen gewichtet bis 5,0. Ab Grade 9 fließen die Noten in den GPA ein, der später in die College-Bewerbung eingeht.</w:t>
      </w:r>
    </w:p>
    <w:p>
      <w:pPr>
        <w:pStyle w:val="Normal"/>
        <w:keepNext w:val="false"/>
        <w:keepLines w:val="false"/>
        <w:spacing w:lineRule="exact" w:line="288" w:before="0" w:after="140"/>
        <w:jc w:val="left"/>
        <w:rPr/>
      </w:pPr>
      <w:r>
        <w:rPr>
          <w:rFonts w:eastAsia="Cambria" w:cs="Cambria"/>
          <w:b w:val="false"/>
          <w:bCs w:val="false"/>
          <w:i/>
          <w:iCs/>
          <w:sz w:val="22"/>
          <w:szCs w:val="22"/>
        </w:rPr>
        <w:t>Honors</w:t>
      </w:r>
      <w:r>
        <w:rPr>
          <w:rFonts w:eastAsia="Cambria" w:cs="Cambria"/>
          <w:b w:val="false"/>
          <w:bCs w:val="false"/>
          <w:i w:val="false"/>
          <w:iCs w:val="false"/>
          <w:sz w:val="22"/>
          <w:szCs w:val="22"/>
        </w:rPr>
        <w:t xml:space="preserve">-Kurse sind anspruchsvollere Varianten des Regelkurses. </w:t>
      </w:r>
      <w:r>
        <w:rPr>
          <w:rFonts w:eastAsia="Cambria" w:cs="Cambria"/>
          <w:b w:val="false"/>
          <w:bCs w:val="false"/>
          <w:i/>
          <w:iCs/>
          <w:sz w:val="22"/>
          <w:szCs w:val="22"/>
        </w:rPr>
        <w:t>Advanced Placement</w:t>
      </w:r>
      <w:r>
        <w:rPr>
          <w:rFonts w:eastAsia="Cambria" w:cs="Cambria"/>
          <w:b w:val="false"/>
          <w:bCs w:val="false"/>
          <w:i w:val="false"/>
          <w:iCs w:val="false"/>
          <w:sz w:val="22"/>
          <w:szCs w:val="22"/>
        </w:rPr>
        <w:t xml:space="preserve"> (AP) sind College-nahe Kurse mit Prüfung im Mai auf einer Skala von 1 bis 5; ob und ab welcher Punktzahl ein College sie anrechnet, entscheidet jede Hochschule. Das </w:t>
      </w:r>
      <w:r>
        <w:rPr>
          <w:rFonts w:eastAsia="Cambria" w:cs="Cambria"/>
          <w:b w:val="false"/>
          <w:bCs w:val="false"/>
          <w:i/>
          <w:iCs/>
          <w:sz w:val="22"/>
          <w:szCs w:val="22"/>
        </w:rPr>
        <w:t>International Baccalaureate</w:t>
      </w:r>
      <w:r>
        <w:rPr>
          <w:rFonts w:eastAsia="Cambria" w:cs="Cambria"/>
          <w:b w:val="false"/>
          <w:bCs w:val="false"/>
          <w:i w:val="false"/>
          <w:iCs w:val="false"/>
          <w:sz w:val="22"/>
          <w:szCs w:val="22"/>
        </w:rPr>
        <w:t xml:space="preserve"> (IB) ist ein zweijähriges Diplomprogramm in Grade 11 und 12 mit höchstens 45 Punkten an ausgewählten Schulen; es kann in Deutschland zur direkten Studienzulassung führen.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die College-Bewerbung zählen zudem </w:t>
      </w:r>
      <w:r>
        <w:rPr>
          <w:rFonts w:eastAsia="Cambria" w:cs="Cambria"/>
          <w:b w:val="false"/>
          <w:bCs w:val="false"/>
          <w:i/>
          <w:iCs/>
          <w:sz w:val="22"/>
          <w:szCs w:val="22"/>
        </w:rPr>
        <w:t>SAT</w:t>
      </w:r>
      <w:r>
        <w:rPr>
          <w:rFonts w:eastAsia="Cambria" w:cs="Cambria"/>
          <w:b w:val="false"/>
          <w:bCs w:val="false"/>
          <w:i w:val="false"/>
          <w:iCs w:val="false"/>
          <w:sz w:val="22"/>
          <w:szCs w:val="22"/>
        </w:rPr>
        <w:t xml:space="preserve"> und </w:t>
      </w:r>
      <w:r>
        <w:rPr>
          <w:rFonts w:eastAsia="Cambria" w:cs="Cambria"/>
          <w:b w:val="false"/>
          <w:bCs w:val="false"/>
          <w:i/>
          <w:iCs/>
          <w:sz w:val="22"/>
          <w:szCs w:val="22"/>
        </w:rPr>
        <w:t>ACT</w:t>
      </w:r>
      <w:r>
        <w:rPr>
          <w:rFonts w:eastAsia="Cambria" w:cs="Cambria"/>
          <w:b w:val="false"/>
          <w:bCs w:val="false"/>
          <w:i w:val="false"/>
          <w:iCs w:val="false"/>
          <w:sz w:val="22"/>
          <w:szCs w:val="22"/>
        </w:rPr>
        <w:t xml:space="preserve">, standardisierte Studieneignungstests, meist in Grade 11. Der digitale SAT (USA seit 9. März 2024) reicht von 400 bis 1600, dauert rund 2 Stunden 14 Minuten und kostete 2024 68 $. Die Testpflicht kehrt zurück: Für 2026–27 verlangen unter anderem Harvard, Yale, Stanford, MIT und die University of Texas at Austin wieder Ergebnisse; UC und CSU in Kalifornien bleiben testfrei, viele Hochschulen unterhalb der Top 50 sind </w:t>
      </w:r>
      <w:r>
        <w:rPr>
          <w:rFonts w:eastAsia="Cambria" w:cs="Cambria"/>
          <w:b w:val="false"/>
          <w:bCs w:val="false"/>
          <w:i/>
          <w:iCs/>
          <w:sz w:val="22"/>
          <w:szCs w:val="22"/>
        </w:rPr>
        <w:t>test-optional</w:t>
      </w:r>
      <w:r>
        <w:rPr>
          <w:rFonts w:eastAsia="Cambria" w:cs="Cambria"/>
          <w:b w:val="false"/>
          <w:bCs w:val="false"/>
          <w:i w:val="false"/>
          <w:iCs w:val="false"/>
          <w:sz w:val="22"/>
          <w:szCs w:val="22"/>
        </w:rPr>
        <w:t>. Kosten, Finanzierung und Abitur-Anerkennung: Kapitel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Zum Diploma gehören Kurspunkte (</w:t>
      </w:r>
      <w:r>
        <w:rPr>
          <w:rFonts w:eastAsia="Cambria" w:cs="Cambria"/>
          <w:b w:val="false"/>
          <w:bCs w:val="false"/>
          <w:i/>
          <w:iCs/>
          <w:sz w:val="22"/>
          <w:szCs w:val="22"/>
        </w:rPr>
        <w:t>Credits</w:t>
      </w:r>
      <w:r>
        <w:rPr>
          <w:rFonts w:eastAsia="Cambria" w:cs="Cambria"/>
          <w:b w:val="false"/>
          <w:bCs w:val="false"/>
          <w:i w:val="false"/>
          <w:iCs w:val="false"/>
          <w:sz w:val="22"/>
          <w:szCs w:val="22"/>
        </w:rPr>
        <w:t>): meist 20 bis 24, verteilt auf feste Fächer wie Englisch, Mathematik, Naturwissenschaften, Sozialkunde und Sport sowie Wahlfächer – Staat und Distrikt legen das jeweils fest. Wer in Grade 11 oder 12 zuzieht, klärt fehlende Credits früh mit der Beratungslehrkraft (</w:t>
      </w:r>
      <w:r>
        <w:rPr>
          <w:rFonts w:eastAsia="Cambria" w:cs="Cambria"/>
          <w:b w:val="false"/>
          <w:bCs w:val="false"/>
          <w:i/>
          <w:iCs/>
          <w:sz w:val="22"/>
          <w:szCs w:val="22"/>
        </w:rPr>
        <w:t>Counselor</w:t>
      </w:r>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Hausaufgaben, Sport, Clubs und die Elternrolle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Hausaufgaben (</w:t>
      </w:r>
      <w:r>
        <w:rPr>
          <w:rFonts w:eastAsia="Cambria" w:cs="Cambria"/>
          <w:b w:val="false"/>
          <w:bCs w:val="false"/>
          <w:i/>
          <w:iCs/>
          <w:sz w:val="22"/>
          <w:szCs w:val="22"/>
        </w:rPr>
        <w:t>Homework</w:t>
      </w:r>
      <w:r>
        <w:rPr>
          <w:rFonts w:eastAsia="Cambria" w:cs="Cambria"/>
          <w:b w:val="false"/>
          <w:bCs w:val="false"/>
          <w:i w:val="false"/>
          <w:iCs w:val="false"/>
          <w:sz w:val="22"/>
          <w:szCs w:val="22"/>
        </w:rPr>
        <w:t>) sind üblich, ihr Umfang schwankt: in der Grundschule meist kurz, an der High School, vor allem mit AP- und Honors-Kursen, oft mehrere Stunden pro Abend.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Sport und Clubs gehören zur Schule, nicht zum Verein: Schulteams (</w:t>
      </w:r>
      <w:r>
        <w:rPr>
          <w:rFonts w:eastAsia="Cambria" w:cs="Cambria"/>
          <w:b w:val="false"/>
          <w:bCs w:val="false"/>
          <w:i/>
          <w:iCs/>
          <w:sz w:val="22"/>
          <w:szCs w:val="22"/>
        </w:rPr>
        <w:t>Varsity</w:t>
      </w:r>
      <w:r>
        <w:rPr>
          <w:rFonts w:eastAsia="Cambria" w:cs="Cambria"/>
          <w:b w:val="false"/>
          <w:bCs w:val="false"/>
          <w:i w:val="false"/>
          <w:iCs w:val="false"/>
          <w:sz w:val="22"/>
          <w:szCs w:val="22"/>
        </w:rPr>
        <w:t xml:space="preserve"> für die erste Mannschaft, </w:t>
      </w:r>
      <w:r>
        <w:rPr>
          <w:rFonts w:eastAsia="Cambria" w:cs="Cambria"/>
          <w:b w:val="false"/>
          <w:bCs w:val="false"/>
          <w:i/>
          <w:iCs/>
          <w:sz w:val="22"/>
          <w:szCs w:val="22"/>
        </w:rPr>
        <w:t>Junior Varsity</w:t>
      </w:r>
      <w:r>
        <w:rPr>
          <w:rFonts w:eastAsia="Cambria" w:cs="Cambria"/>
          <w:b w:val="false"/>
          <w:bCs w:val="false"/>
          <w:i w:val="false"/>
          <w:iCs w:val="false"/>
          <w:sz w:val="22"/>
          <w:szCs w:val="22"/>
        </w:rPr>
        <w:t xml:space="preserve"> für die zweite), dazu Orchester, Chor, Theater, Robotik, Debattierclub und Schülerzeitung. Am </w:t>
      </w:r>
      <w:r>
        <w:rPr>
          <w:rFonts w:eastAsia="Cambria" w:cs="Cambria"/>
          <w:b w:val="false"/>
          <w:bCs w:val="false"/>
          <w:i/>
          <w:iCs/>
          <w:sz w:val="22"/>
          <w:szCs w:val="22"/>
        </w:rPr>
        <w:t>Friday Night Football</w:t>
      </w:r>
      <w:r>
        <w:rPr>
          <w:rFonts w:eastAsia="Cambria" w:cs="Cambria"/>
          <w:b w:val="false"/>
          <w:bCs w:val="false"/>
          <w:i w:val="false"/>
          <w:iCs w:val="false"/>
          <w:sz w:val="22"/>
          <w:szCs w:val="22"/>
        </w:rPr>
        <w:t xml:space="preserve"> zeigt sich das am deutlichsten: Marschkapelle, Cheerleader, der Geruch von Popcorn und gegrilltem Fleisch, und ein guter Teil der Kleinstadt sitzt auf der Tribüne – Schulsport ist hier auch Gemeinschaftsereignis. Für ein Team gibt es Probetrainings (</w:t>
      </w:r>
      <w:r>
        <w:rPr>
          <w:rFonts w:eastAsia="Cambria" w:cs="Cambria"/>
          <w:b w:val="false"/>
          <w:bCs w:val="false"/>
          <w:i/>
          <w:iCs/>
          <w:sz w:val="22"/>
          <w:szCs w:val="22"/>
        </w:rPr>
        <w:t>Tryouts</w:t>
      </w:r>
      <w:r>
        <w:rPr>
          <w:rFonts w:eastAsia="Cambria" w:cs="Cambria"/>
          <w:b w:val="false"/>
          <w:bCs w:val="false"/>
          <w:i w:val="false"/>
          <w:iCs w:val="false"/>
          <w:sz w:val="22"/>
          <w:szCs w:val="22"/>
        </w:rPr>
        <w:t>), vor der Saison meist eine sportärztliche Untersuchung (</w:t>
      </w:r>
      <w:r>
        <w:rPr>
          <w:rFonts w:eastAsia="Cambria" w:cs="Cambria"/>
          <w:b w:val="false"/>
          <w:bCs w:val="false"/>
          <w:i/>
          <w:iCs/>
          <w:sz w:val="22"/>
          <w:szCs w:val="22"/>
        </w:rPr>
        <w:t>Sports Physical</w:t>
      </w:r>
      <w:r>
        <w:rPr>
          <w:rFonts w:eastAsia="Cambria" w:cs="Cambria"/>
          <w:b w:val="false"/>
          <w:bCs w:val="false"/>
          <w:i w:val="false"/>
          <w:iCs w:val="false"/>
          <w:sz w:val="22"/>
          <w:szCs w:val="22"/>
        </w:rPr>
        <w:t>), und viele Distrikte erheben Gebühren fürs Mitmachen (</w:t>
      </w:r>
      <w:r>
        <w:rPr>
          <w:rFonts w:eastAsia="Cambria" w:cs="Cambria"/>
          <w:b w:val="false"/>
          <w:bCs w:val="false"/>
          <w:i/>
          <w:iCs/>
          <w:sz w:val="22"/>
          <w:szCs w:val="22"/>
        </w:rPr>
        <w:t>Pay to Play</w:t>
      </w:r>
      <w:r>
        <w:rPr>
          <w:rFonts w:eastAsia="Cambria" w:cs="Cambria"/>
          <w:b w:val="false"/>
          <w:bCs w:val="false"/>
          <w:i w:val="false"/>
          <w:iCs w:val="false"/>
          <w:sz w:val="22"/>
          <w:szCs w:val="22"/>
        </w:rPr>
        <w:t>). Clubs zählen zudem für spätere College-Bewerbungen (</w:t>
      </w:r>
      <w:r>
        <w:rPr>
          <w:rFonts w:eastAsia="Cambria" w:cs="Cambria"/>
          <w:b w:val="false"/>
          <w:bCs w:val="false"/>
          <w:i/>
          <w:iCs/>
          <w:sz w:val="22"/>
          <w:szCs w:val="22"/>
        </w:rPr>
        <w:t>Extracurriculars</w:t>
      </w:r>
      <w:r>
        <w:rPr>
          <w:rFonts w:eastAsia="Cambria" w:cs="Cambria"/>
          <w:b w:val="false"/>
          <w:bCs w:val="false"/>
          <w:i w:val="false"/>
          <w:iCs w:val="false"/>
          <w:sz w:val="22"/>
          <w:szCs w:val="22"/>
        </w:rPr>
        <w:t>) und sind für Kinder mit wenig Englisch oft der schnellste Weg zu Freunden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w:t>
      </w:r>
      <w:r>
        <w:rPr>
          <w:rFonts w:eastAsia="Cambria" w:cs="Cambria"/>
          <w:b w:val="false"/>
          <w:bCs w:val="false"/>
          <w:i/>
          <w:iCs/>
          <w:sz w:val="22"/>
          <w:szCs w:val="22"/>
        </w:rPr>
        <w:t>PTA</w:t>
      </w:r>
      <w:r>
        <w:rPr>
          <w:rFonts w:eastAsia="Cambria" w:cs="Cambria"/>
          <w:b w:val="false"/>
          <w:bCs w:val="false"/>
          <w:i w:val="false"/>
          <w:iCs w:val="false"/>
          <w:sz w:val="22"/>
          <w:szCs w:val="22"/>
        </w:rPr>
        <w:t xml:space="preserve"> (</w:t>
      </w:r>
      <w:r>
        <w:rPr>
          <w:rFonts w:eastAsia="Cambria" w:cs="Cambria"/>
          <w:b w:val="false"/>
          <w:bCs w:val="false"/>
          <w:i/>
          <w:iCs/>
          <w:sz w:val="22"/>
          <w:szCs w:val="22"/>
        </w:rPr>
        <w:t>Parent Teacher Association</w:t>
      </w:r>
      <w:r>
        <w:rPr>
          <w:rFonts w:eastAsia="Cambria" w:cs="Cambria"/>
          <w:b w:val="false"/>
          <w:bCs w:val="false"/>
          <w:i w:val="false"/>
          <w:iCs w:val="false"/>
          <w:sz w:val="22"/>
          <w:szCs w:val="22"/>
        </w:rPr>
        <w:t xml:space="preserve">) oder die unabhängige </w:t>
      </w:r>
      <w:r>
        <w:rPr>
          <w:rFonts w:eastAsia="Cambria" w:cs="Cambria"/>
          <w:b w:val="false"/>
          <w:bCs w:val="false"/>
          <w:i/>
          <w:iCs/>
          <w:sz w:val="22"/>
          <w:szCs w:val="22"/>
        </w:rPr>
        <w:t>PTO</w:t>
      </w:r>
      <w:r>
        <w:rPr>
          <w:rFonts w:eastAsia="Cambria" w:cs="Cambria"/>
          <w:b w:val="false"/>
          <w:bCs w:val="false"/>
          <w:i w:val="false"/>
          <w:iCs w:val="false"/>
          <w:sz w:val="22"/>
          <w:szCs w:val="22"/>
        </w:rPr>
        <w:t xml:space="preserve"> organisiert Feste und Spendenaktionen (</w:t>
      </w:r>
      <w:r>
        <w:rPr>
          <w:rFonts w:eastAsia="Cambria" w:cs="Cambria"/>
          <w:b w:val="false"/>
          <w:bCs w:val="false"/>
          <w:i/>
          <w:iCs/>
          <w:sz w:val="22"/>
          <w:szCs w:val="22"/>
        </w:rPr>
        <w:t>Fundraiser</w:t>
      </w:r>
      <w:r>
        <w:rPr>
          <w:rFonts w:eastAsia="Cambria" w:cs="Cambria"/>
          <w:b w:val="false"/>
          <w:bCs w:val="false"/>
          <w:i w:val="false"/>
          <w:iCs w:val="false"/>
          <w:sz w:val="22"/>
          <w:szCs w:val="22"/>
        </w:rPr>
        <w:t>) und finanziert Extras; wer mithilft (</w:t>
      </w:r>
      <w:r>
        <w:rPr>
          <w:rFonts w:eastAsia="Cambria" w:cs="Cambria"/>
          <w:b w:val="false"/>
          <w:bCs w:val="false"/>
          <w:i/>
          <w:iCs/>
          <w:sz w:val="22"/>
          <w:szCs w:val="22"/>
        </w:rPr>
        <w:t>Volunteering</w:t>
      </w:r>
      <w:r>
        <w:rPr>
          <w:rFonts w:eastAsia="Cambria" w:cs="Cambria"/>
          <w:b w:val="false"/>
          <w:bCs w:val="false"/>
          <w:i w:val="false"/>
          <w:iCs w:val="false"/>
          <w:sz w:val="22"/>
          <w:szCs w:val="22"/>
        </w:rPr>
        <w:t>), lernt Eltern und Lehrkräfte schnell kennen. Elternportale und Apps informieren über Noten, Termine und Fehlzeiten. Elternsprechtage (</w:t>
      </w:r>
      <w:r>
        <w:rPr>
          <w:rFonts w:eastAsia="Cambria" w:cs="Cambria"/>
          <w:b w:val="false"/>
          <w:bCs w:val="false"/>
          <w:i/>
          <w:iCs/>
          <w:sz w:val="22"/>
          <w:szCs w:val="22"/>
        </w:rPr>
        <w:t>Parent-Teacher Conferences</w:t>
      </w:r>
      <w:r>
        <w:rPr>
          <w:rFonts w:eastAsia="Cambria" w:cs="Cambria"/>
          <w:b w:val="false"/>
          <w:bCs w:val="false"/>
          <w:i w:val="false"/>
          <w:iCs w:val="false"/>
          <w:sz w:val="22"/>
          <w:szCs w:val="22"/>
        </w:rPr>
        <w:t>) gibt es meist ein- bis zweimal im Jahr, Zeugnisse (</w:t>
      </w:r>
      <w:r>
        <w:rPr>
          <w:rFonts w:eastAsia="Cambria" w:cs="Cambria"/>
          <w:b w:val="false"/>
          <w:bCs w:val="false"/>
          <w:i/>
          <w:iCs/>
          <w:sz w:val="22"/>
          <w:szCs w:val="22"/>
        </w:rPr>
        <w:t>Report Cards</w:t>
      </w:r>
      <w:r>
        <w:rPr>
          <w:rFonts w:eastAsia="Cambria" w:cs="Cambria"/>
          <w:b w:val="false"/>
          <w:bCs w:val="false"/>
          <w:i w:val="false"/>
          <w:iCs w:val="false"/>
          <w:sz w:val="22"/>
          <w:szCs w:val="22"/>
        </w:rPr>
        <w:t>) mehrmals. Lehrkräfte werden mit „Mrs.“, „Mr.“ oder „Ms.“ und Nachnamen angesprochen; kurze, freundliche E-Mails sind der übliche Weg.</w:t>
      </w:r>
    </w:p>
    <w:p>
      <w:pPr>
        <w:pStyle w:val="Heading3"/>
        <w:keepNext w:val="true"/>
        <w:spacing w:before="280" w:after="100"/>
        <w:jc w:val="center"/>
        <w:rPr/>
      </w:pPr>
      <w:r>
        <w:rPr>
          <w:rFonts w:eastAsia="Amazon Ember" w:cs="Amazon Ember" w:ascii="Amazon Ember" w:hAnsi="Amazon Ember"/>
          <w:b/>
          <w:bCs/>
          <w:color w:val="0000FF"/>
          <w:sz w:val="36"/>
          <w:szCs w:val="36"/>
        </w:rPr>
        <w:t>Sicherheit: Lockdown-Übungen und Schulschießereien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Wie oft an Schulen geschossen wird, hängt von der Zählweise ab:</w:t>
      </w:r>
    </w:p>
    <w:tbl>
      <w:tblPr>
        <w:tblW w:w="6480" w:type="dxa"/>
        <w:jc w:val="left"/>
        <w:tblInd w:w="0" w:type="dxa"/>
        <w:tblLayout w:type="fixed"/>
        <w:tblCellMar>
          <w:top w:w="50" w:type="dxa"/>
          <w:left w:w="80" w:type="dxa"/>
          <w:bottom w:w="50" w:type="dxa"/>
          <w:right w:w="80" w:type="dxa"/>
        </w:tblCellMar>
      </w:tblPr>
      <w:tblGrid>
        <w:gridCol w:w="2621"/>
        <w:gridCol w:w="1480"/>
        <w:gridCol w:w="2379"/>
      </w:tblGrid>
      <w:tr>
        <w:trPr>
          <w:tblHeader w:val="true"/>
          <w:cantSplit w:val="true"/>
        </w:trPr>
        <w:tc>
          <w:tcPr>
            <w:tcW w:w="262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Quelle</w:t>
            </w:r>
          </w:p>
        </w:tc>
        <w:tc>
          <w:tcPr>
            <w:tcW w:w="148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Zeitraum</w:t>
            </w:r>
          </w:p>
        </w:tc>
        <w:tc>
          <w:tcPr>
            <w:tcW w:w="237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Zahl</w:t>
            </w:r>
          </w:p>
        </w:tc>
      </w:tr>
      <w:tr>
        <w:trPr>
          <w:cantSplit w:val="true"/>
        </w:trPr>
        <w:tc>
          <w:tcPr>
            <w:tcW w:w="26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K-12 SSDB (weiteste Definition)</w:t>
            </w:r>
          </w:p>
        </w:tc>
        <w:tc>
          <w:tcPr>
            <w:tcW w:w="14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2020, 2023, 2025</w:t>
            </w:r>
          </w:p>
        </w:tc>
        <w:tc>
          <w:tcPr>
            <w:tcW w:w="23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116, 352, 233 Vorfälle</w:t>
            </w:r>
          </w:p>
        </w:tc>
      </w:tr>
      <w:tr>
        <w:trPr>
          <w:cantSplit w:val="true"/>
        </w:trPr>
        <w:tc>
          <w:tcPr>
            <w:tcW w:w="26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Everytown</w:t>
            </w:r>
          </w:p>
        </w:tc>
        <w:tc>
          <w:tcPr>
            <w:tcW w:w="14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2024, 2025</w:t>
            </w:r>
          </w:p>
        </w:tc>
        <w:tc>
          <w:tcPr>
            <w:tcW w:w="23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229, mindestens 159 Vorfälle</w:t>
            </w:r>
          </w:p>
        </w:tc>
      </w:tr>
      <w:tr>
        <w:trPr>
          <w:cantSplit w:val="true"/>
        </w:trPr>
        <w:tc>
          <w:tcPr>
            <w:tcW w:w="26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CNN-Datenbank</w:t>
            </w:r>
          </w:p>
        </w:tc>
        <w:tc>
          <w:tcPr>
            <w:tcW w:w="14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2025</w:t>
            </w:r>
          </w:p>
        </w:tc>
        <w:tc>
          <w:tcPr>
            <w:tcW w:w="23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75 Vorfälle</w:t>
            </w:r>
          </w:p>
        </w:tc>
      </w:tr>
      <w:tr>
        <w:trPr>
          <w:cantSplit w:val="true"/>
        </w:trPr>
        <w:tc>
          <w:tcPr>
            <w:tcW w:w="26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NCES (schulbezogene Gewalttote)</w:t>
            </w:r>
          </w:p>
        </w:tc>
        <w:tc>
          <w:tcPr>
            <w:tcW w:w="14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2006–07, 2019–20</w:t>
            </w:r>
          </w:p>
        </w:tc>
        <w:tc>
          <w:tcPr>
            <w:tcW w:w="23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63, 25 Todesfälle</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Datenbank K-12 SSDB zählt jeden Vorfall, bei dem auf dem Schulgelände eine Schusswaffe abgefeuert, mit Schädigungsabsicht gezeigt oder ein Mensch getroffen wird; 2025 war der niedrigste Stand seit 2020, 2023 der Höchststand. Everytown zählt für 2025 insgesamt 53 Tote und 148 Verletzte. Bei 49,6 Mio. Schülern an öffentlichen Schulen ist das Risiko für ein einzelnes Kind gering; Schulen nehmen das Thema trotzdem ernst.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Sicherheitsverfahren gehören deshalb zum Alltag: 2021–22 hatten 97 % der öffentlichen Schulen kontrollierten Zugang zum Gebäude und 93 % Kameras. Im selben Schuljahr übten 95,5 % Lockdown-Verfahren, 93,0 % Evakuierung und 93,5 % den Schutz im Gebäude (</w:t>
      </w:r>
      <w:r>
        <w:rPr>
          <w:rFonts w:eastAsia="Cambria" w:cs="Cambria"/>
          <w:b w:val="false"/>
          <w:bCs w:val="false"/>
          <w:i/>
          <w:iCs/>
          <w:sz w:val="22"/>
          <w:szCs w:val="22"/>
        </w:rPr>
        <w:t>Shelter in Place</w:t>
      </w:r>
      <w:r>
        <w:rPr>
          <w:rFonts w:eastAsia="Cambria" w:cs="Cambria"/>
          <w:b w:val="false"/>
          <w:bCs w:val="false"/>
          <w:i w:val="false"/>
          <w:iCs w:val="false"/>
          <w:sz w:val="22"/>
          <w:szCs w:val="22"/>
        </w:rPr>
        <w:t xml:space="preserve">; NCES). Bei einem </w:t>
      </w:r>
      <w:r>
        <w:rPr>
          <w:rFonts w:eastAsia="Cambria" w:cs="Cambria"/>
          <w:b w:val="false"/>
          <w:bCs w:val="false"/>
          <w:i/>
          <w:iCs/>
          <w:sz w:val="22"/>
          <w:szCs w:val="22"/>
        </w:rPr>
        <w:t>Lockdown</w:t>
      </w:r>
      <w:r>
        <w:rPr>
          <w:rFonts w:eastAsia="Cambria" w:cs="Cambria"/>
          <w:b w:val="false"/>
          <w:bCs w:val="false"/>
          <w:i w:val="false"/>
          <w:iCs w:val="false"/>
          <w:sz w:val="22"/>
          <w:szCs w:val="22"/>
        </w:rPr>
        <w:t xml:space="preserve"> werden Türen verschlossen, das Licht geht aus, und die Kinder bleiben ruhig außerhalb der Sichtlinie zur Tür. Bei einem </w:t>
      </w:r>
      <w:r>
        <w:rPr>
          <w:rFonts w:eastAsia="Cambria" w:cs="Cambria"/>
          <w:b w:val="false"/>
          <w:bCs w:val="false"/>
          <w:i/>
          <w:iCs/>
          <w:sz w:val="22"/>
          <w:szCs w:val="22"/>
        </w:rPr>
        <w:t>Lockout</w:t>
      </w:r>
      <w:r>
        <w:rPr>
          <w:rFonts w:eastAsia="Cambria" w:cs="Cambria"/>
          <w:b w:val="false"/>
          <w:bCs w:val="false"/>
          <w:i w:val="false"/>
          <w:iCs w:val="false"/>
          <w:sz w:val="22"/>
          <w:szCs w:val="22"/>
        </w:rPr>
        <w:t>, einer Gefahr außerhalb des Gebäudes, läuft der Unterricht drinnen weiter. Häufigkeit und Form regeln Staaten und Distrikte; Grundschulen üben meist altersgerecht.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Als Eltern hältst du Kontaktdaten und Benachrichtigungen (SMS, E-Mail, App) aktuell, lässt dir das Abholverfahren nach einem Vorfall erklären (</w:t>
      </w:r>
      <w:r>
        <w:rPr>
          <w:rFonts w:eastAsia="Cambria" w:cs="Cambria"/>
          <w:b w:val="false"/>
          <w:bCs w:val="false"/>
          <w:i/>
          <w:iCs/>
          <w:sz w:val="22"/>
          <w:szCs w:val="22"/>
        </w:rPr>
        <w:t>Reunification</w:t>
      </w:r>
      <w:r>
        <w:rPr>
          <w:rFonts w:eastAsia="Cambria" w:cs="Cambria"/>
          <w:b w:val="false"/>
          <w:bCs w:val="false"/>
          <w:i w:val="false"/>
          <w:iCs w:val="false"/>
          <w:sz w:val="22"/>
          <w:szCs w:val="22"/>
        </w:rPr>
        <w:t>) und sprichst mit deinem Kind über die Übungen. Viele Kinder nehmen sie wie eine Feuerübung, manche belastet es; sprich dann mit der Lehrkraft (zum Waffenrecht im Alltag: Kapitel </w:t>
      </w:r>
      <w:hyperlink w:anchor="k40">
        <w:r>
          <w:rPr>
            <w:rStyle w:val="ListLabel115"/>
            <w:rFonts w:eastAsia="Cambria" w:cs="Cambria"/>
            <w:b w:val="false"/>
            <w:bCs w:val="false"/>
            <w:i w:val="false"/>
            <w:iCs w:val="false"/>
            <w:sz w:val="22"/>
            <w:szCs w:val="22"/>
          </w:rPr>
          <w:t>40</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Mobbing (</w:t>
      </w:r>
      <w:r>
        <w:rPr>
          <w:rFonts w:eastAsia="Cambria" w:cs="Cambria"/>
          <w:b w:val="false"/>
          <w:bCs w:val="false"/>
          <w:i/>
          <w:iCs/>
          <w:sz w:val="22"/>
          <w:szCs w:val="22"/>
        </w:rPr>
        <w:t>Bullying</w:t>
      </w:r>
      <w:r>
        <w:rPr>
          <w:rFonts w:eastAsia="Cambria" w:cs="Cambria"/>
          <w:b w:val="false"/>
          <w:bCs w:val="false"/>
          <w:i w:val="false"/>
          <w:iCs w:val="false"/>
          <w:sz w:val="22"/>
          <w:szCs w:val="22"/>
        </w:rPr>
        <w:t>) hat kein eigenes Bundesgesetz; alle Staaten haben Gesetze, die Schulen zu Regeln und Meldewegen verpflichten. Bei Diskriminierung greifen Bundesrechte (Title VI, Title IX, Section 504); Beschwerden gehen an Schule und Distrikt, dann an das Office for Civil Rights des Bildungsministeriums.</w:t>
      </w:r>
    </w:p>
    <w:p>
      <w:pPr>
        <w:pStyle w:val="Heading3"/>
        <w:keepNext w:val="true"/>
        <w:spacing w:before="280" w:after="100"/>
        <w:jc w:val="center"/>
        <w:rPr/>
      </w:pPr>
      <w:r>
        <w:rPr>
          <w:rFonts w:eastAsia="Amazon Ember" w:cs="Amazon Ember" w:ascii="Amazon Ember" w:hAnsi="Amazon Ember"/>
          <w:b/>
          <w:bCs/>
          <w:color w:val="0000FF"/>
          <w:sz w:val="36"/>
          <w:szCs w:val="36"/>
        </w:rPr>
        <w:t>Sonderförderung: IEP, 504 und Begabtenförderung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Im Schuljahr 2022–23 erhielten 7,5 Mio. Kinder und Jugendliche zwischen 3 und 21 Jahren Sonderförderung nach dem Bundesgesetz IDEA (</w:t>
      </w:r>
      <w:r>
        <w:rPr>
          <w:rFonts w:eastAsia="Cambria" w:cs="Cambria"/>
          <w:b w:val="false"/>
          <w:bCs w:val="false"/>
          <w:i/>
          <w:iCs/>
          <w:sz w:val="22"/>
          <w:szCs w:val="22"/>
        </w:rPr>
        <w:t>Individuals with Disabilities Education Act</w:t>
      </w:r>
      <w:r>
        <w:rPr>
          <w:rFonts w:eastAsia="Cambria" w:cs="Cambria"/>
          <w:b w:val="false"/>
          <w:bCs w:val="false"/>
          <w:i w:val="false"/>
          <w:iCs w:val="false"/>
          <w:sz w:val="22"/>
          <w:szCs w:val="22"/>
        </w:rPr>
        <w:t>), das sind 15 % aller Schüler an öffentlichen Schulen. Am häufigsten (32 %) sind spezifische Lernstörungen wie Legasthenie. Zwei Instrumente zählen:</w:t>
      </w:r>
    </w:p>
    <w:p>
      <w:pPr>
        <w:pStyle w:val="ListParagraph"/>
        <w:numPr>
          <w:ilvl w:val="0"/>
          <w:numId w:val="1"/>
        </w:numPr>
        <w:spacing w:lineRule="exact" w:line="288" w:before="0" w:after="60"/>
        <w:rPr/>
      </w:pPr>
      <w:r>
        <w:rPr>
          <w:rFonts w:eastAsia="Cambria" w:cs="Cambria"/>
          <w:b/>
          <w:bCs/>
          <w:i w:val="false"/>
          <w:iCs w:val="false"/>
          <w:sz w:val="22"/>
          <w:szCs w:val="22"/>
        </w:rPr>
        <w:t>IEP</w:t>
      </w:r>
      <w:r>
        <w:rPr>
          <w:rFonts w:eastAsia="Cambria" w:cs="Cambria"/>
          <w:b w:val="false"/>
          <w:bCs w:val="false"/>
          <w:i w:val="false"/>
          <w:iCs w:val="false"/>
          <w:sz w:val="22"/>
          <w:szCs w:val="22"/>
        </w:rPr>
        <w:t xml:space="preserve"> (</w:t>
      </w:r>
      <w:r>
        <w:rPr>
          <w:rFonts w:eastAsia="Cambria" w:cs="Cambria"/>
          <w:b w:val="false"/>
          <w:bCs w:val="false"/>
          <w:i/>
          <w:iCs/>
          <w:sz w:val="22"/>
          <w:szCs w:val="22"/>
        </w:rPr>
        <w:t>Individualized Education Program</w:t>
      </w:r>
      <w:r>
        <w:rPr>
          <w:rFonts w:eastAsia="Cambria" w:cs="Cambria"/>
          <w:b w:val="false"/>
          <w:bCs w:val="false"/>
          <w:i w:val="false"/>
          <w:iCs w:val="false"/>
          <w:sz w:val="22"/>
          <w:szCs w:val="22"/>
        </w:rPr>
        <w:t>): ein schriftlicher Förderplan mit Zielen, Unterstützung und Anpassungen, von Eltern, Lehrkräften und Fachleuten erstellt und jährlich überprüft; für die Familie kostenlos.</w:t>
      </w:r>
    </w:p>
    <w:p>
      <w:pPr>
        <w:pStyle w:val="ListParagraph"/>
        <w:numPr>
          <w:ilvl w:val="0"/>
          <w:numId w:val="1"/>
        </w:numPr>
        <w:spacing w:lineRule="exact" w:line="288" w:before="0" w:after="60"/>
        <w:rPr/>
      </w:pPr>
      <w:r>
        <w:rPr>
          <w:rFonts w:eastAsia="Cambria" w:cs="Cambria"/>
          <w:b/>
          <w:bCs/>
          <w:i w:val="false"/>
          <w:iCs w:val="false"/>
          <w:sz w:val="22"/>
          <w:szCs w:val="22"/>
        </w:rPr>
        <w:t>504 Plan</w:t>
      </w:r>
      <w:r>
        <w:rPr>
          <w:rFonts w:eastAsia="Cambria" w:cs="Cambria"/>
          <w:b w:val="false"/>
          <w:bCs w:val="false"/>
          <w:i w:val="false"/>
          <w:iCs w:val="false"/>
          <w:sz w:val="22"/>
          <w:szCs w:val="22"/>
        </w:rPr>
        <w:t xml:space="preserve"> (nach Section 504 des Rehabilitation Act): Anpassungen im Regelunterricht, etwa mehr Zeit bei Tests, für Kinder, die keinen Sonderunterricht brauchen, zum Beispiel bei Diabetes, Allergien oder ADHS.</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Du beantragst die Prüfung (</w:t>
      </w:r>
      <w:r>
        <w:rPr>
          <w:rFonts w:eastAsia="Cambria" w:cs="Cambria"/>
          <w:b w:val="false"/>
          <w:bCs w:val="false"/>
          <w:i/>
          <w:iCs/>
          <w:sz w:val="22"/>
          <w:szCs w:val="22"/>
        </w:rPr>
        <w:t>Evaluation</w:t>
      </w:r>
      <w:r>
        <w:rPr>
          <w:rFonts w:eastAsia="Cambria" w:cs="Cambria"/>
          <w:b w:val="false"/>
          <w:bCs w:val="false"/>
          <w:i w:val="false"/>
          <w:iCs w:val="false"/>
          <w:sz w:val="22"/>
          <w:szCs w:val="22"/>
        </w:rPr>
        <w:t>) schriftlich bei der Schulleitung; danach folgt eine Besprechung mit dem Team. Bringe Gutachten und Förderpläne aus Deutschland mit englischer Übersetzung mit: Die Schule testet meist selbst, aber die Unterlagen belegen den Verlauf.</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Hochbegabte (</w:t>
      </w:r>
      <w:r>
        <w:rPr>
          <w:rFonts w:eastAsia="Cambria" w:cs="Cambria"/>
          <w:b w:val="false"/>
          <w:bCs w:val="false"/>
          <w:i/>
          <w:iCs/>
          <w:sz w:val="22"/>
          <w:szCs w:val="22"/>
        </w:rPr>
        <w:t>Gifted and Talented</w:t>
      </w:r>
      <w:r>
        <w:rPr>
          <w:rFonts w:eastAsia="Cambria" w:cs="Cambria"/>
          <w:b w:val="false"/>
          <w:bCs w:val="false"/>
          <w:i w:val="false"/>
          <w:iCs w:val="false"/>
          <w:sz w:val="22"/>
          <w:szCs w:val="22"/>
        </w:rPr>
        <w:t>) gibt es keinen bundesweiten Anspruch. Staaten und Distrikte entscheiden über Tests, Aufnahme und Angebot: Zusatzkurse, eigene Klassen, Honors und AP, auch das Überspringen einer Klasse. Sprachförderung für Kinder mit wenig Englisch: Kapitel </w:t>
      </w:r>
      <w:hyperlink w:anchor="k37">
        <w:r>
          <w:rPr>
            <w:rStyle w:val="ListLabel115"/>
            <w:rFonts w:eastAsia="Cambria" w:cs="Cambria"/>
            <w:b w:val="false"/>
            <w:bCs w:val="false"/>
            <w:i w:val="false"/>
            <w:iCs w:val="false"/>
            <w:sz w:val="22"/>
            <w:szCs w:val="22"/>
          </w:rPr>
          <w:t>37</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Vergleich mit Deutschland: Gymnasium, Gesamtschule, Ganztag, Abitur</w:t>
      </w:r>
    </w:p>
    <w:tbl>
      <w:tblPr>
        <w:tblW w:w="6480" w:type="dxa"/>
        <w:jc w:val="left"/>
        <w:tblInd w:w="0" w:type="dxa"/>
        <w:tblLayout w:type="fixed"/>
        <w:tblCellMar>
          <w:top w:w="50" w:type="dxa"/>
          <w:left w:w="80" w:type="dxa"/>
          <w:bottom w:w="50" w:type="dxa"/>
          <w:right w:w="80" w:type="dxa"/>
        </w:tblCellMar>
      </w:tblPr>
      <w:tblGrid>
        <w:gridCol w:w="949"/>
        <w:gridCol w:w="3231"/>
        <w:gridCol w:w="2300"/>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Thema</w:t>
            </w:r>
          </w:p>
        </w:tc>
        <w:tc>
          <w:tcPr>
            <w:tcW w:w="323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Deutschland</w:t>
            </w:r>
          </w:p>
        </w:tc>
        <w:tc>
          <w:tcPr>
            <w:tcW w:w="230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USA</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 der Grundschule</w:t>
            </w:r>
          </w:p>
        </w:tc>
        <w:tc>
          <w:tcPr>
            <w:tcW w:w="32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Aufteilung auf Schulformen (Gymnasium, Realschule, Gesamtschule) meist ab Klasse 5</w:t>
            </w:r>
          </w:p>
        </w:tc>
        <w:tc>
          <w:tcPr>
            <w:tcW w:w="23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eine gemeinsame Middle und High School</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Leistungsstufen</w:t>
            </w:r>
          </w:p>
        </w:tc>
        <w:tc>
          <w:tcPr>
            <w:tcW w:w="32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Schulform</w:t>
            </w:r>
          </w:p>
        </w:tc>
        <w:tc>
          <w:tcPr>
            <w:tcW w:w="23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Kurse: Honors, AP, IB</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Tag</w:t>
            </w:r>
          </w:p>
        </w:tc>
        <w:tc>
          <w:tcPr>
            <w:tcW w:w="32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Halbtag oder Ganztag</w:t>
            </w:r>
          </w:p>
        </w:tc>
        <w:tc>
          <w:tcPr>
            <w:tcW w:w="23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ca. 15 Uhr, dann Sport und Clubs</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Noten</w:t>
            </w:r>
          </w:p>
        </w:tc>
        <w:tc>
          <w:tcPr>
            <w:tcW w:w="32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 (beste) bis 6</w:t>
            </w:r>
          </w:p>
        </w:tc>
        <w:tc>
          <w:tcPr>
            <w:tcW w:w="23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 (beste) bis F, GPA</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Abschluss</w:t>
            </w:r>
          </w:p>
        </w:tc>
        <w:tc>
          <w:tcPr>
            <w:tcW w:w="32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Abitur, zugleich Hochschulreife</w:t>
            </w:r>
          </w:p>
        </w:tc>
        <w:tc>
          <w:tcPr>
            <w:tcW w:w="23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Diploma; Bewerbung mit GPA, Tests, Aufsatz</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amerikanische Comprehensive High School ähnelt eher der Gesamtschule: Alle Kinder eines Einzugsgebiets gehen in dieselbe Schule, die Leistungsstufen entstehen fachweise über Kurse, und die Auslese fällt später über Kurswahl, GPA und Testergebnisse. Berufliche Bildung läuft als Kursangebot in der High School (</w:t>
      </w:r>
      <w:r>
        <w:rPr>
          <w:rFonts w:eastAsia="Cambria" w:cs="Cambria"/>
          <w:b w:val="false"/>
          <w:bCs w:val="false"/>
          <w:i/>
          <w:iCs/>
          <w:sz w:val="22"/>
          <w:szCs w:val="22"/>
        </w:rPr>
        <w:t>Career and Technical Education</w:t>
      </w:r>
      <w:r>
        <w:rPr>
          <w:rFonts w:eastAsia="Cambria" w:cs="Cambria"/>
          <w:b w:val="false"/>
          <w:bCs w:val="false"/>
          <w:i w:val="false"/>
          <w:iCs w:val="false"/>
          <w:sz w:val="22"/>
          <w:szCs w:val="22"/>
        </w:rPr>
        <w:t>); die duale Ausbildung mit Berufsschule ist in den USA die Ausnahme.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Das US-Diploma sei automatisch gleichwertig mit dem Abitur. Tatsächlich bescheinigt das </w:t>
      </w:r>
      <w:r>
        <w:rPr>
          <w:rFonts w:eastAsia="Cambria" w:cs="Cambria"/>
          <w:b w:val="false"/>
          <w:bCs w:val="false"/>
          <w:i/>
          <w:iCs/>
          <w:sz w:val="22"/>
          <w:szCs w:val="22"/>
        </w:rPr>
        <w:t>Diploma</w:t>
      </w:r>
      <w:r>
        <w:rPr>
          <w:rFonts w:eastAsia="Cambria" w:cs="Cambria"/>
          <w:b w:val="false"/>
          <w:bCs w:val="false"/>
          <w:i w:val="false"/>
          <w:iCs w:val="false"/>
          <w:sz w:val="22"/>
          <w:szCs w:val="22"/>
        </w:rPr>
        <w:t xml:space="preserve"> nur, dass die Credits erfüllt sind; über die Aufnahme entscheiden die Hochschulen einzeln, und umgekehrt genügt es für deutsche Hochschulen allein oft nicht (DAAD). Wege sind das Studienkolleg mit Feststellungsprüfung, ein bis zwei Jahre US-College oder eine Einzelfallbewertung; ein IB-Diplom kann direkten Zugang bringen (Kapitel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 Was für Rückkehrer gilt, steht in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Welche Altersstufen es schwer haben</w:t>
      </w:r>
    </w:p>
    <w:p>
      <w:pPr>
        <w:pStyle w:val="ListParagraph"/>
        <w:numPr>
          <w:ilvl w:val="0"/>
          <w:numId w:val="1"/>
        </w:numPr>
        <w:spacing w:lineRule="exact" w:line="288" w:before="0" w:after="60"/>
        <w:rPr/>
      </w:pPr>
      <w:r>
        <w:rPr>
          <w:rFonts w:eastAsia="Cambria" w:cs="Cambria"/>
          <w:b/>
          <w:bCs/>
          <w:i w:val="false"/>
          <w:iCs w:val="false"/>
          <w:sz w:val="22"/>
          <w:szCs w:val="22"/>
        </w:rPr>
        <w:t>Pre-K bis Grade 3:</w:t>
      </w:r>
      <w:r>
        <w:rPr>
          <w:rFonts w:eastAsia="Cambria" w:cs="Cambria"/>
          <w:b w:val="false"/>
          <w:bCs w:val="false"/>
          <w:i w:val="false"/>
          <w:iCs w:val="false"/>
          <w:sz w:val="22"/>
          <w:szCs w:val="22"/>
        </w:rPr>
        <w:t xml:space="preserve"> Der Anschluss gelingt meist leicht: Kinder lernen Englisch schnell, Noten spielen kaum eine Rolle. Vielerorts hat der Kindergarten aber Lese- und Rechenziele; frage die Schule danach.</w:t>
      </w:r>
    </w:p>
    <w:p>
      <w:pPr>
        <w:pStyle w:val="ListParagraph"/>
        <w:numPr>
          <w:ilvl w:val="0"/>
          <w:numId w:val="1"/>
        </w:numPr>
        <w:spacing w:lineRule="exact" w:line="288" w:before="0" w:after="60"/>
        <w:rPr/>
      </w:pPr>
      <w:r>
        <w:rPr>
          <w:rFonts w:eastAsia="Cambria" w:cs="Cambria"/>
          <w:b/>
          <w:bCs/>
          <w:i w:val="false"/>
          <w:iCs w:val="false"/>
          <w:sz w:val="22"/>
          <w:szCs w:val="22"/>
        </w:rPr>
        <w:t>Grade 4 bis 8:</w:t>
      </w:r>
      <w:r>
        <w:rPr>
          <w:rFonts w:eastAsia="Cambria" w:cs="Cambria"/>
          <w:b w:val="false"/>
          <w:bCs w:val="false"/>
          <w:i w:val="false"/>
          <w:iCs w:val="false"/>
          <w:sz w:val="22"/>
          <w:szCs w:val="22"/>
        </w:rPr>
        <w:t xml:space="preserve"> Die Sprache wird akademisch, und die Middle School bringt Fachlehrkräfte, Klassenwechsel und den Beginn der Teenagerzeit. Plane Geduld und Sprachförderung ein.</w:t>
      </w:r>
    </w:p>
    <w:p>
      <w:pPr>
        <w:pStyle w:val="ListParagraph"/>
        <w:numPr>
          <w:ilvl w:val="0"/>
          <w:numId w:val="1"/>
        </w:numPr>
        <w:spacing w:lineRule="exact" w:line="288" w:before="0" w:after="60"/>
        <w:rPr/>
      </w:pPr>
      <w:r>
        <w:rPr>
          <w:rFonts w:eastAsia="Cambria" w:cs="Cambria"/>
          <w:b/>
          <w:bCs/>
          <w:i w:val="false"/>
          <w:iCs w:val="false"/>
          <w:sz w:val="22"/>
          <w:szCs w:val="22"/>
        </w:rPr>
        <w:t>Grade 9 und 10:</w:t>
      </w:r>
      <w:r>
        <w:rPr>
          <w:rFonts w:eastAsia="Cambria" w:cs="Cambria"/>
          <w:b w:val="false"/>
          <w:bCs w:val="false"/>
          <w:i w:val="false"/>
          <w:iCs w:val="false"/>
          <w:sz w:val="22"/>
          <w:szCs w:val="22"/>
        </w:rPr>
        <w:t xml:space="preserve"> Machbar, aber jetzt fallen die Weichen für Kurswahl, GPA und Clubs. Suche früh das Gespräch mit dem Counselor.</w:t>
      </w:r>
    </w:p>
    <w:p>
      <w:pPr>
        <w:pStyle w:val="ListParagraph"/>
        <w:numPr>
          <w:ilvl w:val="0"/>
          <w:numId w:val="1"/>
        </w:numPr>
        <w:spacing w:lineRule="exact" w:line="288" w:before="0" w:after="60"/>
        <w:rPr/>
      </w:pPr>
      <w:r>
        <w:rPr>
          <w:rFonts w:eastAsia="Cambria" w:cs="Cambria"/>
          <w:b/>
          <w:bCs/>
          <w:i w:val="false"/>
          <w:iCs w:val="false"/>
          <w:sz w:val="22"/>
          <w:szCs w:val="22"/>
        </w:rPr>
        <w:t>Grade 11 und 12:</w:t>
      </w:r>
      <w:r>
        <w:rPr>
          <w:rFonts w:eastAsia="Cambria" w:cs="Cambria"/>
          <w:b w:val="false"/>
          <w:bCs w:val="false"/>
          <w:i w:val="false"/>
          <w:iCs w:val="false"/>
          <w:sz w:val="22"/>
          <w:szCs w:val="22"/>
        </w:rPr>
        <w:t xml:space="preserve"> Der schwierigste Zeitpunkt. Credits fehlen, der GPA aus Grade 11 zählt besonders, SAT oder ACT stehen an, und die College-Fristen liegen im Herbst des letzten Jahres.</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Bei Teenagern in Grade 11 oder 12 lohnt es, vor dem Umzug zu rechnen: Fehlen Credits? Reicht die Zeit für Tests und Bewerbungen? Alternativen sind ein Umzug nach dem Schulabschluss oder eine deutsche Auslandsschule. Bei H-4 und L-2 endet der Kinderstatus mit 21 (Kapitel </w:t>
            </w:r>
            <w:hyperlink w:anchor="k10">
              <w:r>
                <w:rPr>
                  <w:rStyle w:val="ListLabel114"/>
                  <w:rFonts w:eastAsia="Cambria" w:cs="Cambria"/>
                  <w:b w:val="false"/>
                  <w:bCs w:val="false"/>
                  <w:i w:val="false"/>
                  <w:iCs w:val="false"/>
                  <w:sz w:val="20"/>
                  <w:szCs w:val="20"/>
                </w:rPr>
                <w:t>10</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einfachsten ist der Sommer vor Schuljahresbeginn; ein Wechsel im laufenden Jahr ist möglich.</w:t>
      </w:r>
    </w:p>
    <w:p>
      <w:pPr>
        <w:pStyle w:val="Heading3"/>
        <w:keepNext w:val="true"/>
        <w:spacing w:before="280" w:after="100"/>
        <w:jc w:val="center"/>
        <w:rPr/>
      </w:pPr>
      <w:r>
        <w:rPr>
          <w:rFonts w:eastAsia="Amazon Ember" w:cs="Amazon Ember" w:ascii="Amazon Ember" w:hAnsi="Amazon Ember"/>
          <w:b/>
          <w:bCs/>
          <w:color w:val="0000FF"/>
          <w:sz w:val="36"/>
          <w:szCs w:val="36"/>
        </w:rPr>
        <w:t>Deutsche Schulen und Deutsch bewahren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deutschen Unterricht oder einen deutschen Abschluss sucht, hat drei Wege. Erstens die </w:t>
      </w:r>
      <w:r>
        <w:rPr>
          <w:rFonts w:eastAsia="Cambria" w:cs="Cambria"/>
          <w:b w:val="false"/>
          <w:bCs w:val="false"/>
          <w:i/>
          <w:iCs/>
          <w:sz w:val="22"/>
          <w:szCs w:val="22"/>
        </w:rPr>
        <w:t>deutschen Auslandsschulen</w:t>
      </w:r>
      <w:r>
        <w:rPr>
          <w:rFonts w:eastAsia="Cambria" w:cs="Cambria"/>
          <w:b w:val="false"/>
          <w:bCs w:val="false"/>
          <w:i w:val="false"/>
          <w:iCs w:val="false"/>
          <w:sz w:val="22"/>
          <w:szCs w:val="22"/>
        </w:rPr>
        <w:t>, die Schulgeld kosten. Nach verfügbaren Listen bestehen sie unter anderem in Mountain View und San Francisco (</w:t>
      </w:r>
      <w:r>
        <w:rPr>
          <w:rFonts w:eastAsia="Cambria" w:cs="Cambria"/>
          <w:b w:val="false"/>
          <w:bCs w:val="false"/>
          <w:i/>
          <w:iCs/>
          <w:sz w:val="22"/>
          <w:szCs w:val="22"/>
        </w:rPr>
        <w:t>German International School Silicon Valley</w:t>
      </w:r>
      <w:r>
        <w:rPr>
          <w:rFonts w:eastAsia="Cambria" w:cs="Cambria"/>
          <w:b w:val="false"/>
          <w:bCs w:val="false"/>
          <w:i w:val="false"/>
          <w:iCs w:val="false"/>
          <w:sz w:val="22"/>
          <w:szCs w:val="22"/>
        </w:rPr>
        <w:t>, GISSV), Boston, Chicago, Stamford, West Hartford, White Plains (</w:t>
      </w:r>
      <w:r>
        <w:rPr>
          <w:rFonts w:eastAsia="Cambria" w:cs="Cambria"/>
          <w:b w:val="false"/>
          <w:bCs w:val="false"/>
          <w:i/>
          <w:iCs/>
          <w:sz w:val="22"/>
          <w:szCs w:val="22"/>
        </w:rPr>
        <w:t>German International School New York</w:t>
      </w:r>
      <w:r>
        <w:rPr>
          <w:rFonts w:eastAsia="Cambria" w:cs="Cambria"/>
          <w:b w:val="false"/>
          <w:bCs w:val="false"/>
          <w:i w:val="false"/>
          <w:iCs w:val="false"/>
          <w:sz w:val="22"/>
          <w:szCs w:val="22"/>
        </w:rPr>
        <w:t>, GISNY), Brooklyn, Portland, Washington, D.C. und Phoenix; die Stufen unterscheiden sich, aktueller Stand bei der Zentralstelle für das Auslandsschulwesen (auslandsschulwesen.de).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Kosten 2026–27: Die GISNY verlangt 29.600 $ pro Jahr für alle Klassen, inklusive Mittagessen und Büchern. Die GISSV in Mountain View nimmt 27.700 $ für Klasse 1–4, 32.200 $ für Klasse 5–8 und 35.750 $ für Klasse 9–12. Dazu kommen dort 75 $ Bewerbungsgebühr, 825 $ Einschreibung pro Kind und Jahr sowie 150 $ und 1.250 $ Beiträge pro Familie; Geschwister erhalten 10 % bzw. 20 % Rabatt. Beide Schulen vergeben das Deutsche Internationale Abitur (DIA), das wie das Abitur gilt, und das US-High-School-Diploma.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Zweitens die öffentliche </w:t>
      </w:r>
      <w:r>
        <w:rPr>
          <w:rFonts w:eastAsia="Cambria" w:cs="Cambria"/>
          <w:b w:val="false"/>
          <w:bCs w:val="false"/>
          <w:i/>
          <w:iCs/>
          <w:sz w:val="22"/>
          <w:szCs w:val="22"/>
        </w:rPr>
        <w:t>Immersionsschule</w:t>
      </w:r>
      <w:r>
        <w:rPr>
          <w:rFonts w:eastAsia="Cambria" w:cs="Cambria"/>
          <w:b w:val="false"/>
          <w:bCs w:val="false"/>
          <w:i w:val="false"/>
          <w:iCs w:val="false"/>
          <w:sz w:val="22"/>
          <w:szCs w:val="22"/>
        </w:rPr>
        <w:t xml:space="preserve">: Die Twin Cities German Immersion School in St. Paul, Minnesota, ist eine kostenlose öffentliche Charter-Schule für K–8 mit überwiegend deutschem Unterricht; Kinder ohne Deutsch werden unterstützt. Ähnliche Programme gibt es laut Listen in Milwaukee. Drittens die </w:t>
      </w:r>
      <w:r>
        <w:rPr>
          <w:rFonts w:eastAsia="Cambria" w:cs="Cambria"/>
          <w:b w:val="false"/>
          <w:bCs w:val="false"/>
          <w:i/>
          <w:iCs/>
          <w:sz w:val="22"/>
          <w:szCs w:val="22"/>
        </w:rPr>
        <w:t>Samstagsschule</w:t>
      </w:r>
      <w:r>
        <w:rPr>
          <w:rFonts w:eastAsia="Cambria" w:cs="Cambria"/>
          <w:b w:val="false"/>
          <w:bCs w:val="false"/>
          <w:i w:val="false"/>
          <w:iCs w:val="false"/>
          <w:sz w:val="22"/>
          <w:szCs w:val="22"/>
        </w:rPr>
        <w:t xml:space="preserve"> neben der öffentlichen Schule, etwa an der GISSV, in Boston und in Tempe bei Phoenix (mehr in Kapitel </w:t>
      </w:r>
      <w:hyperlink w:anchor="k37">
        <w:r>
          <w:rPr>
            <w:rStyle w:val="ListLabel115"/>
            <w:rFonts w:eastAsia="Cambria" w:cs="Cambria"/>
            <w:b w:val="false"/>
            <w:bCs w:val="false"/>
            <w:i w:val="false"/>
            <w:iCs w:val="false"/>
            <w:sz w:val="22"/>
            <w:szCs w:val="22"/>
          </w:rPr>
          <w:t>37</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Geht es dir vor allem um die Sprache, genügt oft die kostenlose öffentliche Schule plus eine Samstagsschule für Deutsch. Das erspart Schulgeld von 27.000 bis 36.000 $ pro Kind und Jahr. Willst du an eine Auslandsschule, frage früh an: Wartelisten und Einstufungsgespräche brauchen Zeit.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Öffentliche Schulen sind kostenlos, Anmeldung ohne SSN und Statusnachweis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Qualität und Ausstattung hängen an Wohnort, Distrikt und Grundsteuer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Große Kurswahl an der High School (Honors, AP, Kunst, Musik, Technik)</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Schulschießereien und Lockdown-Übungen gehören zum Alltag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Sport, Musik und Clubs direkt an der Schule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10–12 Wochen Sommerferien: Betreuungslücke, Camps kosten extra</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Schule läuft bis in den Nachmittag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Zusatzkosten für Sport, Materialien und Ausflüge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Späte Auslese statt früher Trennung nach der Grundschule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Pflichttests und GPA ab Grade 9 erzeugen Leistungsdruck</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Viele Schulen sind an Neuzugewanderte gewöhnt (Kapitel </w:t>
            </w:r>
            <w:hyperlink w:anchor="k37">
              <w:r>
                <w:rPr>
                  <w:rStyle w:val="ListLabel112"/>
                  <w:rFonts w:eastAsia="Cambria" w:cs="Cambria"/>
                  <w:b w:val="false"/>
                  <w:bCs w:val="false"/>
                  <w:i w:val="false"/>
                  <w:iCs w:val="false"/>
                  <w:sz w:val="18"/>
                  <w:szCs w:val="18"/>
                </w:rPr>
                <w:t>37</w:t>
              </w:r>
            </w:hyperlink>
            <w:r>
              <w:rPr>
                <w:rFonts w:eastAsia="Cambria" w:cs="Cambria"/>
                <w:b w:val="false"/>
                <w:bCs w:val="false"/>
                <w:i w:val="false"/>
                <w:iCs w:val="false"/>
                <w:sz w:val="18"/>
                <w:szCs w:val="18"/>
              </w:rPr>
              <w: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Umzug in Grade 11 oder 12 schwierig; US-Diploma ist nicht das Abitur</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Kläre zuerst Wohnort und Distrikt, dann Stichtag und Einstufung, sammle die Unterlagen und plane die Anmeldung mit dem Mietvertrag ein; bei Teenagern sprich früh mit dem Counselor über Credits und Abschluss.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Schuldistrikt der Adresse auf der Distrikt-Website prüfen und die Zuordnung schriftlich bestätigen lassen, bevor du unterschreibst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Zwei bis drei Distrikte mit Rating, Wachstumswert und Schulbericht vergleichen und mindestens eine Schule besuchen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Stichtag und Einstufung des Kindes beim Distrikt klären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Geburtsurkunde, Reisepass, letzte Zeugnisse (mit Übersetzung) und Impfpass ins Handgepäck legen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Impfstatus vor dem Abflug mit dem Kinderarzt und der Liste des Zielstaats abgleichen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Wohnsitznachweis vorbereiten: Mietvertrag und eine Rechnung mit der neuen Adresse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Charter- und Magnet-Schulen die Bewerbungsfrist (oft Dezember bis Februar) notieren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Gutachten und Förderpläne aus Deutschland übersetzen lassen, falls dein Kind Förderbedarf hat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Sommerbetreuung und After Care früh anfragen; bei Teenagern Credits mit dem Counselor klären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NCES, Bildungsstatistikbehörde — Schüler, Schulfinanzen, Charter-Schulen, Sicherheit (</w:t>
      </w:r>
      <w:hyperlink r:id="rId346">
        <w:r>
          <w:rPr>
            <w:rStyle w:val="ListLabel113"/>
            <w:rFonts w:eastAsia="Cambria" w:cs="Cambria"/>
            <w:b w:val="false"/>
            <w:bCs w:val="false"/>
            <w:i w:val="false"/>
            <w:iCs w:val="false"/>
            <w:color w:val="0563C1"/>
            <w:sz w:val="22"/>
            <w:szCs w:val="22"/>
            <w:u w:val="single"/>
          </w:rPr>
          <w:t>nces.ed.gov/fastfacts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NCES Digest of Education Statistics — Sicherheitsübungen, Privatschulen (</w:t>
      </w:r>
      <w:hyperlink r:id="rId347">
        <w:r>
          <w:rPr>
            <w:rStyle w:val="ListLabel113"/>
            <w:rFonts w:eastAsia="Cambria" w:cs="Cambria"/>
            <w:b w:val="false"/>
            <w:bCs w:val="false"/>
            <w:i w:val="false"/>
            <w:iCs w:val="false"/>
            <w:color w:val="0563C1"/>
            <w:sz w:val="22"/>
            <w:szCs w:val="22"/>
            <w:u w:val="single"/>
          </w:rPr>
          <w:t>nces.ed.gov/programs/digest</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Bildungsministerium der USA — Schulrecht, IDEA, Beschwerden beim Office for Civil Rights (</w:t>
      </w:r>
      <w:hyperlink r:id="rId348">
        <w:r>
          <w:rPr>
            <w:rStyle w:val="ListLabel113"/>
            <w:rFonts w:eastAsia="Cambria" w:cs="Cambria"/>
            <w:b w:val="false"/>
            <w:bCs w:val="false"/>
            <w:i w:val="false"/>
            <w:iCs w:val="false"/>
            <w:color w:val="0563C1"/>
            <w:sz w:val="22"/>
            <w:szCs w:val="22"/>
            <w:u w:val="single"/>
          </w:rPr>
          <w:t>ed.gov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GreatSchools — Methodik der Schulbewertungen (</w:t>
      </w:r>
      <w:hyperlink r:id="rId349">
        <w:r>
          <w:rPr>
            <w:rStyle w:val="ListLabel113"/>
            <w:rFonts w:eastAsia="Cambria" w:cs="Cambria"/>
            <w:b w:val="false"/>
            <w:bCs w:val="false"/>
            <w:i w:val="false"/>
            <w:iCs w:val="false"/>
            <w:color w:val="0563C1"/>
            <w:sz w:val="22"/>
            <w:szCs w:val="22"/>
            <w:u w:val="single"/>
          </w:rPr>
          <w:t>greatschools.org/gk/ratings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Bildungsbehörde deines Staates — Schulberichte, z. B. für Michigan (</w:t>
      </w:r>
      <w:hyperlink r:id="rId350">
        <w:r>
          <w:rPr>
            <w:rStyle w:val="ListLabel113"/>
            <w:rFonts w:eastAsia="Cambria" w:cs="Cambria"/>
            <w:b w:val="false"/>
            <w:bCs w:val="false"/>
            <w:i w:val="false"/>
            <w:iCs w:val="false"/>
            <w:color w:val="0563C1"/>
            <w:sz w:val="22"/>
            <w:szCs w:val="22"/>
            <w:u w:val="single"/>
          </w:rPr>
          <w:t>mischooldata.org</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Zentralstelle für das Auslandsschulwesen — Deutsche Schulen im Ausland (</w:t>
      </w:r>
      <w:hyperlink r:id="rId351">
        <w:r>
          <w:rPr>
            <w:rStyle w:val="ListLabel113"/>
            <w:rFonts w:eastAsia="Cambria" w:cs="Cambria"/>
            <w:b w:val="false"/>
            <w:bCs w:val="false"/>
            <w:i w:val="false"/>
            <w:iCs w:val="false"/>
            <w:color w:val="0563C1"/>
            <w:sz w:val="22"/>
            <w:szCs w:val="22"/>
            <w:u w:val="single"/>
          </w:rPr>
          <w:t>auslandsschulwesen.de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College Board — SAT, AP, Studienplanung (</w:t>
      </w:r>
      <w:hyperlink r:id="rId352">
        <w:r>
          <w:rPr>
            <w:rStyle w:val="ListLabel113"/>
            <w:rFonts w:eastAsia="Cambria" w:cs="Cambria"/>
            <w:b w:val="false"/>
            <w:bCs w:val="false"/>
            <w:i w:val="false"/>
            <w:iCs w:val="false"/>
            <w:color w:val="0563C1"/>
            <w:sz w:val="22"/>
            <w:szCs w:val="22"/>
            <w:u w:val="single"/>
          </w:rPr>
          <w:t>collegeboard.org</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September 2026. Diese Angaben ändern sich schnell: Schulgelder der deutschen Auslandsschulen (Zahlen für 2026–27), Testpflichten der Hochschulen, Gesetzentwürfe zu </w:t>
            </w:r>
            <w:r>
              <w:rPr>
                <w:rFonts w:eastAsia="Cambria" w:cs="Cambria"/>
                <w:b w:val="false"/>
                <w:bCs w:val="false"/>
                <w:i/>
                <w:iCs/>
                <w:sz w:val="20"/>
                <w:szCs w:val="20"/>
              </w:rPr>
              <w:t>Plyler v. Doe</w:t>
            </w:r>
            <w:r>
              <w:rPr>
                <w:rFonts w:eastAsia="Cambria" w:cs="Cambria"/>
                <w:b w:val="false"/>
                <w:bCs w:val="false"/>
                <w:i w:val="false"/>
                <w:iCs w:val="false"/>
                <w:sz w:val="20"/>
                <w:szCs w:val="20"/>
              </w:rPr>
              <w:t>, Schulwahlprogramme und Sicherheitsstatistiken. Stichtage, Anmeldefristen und Einzugsgebiete legt jeder Distrikt selbst fest; prüfe vor jeder Entscheidung seine Website.</w:t>
            </w:r>
          </w:p>
        </w:tc>
      </w:tr>
    </w:tbl>
    <w:p>
      <w:pPr>
        <w:pStyle w:val="Normal"/>
        <w:spacing w:lineRule="exact" w:line="220" w:before="0" w:after="0"/>
        <w:rPr/>
      </w:pPr>
      <w:r>
        <w:rPr/>
      </w:r>
      <w:r>
        <w:br w:type="page"/>
      </w:r>
    </w:p>
    <w:p>
      <w:pPr>
        <w:pStyle w:val="Heading2"/>
        <w:keepNext w:val="true"/>
        <w:spacing w:before="0" w:after="300"/>
        <w:jc w:val="center"/>
        <w:rPr/>
      </w:pPr>
      <w:bookmarkStart w:id="90" w:name="__RefHeading___Toc56517_3769931028"/>
      <w:bookmarkStart w:id="91" w:name="k37"/>
      <w:bookmarkEnd w:id="90"/>
      <w:r>
        <w:rPr>
          <w:rFonts w:eastAsia="Amazon Ember" w:cs="Amazon Ember" w:ascii="Amazon Ember" w:hAnsi="Amazon Ember"/>
          <w:b/>
          <w:bCs/>
          <w:color w:val="0000FF"/>
          <w:sz w:val="36"/>
          <w:szCs w:val="36"/>
        </w:rPr>
        <w:t>Kapitel 37: ESL und Sprache: Englisch lernen und Deutsch bewahren</w:t>
      </w:r>
      <w:bookmarkEnd w:id="91"/>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der Anmeldung liegt ein Blatt mit wenigen Fragen: Welche Sprache hat dein Kind zuerst gelernt? Welche spricht es zu Hause? Drei Wochen später kommt ein Brief mit dem Titel „English Learner Notification“. Das klingt nach Problem, ist aber Routine: Die Schule bietet Sprachförderung an, und du hast dabei Rechte. Dieses Kapitel erklärt den Ablauf, zeigt, wie Deutsch in der Familie lebendig bleibt, und gibt Erwachsenen Werkzeuge für das eigene Englisch.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Öffentliche Schulen müssen Kindern mit geringen Englischkenntnissen helfen, unabhängig vom Aufenthaltsstatus; welches Programm, entscheidet der Distrikt.</w:t>
            </w:r>
          </w:p>
          <w:p>
            <w:pPr>
              <w:pStyle w:val="ListParagraph"/>
              <w:numPr>
                <w:ilvl w:val="0"/>
                <w:numId w:val="1"/>
              </w:numPr>
              <w:spacing w:lineRule="exact" w:line="264" w:before="0" w:after="50"/>
              <w:rPr/>
            </w:pPr>
            <w:r>
              <w:rPr>
                <w:rFonts w:eastAsia="Cambria" w:cs="Cambria"/>
                <w:b w:val="false"/>
                <w:bCs w:val="false"/>
                <w:i w:val="false"/>
                <w:iCs w:val="false"/>
                <w:sz w:val="20"/>
                <w:szCs w:val="20"/>
              </w:rPr>
              <w:t>Der Ablauf ist überall ähnlich: Fragebogen, Einstufungstest, Elternbrief, Förderung, Jahrestest, Umstufung.</w:t>
            </w:r>
          </w:p>
          <w:p>
            <w:pPr>
              <w:pStyle w:val="ListParagraph"/>
              <w:numPr>
                <w:ilvl w:val="0"/>
                <w:numId w:val="1"/>
              </w:numPr>
              <w:spacing w:lineRule="exact" w:line="264" w:before="0" w:after="50"/>
              <w:rPr/>
            </w:pPr>
            <w:r>
              <w:rPr>
                <w:rFonts w:eastAsia="Cambria" w:cs="Cambria"/>
                <w:b w:val="false"/>
                <w:bCs w:val="false"/>
                <w:i w:val="false"/>
                <w:iCs w:val="false"/>
                <w:sz w:val="20"/>
                <w:szCs w:val="20"/>
              </w:rPr>
              <w:t>Umgangssprache sitzt nach ein bis zwei Jahren, Schul- und Fachsprache braucht fünf bis sieben.</w:t>
            </w:r>
          </w:p>
          <w:p>
            <w:pPr>
              <w:pStyle w:val="ListParagraph"/>
              <w:numPr>
                <w:ilvl w:val="0"/>
                <w:numId w:val="1"/>
              </w:numPr>
              <w:spacing w:lineRule="exact" w:line="264" w:before="0" w:after="50"/>
              <w:rPr/>
            </w:pPr>
            <w:r>
              <w:rPr>
                <w:rFonts w:eastAsia="Cambria" w:cs="Cambria"/>
                <w:b w:val="false"/>
                <w:bCs w:val="false"/>
                <w:i w:val="false"/>
                <w:iCs w:val="false"/>
                <w:sz w:val="20"/>
                <w:szCs w:val="20"/>
              </w:rPr>
              <w:t>Du darfst das Programm ablehnen; meist ist es klüger, es zu nutzen und nach den Zielen zu fragen.</w:t>
            </w:r>
          </w:p>
          <w:p>
            <w:pPr>
              <w:pStyle w:val="ListParagraph"/>
              <w:numPr>
                <w:ilvl w:val="0"/>
                <w:numId w:val="1"/>
              </w:numPr>
              <w:spacing w:lineRule="exact" w:line="264" w:before="0" w:after="50"/>
              <w:rPr/>
            </w:pPr>
            <w:r>
              <w:rPr>
                <w:rFonts w:eastAsia="Cambria" w:cs="Cambria"/>
                <w:b w:val="false"/>
                <w:bCs w:val="false"/>
                <w:i w:val="false"/>
                <w:iCs w:val="false"/>
                <w:sz w:val="20"/>
                <w:szCs w:val="20"/>
              </w:rPr>
              <w:t>Deutsch bleibt nur erhalten, wenn ihr es bewusst pflegt: Familiensprache, Lesen, Samstagsschule oder Immersionsschule.</w:t>
            </w:r>
          </w:p>
          <w:p>
            <w:pPr>
              <w:pStyle w:val="ListParagraph"/>
              <w:numPr>
                <w:ilvl w:val="0"/>
                <w:numId w:val="1"/>
              </w:numPr>
              <w:spacing w:lineRule="exact" w:line="264" w:before="0" w:after="50"/>
              <w:rPr/>
            </w:pPr>
            <w:r>
              <w:rPr>
                <w:rFonts w:eastAsia="Cambria" w:cs="Cambria"/>
                <w:b w:val="false"/>
                <w:bCs w:val="false"/>
                <w:i w:val="false"/>
                <w:iCs w:val="false"/>
                <w:sz w:val="20"/>
                <w:szCs w:val="20"/>
              </w:rPr>
              <w:t>Erwachsene finden günstige Kurse in Bibliotheken und Community Colleges; Englischtests brauchst du nur für ein konkretes Ziel.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Rechtsanspruch: Was die Schule leisten muss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Kinder ohne ausreichende Englischkenntnisse heißen in den USA </w:t>
      </w:r>
      <w:r>
        <w:rPr>
          <w:rFonts w:eastAsia="Cambria" w:cs="Cambria"/>
          <w:b w:val="false"/>
          <w:bCs w:val="false"/>
          <w:i/>
          <w:iCs/>
          <w:sz w:val="22"/>
          <w:szCs w:val="22"/>
        </w:rPr>
        <w:t>English Learners</w:t>
      </w:r>
      <w:r>
        <w:rPr>
          <w:rFonts w:eastAsia="Cambria" w:cs="Cambria"/>
          <w:b w:val="false"/>
          <w:bCs w:val="false"/>
          <w:i w:val="false"/>
          <w:iCs w:val="false"/>
          <w:sz w:val="22"/>
          <w:szCs w:val="22"/>
        </w:rPr>
        <w:t xml:space="preserve"> (ELs), auch </w:t>
      </w:r>
      <w:r>
        <w:rPr>
          <w:rFonts w:eastAsia="Cambria" w:cs="Cambria"/>
          <w:b w:val="false"/>
          <w:bCs w:val="false"/>
          <w:i/>
          <w:iCs/>
          <w:sz w:val="22"/>
          <w:szCs w:val="22"/>
        </w:rPr>
        <w:t>ELL</w:t>
      </w:r>
      <w:r>
        <w:rPr>
          <w:rFonts w:eastAsia="Cambria" w:cs="Cambria"/>
          <w:b w:val="false"/>
          <w:bCs w:val="false"/>
          <w:i w:val="false"/>
          <w:iCs w:val="false"/>
          <w:sz w:val="22"/>
          <w:szCs w:val="22"/>
        </w:rPr>
        <w:t xml:space="preserve">, </w:t>
      </w:r>
      <w:r>
        <w:rPr>
          <w:rFonts w:eastAsia="Cambria" w:cs="Cambria"/>
          <w:b w:val="false"/>
          <w:bCs w:val="false"/>
          <w:i/>
          <w:iCs/>
          <w:sz w:val="22"/>
          <w:szCs w:val="22"/>
        </w:rPr>
        <w:t>ESL</w:t>
      </w:r>
      <w:r>
        <w:rPr>
          <w:rFonts w:eastAsia="Cambria" w:cs="Cambria"/>
          <w:b w:val="false"/>
          <w:bCs w:val="false"/>
          <w:i w:val="false"/>
          <w:iCs w:val="false"/>
          <w:sz w:val="22"/>
          <w:szCs w:val="22"/>
        </w:rPr>
        <w:t xml:space="preserve"> (</w:t>
      </w:r>
      <w:r>
        <w:rPr>
          <w:rFonts w:eastAsia="Cambria" w:cs="Cambria"/>
          <w:b w:val="false"/>
          <w:bCs w:val="false"/>
          <w:i/>
          <w:iCs/>
          <w:sz w:val="22"/>
          <w:szCs w:val="22"/>
        </w:rPr>
        <w:t>English as a Second Language</w:t>
      </w:r>
      <w:r>
        <w:rPr>
          <w:rFonts w:eastAsia="Cambria" w:cs="Cambria"/>
          <w:b w:val="false"/>
          <w:bCs w:val="false"/>
          <w:i w:val="false"/>
          <w:iCs w:val="false"/>
          <w:sz w:val="22"/>
          <w:szCs w:val="22"/>
        </w:rPr>
        <w:t xml:space="preserve">) oder </w:t>
      </w:r>
      <w:r>
        <w:rPr>
          <w:rFonts w:eastAsia="Cambria" w:cs="Cambria"/>
          <w:b w:val="false"/>
          <w:bCs w:val="false"/>
          <w:i/>
          <w:iCs/>
          <w:sz w:val="22"/>
          <w:szCs w:val="22"/>
        </w:rPr>
        <w:t>ESOL</w:t>
      </w:r>
      <w:r>
        <w:rPr>
          <w:rFonts w:eastAsia="Cambria" w:cs="Cambria"/>
          <w:b w:val="false"/>
          <w:bCs w:val="false"/>
          <w:i w:val="false"/>
          <w:iCs w:val="false"/>
          <w:sz w:val="22"/>
          <w:szCs w:val="22"/>
        </w:rPr>
        <w:t>. Öffentliche Schulen, Charter-Schulen eingeschlossen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 müssen ihnen helfen, dem Unterricht zu folgen und Englisch zu lernen, unabhängig vom Aufenthaltsstatus. Vier Rechtsgrundlagen tragen den Anspruch:</w:t>
      </w:r>
    </w:p>
    <w:p>
      <w:pPr>
        <w:pStyle w:val="ListParagraph"/>
        <w:numPr>
          <w:ilvl w:val="0"/>
          <w:numId w:val="1"/>
        </w:numPr>
        <w:spacing w:lineRule="exact" w:line="288" w:before="0" w:after="60"/>
        <w:rPr/>
      </w:pPr>
      <w:r>
        <w:rPr>
          <w:rFonts w:eastAsia="Cambria" w:cs="Cambria"/>
          <w:b w:val="false"/>
          <w:bCs w:val="false"/>
          <w:i/>
          <w:iCs/>
          <w:sz w:val="22"/>
          <w:szCs w:val="22"/>
        </w:rPr>
        <w:t>Lau v. Nichols</w:t>
      </w:r>
      <w:r>
        <w:rPr>
          <w:rFonts w:eastAsia="Cambria" w:cs="Cambria"/>
          <w:b w:val="false"/>
          <w:bCs w:val="false"/>
          <w:i w:val="false"/>
          <w:iCs w:val="false"/>
          <w:sz w:val="22"/>
          <w:szCs w:val="22"/>
        </w:rPr>
        <w:t xml:space="preserve"> (Oberster Gerichtshof, 1974): Gleiche Behandlung ohne Sprachhilfe verletzt das Diskriminierungsverbot des Bürgerrechtsgesetzes (Title VI).</w:t>
      </w:r>
    </w:p>
    <w:p>
      <w:pPr>
        <w:pStyle w:val="ListParagraph"/>
        <w:numPr>
          <w:ilvl w:val="0"/>
          <w:numId w:val="1"/>
        </w:numPr>
        <w:spacing w:lineRule="exact" w:line="288" w:before="0" w:after="60"/>
        <w:rPr/>
      </w:pPr>
      <w:r>
        <w:rPr>
          <w:rFonts w:eastAsia="Cambria" w:cs="Cambria"/>
          <w:b w:val="false"/>
          <w:bCs w:val="false"/>
          <w:i/>
          <w:iCs/>
          <w:sz w:val="22"/>
          <w:szCs w:val="22"/>
        </w:rPr>
        <w:t>Equal Educational Opportunities Act</w:t>
      </w:r>
      <w:r>
        <w:rPr>
          <w:rFonts w:eastAsia="Cambria" w:cs="Cambria"/>
          <w:b w:val="false"/>
          <w:bCs w:val="false"/>
          <w:i w:val="false"/>
          <w:iCs w:val="false"/>
          <w:sz w:val="22"/>
          <w:szCs w:val="22"/>
        </w:rPr>
        <w:t xml:space="preserve"> (EEOA, 1974), § 1703(f): Schulen müssen „geeignete Maßnahmen“ gegen Sprachbarrieren ergreifen.</w:t>
      </w:r>
    </w:p>
    <w:p>
      <w:pPr>
        <w:pStyle w:val="ListParagraph"/>
        <w:numPr>
          <w:ilvl w:val="0"/>
          <w:numId w:val="1"/>
        </w:numPr>
        <w:spacing w:lineRule="exact" w:line="288" w:before="0" w:after="60"/>
        <w:rPr/>
      </w:pPr>
      <w:r>
        <w:rPr>
          <w:rFonts w:eastAsia="Cambria" w:cs="Cambria"/>
          <w:b w:val="false"/>
          <w:bCs w:val="false"/>
          <w:i/>
          <w:iCs/>
          <w:sz w:val="22"/>
          <w:szCs w:val="22"/>
        </w:rPr>
        <w:t>Castañeda v. Pickard</w:t>
      </w:r>
      <w:r>
        <w:rPr>
          <w:rFonts w:eastAsia="Cambria" w:cs="Cambria"/>
          <w:b w:val="false"/>
          <w:bCs w:val="false"/>
          <w:i w:val="false"/>
          <w:iCs w:val="false"/>
          <w:sz w:val="22"/>
          <w:szCs w:val="22"/>
        </w:rPr>
        <w:t xml:space="preserve"> (Berufungsgericht des 5. Bezirks, 1981): Ein Programm muss auf einer fundierten Theorie beruhen, wirksam umgesetzt und überprüft werden.</w:t>
      </w:r>
    </w:p>
    <w:p>
      <w:pPr>
        <w:pStyle w:val="ListParagraph"/>
        <w:numPr>
          <w:ilvl w:val="0"/>
          <w:numId w:val="1"/>
        </w:numPr>
        <w:spacing w:lineRule="exact" w:line="288" w:before="0" w:after="60"/>
        <w:rPr/>
      </w:pPr>
      <w:r>
        <w:rPr>
          <w:rFonts w:eastAsia="Cambria" w:cs="Cambria"/>
          <w:b w:val="false"/>
          <w:bCs w:val="false"/>
          <w:i/>
          <w:iCs/>
          <w:sz w:val="22"/>
          <w:szCs w:val="22"/>
        </w:rPr>
        <w:t>Every Student Succeeds Act</w:t>
      </w:r>
      <w:r>
        <w:rPr>
          <w:rFonts w:eastAsia="Cambria" w:cs="Cambria"/>
          <w:b w:val="false"/>
          <w:bCs w:val="false"/>
          <w:i w:val="false"/>
          <w:iCs w:val="false"/>
          <w:sz w:val="22"/>
          <w:szCs w:val="22"/>
        </w:rPr>
        <w:t xml:space="preserve"> (ESSA), Title III: Bundeszuschüsse für Sprachförderung, verbunden mit Pflichten zu Einstufung, Elternbenachrichtigung und Jahrestests.</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Bund schreibt aber kein einheitliches Programm vor: Extra-Unterricht, Klassenzimmerhilfe oder zweisprachiger Unterricht – das entscheiden Staaten und Distrikte, entsprechend schwankt die Qualität. Private Schulen unterliegen diesen Pflichten meist nicht; Sprachförderung ist dort Verhandlungssache und oft kostenpflichtig.</w:t>
      </w:r>
    </w:p>
    <w:p>
      <w:pPr>
        <w:pStyle w:val="Normal"/>
        <w:keepNext w:val="false"/>
        <w:keepLines w:val="false"/>
        <w:spacing w:lineRule="exact" w:line="288" w:before="0" w:after="140"/>
        <w:jc w:val="left"/>
        <w:rPr/>
      </w:pPr>
      <w:r>
        <w:rPr>
          <w:rFonts w:eastAsia="Cambria" w:cs="Cambria"/>
          <w:b/>
          <w:bCs/>
          <w:i w:val="false"/>
          <w:iCs w:val="false"/>
          <w:sz w:val="22"/>
          <w:szCs w:val="22"/>
        </w:rPr>
        <w:t>Rechtslage 2025/26.</w:t>
      </w:r>
      <w:r>
        <w:rPr>
          <w:rFonts w:eastAsia="Cambria" w:cs="Cambria"/>
          <w:b w:val="false"/>
          <w:bCs w:val="false"/>
          <w:i w:val="false"/>
          <w:iCs w:val="false"/>
          <w:sz w:val="22"/>
          <w:szCs w:val="22"/>
        </w:rPr>
        <w:t xml:space="preserve"> Im August 2025 zogen Bildungs- und Justizministerium ihr Leitschreiben von 2015 zurück, das Schulen die EL-Pflichten erläutert hatte – die Gesetze und Urteile gelten fort. Ein Präsidialerlass (Executive Order 14224) vom 1. März 2025 erklärte Englisch zur Amtssprache des Bundes und hob die ältere Anordnung zum Sprachzugang bei Bundesbehörden auf. Bundesbehörden müssen fremdsprachige Angebote aber nicht einstellen.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Unsicher ist vor allem das Geld: Title III ist für 2026 mit 890 Millionen $ ausgestattet, der Regierungsentwurf für 2027 sieht keine Mittel vor, der Kongress entscheidet. Das zuständige Büro (</w:t>
      </w:r>
      <w:r>
        <w:rPr>
          <w:rFonts w:eastAsia="Cambria" w:cs="Cambria"/>
          <w:b w:val="false"/>
          <w:bCs w:val="false"/>
          <w:i/>
          <w:iCs/>
          <w:sz w:val="22"/>
          <w:szCs w:val="22"/>
        </w:rPr>
        <w:t>Office of English Language Acquisition</w:t>
      </w:r>
      <w:r>
        <w:rPr>
          <w:rFonts w:eastAsia="Cambria" w:cs="Cambria"/>
          <w:b w:val="false"/>
          <w:bCs w:val="false"/>
          <w:i w:val="false"/>
          <w:iCs w:val="false"/>
          <w:sz w:val="22"/>
          <w:szCs w:val="22"/>
        </w:rPr>
        <w:t>) wurde im Frühjahr 2026 aufgelöst.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Anspruch deines Kindes beruht auf Gesetzen und Urteilen, nicht auf einem Ministeriumsbrief: Richtlinien und Bundesmittel wechseln, die Pflicht der Schule bleibt. Wie gut sie erfüllt wird, hängt vom Distrikt ab – frage deshalb konkret nach dem Programm.</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Ablauf: vom Fragebogen zur Umstufung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Weg ist in fast allen Staaten gleich; Namen, Tests und Schwellenwerte unterscheiden sich.</w:t>
      </w:r>
    </w:p>
    <w:p>
      <w:pPr>
        <w:pStyle w:val="ListParagraph"/>
        <w:numPr>
          <w:ilvl w:val="0"/>
          <w:numId w:val="208"/>
        </w:numPr>
        <w:spacing w:lineRule="exact" w:line="288" w:before="0" w:after="60"/>
        <w:rPr/>
      </w:pPr>
      <w:r>
        <w:rPr>
          <w:rFonts w:eastAsia="Cambria" w:cs="Cambria"/>
          <w:b/>
          <w:bCs/>
          <w:i w:val="false"/>
          <w:iCs w:val="false"/>
          <w:sz w:val="22"/>
          <w:szCs w:val="22"/>
        </w:rPr>
        <w:t>Fragebogen.</w:t>
      </w:r>
      <w:r>
        <w:rPr>
          <w:rFonts w:eastAsia="Cambria" w:cs="Cambria"/>
          <w:b w:val="false"/>
          <w:bCs w:val="false"/>
          <w:i w:val="false"/>
          <w:iCs w:val="false"/>
          <w:sz w:val="22"/>
          <w:szCs w:val="22"/>
        </w:rPr>
        <w:t xml:space="preserve"> Bei der Anmeldung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 xml:space="preserve">) füllst du den </w:t>
      </w:r>
      <w:r>
        <w:rPr>
          <w:rFonts w:eastAsia="Cambria" w:cs="Cambria"/>
          <w:b w:val="false"/>
          <w:bCs w:val="false"/>
          <w:i/>
          <w:iCs/>
          <w:sz w:val="22"/>
          <w:szCs w:val="22"/>
        </w:rPr>
        <w:t>Home Language Survey</w:t>
      </w:r>
      <w:r>
        <w:rPr>
          <w:rFonts w:eastAsia="Cambria" w:cs="Cambria"/>
          <w:b w:val="false"/>
          <w:bCs w:val="false"/>
          <w:i w:val="false"/>
          <w:iCs w:val="false"/>
          <w:sz w:val="22"/>
          <w:szCs w:val="22"/>
        </w:rPr>
        <w:t xml:space="preserve"> aus: Welche Sprache hat das Kind zuerst gelernt, welche spricht es zu Hause, welche sprichst du mit ihm? Steht dort „German“, wird das Kind auf Englisch getestet. Das ist Pflicht und kein Urteil über das Kind.</w:t>
      </w:r>
    </w:p>
    <w:p>
      <w:pPr>
        <w:pStyle w:val="ListParagraph"/>
        <w:numPr>
          <w:ilvl w:val="0"/>
          <w:numId w:val="209"/>
        </w:numPr>
        <w:spacing w:lineRule="exact" w:line="288" w:before="0" w:after="60"/>
        <w:rPr/>
      </w:pPr>
      <w:r>
        <w:rPr>
          <w:rFonts w:eastAsia="Cambria" w:cs="Cambria"/>
          <w:b/>
          <w:bCs/>
          <w:i w:val="false"/>
          <w:iCs w:val="false"/>
          <w:sz w:val="22"/>
          <w:szCs w:val="22"/>
        </w:rPr>
        <w:t>Einstufungstest.</w:t>
      </w:r>
      <w:r>
        <w:rPr>
          <w:rFonts w:eastAsia="Cambria" w:cs="Cambria"/>
          <w:b w:val="false"/>
          <w:bCs w:val="false"/>
          <w:i w:val="false"/>
          <w:iCs w:val="false"/>
          <w:sz w:val="22"/>
          <w:szCs w:val="22"/>
        </w:rPr>
        <w:t xml:space="preserve"> Der </w:t>
      </w:r>
      <w:r>
        <w:rPr>
          <w:rFonts w:eastAsia="Cambria" w:cs="Cambria"/>
          <w:b w:val="false"/>
          <w:bCs w:val="false"/>
          <w:i/>
          <w:iCs/>
          <w:sz w:val="22"/>
          <w:szCs w:val="22"/>
        </w:rPr>
        <w:t>Screener</w:t>
      </w:r>
      <w:r>
        <w:rPr>
          <w:rFonts w:eastAsia="Cambria" w:cs="Cambria"/>
          <w:b w:val="false"/>
          <w:bCs w:val="false"/>
          <w:i w:val="false"/>
          <w:iCs w:val="false"/>
          <w:sz w:val="22"/>
          <w:szCs w:val="22"/>
        </w:rPr>
        <w:t xml:space="preserve">, meist in den ersten Schulwochen, ist häufig der </w:t>
      </w:r>
      <w:r>
        <w:rPr>
          <w:rFonts w:eastAsia="Cambria" w:cs="Cambria"/>
          <w:b w:val="false"/>
          <w:bCs w:val="false"/>
          <w:i/>
          <w:iCs/>
          <w:sz w:val="22"/>
          <w:szCs w:val="22"/>
        </w:rPr>
        <w:t>WIDA Screener</w:t>
      </w:r>
      <w:r>
        <w:rPr>
          <w:rFonts w:eastAsia="Cambria" w:cs="Cambria"/>
          <w:b w:val="false"/>
          <w:bCs w:val="false"/>
          <w:i w:val="false"/>
          <w:iCs w:val="false"/>
          <w:sz w:val="22"/>
          <w:szCs w:val="22"/>
        </w:rPr>
        <w:t xml:space="preserve"> (Hören, Sprechen, Lesen, Schreiben; Ergebnis auf Stufen von 1 bis 6); einige Staaten nutzen eigene Verfahren. Ab welcher Stufe ein Kind als EL gilt, legt der Staat fest.</w:t>
      </w:r>
    </w:p>
    <w:p>
      <w:pPr>
        <w:pStyle w:val="ListParagraph"/>
        <w:numPr>
          <w:ilvl w:val="0"/>
          <w:numId w:val="210"/>
        </w:numPr>
        <w:spacing w:lineRule="exact" w:line="288" w:before="0" w:after="60"/>
        <w:rPr/>
      </w:pPr>
      <w:r>
        <w:rPr>
          <w:rFonts w:eastAsia="Cambria" w:cs="Cambria"/>
          <w:b/>
          <w:bCs/>
          <w:i w:val="false"/>
          <w:iCs w:val="false"/>
          <w:sz w:val="22"/>
          <w:szCs w:val="22"/>
        </w:rPr>
        <w:t>Elternbrief.</w:t>
      </w:r>
      <w:r>
        <w:rPr>
          <w:rFonts w:eastAsia="Cambria" w:cs="Cambria"/>
          <w:b w:val="false"/>
          <w:bCs w:val="false"/>
          <w:i w:val="false"/>
          <w:iCs w:val="false"/>
          <w:sz w:val="22"/>
          <w:szCs w:val="22"/>
        </w:rPr>
        <w:t xml:space="preserve"> Die Schule muss dich binnen 30 Tagen nach Schuljahresbeginn schriftlich informieren, bei späterem Eintritt binnen zwei Wochen, in verständlicher Form und mit Angaben zu Einstufung und Programm.</w:t>
      </w:r>
    </w:p>
    <w:p>
      <w:pPr>
        <w:pStyle w:val="ListParagraph"/>
        <w:numPr>
          <w:ilvl w:val="0"/>
          <w:numId w:val="211"/>
        </w:numPr>
        <w:spacing w:lineRule="exact" w:line="288" w:before="0" w:after="60"/>
        <w:rPr/>
      </w:pPr>
      <w:r>
        <w:rPr>
          <w:rFonts w:eastAsia="Cambria" w:cs="Cambria"/>
          <w:b/>
          <w:bCs/>
          <w:i w:val="false"/>
          <w:iCs w:val="false"/>
          <w:sz w:val="22"/>
          <w:szCs w:val="22"/>
        </w:rPr>
        <w:t>Förderung.</w:t>
      </w:r>
      <w:r>
        <w:rPr>
          <w:rFonts w:eastAsia="Cambria" w:cs="Cambria"/>
          <w:b w:val="false"/>
          <w:bCs w:val="false"/>
          <w:i w:val="false"/>
          <w:iCs w:val="false"/>
          <w:sz w:val="22"/>
          <w:szCs w:val="22"/>
        </w:rPr>
        <w:t xml:space="preserve"> Das Kind erhält Sprachunterricht nach einem der Modelle unten und Hilfen im Regelunterricht.</w:t>
      </w:r>
    </w:p>
    <w:p>
      <w:pPr>
        <w:pStyle w:val="ListParagraph"/>
        <w:numPr>
          <w:ilvl w:val="0"/>
          <w:numId w:val="212"/>
        </w:numPr>
        <w:spacing w:lineRule="exact" w:line="288" w:before="0" w:after="60"/>
        <w:rPr/>
      </w:pPr>
      <w:r>
        <w:rPr>
          <w:rFonts w:eastAsia="Cambria" w:cs="Cambria"/>
          <w:b/>
          <w:bCs/>
          <w:i w:val="false"/>
          <w:iCs w:val="false"/>
          <w:sz w:val="22"/>
          <w:szCs w:val="22"/>
        </w:rPr>
        <w:t>Jahrestest.</w:t>
      </w:r>
      <w:r>
        <w:rPr>
          <w:rFonts w:eastAsia="Cambria" w:cs="Cambria"/>
          <w:b w:val="false"/>
          <w:bCs w:val="false"/>
          <w:i w:val="false"/>
          <w:iCs w:val="false"/>
          <w:sz w:val="22"/>
          <w:szCs w:val="22"/>
        </w:rPr>
        <w:t xml:space="preserve"> Einmal im Jahr misst ein Test alle vier Fertigkeiten, meist </w:t>
      </w:r>
      <w:r>
        <w:rPr>
          <w:rFonts w:eastAsia="Cambria" w:cs="Cambria"/>
          <w:b w:val="false"/>
          <w:bCs w:val="false"/>
          <w:i/>
          <w:iCs/>
          <w:sz w:val="22"/>
          <w:szCs w:val="22"/>
        </w:rPr>
        <w:t>ACCESS for ELLs</w:t>
      </w:r>
      <w:r>
        <w:rPr>
          <w:rFonts w:eastAsia="Cambria" w:cs="Cambria"/>
          <w:b w:val="false"/>
          <w:bCs w:val="false"/>
          <w:i w:val="false"/>
          <w:iCs w:val="false"/>
          <w:sz w:val="22"/>
          <w:szCs w:val="22"/>
        </w:rPr>
        <w:t xml:space="preserve"> (WIDA) oder </w:t>
      </w:r>
      <w:r>
        <w:rPr>
          <w:rFonts w:eastAsia="Cambria" w:cs="Cambria"/>
          <w:b w:val="false"/>
          <w:bCs w:val="false"/>
          <w:i/>
          <w:iCs/>
          <w:sz w:val="22"/>
          <w:szCs w:val="22"/>
        </w:rPr>
        <w:t>ELPA21</w:t>
      </w:r>
      <w:r>
        <w:rPr>
          <w:rFonts w:eastAsia="Cambria" w:cs="Cambria"/>
          <w:b w:val="false"/>
          <w:bCs w:val="false"/>
          <w:i w:val="false"/>
          <w:iCs w:val="false"/>
          <w:sz w:val="22"/>
          <w:szCs w:val="22"/>
        </w:rPr>
        <w:t>.</w:t>
      </w:r>
    </w:p>
    <w:p>
      <w:pPr>
        <w:pStyle w:val="ListParagraph"/>
        <w:numPr>
          <w:ilvl w:val="0"/>
          <w:numId w:val="213"/>
        </w:numPr>
        <w:spacing w:lineRule="exact" w:line="288" w:before="0" w:after="60"/>
        <w:rPr/>
      </w:pPr>
      <w:r>
        <w:rPr>
          <w:rFonts w:eastAsia="Cambria" w:cs="Cambria"/>
          <w:b/>
          <w:bCs/>
          <w:i w:val="false"/>
          <w:iCs w:val="false"/>
          <w:sz w:val="22"/>
          <w:szCs w:val="22"/>
        </w:rPr>
        <w:t>Umstufung.</w:t>
      </w:r>
      <w:r>
        <w:rPr>
          <w:rFonts w:eastAsia="Cambria" w:cs="Cambria"/>
          <w:b w:val="false"/>
          <w:bCs w:val="false"/>
          <w:i w:val="false"/>
          <w:iCs w:val="false"/>
          <w:sz w:val="22"/>
          <w:szCs w:val="22"/>
        </w:rPr>
        <w:t xml:space="preserve"> Bei der </w:t>
      </w:r>
      <w:r>
        <w:rPr>
          <w:rFonts w:eastAsia="Cambria" w:cs="Cambria"/>
          <w:b w:val="false"/>
          <w:bCs w:val="false"/>
          <w:i/>
          <w:iCs/>
          <w:sz w:val="22"/>
          <w:szCs w:val="22"/>
        </w:rPr>
        <w:t>Reclassification</w:t>
      </w:r>
      <w:r>
        <w:rPr>
          <w:rFonts w:eastAsia="Cambria" w:cs="Cambria"/>
          <w:b w:val="false"/>
          <w:bCs w:val="false"/>
          <w:i w:val="false"/>
          <w:iCs w:val="false"/>
          <w:sz w:val="22"/>
          <w:szCs w:val="22"/>
        </w:rPr>
        <w:t xml:space="preserve"> endet der EL-Status, sobald das Kind den Zielwert seines Staates erreicht. In WIDA-Staaten liegt er oft bei einem Gesamtwert um 4,5 bis 5,0, meist ergänzt um Noten oder ein Lehrerurteil. Danach beobachtet die Schule den Verlauf mehrere Jahre.</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Deutsche Kinder bringen oft Schulenglisch mit, je nach Bundesland ab Klasse 1 oder 3, im Screener liegen Lesen und Hören dann meist höher als Sprechen und Schreiben. Ein Zeugnis mit Englischnote hilft im Gespräch mit der Lehrkraft, ersetzt den Test aber nicht. Zum Vergleich: In Deutschland kommen Kinder ohne Deutsch oft zunächst in Vorbereitungs- oder Willkommensklassen, in den USA sitzen sie dagegen meist von Anfang an in der Regelklasse mit zusätzlichen Förderstunden.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Beantworte den Home Language Survey wahrheitsgemäß. Die Angabe „English“, um dem Etikett zu entgehen, verhindert die Einstufung, nicht den Förderbedarf: Das Kind müsste dann ohne Hilfe im Unterricht zurechtkommen.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Programmmodelle im Überblick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Angebot hängt davon ab, wie viele Kinder derselben Sprache im Distrikt leben: Für Spanisch, die Erstsprache von gut drei Vierteln aller ELs, gibt es vielerorts zweisprachige Klassen; Deutsch sprechen selten mehr als eine Handvoll Kinder, sie landen meist in den ersten beiden Modellen.</w:t>
      </w:r>
    </w:p>
    <w:tbl>
      <w:tblPr>
        <w:tblW w:w="6480" w:type="dxa"/>
        <w:jc w:val="left"/>
        <w:tblInd w:w="0" w:type="dxa"/>
        <w:tblLayout w:type="fixed"/>
        <w:tblCellMar>
          <w:top w:w="50" w:type="dxa"/>
          <w:left w:w="80" w:type="dxa"/>
          <w:bottom w:w="50" w:type="dxa"/>
          <w:right w:w="80" w:type="dxa"/>
        </w:tblCellMar>
      </w:tblPr>
      <w:tblGrid>
        <w:gridCol w:w="1200"/>
        <w:gridCol w:w="2592"/>
        <w:gridCol w:w="1244"/>
        <w:gridCol w:w="1443"/>
      </w:tblGrid>
      <w:tr>
        <w:trPr>
          <w:tblHeader w:val="true"/>
          <w:cantSplit w:val="true"/>
        </w:trPr>
        <w:tc>
          <w:tcPr>
            <w:tcW w:w="120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Modell</w:t>
            </w:r>
          </w:p>
        </w:tc>
        <w:tc>
          <w:tcPr>
            <w:tcW w:w="259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So läuft es</w:t>
            </w:r>
          </w:p>
        </w:tc>
        <w:tc>
          <w:tcPr>
            <w:tcW w:w="124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Typisch für</w:t>
            </w:r>
          </w:p>
        </w:tc>
        <w:tc>
          <w:tcPr>
            <w:tcW w:w="144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Worauf achten</w:t>
            </w:r>
          </w:p>
        </w:tc>
      </w:tr>
      <w:tr>
        <w:trPr>
          <w:cantSplit w:val="true"/>
        </w:trPr>
        <w:tc>
          <w:tcPr>
            <w:tcW w:w="1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Pull-out</w:t>
            </w:r>
          </w:p>
        </w:tc>
        <w:tc>
          <w:tcPr>
            <w:tcW w:w="25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Das Kind verlässt die Klasse für Extra-Englisch, meist einige Stunden pro Woche</w:t>
            </w:r>
          </w:p>
        </w:tc>
        <w:tc>
          <w:tcPr>
            <w:tcW w:w="12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Grundschule</w:t>
            </w:r>
          </w:p>
        </w:tc>
        <w:tc>
          <w:tcPr>
            <w:tcW w:w="14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Welche Fächer fallen aus?</w:t>
            </w:r>
          </w:p>
        </w:tc>
      </w:tr>
      <w:tr>
        <w:trPr>
          <w:cantSplit w:val="true"/>
        </w:trPr>
        <w:tc>
          <w:tcPr>
            <w:tcW w:w="1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Push-in</w:t>
            </w:r>
          </w:p>
        </w:tc>
        <w:tc>
          <w:tcPr>
            <w:tcW w:w="25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Sprachlehrkraft hilft im Klassenzimmer</w:t>
            </w:r>
          </w:p>
        </w:tc>
        <w:tc>
          <w:tcPr>
            <w:tcW w:w="12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Kindergarten, Grundschule</w:t>
            </w:r>
          </w:p>
        </w:tc>
        <w:tc>
          <w:tcPr>
            <w:tcW w:w="14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viel Einzelzeit bleibt?</w:t>
            </w:r>
          </w:p>
        </w:tc>
      </w:tr>
      <w:tr>
        <w:trPr>
          <w:cantSplit w:val="true"/>
        </w:trPr>
        <w:tc>
          <w:tcPr>
            <w:tcW w:w="1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Sheltered Instruction</w:t>
            </w:r>
          </w:p>
        </w:tc>
        <w:tc>
          <w:tcPr>
            <w:tcW w:w="25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Fachunterricht mit Bildern, Sprachstützen und einfacher Sprache, oft in reinen EL-Klassen</w:t>
            </w:r>
          </w:p>
        </w:tc>
        <w:tc>
          <w:tcPr>
            <w:tcW w:w="12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Middle und High School</w:t>
            </w:r>
          </w:p>
        </w:tc>
        <w:tc>
          <w:tcPr>
            <w:tcW w:w="14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Bleibt das Fachniveau erhalten?</w:t>
            </w:r>
          </w:p>
        </w:tc>
      </w:tr>
      <w:tr>
        <w:trPr>
          <w:cantSplit w:val="true"/>
        </w:trPr>
        <w:tc>
          <w:tcPr>
            <w:tcW w:w="1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Newcomer-Programm</w:t>
            </w:r>
          </w:p>
        </w:tc>
        <w:tc>
          <w:tcPr>
            <w:tcW w:w="25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Intensivklassen für neu Zugewanderte, zeitlich begrenzt</w:t>
            </w:r>
          </w:p>
        </w:tc>
        <w:tc>
          <w:tcPr>
            <w:tcW w:w="12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Späte Zuzüge, Jugendliche</w:t>
            </w:r>
          </w:p>
        </w:tc>
        <w:tc>
          <w:tcPr>
            <w:tcW w:w="14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überall vorhanden</w:t>
            </w:r>
          </w:p>
        </w:tc>
      </w:tr>
      <w:tr>
        <w:trPr>
          <w:cantSplit w:val="true"/>
        </w:trPr>
        <w:tc>
          <w:tcPr>
            <w:tcW w:w="1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Transitional Bilingual</w:t>
            </w:r>
          </w:p>
        </w:tc>
        <w:tc>
          <w:tcPr>
            <w:tcW w:w="25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Erstsprache dient als Brücke, dann Wechsel ins Englische</w:t>
            </w:r>
          </w:p>
        </w:tc>
        <w:tc>
          <w:tcPr>
            <w:tcW w:w="12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Große Sprachgruppen</w:t>
            </w:r>
          </w:p>
        </w:tc>
        <w:tc>
          <w:tcPr>
            <w:tcW w:w="14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Für Deutsch kaum angeboten</w:t>
            </w:r>
          </w:p>
        </w:tc>
      </w:tr>
      <w:tr>
        <w:trPr>
          <w:cantSplit w:val="true"/>
        </w:trPr>
        <w:tc>
          <w:tcPr>
            <w:tcW w:w="12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Dual Language</w:t>
            </w:r>
            <w:r>
              <w:rPr>
                <w:rFonts w:eastAsia="Cambria" w:cs="Cambria"/>
                <w:b w:val="false"/>
                <w:bCs w:val="false"/>
                <w:i w:val="false"/>
                <w:iCs w:val="false"/>
                <w:sz w:val="18"/>
                <w:szCs w:val="18"/>
              </w:rPr>
              <w:t xml:space="preserve"> (</w:t>
            </w:r>
            <w:r>
              <w:rPr>
                <w:rFonts w:eastAsia="Cambria" w:cs="Cambria"/>
                <w:b w:val="false"/>
                <w:bCs w:val="false"/>
                <w:i/>
                <w:iCs/>
                <w:sz w:val="18"/>
                <w:szCs w:val="18"/>
              </w:rPr>
              <w:t>Two-Way Immersion</w:t>
            </w:r>
            <w:r>
              <w:rPr>
                <w:rFonts w:eastAsia="Cambria" w:cs="Cambria"/>
                <w:b w:val="false"/>
                <w:bCs w:val="false"/>
                <w:i w:val="false"/>
                <w:iCs w:val="false"/>
                <w:sz w:val="18"/>
                <w:szCs w:val="18"/>
              </w:rPr>
              <w:t>)</w:t>
            </w:r>
          </w:p>
        </w:tc>
        <w:tc>
          <w:tcPr>
            <w:tcW w:w="25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Unterricht in zwei Sprachen, Kinder beider Sprachgruppen lernen gemeinsam</w:t>
            </w:r>
          </w:p>
        </w:tc>
        <w:tc>
          <w:tcPr>
            <w:tcW w:w="12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Wenige Schulen, oft Charter</w:t>
            </w:r>
          </w:p>
        </w:tc>
        <w:tc>
          <w:tcPr>
            <w:tcW w:w="14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Für Deutsch selten</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Frage bei einem Pull-out-Programm, wann der Extra-Unterricht stattfindet. Fällt er regelmäßig auf Kunst, Sport oder Naturwissenschaften, verpasst dein Kind Inhalte und Anschluss an die Klasse. Bitte um einen Stundenplan, der die Kernfächer schont.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Elternrechte, Dolmetscher, Ablehnen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Du hast vier Rechte:</w:t>
      </w:r>
    </w:p>
    <w:p>
      <w:pPr>
        <w:pStyle w:val="ListParagraph"/>
        <w:numPr>
          <w:ilvl w:val="0"/>
          <w:numId w:val="1"/>
        </w:numPr>
        <w:spacing w:lineRule="exact" w:line="288" w:before="0" w:after="60"/>
        <w:rPr/>
      </w:pPr>
      <w:r>
        <w:rPr>
          <w:rFonts w:eastAsia="Cambria" w:cs="Cambria"/>
          <w:b/>
          <w:bCs/>
          <w:i w:val="false"/>
          <w:iCs w:val="false"/>
          <w:sz w:val="22"/>
          <w:szCs w:val="22"/>
        </w:rPr>
        <w:t>Information.</w:t>
      </w:r>
      <w:r>
        <w:rPr>
          <w:rFonts w:eastAsia="Cambria" w:cs="Cambria"/>
          <w:b w:val="false"/>
          <w:bCs w:val="false"/>
          <w:i w:val="false"/>
          <w:iCs w:val="false"/>
          <w:sz w:val="22"/>
          <w:szCs w:val="22"/>
        </w:rPr>
        <w:t xml:space="preserve"> Elternbrief, Einstufung, Programm und Fortschritte müssen in einer Form ankommen, die du verstehst; der Anspruch auf Übersetzung und Dolmetscher folgt aus den Diskriminierungsverboten (Title VI, EEOA). Viele Distrikte bieten Telefondolmetscher an, für Deutsch meist nicht vor Ort. Lass dein Kind nie dolmetschen.</w:t>
      </w:r>
    </w:p>
    <w:p>
      <w:pPr>
        <w:pStyle w:val="ListParagraph"/>
        <w:numPr>
          <w:ilvl w:val="0"/>
          <w:numId w:val="1"/>
        </w:numPr>
        <w:spacing w:lineRule="exact" w:line="288" w:before="0" w:after="60"/>
        <w:rPr/>
      </w:pPr>
      <w:r>
        <w:rPr>
          <w:rFonts w:eastAsia="Cambria" w:cs="Cambria"/>
          <w:b/>
          <w:bCs/>
          <w:i w:val="false"/>
          <w:iCs w:val="false"/>
          <w:sz w:val="22"/>
          <w:szCs w:val="22"/>
        </w:rPr>
        <w:t>Ablehnen.</w:t>
      </w:r>
      <w:r>
        <w:rPr>
          <w:rFonts w:eastAsia="Cambria" w:cs="Cambria"/>
          <w:b w:val="false"/>
          <w:bCs w:val="false"/>
          <w:i w:val="false"/>
          <w:iCs w:val="false"/>
          <w:sz w:val="22"/>
          <w:szCs w:val="22"/>
        </w:rPr>
        <w:t xml:space="preserve"> Du darfst die Teilnahme am Programm ablehnen (</w:t>
      </w:r>
      <w:r>
        <w:rPr>
          <w:rFonts w:eastAsia="Cambria" w:cs="Cambria"/>
          <w:b w:val="false"/>
          <w:bCs w:val="false"/>
          <w:i/>
          <w:iCs/>
          <w:sz w:val="22"/>
          <w:szCs w:val="22"/>
        </w:rPr>
        <w:t>Opt-out</w:t>
      </w:r>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Fragen.</w:t>
      </w:r>
      <w:r>
        <w:rPr>
          <w:rFonts w:eastAsia="Cambria" w:cs="Cambria"/>
          <w:b w:val="false"/>
          <w:bCs w:val="false"/>
          <w:i w:val="false"/>
          <w:iCs w:val="false"/>
          <w:sz w:val="22"/>
          <w:szCs w:val="22"/>
        </w:rPr>
        <w:t xml:space="preserve"> Stunden pro Woche, Lehrkraft, Ziele, Umstufungskriterien, Testanpassungen: Du darfst alles erfragen.</w:t>
      </w:r>
    </w:p>
    <w:p>
      <w:pPr>
        <w:pStyle w:val="ListParagraph"/>
        <w:numPr>
          <w:ilvl w:val="0"/>
          <w:numId w:val="1"/>
        </w:numPr>
        <w:spacing w:lineRule="exact" w:line="288" w:before="0" w:after="60"/>
        <w:rPr/>
      </w:pPr>
      <w:r>
        <w:rPr>
          <w:rFonts w:eastAsia="Cambria" w:cs="Cambria"/>
          <w:b/>
          <w:bCs/>
          <w:i w:val="false"/>
          <w:iCs w:val="false"/>
          <w:sz w:val="22"/>
          <w:szCs w:val="22"/>
        </w:rPr>
        <w:t>Beschwerde.</w:t>
      </w:r>
      <w:r>
        <w:rPr>
          <w:rFonts w:eastAsia="Cambria" w:cs="Cambria"/>
          <w:b w:val="false"/>
          <w:bCs w:val="false"/>
          <w:i w:val="false"/>
          <w:iCs w:val="false"/>
          <w:sz w:val="22"/>
          <w:szCs w:val="22"/>
        </w:rPr>
        <w:t xml:space="preserve"> Erste Anlaufstelle ist der EL-Koordinator des Distrikts, dann die Schulbehörde des Staates; bei Diskriminierung wendest du dich an das </w:t>
      </w:r>
      <w:r>
        <w:rPr>
          <w:rFonts w:eastAsia="Cambria" w:cs="Cambria"/>
          <w:b w:val="false"/>
          <w:bCs w:val="false"/>
          <w:i/>
          <w:iCs/>
          <w:sz w:val="22"/>
          <w:szCs w:val="22"/>
        </w:rPr>
        <w:t>Office for Civil Rights</w:t>
      </w:r>
      <w:r>
        <w:rPr>
          <w:rFonts w:eastAsia="Cambria" w:cs="Cambria"/>
          <w:b w:val="false"/>
          <w:bCs w:val="false"/>
          <w:i w:val="false"/>
          <w:iCs w:val="false"/>
          <w:sz w:val="22"/>
          <w:szCs w:val="22"/>
        </w:rPr>
        <w:t xml:space="preserve"> des Bildungsministeriums oder an das Justizministerium.</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Opt-out beendet die Förderung, nicht die Pflichten der Schule. Viele Distrikte führen das Kind weiter als EL und testen es jährlich; frage nach. Wer ablehnt, weil das Kind „schon klarkommt“, riskiert späte Lücken in Fach- und Schriftsprache. Sprich vorher mit der EL-Lehrkraft.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Wie lange dauert es? Fortschritt und Testregeln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Sprachforschung unterscheidet zwei Ebenen: </w:t>
      </w:r>
      <w:r>
        <w:rPr>
          <w:rFonts w:eastAsia="Cambria" w:cs="Cambria"/>
          <w:b w:val="false"/>
          <w:bCs w:val="false"/>
          <w:i/>
          <w:iCs/>
          <w:sz w:val="22"/>
          <w:szCs w:val="22"/>
        </w:rPr>
        <w:t>Soziale Sprache</w:t>
      </w:r>
      <w:r>
        <w:rPr>
          <w:rFonts w:eastAsia="Cambria" w:cs="Cambria"/>
          <w:b w:val="false"/>
          <w:bCs w:val="false"/>
          <w:i w:val="false"/>
          <w:iCs w:val="false"/>
          <w:sz w:val="22"/>
          <w:szCs w:val="22"/>
        </w:rPr>
        <w:t xml:space="preserve"> (Pausenhof, Spielplatz, Alltag) sitzt nach etwa ein bis zwei Jahren, manchmal erst nach drei; </w:t>
      </w:r>
      <w:r>
        <w:rPr>
          <w:rFonts w:eastAsia="Cambria" w:cs="Cambria"/>
          <w:b w:val="false"/>
          <w:bCs w:val="false"/>
          <w:i/>
          <w:iCs/>
          <w:sz w:val="22"/>
          <w:szCs w:val="22"/>
        </w:rPr>
        <w:t>Akademische Sprache</w:t>
      </w:r>
      <w:r>
        <w:rPr>
          <w:rFonts w:eastAsia="Cambria" w:cs="Cambria"/>
          <w:b w:val="false"/>
          <w:bCs w:val="false"/>
          <w:i w:val="false"/>
          <w:iCs w:val="false"/>
          <w:sz w:val="22"/>
          <w:szCs w:val="22"/>
        </w:rPr>
        <w:t xml:space="preserve"> (Texte verstehen, Argumente schreiben, Fachbegriffe in Naturwissenschaften und Geschichte) braucht meist fünf bis sieben Jahre. Diese Faustregel geht auf Forschende wie Jim Cummins und Kenji Hakuta zurück. Sie erklärt, warum ein Kind auf dem Pausenhof glänzt und im Aufsatz noch stolpert.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Fließend plaudern heißt nicht „fertig“. Schulsprache, Lesen und Schreiben brauchen oft noch Jahre Unterstützung, auch wenn niemand mehr einen Akzent bemerkt.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Wie alt das Kind ist, prägt den Verlauf: Kindergartenkinder wie Jonas (5) nehmen Sprache im Spiel auf und sprechen oft nach einigen Monaten in Sätzen, Grundschulkinder wie Lena (9) haben Lesefertigkeit und Schulenglisch als Brücke, verstehen Text- und Sachaufgaben aber zunächst nur teilweise. Am schwersten haben es Jugendliche: viel Text, Fachsprache, dazu Credits und Kurspläne. Wer in Klasse 11 oder 12 zuzieht, klärt Kurswahl und Abschlussanforderungen möglichst vor dem Umzug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den Pflichttests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 gelten für ELs Anpassungen und im ersten Jahr Sonderregeln bei der Wertung; Einzelheiten legt der Staat fest.</w:t>
      </w:r>
    </w:p>
    <w:p>
      <w:pPr>
        <w:pStyle w:val="Heading3"/>
        <w:keepNext w:val="true"/>
        <w:spacing w:before="280" w:after="100"/>
        <w:jc w:val="center"/>
        <w:rPr/>
      </w:pPr>
      <w:r>
        <w:rPr>
          <w:rFonts w:eastAsia="Amazon Ember" w:cs="Amazon Ember" w:ascii="Amazon Ember" w:hAnsi="Amazon Ember"/>
          <w:b/>
          <w:bCs/>
          <w:color w:val="0000FF"/>
          <w:sz w:val="36"/>
          <w:szCs w:val="36"/>
        </w:rPr>
        <w:t>Die emotionale Seite: Schweigephase und Erschöpfung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Wenn ein Kind plötzlich verstummt, muss etwas nicht stimmen. Tatsächlich ist genau das bei vielen Kindern der Anfang: Diese </w:t>
      </w:r>
      <w:r>
        <w:rPr>
          <w:rFonts w:eastAsia="Cambria" w:cs="Cambria"/>
          <w:b w:val="false"/>
          <w:bCs w:val="false"/>
          <w:i/>
          <w:iCs/>
          <w:sz w:val="22"/>
          <w:szCs w:val="22"/>
        </w:rPr>
        <w:t>Silent Period</w:t>
      </w:r>
      <w:r>
        <w:rPr>
          <w:rFonts w:eastAsia="Cambria" w:cs="Cambria"/>
          <w:b w:val="false"/>
          <w:bCs w:val="false"/>
          <w:i w:val="false"/>
          <w:iCs w:val="false"/>
          <w:sz w:val="22"/>
          <w:szCs w:val="22"/>
        </w:rPr>
        <w:t xml:space="preserve"> dauert Wochen bis mehrere Monate. Das Kind hört zu, versteht mehr, als es zeigt, und spricht, sobald es sich sicher fühlt. Dazu kommt Erschöpfung, denn sechs Stunden in einer Fremdsprache sind Schwerarbeit. Manche Kinder kommen gereizt oder still nach Hause, mit geröteten Augen, weil sie einen Scherz auf dem Pausenhof nicht verstanden, aber pflichtschuldig mitgelacht haben; andere verweigern plötzlich Deutsch, weil sie nicht auffallen wollen.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Was hilft: nicht drängen, ruhige Nachmittage einplanen, Freundschaften fördern (Playdates,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 xml:space="preserve">) und Mut loben statt Fehlerfreiheit. Sprich mit der Lehrkraft und dem </w:t>
      </w:r>
      <w:r>
        <w:rPr>
          <w:rFonts w:eastAsia="Cambria" w:cs="Cambria"/>
          <w:b w:val="false"/>
          <w:bCs w:val="false"/>
          <w:i/>
          <w:iCs/>
          <w:sz w:val="22"/>
          <w:szCs w:val="22"/>
        </w:rPr>
        <w:t>School Counselor</w:t>
      </w:r>
      <w:r>
        <w:rPr>
          <w:rFonts w:eastAsia="Cambria" w:cs="Cambria"/>
          <w:b w:val="false"/>
          <w:bCs w:val="false"/>
          <w:i w:val="false"/>
          <w:iCs w:val="false"/>
          <w:sz w:val="22"/>
          <w:szCs w:val="22"/>
        </w:rPr>
        <w:t xml:space="preserve"> (Schulberater), wenn das Schweigen sehr lange anhält, auch zu Hause auftritt oder Angst, Bauchschmerzen und Schulverweigerung dazukommen (mehr in Kapitel </w:t>
      </w:r>
      <w:hyperlink w:anchor="k33">
        <w:r>
          <w:rPr>
            <w:rStyle w:val="ListLabel115"/>
            <w:rFonts w:eastAsia="Cambria" w:cs="Cambria"/>
            <w:b w:val="false"/>
            <w:bCs w:val="false"/>
            <w:i w:val="false"/>
            <w:iCs w:val="false"/>
            <w:sz w:val="22"/>
            <w:szCs w:val="22"/>
          </w:rPr>
          <w:t>33</w:t>
        </w:r>
      </w:hyperlink>
      <w:r>
        <w:rPr>
          <w:rFonts w:eastAsia="Cambria" w:cs="Cambria"/>
          <w:b w:val="false"/>
          <w:bCs w:val="false"/>
          <w:i w:val="false"/>
          <w:iCs w:val="false"/>
          <w:sz w:val="22"/>
          <w:szCs w:val="22"/>
        </w:rPr>
        <w:t>). Bleibt der Fortschritt trotz Förderung aus, kann mehr dahinterstecken als Sprache; dann helfen Abklärung und Sonderförderung (</w:t>
      </w:r>
      <w:r>
        <w:rPr>
          <w:rFonts w:eastAsia="Cambria" w:cs="Cambria"/>
          <w:b w:val="false"/>
          <w:bCs w:val="false"/>
          <w:i/>
          <w:iCs/>
          <w:sz w:val="22"/>
          <w:szCs w:val="22"/>
        </w:rPr>
        <w:t>IEP</w:t>
      </w:r>
      <w:r>
        <w:rPr>
          <w:rFonts w:eastAsia="Cambria" w:cs="Cambria"/>
          <w:b w:val="false"/>
          <w:bCs w:val="false"/>
          <w:i w:val="false"/>
          <w:iCs w:val="false"/>
          <w:sz w:val="22"/>
          <w:szCs w:val="22"/>
        </w:rPr>
        <w:t xml:space="preserve">, </w:t>
      </w:r>
      <w:r>
        <w:rPr>
          <w:rFonts w:eastAsia="Cambria" w:cs="Cambria"/>
          <w:b w:val="false"/>
          <w:bCs w:val="false"/>
          <w:i/>
          <w:iCs/>
          <w:sz w:val="22"/>
          <w:szCs w:val="22"/>
        </w:rPr>
        <w:t>504 Plan</w:t>
      </w:r>
      <w:r>
        <w:rPr>
          <w:rFonts w:eastAsia="Cambria" w:cs="Cambria"/>
          <w:b w:val="false"/>
          <w:bCs w:val="false"/>
          <w:i w:val="false"/>
          <w:iCs w:val="false"/>
          <w:sz w:val="22"/>
          <w:szCs w:val="22"/>
        </w:rPr>
        <w:t>,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Tipps für Eltern</w:t>
      </w:r>
    </w:p>
    <w:p>
      <w:pPr>
        <w:pStyle w:val="ListParagraph"/>
        <w:numPr>
          <w:ilvl w:val="0"/>
          <w:numId w:val="1"/>
        </w:numPr>
        <w:spacing w:lineRule="exact" w:line="288" w:before="0" w:after="60"/>
        <w:rPr/>
      </w:pPr>
      <w:r>
        <w:rPr>
          <w:rFonts w:eastAsia="Cambria" w:cs="Cambria"/>
          <w:b/>
          <w:bCs/>
          <w:i w:val="false"/>
          <w:iCs w:val="false"/>
          <w:sz w:val="22"/>
          <w:szCs w:val="22"/>
        </w:rPr>
        <w:t>Vor dem Umzug:</w:t>
      </w:r>
      <w:r>
        <w:rPr>
          <w:rFonts w:eastAsia="Cambria" w:cs="Cambria"/>
          <w:b w:val="false"/>
          <w:bCs w:val="false"/>
          <w:i w:val="false"/>
          <w:iCs w:val="false"/>
          <w:sz w:val="22"/>
          <w:szCs w:val="22"/>
        </w:rPr>
        <w:t xml:space="preserve"> Englisch im Familienalltag anschieben: Serien im Original mit englischen Untertiteln, englische Vorlesebücher, Kinder-Podcasts. Perfektion ist unnötig, Neugier genügt.</w:t>
      </w:r>
    </w:p>
    <w:p>
      <w:pPr>
        <w:pStyle w:val="ListParagraph"/>
        <w:numPr>
          <w:ilvl w:val="0"/>
          <w:numId w:val="1"/>
        </w:numPr>
        <w:spacing w:lineRule="exact" w:line="288" w:before="0" w:after="60"/>
        <w:rPr/>
      </w:pPr>
      <w:r>
        <w:rPr>
          <w:rFonts w:eastAsia="Cambria" w:cs="Cambria"/>
          <w:b/>
          <w:bCs/>
          <w:i w:val="false"/>
          <w:iCs w:val="false"/>
          <w:sz w:val="22"/>
          <w:szCs w:val="22"/>
        </w:rPr>
        <w:t>Gespräch in den ersten zwei Wochen:</w:t>
      </w:r>
      <w:r>
        <w:rPr>
          <w:rFonts w:eastAsia="Cambria" w:cs="Cambria"/>
          <w:b w:val="false"/>
          <w:bCs w:val="false"/>
          <w:i w:val="false"/>
          <w:iCs w:val="false"/>
          <w:sz w:val="22"/>
          <w:szCs w:val="22"/>
        </w:rPr>
        <w:t xml:space="preserve"> Bitte die EL-Lehrkraft um einen Termin. Frage: „How many minutes per week will my child get? What are the exit criteria, and how will I hear about progress?“</w:t>
      </w:r>
    </w:p>
    <w:p>
      <w:pPr>
        <w:pStyle w:val="ListParagraph"/>
        <w:numPr>
          <w:ilvl w:val="0"/>
          <w:numId w:val="1"/>
        </w:numPr>
        <w:spacing w:lineRule="exact" w:line="288" w:before="0" w:after="60"/>
        <w:rPr/>
      </w:pPr>
      <w:r>
        <w:rPr>
          <w:rFonts w:eastAsia="Cambria" w:cs="Cambria"/>
          <w:b/>
          <w:bCs/>
          <w:i w:val="false"/>
          <w:iCs w:val="false"/>
          <w:sz w:val="22"/>
          <w:szCs w:val="22"/>
        </w:rPr>
        <w:t>Erstsprache stärken:</w:t>
      </w:r>
      <w:r>
        <w:rPr>
          <w:rFonts w:eastAsia="Cambria" w:cs="Cambria"/>
          <w:b w:val="false"/>
          <w:bCs w:val="false"/>
          <w:i w:val="false"/>
          <w:iCs w:val="false"/>
          <w:sz w:val="22"/>
          <w:szCs w:val="22"/>
        </w:rPr>
        <w:t xml:space="preserve"> Verbreiteter Irrtum: Zu Hause konsequent Englisch zu sprechen, beschleunige den Übergang. Tatsächlich lernen Kinder mit gefestigter Erstsprache die Zweitsprache in der Regel nicht langsamer, denn Lesen und Wortschatz übertragen sich. „Zu Hause nur noch Englisch” ist deshalb kein guter Rat.</w:t>
      </w:r>
    </w:p>
    <w:p>
      <w:pPr>
        <w:pStyle w:val="ListParagraph"/>
        <w:numPr>
          <w:ilvl w:val="0"/>
          <w:numId w:val="1"/>
        </w:numPr>
        <w:spacing w:lineRule="exact" w:line="288" w:before="0" w:after="60"/>
        <w:rPr/>
      </w:pPr>
      <w:r>
        <w:rPr>
          <w:rFonts w:eastAsia="Cambria" w:cs="Cambria"/>
          <w:b/>
          <w:bCs/>
          <w:i w:val="false"/>
          <w:iCs w:val="false"/>
          <w:sz w:val="22"/>
          <w:szCs w:val="22"/>
        </w:rPr>
        <w:t>Bibliothek nutzen:</w:t>
      </w:r>
      <w:r>
        <w:rPr>
          <w:rFonts w:eastAsia="Cambria" w:cs="Cambria"/>
          <w:b w:val="false"/>
          <w:bCs w:val="false"/>
          <w:i w:val="false"/>
          <w:iCs w:val="false"/>
          <w:sz w:val="22"/>
          <w:szCs w:val="22"/>
        </w:rPr>
        <w:t xml:space="preserve"> Karte, Vorlesestunden (</w:t>
      </w:r>
      <w:r>
        <w:rPr>
          <w:rFonts w:eastAsia="Cambria" w:cs="Cambria"/>
          <w:b w:val="false"/>
          <w:bCs w:val="false"/>
          <w:i/>
          <w:iCs/>
          <w:sz w:val="22"/>
          <w:szCs w:val="22"/>
        </w:rPr>
        <w:t>Story Time</w:t>
      </w:r>
      <w:r>
        <w:rPr>
          <w:rFonts w:eastAsia="Cambria" w:cs="Cambria"/>
          <w:b w:val="false"/>
          <w:bCs w:val="false"/>
          <w:i w:val="false"/>
          <w:iCs w:val="false"/>
          <w:sz w:val="22"/>
          <w:szCs w:val="22"/>
        </w:rPr>
        <w:t>), Sommerleseprogramme (</w:t>
      </w:r>
      <w:r>
        <w:rPr>
          <w:rFonts w:eastAsia="Cambria" w:cs="Cambria"/>
          <w:b w:val="false"/>
          <w:bCs w:val="false"/>
          <w:i/>
          <w:iCs/>
          <w:sz w:val="22"/>
          <w:szCs w:val="22"/>
        </w:rPr>
        <w:t>Summer Reading</w:t>
      </w:r>
      <w:r>
        <w:rPr>
          <w:rFonts w:eastAsia="Cambria" w:cs="Cambria"/>
          <w:b w:val="false"/>
          <w:bCs w:val="false"/>
          <w:i w:val="false"/>
          <w:iCs w:val="false"/>
          <w:sz w:val="22"/>
          <w:szCs w:val="22"/>
        </w:rPr>
        <w:t>) und oft Hausaufgabenhilfe.</w:t>
      </w:r>
    </w:p>
    <w:p>
      <w:pPr>
        <w:pStyle w:val="ListParagraph"/>
        <w:numPr>
          <w:ilvl w:val="0"/>
          <w:numId w:val="1"/>
        </w:numPr>
        <w:spacing w:lineRule="exact" w:line="288" w:before="0" w:after="60"/>
        <w:rPr/>
      </w:pPr>
      <w:r>
        <w:rPr>
          <w:rFonts w:eastAsia="Cambria" w:cs="Cambria"/>
          <w:b/>
          <w:bCs/>
          <w:i w:val="false"/>
          <w:iCs w:val="false"/>
          <w:sz w:val="22"/>
          <w:szCs w:val="22"/>
        </w:rPr>
        <w:t>Schulwörter:</w:t>
      </w:r>
      <w:r>
        <w:rPr>
          <w:rFonts w:eastAsia="Cambria" w:cs="Cambria"/>
          <w:b w:val="false"/>
          <w:bCs w:val="false"/>
          <w:i w:val="false"/>
          <w:iCs w:val="false"/>
          <w:sz w:val="22"/>
          <w:szCs w:val="22"/>
        </w:rPr>
        <w:t xml:space="preserve"> In Elternbriefen stehen </w:t>
      </w:r>
      <w:r>
        <w:rPr>
          <w:rFonts w:eastAsia="Cambria" w:cs="Cambria"/>
          <w:b w:val="false"/>
          <w:bCs w:val="false"/>
          <w:i/>
          <w:iCs/>
          <w:sz w:val="22"/>
          <w:szCs w:val="22"/>
        </w:rPr>
        <w:t>Permission Slip</w:t>
      </w:r>
      <w:r>
        <w:rPr>
          <w:rFonts w:eastAsia="Cambria" w:cs="Cambria"/>
          <w:b w:val="false"/>
          <w:bCs w:val="false"/>
          <w:i w:val="false"/>
          <w:iCs w:val="false"/>
          <w:sz w:val="22"/>
          <w:szCs w:val="22"/>
        </w:rPr>
        <w:t xml:space="preserve"> (Einverständniserklärung), </w:t>
      </w:r>
      <w:r>
        <w:rPr>
          <w:rFonts w:eastAsia="Cambria" w:cs="Cambria"/>
          <w:b w:val="false"/>
          <w:bCs w:val="false"/>
          <w:i/>
          <w:iCs/>
          <w:sz w:val="22"/>
          <w:szCs w:val="22"/>
        </w:rPr>
        <w:t>Field Trip</w:t>
      </w:r>
      <w:r>
        <w:rPr>
          <w:rFonts w:eastAsia="Cambria" w:cs="Cambria"/>
          <w:b w:val="false"/>
          <w:bCs w:val="false"/>
          <w:i w:val="false"/>
          <w:iCs w:val="false"/>
          <w:sz w:val="22"/>
          <w:szCs w:val="22"/>
        </w:rPr>
        <w:t xml:space="preserve"> (Klassenausflug), </w:t>
      </w:r>
      <w:r>
        <w:rPr>
          <w:rFonts w:eastAsia="Cambria" w:cs="Cambria"/>
          <w:b w:val="false"/>
          <w:bCs w:val="false"/>
          <w:i/>
          <w:iCs/>
          <w:sz w:val="22"/>
          <w:szCs w:val="22"/>
        </w:rPr>
        <w:t>Report Card</w:t>
      </w:r>
      <w:r>
        <w:rPr>
          <w:rFonts w:eastAsia="Cambria" w:cs="Cambria"/>
          <w:b w:val="false"/>
          <w:bCs w:val="false"/>
          <w:i w:val="false"/>
          <w:iCs w:val="false"/>
          <w:sz w:val="22"/>
          <w:szCs w:val="22"/>
        </w:rPr>
        <w:t xml:space="preserve"> (Zeugnis), </w:t>
      </w:r>
      <w:r>
        <w:rPr>
          <w:rFonts w:eastAsia="Cambria" w:cs="Cambria"/>
          <w:b w:val="false"/>
          <w:bCs w:val="false"/>
          <w:i/>
          <w:iCs/>
          <w:sz w:val="22"/>
          <w:szCs w:val="22"/>
        </w:rPr>
        <w:t>Parent-Teacher Conference</w:t>
      </w:r>
      <w:r>
        <w:rPr>
          <w:rFonts w:eastAsia="Cambria" w:cs="Cambria"/>
          <w:b w:val="false"/>
          <w:bCs w:val="false"/>
          <w:i w:val="false"/>
          <w:iCs w:val="false"/>
          <w:sz w:val="22"/>
          <w:szCs w:val="22"/>
        </w:rPr>
        <w:t xml:space="preserve"> (Elternsprechtag), </w:t>
      </w:r>
      <w:r>
        <w:rPr>
          <w:rFonts w:eastAsia="Cambria" w:cs="Cambria"/>
          <w:b w:val="false"/>
          <w:bCs w:val="false"/>
          <w:i/>
          <w:iCs/>
          <w:sz w:val="22"/>
          <w:szCs w:val="22"/>
        </w:rPr>
        <w:t>Early Dismissal</w:t>
      </w:r>
      <w:r>
        <w:rPr>
          <w:rFonts w:eastAsia="Cambria" w:cs="Cambria"/>
          <w:b w:val="false"/>
          <w:bCs w:val="false"/>
          <w:i w:val="false"/>
          <w:iCs w:val="false"/>
          <w:sz w:val="22"/>
          <w:szCs w:val="22"/>
        </w:rPr>
        <w:t xml:space="preserve"> (früherer Unterrichtsschluss) und </w:t>
      </w:r>
      <w:r>
        <w:rPr>
          <w:rFonts w:eastAsia="Cambria" w:cs="Cambria"/>
          <w:b w:val="false"/>
          <w:bCs w:val="false"/>
          <w:i/>
          <w:iCs/>
          <w:sz w:val="22"/>
          <w:szCs w:val="22"/>
        </w:rPr>
        <w:t>Back-to-School Night</w:t>
      </w:r>
      <w:r>
        <w:rPr>
          <w:rFonts w:eastAsia="Cambria" w:cs="Cambria"/>
          <w:b w:val="false"/>
          <w:bCs w:val="false"/>
          <w:i w:val="false"/>
          <w:iCs w:val="false"/>
          <w:sz w:val="22"/>
          <w:szCs w:val="22"/>
        </w:rPr>
        <w:t xml:space="preserve"> (Elternabend zum Schuljahresbeginn).</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 meldet Lena (9) und Jonas (5) im August in ihrem Distrikt im Großraum Detroit an. Im Home Language Survey steht „German“. Lena, Grade 4, liest gut, spricht aber zögerlich; der Screener ordnet sie auf Stufe 3 von 6 ein. Jonas kommt in den Kindergarten und gilt ebenfalls als EL. Nach drei Wochen trifft der Elternbrief ein. Anna Brandt bittet um ein Gespräch und erfährt: Lena erhält dreimal pro Woche 30 Minuten Pull-out, Jonas Hilfe im Klassenzimmer. Lena schweigt rund sechs Wochen. Der erste ganze englische Satz, den sie zu Hause fallen lässt – „Can I have more, please?“ beim Abendessen –, wird wie ein kleiner Feiertag gefeiert. Sie meldet sich im Oktober auch in der Schule erstmals zu Wort und erreicht nach knapp zwei Jahren den Zielwert ihres Staates. Jonas plaudert schon im Winter.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Englisch zu Hause vorbereiten: Medien nach Alter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Vor dem Umzug hilft altersgerechtes Einhören mehr als Vokabellisten: Kleinkinder (2–5) gewöhnen sich gut an „Sesame Street“ oder „Daniel Tiger’s Neighborhood“ (beide amerikanisch, PBS), dazu einfache Bilderbücher wie „The Very Hungry Caterpillar“. Grundschulkinder (6–9) wachsen mit „Paw Patrol“ und ersten Kapitelbüchern wie „Diary of a Wimpy Kid“ in eigenständige Lektüre. Für die Mittelstufe (10–13) eignen sich „Percy Jackson“-Bücher und „Wonder“, Teenager (14–17) kommen mit „Stranger Things“ (Netflix, sehr amerikanischer Jugendslang der 1980er-Referenzwelt) und aktueller Young-Adult-Literatur (etwa John Green) näher an das heran, was sie in der neuen Schule tatsächlich hören.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allen Altersgruppen wirkt derselbe Trick am zuverlässigsten: eine Serie, die das Kind schon auf Deutsch kennt, gemeinsam im englischen Original anschauen – die bekannte Handlung nimmt den Druck, jedes Wort zu verstehen. Stelle Untertitel zuerst auf Englisch, nicht auf Deutsch, und prüfe die aktuelle Verfügbarkeit auf JustWatch.de, da sich Streaming-Kataloge laufend ändern.</w:t>
      </w:r>
    </w:p>
    <w:p>
      <w:pPr>
        <w:pStyle w:val="Heading3"/>
        <w:keepNext w:val="true"/>
        <w:spacing w:before="280" w:after="100"/>
        <w:jc w:val="center"/>
        <w:rPr/>
      </w:pPr>
      <w:r>
        <w:rPr>
          <w:rFonts w:eastAsia="Amazon Ember" w:cs="Amazon Ember" w:ascii="Amazon Ember" w:hAnsi="Amazon Ember"/>
          <w:b/>
          <w:bCs/>
          <w:color w:val="0000FF"/>
          <w:sz w:val="36"/>
          <w:szCs w:val="36"/>
        </w:rPr>
        <w:t>Deutsch bewahren: Familie, Lesen, Ferien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Zweisprachigkeit ergibt sich nicht von selbst: Kinder im US-Schulalltag wechseln oft innerhalb von ein bis zwei Jahren ins Englische, auch mit Eltern und Geschwistern – die Umgebung ist stärker als der Küchentisch. Wer Deutsch samt Lesen und Schreiben erhalten will, braucht einen Plan.</w:t>
      </w:r>
    </w:p>
    <w:p>
      <w:pPr>
        <w:pStyle w:val="ListParagraph"/>
        <w:numPr>
          <w:ilvl w:val="0"/>
          <w:numId w:val="1"/>
        </w:numPr>
        <w:spacing w:lineRule="exact" w:line="288" w:before="0" w:after="60"/>
        <w:rPr/>
      </w:pPr>
      <w:r>
        <w:rPr>
          <w:rFonts w:eastAsia="Cambria" w:cs="Cambria"/>
          <w:b/>
          <w:bCs/>
          <w:i w:val="false"/>
          <w:iCs w:val="false"/>
          <w:sz w:val="22"/>
          <w:szCs w:val="22"/>
        </w:rPr>
        <w:t>Familienregel.</w:t>
      </w:r>
      <w:r>
        <w:rPr>
          <w:rFonts w:eastAsia="Cambria" w:cs="Cambria"/>
          <w:b w:val="false"/>
          <w:bCs w:val="false"/>
          <w:i w:val="false"/>
          <w:iCs w:val="false"/>
          <w:sz w:val="22"/>
          <w:szCs w:val="22"/>
        </w:rPr>
        <w:t xml:space="preserve"> Zu Hause gilt Deutsch. Bei gemischtsprachigen Paaren bewährt sich </w:t>
      </w:r>
      <w:r>
        <w:rPr>
          <w:rFonts w:eastAsia="Cambria" w:cs="Cambria"/>
          <w:b w:val="false"/>
          <w:bCs w:val="false"/>
          <w:i/>
          <w:iCs/>
          <w:sz w:val="22"/>
          <w:szCs w:val="22"/>
        </w:rPr>
        <w:t>One Parent, One Language</w:t>
      </w:r>
      <w:r>
        <w:rPr>
          <w:rFonts w:eastAsia="Cambria" w:cs="Cambria"/>
          <w:b w:val="false"/>
          <w:bCs w:val="false"/>
          <w:i w:val="false"/>
          <w:iCs w:val="false"/>
          <w:sz w:val="22"/>
          <w:szCs w:val="22"/>
        </w:rPr>
        <w:t>: Jeder Elternteil bleibt konsequent bei seiner Sprache. Für Gäste gibt es Ausnahmen, damit niemand ausgeschlossen wird.</w:t>
      </w:r>
    </w:p>
    <w:p>
      <w:pPr>
        <w:pStyle w:val="ListParagraph"/>
        <w:numPr>
          <w:ilvl w:val="0"/>
          <w:numId w:val="1"/>
        </w:numPr>
        <w:spacing w:lineRule="exact" w:line="288" w:before="0" w:after="60"/>
        <w:rPr/>
      </w:pPr>
      <w:r>
        <w:rPr>
          <w:rFonts w:eastAsia="Cambria" w:cs="Cambria"/>
          <w:b/>
          <w:bCs/>
          <w:i w:val="false"/>
          <w:iCs w:val="false"/>
          <w:sz w:val="22"/>
          <w:szCs w:val="22"/>
        </w:rPr>
        <w:t>Antwortet das Kind auf Englisch,</w:t>
      </w:r>
      <w:r>
        <w:rPr>
          <w:rFonts w:eastAsia="Cambria" w:cs="Cambria"/>
          <w:b w:val="false"/>
          <w:bCs w:val="false"/>
          <w:i w:val="false"/>
          <w:iCs w:val="false"/>
          <w:sz w:val="22"/>
          <w:szCs w:val="22"/>
        </w:rPr>
        <w:t xml:space="preserve"> wiederhole den Satz auf Deutsch, ohne zu tadeln. Sprachmischung ist normal und kein Zeichen von Verwirrung.</w:t>
      </w:r>
    </w:p>
    <w:p>
      <w:pPr>
        <w:pStyle w:val="ListParagraph"/>
        <w:numPr>
          <w:ilvl w:val="0"/>
          <w:numId w:val="1"/>
        </w:numPr>
        <w:spacing w:lineRule="exact" w:line="288" w:before="0" w:after="60"/>
        <w:rPr/>
      </w:pPr>
      <w:r>
        <w:rPr>
          <w:rFonts w:eastAsia="Cambria" w:cs="Cambria"/>
          <w:b/>
          <w:bCs/>
          <w:i w:val="false"/>
          <w:iCs w:val="false"/>
          <w:sz w:val="22"/>
          <w:szCs w:val="22"/>
        </w:rPr>
        <w:t>Lesen.</w:t>
      </w:r>
      <w:r>
        <w:rPr>
          <w:rFonts w:eastAsia="Cambria" w:cs="Cambria"/>
          <w:b w:val="false"/>
          <w:bCs w:val="false"/>
          <w:i w:val="false"/>
          <w:iCs w:val="false"/>
          <w:sz w:val="22"/>
          <w:szCs w:val="22"/>
        </w:rPr>
        <w:t xml:space="preserve"> Gesprochenes Deutsch bleibt oft erhalten, Schriftdeutsch nicht – als Richtgröße helfen 15 bis 20 Minuten Vorlesen oder Lesen am Tag. Bücher kommen per Paket aus Deutschland (Porto einplanen), als E-Book oder Hörbuch; manche Bibliotheken besorgen sie per Fernleihe (</w:t>
      </w:r>
      <w:r>
        <w:rPr>
          <w:rFonts w:eastAsia="Cambria" w:cs="Cambria"/>
          <w:b w:val="false"/>
          <w:bCs w:val="false"/>
          <w:i/>
          <w:iCs/>
          <w:sz w:val="22"/>
          <w:szCs w:val="22"/>
        </w:rPr>
        <w:t>Interlibrary Loan</w:t>
      </w:r>
      <w:r>
        <w:rPr>
          <w:rFonts w:eastAsia="Cambria" w:cs="Cambria"/>
          <w:b w:val="false"/>
          <w:bCs w:val="false"/>
          <w:i w:val="false"/>
          <w:iCs w:val="false"/>
          <w:sz w:val="22"/>
          <w:szCs w:val="22"/>
        </w:rPr>
        <w:t>). Viele Mediatheken sperren Inhalte im Ausland, teste vor einem Abo.</w:t>
      </w:r>
    </w:p>
    <w:p>
      <w:pPr>
        <w:pStyle w:val="ListParagraph"/>
        <w:numPr>
          <w:ilvl w:val="0"/>
          <w:numId w:val="1"/>
        </w:numPr>
        <w:spacing w:lineRule="exact" w:line="288" w:before="0" w:after="60"/>
        <w:rPr/>
      </w:pPr>
      <w:r>
        <w:rPr>
          <w:rFonts w:eastAsia="Cambria" w:cs="Cambria"/>
          <w:b/>
          <w:bCs/>
          <w:i w:val="false"/>
          <w:iCs w:val="false"/>
          <w:sz w:val="22"/>
          <w:szCs w:val="22"/>
        </w:rPr>
        <w:t>Kontakt.</w:t>
      </w:r>
      <w:r>
        <w:rPr>
          <w:rFonts w:eastAsia="Cambria" w:cs="Cambria"/>
          <w:b w:val="false"/>
          <w:bCs w:val="false"/>
          <w:i w:val="false"/>
          <w:iCs w:val="false"/>
          <w:sz w:val="22"/>
          <w:szCs w:val="22"/>
        </w:rPr>
        <w:t xml:space="preserve"> Videoanrufe mit den Großeltern, Postkarten und Nachrichten an Verwandte (das übt das Schreiben), Ferienwochen in Deutschland: Die US-Sommerferien dauern etwa zehn bis zwölf Wochen, genug Zeit für einen langen Aufenthalt bei den Großeltern.</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Deutsch bewahren: Schulen und Nachweise</w:t>
      </w:r>
    </w:p>
    <w:p>
      <w:pPr>
        <w:pStyle w:val="Normal"/>
        <w:keepNext w:val="false"/>
        <w:keepLines w:val="false"/>
        <w:spacing w:lineRule="exact" w:line="288" w:before="0" w:after="140"/>
        <w:jc w:val="left"/>
        <w:rPr/>
      </w:pPr>
      <w:r>
        <w:rPr>
          <w:rFonts w:eastAsia="Cambria" w:cs="Cambria"/>
          <w:b/>
          <w:bCs/>
          <w:i w:val="false"/>
          <w:iCs w:val="false"/>
          <w:sz w:val="22"/>
          <w:szCs w:val="22"/>
        </w:rPr>
        <w:t>Samstagsschulen</w:t>
      </w:r>
      <w:r>
        <w:rPr>
          <w:rFonts w:eastAsia="Cambria" w:cs="Cambria"/>
          <w:b w:val="false"/>
          <w:bCs w:val="false"/>
          <w:i w:val="false"/>
          <w:iCs w:val="false"/>
          <w:sz w:val="22"/>
          <w:szCs w:val="22"/>
        </w:rPr>
        <w:t xml:space="preserve"> sind meist gemeinnützige Vereine oder Elterninitiativen. Sie unterrichten meist an rund 30 Samstagen im Jahr etwa drei Stunden, von der Vorschule bis zur Oberstufe, teils auch Erwachsene; einige bereiten auf das </w:t>
      </w:r>
      <w:r>
        <w:rPr>
          <w:rFonts w:eastAsia="Cambria" w:cs="Cambria"/>
          <w:b w:val="false"/>
          <w:bCs w:val="false"/>
          <w:i/>
          <w:iCs/>
          <w:sz w:val="22"/>
          <w:szCs w:val="22"/>
        </w:rPr>
        <w:t>Deutsche Sprachdiplom</w:t>
      </w:r>
      <w:r>
        <w:rPr>
          <w:rFonts w:eastAsia="Cambria" w:cs="Cambria"/>
          <w:b w:val="false"/>
          <w:bCs w:val="false"/>
          <w:i w:val="false"/>
          <w:iCs w:val="false"/>
          <w:sz w:val="22"/>
          <w:szCs w:val="22"/>
        </w:rPr>
        <w:t xml:space="preserve"> (DSD I und II) vor. Beispiele sind die Saturday School der German International School of Silicon Valley (GISSV), die German Saturday School Boston, die German School of Connecticut, die German School of Atlanta, Schulen in Houston und Austin, die German American School Association in Südkalifornien und die German School Phoenix in Tempe. Ob es in deiner Nähe eine gibt, kann bei der Ortswahl mitzählen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Immersionsschulen</w:t>
      </w:r>
      <w:r>
        <w:rPr>
          <w:rFonts w:eastAsia="Cambria" w:cs="Cambria"/>
          <w:b w:val="false"/>
          <w:bCs w:val="false"/>
          <w:i w:val="false"/>
          <w:iCs w:val="false"/>
          <w:sz w:val="22"/>
          <w:szCs w:val="22"/>
        </w:rPr>
        <w:t xml:space="preserve"> sind die Ausnahme: Die </w:t>
      </w:r>
      <w:r>
        <w:rPr>
          <w:rFonts w:eastAsia="Cambria" w:cs="Cambria"/>
          <w:b w:val="false"/>
          <w:bCs w:val="false"/>
          <w:i/>
          <w:iCs/>
          <w:sz w:val="22"/>
          <w:szCs w:val="22"/>
        </w:rPr>
        <w:t>Twin Cities German Immersion School</w:t>
      </w:r>
      <w:r>
        <w:rPr>
          <w:rFonts w:eastAsia="Cambria" w:cs="Cambria"/>
          <w:b w:val="false"/>
          <w:bCs w:val="false"/>
          <w:i w:val="false"/>
          <w:iCs w:val="false"/>
          <w:sz w:val="22"/>
          <w:szCs w:val="22"/>
        </w:rPr>
        <w:t xml:space="preserve"> in St. Paul (Minnesota) ist eine öffentliche, kostenlose Charter-Schule von Kindergarten bis Klasse 8 mit überwiegend deutschem Unterricht und Unterstützung für Kinder ohne Deutsch, ebenso die </w:t>
      </w:r>
      <w:r>
        <w:rPr>
          <w:rFonts w:eastAsia="Cambria" w:cs="Cambria"/>
          <w:b w:val="false"/>
          <w:bCs w:val="false"/>
          <w:i/>
          <w:iCs/>
          <w:sz w:val="22"/>
          <w:szCs w:val="22"/>
        </w:rPr>
        <w:t>Milwaukee German Immersion School</w:t>
      </w:r>
      <w:r>
        <w:rPr>
          <w:rFonts w:eastAsia="Cambria" w:cs="Cambria"/>
          <w:b w:val="false"/>
          <w:bCs w:val="false"/>
          <w:i w:val="false"/>
          <w:iCs w:val="false"/>
          <w:sz w:val="22"/>
          <w:szCs w:val="22"/>
        </w:rPr>
        <w:t>. Charter-Plätze werden oft verlost, Fristen liegen häufig zwischen Dezember und Februar. Am anderen Ende stehen die Deutschen Auslandsschulen mit Abschluss DIA und US-Diploma; sie kosten je nach Schule und Klasse grob 27.000–36.000 $ pro Jahr (Schuljahr 2026/27,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Nachweise.</w:t>
      </w:r>
      <w:r>
        <w:rPr>
          <w:rFonts w:eastAsia="Cambria" w:cs="Cambria"/>
          <w:b w:val="false"/>
          <w:bCs w:val="false"/>
          <w:i w:val="false"/>
          <w:iCs w:val="false"/>
          <w:sz w:val="22"/>
          <w:szCs w:val="22"/>
        </w:rPr>
        <w:t xml:space="preserve"> Das </w:t>
      </w:r>
      <w:r>
        <w:rPr>
          <w:rFonts w:eastAsia="Cambria" w:cs="Cambria"/>
          <w:b w:val="false"/>
          <w:bCs w:val="false"/>
          <w:i/>
          <w:iCs/>
          <w:sz w:val="22"/>
          <w:szCs w:val="22"/>
        </w:rPr>
        <w:t>Seal of Biliteracy</w:t>
      </w:r>
      <w:r>
        <w:rPr>
          <w:rFonts w:eastAsia="Cambria" w:cs="Cambria"/>
          <w:b w:val="false"/>
          <w:bCs w:val="false"/>
          <w:i w:val="false"/>
          <w:iCs w:val="false"/>
          <w:sz w:val="22"/>
          <w:szCs w:val="22"/>
        </w:rPr>
        <w:t xml:space="preserve"> (Siegel für Zweisprachigkeit) gibt es laut Anbieterseiten in allen 50 Staaten und in Washington, D.C.; wer bei Schulabschluss zwei Sprachen nachweist, erhält einen Vermerk auf Zeugnis oder Diplom (Kriterien je Staat). Das DSD ist eine Prüfung der Kultusministerkonferenz für Deutsch als Fremdsprache. Die Goethe-Zertifikate (A1 bis C2) legst du beim Goethe-Institut ab, das laut eigener Seite Standorte in Boston, Chicago, Los Angeles, New York, San Francisco und Washington hat. Für das Studium in Deutschland siehe Kapitel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 für eine Rückkehr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Bei Familie Brandt (fiktiv) antwortet Jonas nach 18 Monaten meist auf Englisch, auch am Frühstückstisch. Markus und Anna führen eine feste Regel ein: Am Küchentisch gilt Deutsch. Abends lesen sie 15 Minuten auf Deutsch vor, sonntags folgt der Videoanruf mit den Großeltern in Deutschland. Lena schreibt alle zwei Wochen eine Postkarte. Die Fortschritte sind unspektakulär, aber messbar: Nach einem Jahr liest Lena wieder deutsche Kinderbücher allein, und Jonas antwortet zumindest bei Oma auf Deutsch.</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 sprechen mit Großeltern, Verwandten und Freunden in Deutschland</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Jahre konsequenter Elternarbeit; Nachlassen fällt erst spät auf</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Rückkehr, Studium oder Arbeit in Deutschland bleiben offen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Schriftsprache bleibt meist hinter dem Englischen zurück</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Seal of Biliteracy, DSD oder Goethe-Zertifikat stärken Bewerbungen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Samstagsschule kostet Wochenenden, Fahrzeit und Geld</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Immersionsschulen sind kostenlos, wo es sie gibt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Solche Schulen gibt es nur an wenigen Orten; Plätze werden oft verlost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Wer zwei Sprachen beherrscht, lernt weitere oft leichter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Jugendliche wehren sich, wenn Deutsch als peinlich gilt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Erwachsene: Englisch verbessern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auf Englisch studiert oder gearbeitet hat, kommt im Alltag meist zurecht und stolpert an Details: schnelle Meetings, Telefonate mit Versicherungen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 Small Talk, formelle E-Mails. Für H-1B, L-1 und die arbeitsgestützte Green Card verlangt die Einwanderungsbehörde keinen Englischtest; einen gibt es erst bei der Einbürgerung (Kapitel </w:t>
      </w:r>
      <w:hyperlink w:anchor="k41">
        <w:r>
          <w:rPr>
            <w:rStyle w:val="ListLabel115"/>
            <w:rFonts w:eastAsia="Cambria" w:cs="Cambria"/>
            <w:b w:val="false"/>
            <w:bCs w:val="false"/>
            <w:i w:val="false"/>
            <w:iCs w:val="false"/>
            <w:sz w:val="22"/>
            <w:szCs w:val="22"/>
          </w:rPr>
          <w:t>41</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Bibliothek.</w:t>
      </w:r>
      <w:r>
        <w:rPr>
          <w:rFonts w:eastAsia="Cambria" w:cs="Cambria"/>
          <w:b w:val="false"/>
          <w:bCs w:val="false"/>
          <w:i w:val="false"/>
          <w:iCs w:val="false"/>
          <w:sz w:val="22"/>
          <w:szCs w:val="22"/>
        </w:rPr>
        <w:t xml:space="preserve"> Die Karte ist für Einwohner meist kostenlos, ein Wohnsitznachweis genügt; viele Bibliotheken bieten Gesprächsrunden (</w:t>
      </w:r>
      <w:r>
        <w:rPr>
          <w:rFonts w:eastAsia="Cambria" w:cs="Cambria"/>
          <w:b w:val="false"/>
          <w:bCs w:val="false"/>
          <w:i/>
          <w:iCs/>
          <w:sz w:val="22"/>
          <w:szCs w:val="22"/>
        </w:rPr>
        <w:t>Conversation Circles</w:t>
      </w:r>
      <w:r>
        <w:rPr>
          <w:rFonts w:eastAsia="Cambria" w:cs="Cambria"/>
          <w:b w:val="false"/>
          <w:bCs w:val="false"/>
          <w:i w:val="false"/>
          <w:iCs w:val="false"/>
          <w:sz w:val="22"/>
          <w:szCs w:val="22"/>
        </w:rPr>
        <w:t>), Buchclubs und ESL-Kurse an; Termine stehen auf der Website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Community College.</w:t>
      </w:r>
      <w:r>
        <w:rPr>
          <w:rFonts w:eastAsia="Cambria" w:cs="Cambria"/>
          <w:b w:val="false"/>
          <w:bCs w:val="false"/>
          <w:i w:val="false"/>
          <w:iCs w:val="false"/>
          <w:sz w:val="22"/>
          <w:szCs w:val="22"/>
        </w:rPr>
        <w:t xml:space="preserve"> Das ist eine Mischung aus Volkshochschule und Fachschule: Die bundesgeförderte Erwachsenenbildung (WIOA Title II) bietet dort oft kostenlose oder sehr günstige ESL-Kurse ohne Abschluss an, ein Einstufungstest vor Ort zeigt, ob und auf welchem Niveau du teilnehmen kannst. Für Fortgeschrittene passen eher Kurse mit Kreditpunkten wie </w:t>
      </w:r>
      <w:r>
        <w:rPr>
          <w:rFonts w:eastAsia="Cambria" w:cs="Cambria"/>
          <w:b w:val="false"/>
          <w:bCs w:val="false"/>
          <w:i/>
          <w:iCs/>
          <w:sz w:val="22"/>
          <w:szCs w:val="22"/>
        </w:rPr>
        <w:t>Public Speaking</w:t>
      </w:r>
      <w:r>
        <w:rPr>
          <w:rFonts w:eastAsia="Cambria" w:cs="Cambria"/>
          <w:b w:val="false"/>
          <w:bCs w:val="false"/>
          <w:i w:val="false"/>
          <w:iCs w:val="false"/>
          <w:sz w:val="22"/>
          <w:szCs w:val="22"/>
        </w:rPr>
        <w:t xml:space="preserve"> oder </w:t>
      </w:r>
      <w:r>
        <w:rPr>
          <w:rFonts w:eastAsia="Cambria" w:cs="Cambria"/>
          <w:b w:val="false"/>
          <w:bCs w:val="false"/>
          <w:i/>
          <w:iCs/>
          <w:sz w:val="22"/>
          <w:szCs w:val="22"/>
        </w:rPr>
        <w:t>Business Writing</w:t>
      </w:r>
      <w:r>
        <w:rPr>
          <w:rFonts w:eastAsia="Cambria" w:cs="Cambria"/>
          <w:b w:val="false"/>
          <w:bCs w:val="false"/>
          <w:i w:val="false"/>
          <w:iCs w:val="false"/>
          <w:sz w:val="22"/>
          <w:szCs w:val="22"/>
        </w:rPr>
        <w:t>. Die Studiengebühren liegen im Einzugsgebiet bei durchschnittlich rund 4.150 $ pro Jahr (2025/26, Vollzeit), ein einzelner Kurs entsprechend weniger. Auch Partner ohne Arbeitserlaubnis dürfen sich meist einschreiben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Sprechen üben.</w:t>
      </w:r>
      <w:r>
        <w:rPr>
          <w:rFonts w:eastAsia="Cambria" w:cs="Cambria"/>
          <w:b w:val="false"/>
          <w:bCs w:val="false"/>
          <w:i w:val="false"/>
          <w:iCs w:val="false"/>
          <w:sz w:val="22"/>
          <w:szCs w:val="22"/>
        </w:rPr>
        <w:t xml:space="preserve"> Toastmasters, Sprachtandems und Meetup-Treffs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 trainieren freies Sprechen; frage außerdem die Personalabteilung nach Kommunikationstrainings oder einem Weiterbildungsbudget.</w:t>
      </w:r>
    </w:p>
    <w:p>
      <w:pPr>
        <w:pStyle w:val="ListParagraph"/>
        <w:numPr>
          <w:ilvl w:val="0"/>
          <w:numId w:val="1"/>
        </w:numPr>
        <w:spacing w:lineRule="exact" w:line="288" w:before="0" w:after="60"/>
        <w:rPr/>
      </w:pPr>
      <w:r>
        <w:rPr>
          <w:rFonts w:eastAsia="Cambria" w:cs="Cambria"/>
          <w:b/>
          <w:bCs/>
          <w:i w:val="false"/>
          <w:iCs w:val="false"/>
          <w:sz w:val="22"/>
          <w:szCs w:val="22"/>
        </w:rPr>
        <w:t>Akzent.</w:t>
      </w:r>
      <w:r>
        <w:rPr>
          <w:rFonts w:eastAsia="Cambria" w:cs="Cambria"/>
          <w:b w:val="false"/>
          <w:bCs w:val="false"/>
          <w:i w:val="false"/>
          <w:iCs w:val="false"/>
          <w:sz w:val="22"/>
          <w:szCs w:val="22"/>
        </w:rPr>
        <w:t xml:space="preserve"> Ein deutscher Akzent ist in den meisten Metropolregionen kein Hindernis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wer verständlicher werden will, übt Betonung und Satzmelodie.</w:t>
      </w:r>
    </w:p>
    <w:p>
      <w:pPr>
        <w:pStyle w:val="Normal"/>
        <w:spacing w:lineRule="exact" w:line="120" w:before="0" w:after="0"/>
        <w:rPr/>
      </w:pPr>
      <w:r>
        <w:rPr/>
      </w:r>
    </w:p>
    <w:tbl>
      <w:tblPr>
        <w:tblW w:w="6480" w:type="dxa"/>
        <w:jc w:val="left"/>
        <w:tblInd w:w="0" w:type="dxa"/>
        <w:tblLayout w:type="fixed"/>
        <w:tblCellMar>
          <w:top w:w="50" w:type="dxa"/>
          <w:left w:w="80" w:type="dxa"/>
          <w:bottom w:w="50" w:type="dxa"/>
          <w:right w:w="80" w:type="dxa"/>
        </w:tblCellMar>
      </w:tblPr>
      <w:tblGrid>
        <w:gridCol w:w="962"/>
        <w:gridCol w:w="2506"/>
        <w:gridCol w:w="3012"/>
      </w:tblGrid>
      <w:tr>
        <w:trPr>
          <w:tblHeader w:val="true"/>
          <w:cantSplit w:val="true"/>
        </w:trPr>
        <w:tc>
          <w:tcPr>
            <w:tcW w:w="96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Test</w:t>
            </w:r>
          </w:p>
        </w:tc>
        <w:tc>
          <w:tcPr>
            <w:tcW w:w="250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Wofür meist gebraucht</w:t>
            </w:r>
          </w:p>
        </w:tc>
        <w:tc>
          <w:tcPr>
            <w:tcW w:w="301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Hinweis</w:t>
            </w:r>
          </w:p>
        </w:tc>
      </w:tr>
      <w:tr>
        <w:trPr>
          <w:cantSplit w:val="true"/>
        </w:trPr>
        <w:tc>
          <w:tcPr>
            <w:tcW w:w="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TOEFL iBT</w:t>
            </w:r>
          </w:p>
        </w:tc>
        <w:tc>
          <w:tcPr>
            <w:tcW w:w="25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Zulassung zum Masterstudium (Kapitel </w:t>
            </w:r>
            <w:hyperlink w:anchor="k8">
              <w:r>
                <w:rPr>
                  <w:rStyle w:val="ListLabel112"/>
                  <w:rFonts w:eastAsia="Cambria" w:cs="Cambria"/>
                  <w:b w:val="false"/>
                  <w:bCs w:val="false"/>
                  <w:i w:val="false"/>
                  <w:iCs w:val="false"/>
                  <w:sz w:val="18"/>
                  <w:szCs w:val="18"/>
                </w:rPr>
                <w:t>8</w:t>
              </w:r>
            </w:hyperlink>
            <w:r>
              <w:rPr>
                <w:rFonts w:eastAsia="Cambria" w:cs="Cambria"/>
                <w:b w:val="false"/>
                <w:bCs w:val="false"/>
                <w:i w:val="false"/>
                <w:iCs w:val="false"/>
                <w:sz w:val="18"/>
                <w:szCs w:val="18"/>
              </w:rPr>
              <w:t>)</w:t>
            </w:r>
          </w:p>
        </w:tc>
        <w:tc>
          <w:tcPr>
            <w:tcW w:w="30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2026 überarbeitet; Gebühr, Aufbau und Skala auf ets.org/toefl prüfen</w:t>
            </w:r>
          </w:p>
        </w:tc>
      </w:tr>
      <w:tr>
        <w:trPr>
          <w:cantSplit w:val="true"/>
        </w:trPr>
        <w:tc>
          <w:tcPr>
            <w:tcW w:w="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IELTS Academic</w:t>
            </w:r>
          </w:p>
        </w:tc>
        <w:tc>
          <w:tcPr>
            <w:tcW w:w="25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Hochschulzulassung, manche Berufszulassungen</w:t>
            </w:r>
          </w:p>
        </w:tc>
        <w:tc>
          <w:tcPr>
            <w:tcW w:w="30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Gebühr und Termine auf ielts.org</w:t>
            </w:r>
          </w:p>
        </w:tc>
      </w:tr>
      <w:tr>
        <w:trPr>
          <w:cantSplit w:val="true"/>
        </w:trPr>
        <w:tc>
          <w:tcPr>
            <w:tcW w:w="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Duolingo English Test</w:t>
            </w:r>
          </w:p>
        </w:tc>
        <w:tc>
          <w:tcPr>
            <w:tcW w:w="25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Hochschulzulassung, online von zu Hause</w:t>
            </w:r>
          </w:p>
        </w:tc>
        <w:tc>
          <w:tcPr>
            <w:tcW w:w="30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Günstiger, aber nicht überall anerkannt</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Buche einen Test erst, wenn eine konkrete Hochschule oder Stelle ihn verlangt. Die Ergebnisse von TOEFL und IELTS gelten meist nur zwei Jahre. Frage vorher nach, ob ein Abschluss in englischer Sprache den Test ersetzt; manche Programme verzichten darauf.</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Alltagsenglisch: Wo Deutsche stolpern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Direktes Deutsch, wörtlich übersetzt, klingt im Englischen schnell schroff: „I want a coffee” hört sich wie ein Befehl an. Deutsche Direktheit gilt zu Hause als Tugend, im amerikanischen Großraumbüro dagegen schnell als Kampfansage. Mit kleinen Polstern vermeidest du Missverständnisse (Hintergründe: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2002"/>
        <w:gridCol w:w="4477"/>
      </w:tblGrid>
      <w:tr>
        <w:trPr>
          <w:tblHeader w:val="true"/>
          <w:cantSplit w:val="true"/>
        </w:trPr>
        <w:tc>
          <w:tcPr>
            <w:tcW w:w="200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Klingt schroff</w:t>
            </w:r>
          </w:p>
        </w:tc>
        <w:tc>
          <w:tcPr>
            <w:tcW w:w="447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Klingt kollegial</w:t>
            </w:r>
          </w:p>
        </w:tc>
      </w:tr>
      <w:tr>
        <w:trPr>
          <w:cantSplit w:val="true"/>
        </w:trPr>
        <w:tc>
          <w:tcPr>
            <w:tcW w:w="20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I want a coffee.“</w:t>
            </w:r>
          </w:p>
        </w:tc>
        <w:tc>
          <w:tcPr>
            <w:tcW w:w="44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I’d like a coffee, please.“</w:t>
            </w:r>
          </w:p>
        </w:tc>
      </w:tr>
      <w:tr>
        <w:trPr>
          <w:cantSplit w:val="true"/>
        </w:trPr>
        <w:tc>
          <w:tcPr>
            <w:tcW w:w="20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Send me the report.“</w:t>
            </w:r>
          </w:p>
        </w:tc>
        <w:tc>
          <w:tcPr>
            <w:tcW w:w="44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Could you send me the report by Friday?“</w:t>
            </w:r>
          </w:p>
        </w:tc>
      </w:tr>
      <w:tr>
        <w:trPr>
          <w:cantSplit w:val="true"/>
        </w:trPr>
        <w:tc>
          <w:tcPr>
            <w:tcW w:w="20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That is wrong.“</w:t>
            </w:r>
          </w:p>
        </w:tc>
        <w:tc>
          <w:tcPr>
            <w:tcW w:w="44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I see it a bit differently.“</w:t>
            </w:r>
          </w:p>
        </w:tc>
      </w:tr>
      <w:tr>
        <w:trPr>
          <w:cantSplit w:val="true"/>
        </w:trPr>
        <w:tc>
          <w:tcPr>
            <w:tcW w:w="20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That doesn’t work.“</w:t>
            </w:r>
          </w:p>
        </w:tc>
        <w:tc>
          <w:tcPr>
            <w:tcW w:w="44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I’m afraid that won’t work for me. Could we try Thursday?“</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Im Büro begegnen dir Wendungen, die kein Wörterbuch erklärt:</w:t>
      </w:r>
    </w:p>
    <w:tbl>
      <w:tblPr>
        <w:tblW w:w="6480" w:type="dxa"/>
        <w:jc w:val="left"/>
        <w:tblInd w:w="0" w:type="dxa"/>
        <w:tblLayout w:type="fixed"/>
        <w:tblCellMar>
          <w:top w:w="50" w:type="dxa"/>
          <w:left w:w="80" w:type="dxa"/>
          <w:bottom w:w="50" w:type="dxa"/>
          <w:right w:w="80" w:type="dxa"/>
        </w:tblCellMar>
      </w:tblPr>
      <w:tblGrid>
        <w:gridCol w:w="1986"/>
        <w:gridCol w:w="4493"/>
      </w:tblGrid>
      <w:tr>
        <w:trPr>
          <w:tblHeader w:val="true"/>
          <w:cantSplit w:val="true"/>
        </w:trPr>
        <w:tc>
          <w:tcPr>
            <w:tcW w:w="198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Ausdruck</w:t>
            </w:r>
          </w:p>
        </w:tc>
        <w:tc>
          <w:tcPr>
            <w:tcW w:w="449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Bedeutung</w:t>
            </w:r>
          </w:p>
        </w:tc>
      </w:tr>
      <w:tr>
        <w:trPr>
          <w:cantSplit w:val="true"/>
        </w:trPr>
        <w:tc>
          <w:tcPr>
            <w:tcW w:w="19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touch base</w:t>
            </w:r>
          </w:p>
        </w:tc>
        <w:tc>
          <w:tcPr>
            <w:tcW w:w="44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sich kurz abstimmen</w:t>
            </w:r>
          </w:p>
        </w:tc>
      </w:tr>
      <w:tr>
        <w:trPr>
          <w:cantSplit w:val="true"/>
        </w:trPr>
        <w:tc>
          <w:tcPr>
            <w:tcW w:w="19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circle back</w:t>
            </w:r>
          </w:p>
        </w:tc>
        <w:tc>
          <w:tcPr>
            <w:tcW w:w="44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später noch einmal darauf zurückkommen</w:t>
            </w:r>
          </w:p>
        </w:tc>
      </w:tr>
      <w:tr>
        <w:trPr>
          <w:cantSplit w:val="true"/>
        </w:trPr>
        <w:tc>
          <w:tcPr>
            <w:tcW w:w="19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ballpark figure</w:t>
            </w:r>
          </w:p>
        </w:tc>
        <w:tc>
          <w:tcPr>
            <w:tcW w:w="44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grobe Schätzung</w:t>
            </w:r>
          </w:p>
        </w:tc>
      </w:tr>
      <w:tr>
        <w:trPr>
          <w:cantSplit w:val="true"/>
        </w:trPr>
        <w:tc>
          <w:tcPr>
            <w:tcW w:w="19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heads-up</w:t>
            </w:r>
          </w:p>
        </w:tc>
        <w:tc>
          <w:tcPr>
            <w:tcW w:w="44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Vorwarnung, kurzer Hinweis</w:t>
            </w:r>
          </w:p>
        </w:tc>
      </w:tr>
      <w:tr>
        <w:trPr>
          <w:cantSplit w:val="true"/>
        </w:trPr>
        <w:tc>
          <w:tcPr>
            <w:tcW w:w="19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on the same page</w:t>
            </w:r>
          </w:p>
        </w:tc>
        <w:tc>
          <w:tcPr>
            <w:tcW w:w="44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gleicher Kenntnisstand</w:t>
            </w:r>
          </w:p>
        </w:tc>
      </w:tr>
      <w:tr>
        <w:trPr>
          <w:cantSplit w:val="true"/>
        </w:trPr>
        <w:tc>
          <w:tcPr>
            <w:tcW w:w="19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EOD</w:t>
            </w:r>
          </w:p>
        </w:tc>
        <w:tc>
          <w:tcPr>
            <w:tcW w:w="44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end of day</w:t>
            </w:r>
            <w:r>
              <w:rPr>
                <w:rFonts w:eastAsia="Cambria" w:cs="Cambria"/>
                <w:b w:val="false"/>
                <w:bCs w:val="false"/>
                <w:i w:val="false"/>
                <w:iCs w:val="false"/>
                <w:sz w:val="18"/>
                <w:szCs w:val="18"/>
              </w:rPr>
              <w:t>, bis Feierabend</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Im Alltag heißen „No worries“ und „You bet“ so viel wie „gern geschehen“, „I’m good“ steht für „nein danke“, „Sounds good“ für „einverstanden“. Bei Zahlen steht im Datum der Monat zuerst (03/04/2026 ist der 4. März), Uhrzeiten laufen mit </w:t>
      </w:r>
      <w:r>
        <w:rPr>
          <w:rFonts w:eastAsia="Cambria" w:cs="Cambria"/>
          <w:b w:val="false"/>
          <w:bCs w:val="false"/>
          <w:i/>
          <w:iCs/>
          <w:sz w:val="22"/>
          <w:szCs w:val="22"/>
        </w:rPr>
        <w:t>a.m.</w:t>
      </w:r>
      <w:r>
        <w:rPr>
          <w:rFonts w:eastAsia="Cambria" w:cs="Cambria"/>
          <w:b w:val="false"/>
          <w:bCs w:val="false"/>
          <w:i w:val="false"/>
          <w:iCs w:val="false"/>
          <w:sz w:val="22"/>
          <w:szCs w:val="22"/>
        </w:rPr>
        <w:t xml:space="preserve"> und </w:t>
      </w:r>
      <w:r>
        <w:rPr>
          <w:rFonts w:eastAsia="Cambria" w:cs="Cambria"/>
          <w:b w:val="false"/>
          <w:bCs w:val="false"/>
          <w:i/>
          <w:iCs/>
          <w:sz w:val="22"/>
          <w:szCs w:val="22"/>
        </w:rPr>
        <w:t>p.m.</w:t>
      </w:r>
      <w:r>
        <w:rPr>
          <w:rFonts w:eastAsia="Cambria" w:cs="Cambria"/>
          <w:b w:val="false"/>
          <w:bCs w:val="false"/>
          <w:i w:val="false"/>
          <w:iCs w:val="false"/>
          <w:sz w:val="22"/>
          <w:szCs w:val="22"/>
        </w:rPr>
        <w:t xml:space="preserve">, Tausender trennt ein Komma, Dezimalstellen ein Punkt. Und </w:t>
      </w:r>
      <w:r>
        <w:rPr>
          <w:rFonts w:eastAsia="Cambria" w:cs="Cambria"/>
          <w:b w:val="false"/>
          <w:bCs w:val="false"/>
          <w:i/>
          <w:iCs/>
          <w:sz w:val="22"/>
          <w:szCs w:val="22"/>
        </w:rPr>
        <w:t>billion</w:t>
      </w:r>
      <w:r>
        <w:rPr>
          <w:rFonts w:eastAsia="Cambria" w:cs="Cambria"/>
          <w:b w:val="false"/>
          <w:bCs w:val="false"/>
          <w:i w:val="false"/>
          <w:iCs w:val="false"/>
          <w:sz w:val="22"/>
          <w:szCs w:val="22"/>
        </w:rPr>
        <w:t xml:space="preserve"> ist die Milliarde, nicht die Billion.</w:t>
      </w:r>
    </w:p>
    <w:p>
      <w:pPr>
        <w:pStyle w:val="Heading3"/>
        <w:keepNext w:val="true"/>
        <w:spacing w:before="280" w:after="100"/>
        <w:jc w:val="center"/>
        <w:rPr/>
      </w:pPr>
      <w:r>
        <w:rPr>
          <w:rFonts w:eastAsia="Amazon Ember" w:cs="Amazon Ember" w:ascii="Amazon Ember" w:hAnsi="Amazon Ember"/>
          <w:b/>
          <w:bCs/>
          <w:color w:val="0000FF"/>
          <w:sz w:val="36"/>
          <w:szCs w:val="36"/>
        </w:rPr>
        <w:t>False Friends: Wörter, die dich hereinlegen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Diese Wörter klingen deutsch, bedeuten aber etwas anderes:</w:t>
      </w:r>
    </w:p>
    <w:tbl>
      <w:tblPr>
        <w:tblW w:w="6480" w:type="dxa"/>
        <w:jc w:val="left"/>
        <w:tblInd w:w="0" w:type="dxa"/>
        <w:tblLayout w:type="fixed"/>
        <w:tblCellMar>
          <w:top w:w="50" w:type="dxa"/>
          <w:left w:w="80" w:type="dxa"/>
          <w:bottom w:w="50" w:type="dxa"/>
          <w:right w:w="80" w:type="dxa"/>
        </w:tblCellMar>
      </w:tblPr>
      <w:tblGrid>
        <w:gridCol w:w="1143"/>
        <w:gridCol w:w="1143"/>
        <w:gridCol w:w="1765"/>
        <w:gridCol w:w="2428"/>
      </w:tblGrid>
      <w:tr>
        <w:trPr>
          <w:tblHeader w:val="true"/>
          <w:cantSplit w:val="true"/>
        </w:trPr>
        <w:tc>
          <w:tcPr>
            <w:tcW w:w="114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Englisch</w:t>
            </w:r>
          </w:p>
        </w:tc>
        <w:tc>
          <w:tcPr>
            <w:tcW w:w="114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Klingt wie</w:t>
            </w:r>
          </w:p>
        </w:tc>
        <w:tc>
          <w:tcPr>
            <w:tcW w:w="176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Bedeutet</w:t>
            </w:r>
          </w:p>
        </w:tc>
        <w:tc>
          <w:tcPr>
            <w:tcW w:w="242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Das deutsche Wort heißt</w:t>
            </w:r>
          </w:p>
        </w:tc>
      </w:tr>
      <w:tr>
        <w:trPr>
          <w:cantSplit w:val="true"/>
        </w:trPr>
        <w:tc>
          <w:tcPr>
            <w:tcW w:w="11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gift</w:t>
            </w:r>
          </w:p>
        </w:tc>
        <w:tc>
          <w:tcPr>
            <w:tcW w:w="11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Gift</w:t>
            </w:r>
          </w:p>
        </w:tc>
        <w:tc>
          <w:tcPr>
            <w:tcW w:w="1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Geschenk</w:t>
            </w:r>
          </w:p>
        </w:tc>
        <w:tc>
          <w:tcPr>
            <w:tcW w:w="24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poison</w:t>
            </w:r>
          </w:p>
        </w:tc>
      </w:tr>
      <w:tr>
        <w:trPr>
          <w:cantSplit w:val="true"/>
        </w:trPr>
        <w:tc>
          <w:tcPr>
            <w:tcW w:w="11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become</w:t>
            </w:r>
          </w:p>
        </w:tc>
        <w:tc>
          <w:tcPr>
            <w:tcW w:w="11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bekommen</w:t>
            </w:r>
          </w:p>
        </w:tc>
        <w:tc>
          <w:tcPr>
            <w:tcW w:w="1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werden</w:t>
            </w:r>
          </w:p>
        </w:tc>
        <w:tc>
          <w:tcPr>
            <w:tcW w:w="24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bekommen = </w:t>
            </w:r>
            <w:r>
              <w:rPr>
                <w:rFonts w:eastAsia="Cambria" w:cs="Cambria"/>
                <w:b w:val="false"/>
                <w:bCs w:val="false"/>
                <w:i/>
                <w:iCs/>
                <w:sz w:val="18"/>
                <w:szCs w:val="18"/>
              </w:rPr>
              <w:t>get</w:t>
            </w:r>
            <w:r>
              <w:rPr>
                <w:rFonts w:eastAsia="Cambria" w:cs="Cambria"/>
                <w:b w:val="false"/>
                <w:bCs w:val="false"/>
                <w:i w:val="false"/>
                <w:iCs w:val="false"/>
                <w:sz w:val="18"/>
                <w:szCs w:val="18"/>
              </w:rPr>
              <w:t xml:space="preserve">, </w:t>
            </w:r>
            <w:r>
              <w:rPr>
                <w:rFonts w:eastAsia="Cambria" w:cs="Cambria"/>
                <w:b w:val="false"/>
                <w:bCs w:val="false"/>
                <w:i/>
                <w:iCs/>
                <w:sz w:val="18"/>
                <w:szCs w:val="18"/>
              </w:rPr>
              <w:t>receive</w:t>
            </w:r>
          </w:p>
        </w:tc>
      </w:tr>
      <w:tr>
        <w:trPr>
          <w:cantSplit w:val="true"/>
        </w:trPr>
        <w:tc>
          <w:tcPr>
            <w:tcW w:w="11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actually</w:t>
            </w:r>
          </w:p>
        </w:tc>
        <w:tc>
          <w:tcPr>
            <w:tcW w:w="11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aktuell</w:t>
            </w:r>
          </w:p>
        </w:tc>
        <w:tc>
          <w:tcPr>
            <w:tcW w:w="1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tatsächlich, eigentlich</w:t>
            </w:r>
          </w:p>
        </w:tc>
        <w:tc>
          <w:tcPr>
            <w:tcW w:w="24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aktuell = </w:t>
            </w:r>
            <w:r>
              <w:rPr>
                <w:rFonts w:eastAsia="Cambria" w:cs="Cambria"/>
                <w:b w:val="false"/>
                <w:bCs w:val="false"/>
                <w:i/>
                <w:iCs/>
                <w:sz w:val="18"/>
                <w:szCs w:val="18"/>
              </w:rPr>
              <w:t>current</w:t>
            </w:r>
          </w:p>
        </w:tc>
      </w:tr>
      <w:tr>
        <w:trPr>
          <w:cantSplit w:val="true"/>
        </w:trPr>
        <w:tc>
          <w:tcPr>
            <w:tcW w:w="11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eventually</w:t>
            </w:r>
          </w:p>
        </w:tc>
        <w:tc>
          <w:tcPr>
            <w:tcW w:w="11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eventuell</w:t>
            </w:r>
          </w:p>
        </w:tc>
        <w:tc>
          <w:tcPr>
            <w:tcW w:w="1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schließlich</w:t>
            </w:r>
          </w:p>
        </w:tc>
        <w:tc>
          <w:tcPr>
            <w:tcW w:w="24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eventuell = </w:t>
            </w:r>
            <w:r>
              <w:rPr>
                <w:rFonts w:eastAsia="Cambria" w:cs="Cambria"/>
                <w:b w:val="false"/>
                <w:bCs w:val="false"/>
                <w:i/>
                <w:iCs/>
                <w:sz w:val="18"/>
                <w:szCs w:val="18"/>
              </w:rPr>
              <w:t>possibly</w:t>
            </w:r>
          </w:p>
        </w:tc>
      </w:tr>
      <w:tr>
        <w:trPr>
          <w:cantSplit w:val="true"/>
        </w:trPr>
        <w:tc>
          <w:tcPr>
            <w:tcW w:w="11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sensible</w:t>
            </w:r>
          </w:p>
        </w:tc>
        <w:tc>
          <w:tcPr>
            <w:tcW w:w="11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sensibel</w:t>
            </w:r>
          </w:p>
        </w:tc>
        <w:tc>
          <w:tcPr>
            <w:tcW w:w="1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vernünftig</w:t>
            </w:r>
          </w:p>
        </w:tc>
        <w:tc>
          <w:tcPr>
            <w:tcW w:w="24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sensibel = </w:t>
            </w:r>
            <w:r>
              <w:rPr>
                <w:rFonts w:eastAsia="Cambria" w:cs="Cambria"/>
                <w:b w:val="false"/>
                <w:bCs w:val="false"/>
                <w:i/>
                <w:iCs/>
                <w:sz w:val="18"/>
                <w:szCs w:val="18"/>
              </w:rPr>
              <w:t>sensitive</w:t>
            </w:r>
          </w:p>
        </w:tc>
      </w:tr>
      <w:tr>
        <w:trPr>
          <w:cantSplit w:val="true"/>
        </w:trPr>
        <w:tc>
          <w:tcPr>
            <w:tcW w:w="11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brief</w:t>
            </w:r>
          </w:p>
        </w:tc>
        <w:tc>
          <w:tcPr>
            <w:tcW w:w="11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Brief</w:t>
            </w:r>
          </w:p>
        </w:tc>
        <w:tc>
          <w:tcPr>
            <w:tcW w:w="1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kurz</w:t>
            </w:r>
          </w:p>
        </w:tc>
        <w:tc>
          <w:tcPr>
            <w:tcW w:w="24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Brief = </w:t>
            </w:r>
            <w:r>
              <w:rPr>
                <w:rFonts w:eastAsia="Cambria" w:cs="Cambria"/>
                <w:b w:val="false"/>
                <w:bCs w:val="false"/>
                <w:i/>
                <w:iCs/>
                <w:sz w:val="18"/>
                <w:szCs w:val="18"/>
              </w:rPr>
              <w:t>letter</w:t>
            </w:r>
          </w:p>
        </w:tc>
      </w:tr>
      <w:tr>
        <w:trPr>
          <w:cantSplit w:val="true"/>
        </w:trPr>
        <w:tc>
          <w:tcPr>
            <w:tcW w:w="11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chef</w:t>
            </w:r>
          </w:p>
        </w:tc>
        <w:tc>
          <w:tcPr>
            <w:tcW w:w="11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Chef</w:t>
            </w:r>
          </w:p>
        </w:tc>
        <w:tc>
          <w:tcPr>
            <w:tcW w:w="1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Küchenchef</w:t>
            </w:r>
          </w:p>
        </w:tc>
        <w:tc>
          <w:tcPr>
            <w:tcW w:w="24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Chef = </w:t>
            </w:r>
            <w:r>
              <w:rPr>
                <w:rFonts w:eastAsia="Cambria" w:cs="Cambria"/>
                <w:b w:val="false"/>
                <w:bCs w:val="false"/>
                <w:i/>
                <w:iCs/>
                <w:sz w:val="18"/>
                <w:szCs w:val="18"/>
              </w:rPr>
              <w:t>boss</w:t>
            </w:r>
          </w:p>
        </w:tc>
      </w:tr>
      <w:tr>
        <w:trPr>
          <w:cantSplit w:val="true"/>
        </w:trPr>
        <w:tc>
          <w:tcPr>
            <w:tcW w:w="11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résumé</w:t>
            </w:r>
          </w:p>
        </w:tc>
        <w:tc>
          <w:tcPr>
            <w:tcW w:w="11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Resümee</w:t>
            </w:r>
          </w:p>
        </w:tc>
        <w:tc>
          <w:tcPr>
            <w:tcW w:w="1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Lebenslauf (US)</w:t>
            </w:r>
          </w:p>
        </w:tc>
        <w:tc>
          <w:tcPr>
            <w:tcW w:w="24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Resümee = </w:t>
            </w:r>
            <w:r>
              <w:rPr>
                <w:rFonts w:eastAsia="Cambria" w:cs="Cambria"/>
                <w:b w:val="false"/>
                <w:bCs w:val="false"/>
                <w:i/>
                <w:iCs/>
                <w:sz w:val="18"/>
                <w:szCs w:val="18"/>
              </w:rPr>
              <w:t>summary</w:t>
            </w:r>
          </w:p>
        </w:tc>
      </w:tr>
      <w:tr>
        <w:trPr>
          <w:cantSplit w:val="true"/>
        </w:trPr>
        <w:tc>
          <w:tcPr>
            <w:tcW w:w="11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promotion</w:t>
            </w:r>
          </w:p>
        </w:tc>
        <w:tc>
          <w:tcPr>
            <w:tcW w:w="11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Promotion</w:t>
            </w:r>
          </w:p>
        </w:tc>
        <w:tc>
          <w:tcPr>
            <w:tcW w:w="1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Beförderung</w:t>
            </w:r>
          </w:p>
        </w:tc>
        <w:tc>
          <w:tcPr>
            <w:tcW w:w="24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Promotion = </w:t>
            </w:r>
            <w:r>
              <w:rPr>
                <w:rFonts w:eastAsia="Cambria" w:cs="Cambria"/>
                <w:b w:val="false"/>
                <w:bCs w:val="false"/>
                <w:i/>
                <w:iCs/>
                <w:sz w:val="18"/>
                <w:szCs w:val="18"/>
              </w:rPr>
              <w:t>doctorate</w:t>
            </w:r>
          </w:p>
        </w:tc>
      </w:tr>
      <w:tr>
        <w:trPr>
          <w:cantSplit w:val="true"/>
        </w:trPr>
        <w:tc>
          <w:tcPr>
            <w:tcW w:w="11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physician</w:t>
            </w:r>
          </w:p>
        </w:tc>
        <w:tc>
          <w:tcPr>
            <w:tcW w:w="11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Physiker</w:t>
            </w:r>
          </w:p>
        </w:tc>
        <w:tc>
          <w:tcPr>
            <w:tcW w:w="17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Arzt</w:t>
            </w:r>
          </w:p>
        </w:tc>
        <w:tc>
          <w:tcPr>
            <w:tcW w:w="24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Physiker = </w:t>
            </w:r>
            <w:r>
              <w:rPr>
                <w:rFonts w:eastAsia="Cambria" w:cs="Cambria"/>
                <w:b w:val="false"/>
                <w:bCs w:val="false"/>
                <w:i/>
                <w:iCs/>
                <w:sz w:val="18"/>
                <w:szCs w:val="18"/>
              </w:rPr>
              <w:t>physicist</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Umgekehrt gibt es Scheinanglizismen, die Amerikaner nicht kennen: </w:t>
      </w:r>
      <w:r>
        <w:rPr>
          <w:rFonts w:eastAsia="Cambria" w:cs="Cambria"/>
          <w:b w:val="false"/>
          <w:bCs w:val="false"/>
          <w:i/>
          <w:iCs/>
          <w:sz w:val="22"/>
          <w:szCs w:val="22"/>
        </w:rPr>
        <w:t>Handy</w:t>
      </w:r>
      <w:r>
        <w:rPr>
          <w:rFonts w:eastAsia="Cambria" w:cs="Cambria"/>
          <w:b w:val="false"/>
          <w:bCs w:val="false"/>
          <w:i w:val="false"/>
          <w:iCs w:val="false"/>
          <w:sz w:val="22"/>
          <w:szCs w:val="22"/>
        </w:rPr>
        <w:t xml:space="preserve"> heißt </w:t>
      </w:r>
      <w:r>
        <w:rPr>
          <w:rFonts w:eastAsia="Cambria" w:cs="Cambria"/>
          <w:b w:val="false"/>
          <w:bCs w:val="false"/>
          <w:i/>
          <w:iCs/>
          <w:sz w:val="22"/>
          <w:szCs w:val="22"/>
        </w:rPr>
        <w:t>cell phone</w:t>
      </w:r>
      <w:r>
        <w:rPr>
          <w:rFonts w:eastAsia="Cambria" w:cs="Cambria"/>
          <w:b w:val="false"/>
          <w:bCs w:val="false"/>
          <w:i w:val="false"/>
          <w:iCs w:val="false"/>
          <w:sz w:val="22"/>
          <w:szCs w:val="22"/>
        </w:rPr>
        <w:t xml:space="preserve">, </w:t>
      </w:r>
      <w:r>
        <w:rPr>
          <w:rFonts w:eastAsia="Cambria" w:cs="Cambria"/>
          <w:b w:val="false"/>
          <w:bCs w:val="false"/>
          <w:i/>
          <w:iCs/>
          <w:sz w:val="22"/>
          <w:szCs w:val="22"/>
        </w:rPr>
        <w:t>Beamer</w:t>
      </w:r>
      <w:r>
        <w:rPr>
          <w:rFonts w:eastAsia="Cambria" w:cs="Cambria"/>
          <w:b w:val="false"/>
          <w:bCs w:val="false"/>
          <w:i w:val="false"/>
          <w:iCs w:val="false"/>
          <w:sz w:val="22"/>
          <w:szCs w:val="22"/>
        </w:rPr>
        <w:t xml:space="preserve"> </w:t>
      </w:r>
      <w:r>
        <w:rPr>
          <w:rFonts w:eastAsia="Cambria" w:cs="Cambria"/>
          <w:b w:val="false"/>
          <w:bCs w:val="false"/>
          <w:i/>
          <w:iCs/>
          <w:sz w:val="22"/>
          <w:szCs w:val="22"/>
        </w:rPr>
        <w:t>projector</w:t>
      </w:r>
      <w:r>
        <w:rPr>
          <w:rFonts w:eastAsia="Cambria" w:cs="Cambria"/>
          <w:b w:val="false"/>
          <w:bCs w:val="false"/>
          <w:i w:val="false"/>
          <w:iCs w:val="false"/>
          <w:sz w:val="22"/>
          <w:szCs w:val="22"/>
        </w:rPr>
        <w:t xml:space="preserve">, </w:t>
      </w:r>
      <w:r>
        <w:rPr>
          <w:rFonts w:eastAsia="Cambria" w:cs="Cambria"/>
          <w:b w:val="false"/>
          <w:bCs w:val="false"/>
          <w:i/>
          <w:iCs/>
          <w:sz w:val="22"/>
          <w:szCs w:val="22"/>
        </w:rPr>
        <w:t>Oldtimer</w:t>
      </w:r>
      <w:r>
        <w:rPr>
          <w:rFonts w:eastAsia="Cambria" w:cs="Cambria"/>
          <w:b w:val="false"/>
          <w:bCs w:val="false"/>
          <w:i w:val="false"/>
          <w:iCs w:val="false"/>
          <w:sz w:val="22"/>
          <w:szCs w:val="22"/>
        </w:rPr>
        <w:t xml:space="preserve"> </w:t>
      </w:r>
      <w:r>
        <w:rPr>
          <w:rFonts w:eastAsia="Cambria" w:cs="Cambria"/>
          <w:b w:val="false"/>
          <w:bCs w:val="false"/>
          <w:i/>
          <w:iCs/>
          <w:sz w:val="22"/>
          <w:szCs w:val="22"/>
        </w:rPr>
        <w:t>classic car</w:t>
      </w:r>
      <w:r>
        <w:rPr>
          <w:rFonts w:eastAsia="Cambria" w:cs="Cambria"/>
          <w:b w:val="false"/>
          <w:bCs w:val="false"/>
          <w:i w:val="false"/>
          <w:iCs w:val="false"/>
          <w:sz w:val="22"/>
          <w:szCs w:val="22"/>
        </w:rPr>
        <w:t xml:space="preserve">, </w:t>
      </w:r>
      <w:r>
        <w:rPr>
          <w:rFonts w:eastAsia="Cambria" w:cs="Cambria"/>
          <w:b w:val="false"/>
          <w:bCs w:val="false"/>
          <w:i/>
          <w:iCs/>
          <w:sz w:val="22"/>
          <w:szCs w:val="22"/>
        </w:rPr>
        <w:t>Public Viewing</w:t>
      </w:r>
      <w:r>
        <w:rPr>
          <w:rFonts w:eastAsia="Cambria" w:cs="Cambria"/>
          <w:b w:val="false"/>
          <w:bCs w:val="false"/>
          <w:i w:val="false"/>
          <w:iCs w:val="false"/>
          <w:sz w:val="22"/>
          <w:szCs w:val="22"/>
        </w:rPr>
        <w:t xml:space="preserve"> </w:t>
      </w:r>
      <w:r>
        <w:rPr>
          <w:rFonts w:eastAsia="Cambria" w:cs="Cambria"/>
          <w:b w:val="false"/>
          <w:bCs w:val="false"/>
          <w:i/>
          <w:iCs/>
          <w:sz w:val="22"/>
          <w:szCs w:val="22"/>
        </w:rPr>
        <w:t>watch party</w:t>
      </w:r>
      <w:r>
        <w:rPr>
          <w:rFonts w:eastAsia="Cambria" w:cs="Cambria"/>
          <w:b w:val="false"/>
          <w:bCs w:val="false"/>
          <w:i w:val="false"/>
          <w:iCs w:val="false"/>
          <w:sz w:val="22"/>
          <w:szCs w:val="22"/>
        </w:rPr>
        <w:t xml:space="preserve">, </w:t>
      </w:r>
      <w:r>
        <w:rPr>
          <w:rFonts w:eastAsia="Cambria" w:cs="Cambria"/>
          <w:b w:val="false"/>
          <w:bCs w:val="false"/>
          <w:i/>
          <w:iCs/>
          <w:sz w:val="22"/>
          <w:szCs w:val="22"/>
        </w:rPr>
        <w:t>Smoking</w:t>
      </w:r>
      <w:r>
        <w:rPr>
          <w:rFonts w:eastAsia="Cambria" w:cs="Cambria"/>
          <w:b w:val="false"/>
          <w:bCs w:val="false"/>
          <w:i w:val="false"/>
          <w:iCs w:val="false"/>
          <w:sz w:val="22"/>
          <w:szCs w:val="22"/>
        </w:rPr>
        <w:t xml:space="preserve"> </w:t>
      </w:r>
      <w:r>
        <w:rPr>
          <w:rFonts w:eastAsia="Cambria" w:cs="Cambria"/>
          <w:b w:val="false"/>
          <w:bCs w:val="false"/>
          <w:i/>
          <w:iCs/>
          <w:sz w:val="22"/>
          <w:szCs w:val="22"/>
        </w:rPr>
        <w:t>tuxedo</w:t>
      </w:r>
      <w:r>
        <w:rPr>
          <w:rFonts w:eastAsia="Cambria" w:cs="Cambria"/>
          <w:b w:val="false"/>
          <w:bCs w:val="false"/>
          <w:i w:val="false"/>
          <w:iCs w:val="false"/>
          <w:sz w:val="22"/>
          <w:szCs w:val="22"/>
        </w:rPr>
        <w:t xml:space="preserve">, </w:t>
      </w:r>
      <w:r>
        <w:rPr>
          <w:rFonts w:eastAsia="Cambria" w:cs="Cambria"/>
          <w:b w:val="false"/>
          <w:bCs w:val="false"/>
          <w:i/>
          <w:iCs/>
          <w:sz w:val="22"/>
          <w:szCs w:val="22"/>
        </w:rPr>
        <w:t>Mobbing</w:t>
      </w:r>
      <w:r>
        <w:rPr>
          <w:rFonts w:eastAsia="Cambria" w:cs="Cambria"/>
          <w:b w:val="false"/>
          <w:bCs w:val="false"/>
          <w:i w:val="false"/>
          <w:iCs w:val="false"/>
          <w:sz w:val="22"/>
          <w:szCs w:val="22"/>
        </w:rPr>
        <w:t xml:space="preserve"> </w:t>
      </w:r>
      <w:r>
        <w:rPr>
          <w:rFonts w:eastAsia="Cambria" w:cs="Cambria"/>
          <w:b w:val="false"/>
          <w:bCs w:val="false"/>
          <w:i/>
          <w:iCs/>
          <w:sz w:val="22"/>
          <w:szCs w:val="22"/>
        </w:rPr>
        <w:t>bullying</w:t>
      </w:r>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US- und UK-Wortschatz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Schulenglisch ist in Deutschland oft britisch geprägt. Wer sein mühsam poliertes Oxford-Englisch mitbringt, wird in Ohio damit selten Eindruck schinden: Amerikanisches Englisch ist kein falsches Englisch, nur ein selbstbewusster eigener Dialekt. In den USA klingt manches anders und wird anders geschrieben (</w:t>
      </w:r>
      <w:r>
        <w:rPr>
          <w:rFonts w:eastAsia="Cambria" w:cs="Cambria"/>
          <w:b w:val="false"/>
          <w:bCs w:val="false"/>
          <w:i/>
          <w:iCs/>
          <w:sz w:val="22"/>
          <w:szCs w:val="22"/>
        </w:rPr>
        <w:t>color</w:t>
      </w:r>
      <w:r>
        <w:rPr>
          <w:rFonts w:eastAsia="Cambria" w:cs="Cambria"/>
          <w:b w:val="false"/>
          <w:bCs w:val="false"/>
          <w:i w:val="false"/>
          <w:iCs w:val="false"/>
          <w:sz w:val="22"/>
          <w:szCs w:val="22"/>
        </w:rPr>
        <w:t xml:space="preserve">, </w:t>
      </w:r>
      <w:r>
        <w:rPr>
          <w:rFonts w:eastAsia="Cambria" w:cs="Cambria"/>
          <w:b w:val="false"/>
          <w:bCs w:val="false"/>
          <w:i/>
          <w:iCs/>
          <w:sz w:val="22"/>
          <w:szCs w:val="22"/>
        </w:rPr>
        <w:t>center</w:t>
      </w:r>
      <w:r>
        <w:rPr>
          <w:rFonts w:eastAsia="Cambria" w:cs="Cambria"/>
          <w:b w:val="false"/>
          <w:bCs w:val="false"/>
          <w:i w:val="false"/>
          <w:iCs w:val="false"/>
          <w:sz w:val="22"/>
          <w:szCs w:val="22"/>
        </w:rPr>
        <w:t xml:space="preserve">, </w:t>
      </w:r>
      <w:r>
        <w:rPr>
          <w:rFonts w:eastAsia="Cambria" w:cs="Cambria"/>
          <w:b w:val="false"/>
          <w:bCs w:val="false"/>
          <w:i/>
          <w:iCs/>
          <w:sz w:val="22"/>
          <w:szCs w:val="22"/>
        </w:rPr>
        <w:t>organize</w:t>
      </w:r>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2032"/>
        <w:gridCol w:w="2415"/>
        <w:gridCol w:w="2033"/>
      </w:tblGrid>
      <w:tr>
        <w:trPr>
          <w:tblHeader w:val="true"/>
          <w:cantSplit w:val="true"/>
        </w:trPr>
        <w:tc>
          <w:tcPr>
            <w:tcW w:w="203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w:t>
            </w:r>
          </w:p>
        </w:tc>
        <w:tc>
          <w:tcPr>
            <w:tcW w:w="241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w:t>
            </w:r>
          </w:p>
        </w:tc>
        <w:tc>
          <w:tcPr>
            <w:tcW w:w="203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UK</w:t>
            </w:r>
          </w:p>
        </w:tc>
      </w:tr>
      <w:tr>
        <w:trPr>
          <w:cantSplit w:val="true"/>
        </w:trPr>
        <w:tc>
          <w:tcPr>
            <w:tcW w:w="20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Wohnung</w:t>
            </w:r>
          </w:p>
        </w:tc>
        <w:tc>
          <w:tcPr>
            <w:tcW w:w="2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apartment</w:t>
            </w:r>
          </w:p>
        </w:tc>
        <w:tc>
          <w:tcPr>
            <w:tcW w:w="20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flat</w:t>
            </w:r>
          </w:p>
        </w:tc>
      </w:tr>
      <w:tr>
        <w:trPr>
          <w:cantSplit w:val="true"/>
        </w:trPr>
        <w:tc>
          <w:tcPr>
            <w:tcW w:w="20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Aufzug</w:t>
            </w:r>
          </w:p>
        </w:tc>
        <w:tc>
          <w:tcPr>
            <w:tcW w:w="2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elevator</w:t>
            </w:r>
          </w:p>
        </w:tc>
        <w:tc>
          <w:tcPr>
            <w:tcW w:w="20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lift</w:t>
            </w:r>
          </w:p>
        </w:tc>
      </w:tr>
      <w:tr>
        <w:trPr>
          <w:cantSplit w:val="true"/>
        </w:trPr>
        <w:tc>
          <w:tcPr>
            <w:tcW w:w="20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Erdgeschoss</w:t>
            </w:r>
          </w:p>
        </w:tc>
        <w:tc>
          <w:tcPr>
            <w:tcW w:w="2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first floor</w:t>
            </w:r>
          </w:p>
        </w:tc>
        <w:tc>
          <w:tcPr>
            <w:tcW w:w="20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ground floor</w:t>
            </w:r>
          </w:p>
        </w:tc>
      </w:tr>
      <w:tr>
        <w:trPr>
          <w:cantSplit w:val="true"/>
        </w:trPr>
        <w:tc>
          <w:tcPr>
            <w:tcW w:w="20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Benzin</w:t>
            </w:r>
          </w:p>
        </w:tc>
        <w:tc>
          <w:tcPr>
            <w:tcW w:w="2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gas</w:t>
            </w:r>
          </w:p>
        </w:tc>
        <w:tc>
          <w:tcPr>
            <w:tcW w:w="20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petrol</w:t>
            </w:r>
          </w:p>
        </w:tc>
      </w:tr>
      <w:tr>
        <w:trPr>
          <w:cantSplit w:val="true"/>
        </w:trPr>
        <w:tc>
          <w:tcPr>
            <w:tcW w:w="20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Gehweg</w:t>
            </w:r>
          </w:p>
        </w:tc>
        <w:tc>
          <w:tcPr>
            <w:tcW w:w="2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sidewalk</w:t>
            </w:r>
          </w:p>
        </w:tc>
        <w:tc>
          <w:tcPr>
            <w:tcW w:w="20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pavement</w:t>
            </w:r>
          </w:p>
        </w:tc>
      </w:tr>
      <w:tr>
        <w:trPr>
          <w:cantSplit w:val="true"/>
        </w:trPr>
        <w:tc>
          <w:tcPr>
            <w:tcW w:w="20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Mülleimer</w:t>
            </w:r>
          </w:p>
        </w:tc>
        <w:tc>
          <w:tcPr>
            <w:tcW w:w="2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trash can</w:t>
            </w:r>
          </w:p>
        </w:tc>
        <w:tc>
          <w:tcPr>
            <w:tcW w:w="20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bin</w:t>
            </w:r>
          </w:p>
        </w:tc>
      </w:tr>
      <w:tr>
        <w:trPr>
          <w:cantSplit w:val="true"/>
        </w:trPr>
        <w:tc>
          <w:tcPr>
            <w:tcW w:w="20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Urlaub</w:t>
            </w:r>
          </w:p>
        </w:tc>
        <w:tc>
          <w:tcPr>
            <w:tcW w:w="2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vacation</w:t>
            </w:r>
          </w:p>
        </w:tc>
        <w:tc>
          <w:tcPr>
            <w:tcW w:w="20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holiday</w:t>
            </w:r>
          </w:p>
        </w:tc>
      </w:tr>
      <w:tr>
        <w:trPr>
          <w:cantSplit w:val="true"/>
        </w:trPr>
        <w:tc>
          <w:tcPr>
            <w:tcW w:w="20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Grundschule</w:t>
            </w:r>
          </w:p>
        </w:tc>
        <w:tc>
          <w:tcPr>
            <w:tcW w:w="2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elementary school</w:t>
            </w:r>
          </w:p>
        </w:tc>
        <w:tc>
          <w:tcPr>
            <w:tcW w:w="20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primary school</w:t>
            </w:r>
          </w:p>
        </w:tc>
      </w:tr>
      <w:tr>
        <w:trPr>
          <w:cantSplit w:val="true"/>
        </w:trPr>
        <w:tc>
          <w:tcPr>
            <w:tcW w:w="20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Schulnote</w:t>
            </w:r>
          </w:p>
        </w:tc>
        <w:tc>
          <w:tcPr>
            <w:tcW w:w="24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grade</w:t>
            </w:r>
          </w:p>
        </w:tc>
        <w:tc>
          <w:tcPr>
            <w:tcW w:w="20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mark</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Praktisch wichtig ist die Etagenzählung: Wer eine Wohnung im </w:t>
      </w:r>
      <w:r>
        <w:rPr>
          <w:rFonts w:eastAsia="Cambria" w:cs="Cambria"/>
          <w:b w:val="false"/>
          <w:bCs w:val="false"/>
          <w:i/>
          <w:iCs/>
          <w:sz w:val="22"/>
          <w:szCs w:val="22"/>
        </w:rPr>
        <w:t>second floor</w:t>
      </w:r>
      <w:r>
        <w:rPr>
          <w:rFonts w:eastAsia="Cambria" w:cs="Cambria"/>
          <w:b w:val="false"/>
          <w:bCs w:val="false"/>
          <w:i w:val="false"/>
          <w:iCs w:val="false"/>
          <w:sz w:val="22"/>
          <w:szCs w:val="22"/>
        </w:rPr>
        <w:t xml:space="preserve"> mietet, wohnt im ersten Stock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Vor dem Umzug sortierst du Zeugnisse und suchst Samstags- oder Immersionsschulen in der Nähe deines Wunschorts. In den ersten Wochen füllst du den Home Language Survey ehrlich aus, sprichst mit der EL-Lehrkraft und holst einen Bibliotheksausweis. Danach legst du Deutsch-Routinen fest und suchst dir einen eigenen Kurs.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Letzte Zeugnisse und Notenübersicht mit Englischnote einpacken, bei Bedarf übersetzen lassen (Kapitel </w:t>
            </w:r>
            <w:hyperlink w:anchor="k19">
              <w:r>
                <w:rPr>
                  <w:rStyle w:val="ListLabel114"/>
                  <w:rFonts w:eastAsia="Cambria" w:cs="Cambria"/>
                  <w:b w:val="false"/>
                  <w:bCs w:val="false"/>
                  <w:i w:val="false"/>
                  <w:iCs w:val="false"/>
                  <w:sz w:val="20"/>
                  <w:szCs w:val="20"/>
                </w:rPr>
                <w:t>19</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 xml:space="preserve">Website des Wunschdistrikts nach </w:t>
            </w:r>
            <w:r>
              <w:rPr>
                <w:rFonts w:eastAsia="Cambria" w:cs="Cambria"/>
                <w:b w:val="false"/>
                <w:bCs w:val="false"/>
                <w:i/>
                <w:iCs/>
                <w:sz w:val="20"/>
                <w:szCs w:val="20"/>
              </w:rPr>
              <w:t>English Learner Program</w:t>
            </w:r>
            <w:r>
              <w:rPr>
                <w:rFonts w:eastAsia="Cambria" w:cs="Cambria"/>
                <w:b w:val="false"/>
                <w:bCs w:val="false"/>
                <w:i w:val="false"/>
                <w:iCs w:val="false"/>
                <w:sz w:val="20"/>
                <w:szCs w:val="20"/>
              </w:rPr>
              <w:t xml:space="preserve"> oder </w:t>
            </w:r>
            <w:r>
              <w:rPr>
                <w:rFonts w:eastAsia="Cambria" w:cs="Cambria"/>
                <w:b w:val="false"/>
                <w:bCs w:val="false"/>
                <w:i/>
                <w:iCs/>
                <w:sz w:val="20"/>
                <w:szCs w:val="20"/>
              </w:rPr>
              <w:t>ESL</w:t>
            </w:r>
            <w:r>
              <w:rPr>
                <w:rFonts w:eastAsia="Cambria" w:cs="Cambria"/>
                <w:b w:val="false"/>
                <w:bCs w:val="false"/>
                <w:i w:val="false"/>
                <w:iCs w:val="false"/>
                <w:sz w:val="20"/>
                <w:szCs w:val="20"/>
              </w:rPr>
              <w:t xml:space="preserve"> durchsuchen, den EL-Koordinator anschreiben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Home Language Survey wahrheitsgemäß ausfüllen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Elternbrief erwarten (30 Tage nach Schuljahresbeginn, später Eintretende zwei Wochen); fehlt er, nachfragen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Gespräch mit der EL-Lehrkraft führen: Stunden, Modell, Umstufungskriterien, Dolmetscher</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Stundenplan prüfen: Verdrängt der Extra-Unterricht Kernfächer?</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Bibliotheksausweis holen und Leseprogramme für die Kinder nutzen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Familienregel für Deutsch und ein tägliches Vorleseritual festlegen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Samstagsschule, Immersionsschule oder Sommerlager recherchieren, Fristen notieren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Für dich selbst einen Kurs wählen; Englischtest nur buchen, wenn er verlangt wird</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WIDA — Screener und ACCESS for ELLs (</w:t>
      </w:r>
      <w:hyperlink r:id="rId353">
        <w:r>
          <w:rPr>
            <w:rStyle w:val="ListLabel113"/>
            <w:rFonts w:eastAsia="Cambria" w:cs="Cambria"/>
            <w:b w:val="false"/>
            <w:bCs w:val="false"/>
            <w:i w:val="false"/>
            <w:iCs w:val="false"/>
            <w:color w:val="0563C1"/>
            <w:sz w:val="22"/>
            <w:szCs w:val="22"/>
            <w:u w:val="single"/>
          </w:rPr>
          <w:t>wida.wisc.edu/assess/screener</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 Department of Education — English Learners, Title III, Office for Civil Rights (</w:t>
      </w:r>
      <w:hyperlink r:id="rId354">
        <w:r>
          <w:rPr>
            <w:rStyle w:val="ListLabel113"/>
            <w:rFonts w:eastAsia="Cambria" w:cs="Cambria"/>
            <w:b w:val="false"/>
            <w:bCs w:val="false"/>
            <w:i w:val="false"/>
            <w:iCs w:val="false"/>
            <w:color w:val="0563C1"/>
            <w:sz w:val="22"/>
            <w:szCs w:val="22"/>
            <w:u w:val="single"/>
          </w:rPr>
          <w:t>ed.gov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Gesetzestext zu Elternbenachrichtigung und Umstufung, 20 U.S.C. § 6312 (</w:t>
      </w:r>
      <w:hyperlink r:id="rId355">
        <w:r>
          <w:rPr>
            <w:rStyle w:val="ListLabel113"/>
            <w:rFonts w:eastAsia="Cambria" w:cs="Cambria"/>
            <w:b w:val="false"/>
            <w:bCs w:val="false"/>
            <w:i w:val="false"/>
            <w:iCs w:val="false"/>
            <w:color w:val="0563C1"/>
            <w:sz w:val="22"/>
            <w:szCs w:val="22"/>
            <w:u w:val="single"/>
          </w:rPr>
          <w:t>law.cornell.edu/uscode/text/20/6312</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Adult Education and Family Literacy Act — Erwachsenenbildung und ESL (</w:t>
      </w:r>
      <w:hyperlink r:id="rId356">
        <w:r>
          <w:rPr>
            <w:rStyle w:val="ListLabel113"/>
            <w:rFonts w:eastAsia="Cambria" w:cs="Cambria"/>
            <w:b w:val="false"/>
            <w:bCs w:val="false"/>
            <w:i w:val="false"/>
            <w:iCs w:val="false"/>
            <w:color w:val="0563C1"/>
            <w:sz w:val="22"/>
            <w:szCs w:val="22"/>
            <w:u w:val="single"/>
          </w:rPr>
          <w:t>aefla.ed.gov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GISSV — Saturday School (</w:t>
      </w:r>
      <w:hyperlink r:id="rId357">
        <w:r>
          <w:rPr>
            <w:rStyle w:val="ListLabel113"/>
            <w:rFonts w:eastAsia="Cambria" w:cs="Cambria"/>
            <w:b w:val="false"/>
            <w:bCs w:val="false"/>
            <w:i w:val="false"/>
            <w:iCs w:val="false"/>
            <w:color w:val="0563C1"/>
            <w:sz w:val="22"/>
            <w:szCs w:val="22"/>
            <w:u w:val="single"/>
          </w:rPr>
          <w:t>gissv.org/gissv-home-english/locations/saturday-school</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Twin Cities German Immersion School (</w:t>
      </w:r>
      <w:hyperlink r:id="rId358">
        <w:r>
          <w:rPr>
            <w:rStyle w:val="ListLabel113"/>
            <w:rFonts w:eastAsia="Cambria" w:cs="Cambria"/>
            <w:b w:val="false"/>
            <w:bCs w:val="false"/>
            <w:i w:val="false"/>
            <w:iCs w:val="false"/>
            <w:color w:val="0563C1"/>
            <w:sz w:val="22"/>
            <w:szCs w:val="22"/>
            <w:u w:val="single"/>
          </w:rPr>
          <w:t>tcgis.org</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Goethe-Institut USA — Prüfungen (</w:t>
      </w:r>
      <w:hyperlink r:id="rId359">
        <w:r>
          <w:rPr>
            <w:rStyle w:val="ListLabel113"/>
            <w:rFonts w:eastAsia="Cambria" w:cs="Cambria"/>
            <w:b w:val="false"/>
            <w:bCs w:val="false"/>
            <w:i w:val="false"/>
            <w:iCs w:val="false"/>
            <w:color w:val="0563C1"/>
            <w:sz w:val="22"/>
            <w:szCs w:val="22"/>
            <w:u w:val="single"/>
          </w:rPr>
          <w:t>goethe.de/ins/us/en/spr/prf.html</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TOEFL und IELTS — Termine und Gebühren (</w:t>
      </w:r>
      <w:hyperlink r:id="rId360">
        <w:r>
          <w:rPr>
            <w:rStyle w:val="ListLabel113"/>
            <w:rFonts w:eastAsia="Cambria" w:cs="Cambria"/>
            <w:b w:val="false"/>
            <w:bCs w:val="false"/>
            <w:i w:val="false"/>
            <w:iCs w:val="false"/>
            <w:color w:val="0563C1"/>
            <w:sz w:val="22"/>
            <w:szCs w:val="22"/>
            <w:u w:val="single"/>
          </w:rPr>
          <w:t>ets.org/toefl</w:t>
        </w:r>
      </w:hyperlink>
      <w:r>
        <w:rPr>
          <w:rFonts w:eastAsia="Cambria" w:cs="Cambria"/>
          <w:b w:val="false"/>
          <w:bCs w:val="false"/>
          <w:i w:val="false"/>
          <w:iCs w:val="false"/>
          <w:sz w:val="22"/>
          <w:szCs w:val="22"/>
        </w:rPr>
        <w:t xml:space="preserve">, </w:t>
      </w:r>
      <w:hyperlink r:id="rId361">
        <w:r>
          <w:rPr>
            <w:rStyle w:val="ListLabel113"/>
            <w:rFonts w:eastAsia="Cambria" w:cs="Cambria"/>
            <w:b w:val="false"/>
            <w:bCs w:val="false"/>
            <w:i w:val="false"/>
            <w:iCs w:val="false"/>
            <w:color w:val="0563C1"/>
            <w:sz w:val="22"/>
            <w:szCs w:val="22"/>
            <w:u w:val="single"/>
          </w:rPr>
          <w:t>ielts.org</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schnell: Bundesmittel und Zuständigkeiten für Sprachförderung (Title III; Haushalt 2027 ab 1. Oktober 2026 offen), Umstufungskriterien der Staaten, Testformate und Gebühren, Angebote und Preise der Samstags- und Immersionsschulen sowie Standorte des Goethe-Instituts. Prüfe vor jeder Entscheidung die Seiten deines Distrikts und Bundesstaates.</w:t>
            </w:r>
          </w:p>
        </w:tc>
      </w:tr>
    </w:tbl>
    <w:p>
      <w:pPr>
        <w:pStyle w:val="Normal"/>
        <w:spacing w:lineRule="exact" w:line="220" w:before="0" w:after="0"/>
        <w:rPr/>
      </w:pPr>
      <w:r>
        <w:rPr/>
      </w:r>
      <w:r>
        <w:br w:type="page"/>
      </w:r>
    </w:p>
    <w:p>
      <w:pPr>
        <w:pStyle w:val="Heading2"/>
        <w:keepNext w:val="true"/>
        <w:spacing w:before="0" w:after="300"/>
        <w:jc w:val="center"/>
        <w:rPr/>
      </w:pPr>
      <w:bookmarkStart w:id="92" w:name="__RefHeading___Toc56519_3769931028"/>
      <w:bookmarkStart w:id="93" w:name="k38"/>
      <w:bookmarkEnd w:id="92"/>
      <w:r>
        <w:rPr>
          <w:rFonts w:eastAsia="Amazon Ember" w:cs="Amazon Ember" w:ascii="Amazon Ember" w:hAnsi="Amazon Ember"/>
          <w:b/>
          <w:bCs/>
          <w:color w:val="0000FF"/>
          <w:sz w:val="36"/>
          <w:szCs w:val="36"/>
        </w:rPr>
        <w:t>Kapitel 38: Babys, Kleinkinder und Teenager</w:t>
      </w:r>
      <w:bookmarkEnd w:id="93"/>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Deutschland läuft ein Erstklässler selbstverständlich allein zur Schule; in manchen amerikanischen Vororten ruft dafür eine Nachbarin die Polizei. Umgekehrt staunen deutsche Eltern über eine Geburtsrechnung von über 20.000 $, einen Betreuungsplatz, der in Großstädten so viel kostet wie eine Miete, und einen Führerschein mit 16. Dieses Kapitel begleitet Kinder von der Schwangerschaft bis zum College: Was ist anders, was kostet es, wo passieren die teuersten Fehler?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Ein in den USA geborenes Kind ist mit der Geburt US-Bürger, auch bei Eltern mit Arbeitsvisum (Supreme Court, 30. Juni 2026). Ist ein Elternteil Deutscher, ist das Kind zugleich deutsch.</w:t>
            </w:r>
          </w:p>
          <w:p>
            <w:pPr>
              <w:pStyle w:val="ListParagraph"/>
              <w:numPr>
                <w:ilvl w:val="0"/>
                <w:numId w:val="1"/>
              </w:numPr>
              <w:spacing w:lineRule="exact" w:line="264" w:before="0" w:after="50"/>
              <w:rPr/>
            </w:pPr>
            <w:r>
              <w:rPr>
                <w:rFonts w:eastAsia="Cambria" w:cs="Cambria"/>
                <w:b w:val="false"/>
                <w:bCs w:val="false"/>
                <w:i w:val="false"/>
                <w:iCs w:val="false"/>
                <w:sz w:val="20"/>
                <w:szCs w:val="20"/>
              </w:rPr>
              <w:t>Eine Geburt kostet mit Arbeitgeberversicherung im Schnitt 2.743 $ Eigenanteil bei rund 20.400 $ Gesamtrechnung. Das Baby musst du meist binnen 30 Tagen im Plan anmelden.</w:t>
            </w:r>
          </w:p>
          <w:p>
            <w:pPr>
              <w:pStyle w:val="ListParagraph"/>
              <w:numPr>
                <w:ilvl w:val="0"/>
                <w:numId w:val="1"/>
              </w:numPr>
              <w:spacing w:lineRule="exact" w:line="264" w:before="0" w:after="50"/>
              <w:rPr/>
            </w:pPr>
            <w:r>
              <w:rPr>
                <w:rFonts w:eastAsia="Cambria" w:cs="Cambria"/>
                <w:b w:val="false"/>
                <w:bCs w:val="false"/>
                <w:i w:val="false"/>
                <w:iCs w:val="false"/>
                <w:sz w:val="20"/>
                <w:szCs w:val="20"/>
              </w:rPr>
              <w:t>Bezahlten Familienurlaub gibt es nur in zwölf Staaten und im District of Columbia. Bundesweit gelten zwölf unbezahlte Wochen, und erst nach zwölf Monaten im Betrieb.</w:t>
            </w:r>
          </w:p>
          <w:p>
            <w:pPr>
              <w:pStyle w:val="ListParagraph"/>
              <w:numPr>
                <w:ilvl w:val="0"/>
                <w:numId w:val="1"/>
              </w:numPr>
              <w:spacing w:lineRule="exact" w:line="264" w:before="0" w:after="50"/>
              <w:rPr/>
            </w:pPr>
            <w:r>
              <w:rPr>
                <w:rFonts w:eastAsia="Cambria" w:cs="Cambria"/>
                <w:b w:val="false"/>
                <w:bCs w:val="false"/>
                <w:i w:val="false"/>
                <w:iCs w:val="false"/>
                <w:sz w:val="20"/>
                <w:szCs w:val="20"/>
              </w:rPr>
              <w:t>Kinderbetreuung kostet im Schnitt 13.184 $ im Jahr. Für Familien mit H-1B, L-1 oder E-2 sind Au-pairs ausgeschlossen.</w:t>
            </w:r>
          </w:p>
          <w:p>
            <w:pPr>
              <w:pStyle w:val="ListParagraph"/>
              <w:numPr>
                <w:ilvl w:val="0"/>
                <w:numId w:val="1"/>
              </w:numPr>
              <w:spacing w:lineRule="exact" w:line="264" w:before="0" w:after="50"/>
              <w:rPr/>
            </w:pPr>
            <w:r>
              <w:rPr>
                <w:rFonts w:eastAsia="Cambria" w:cs="Cambria"/>
                <w:b w:val="false"/>
                <w:bCs w:val="false"/>
                <w:i w:val="false"/>
                <w:iCs w:val="false"/>
                <w:sz w:val="20"/>
                <w:szCs w:val="20"/>
              </w:rPr>
              <w:t>Wie lange Kinder allein bleiben dürfen, regelt jeder Staat anders. Prüfe die örtliche Lage, bevor du deutsche Maßstäbe anlegst.</w:t>
            </w:r>
          </w:p>
          <w:p>
            <w:pPr>
              <w:pStyle w:val="ListParagraph"/>
              <w:numPr>
                <w:ilvl w:val="0"/>
                <w:numId w:val="1"/>
              </w:numPr>
              <w:spacing w:lineRule="exact" w:line="264" w:before="0" w:after="50"/>
              <w:rPr/>
            </w:pPr>
            <w:r>
              <w:rPr>
                <w:rFonts w:eastAsia="Cambria" w:cs="Cambria"/>
                <w:b w:val="false"/>
                <w:bCs w:val="false"/>
                <w:i w:val="false"/>
                <w:iCs w:val="false"/>
                <w:sz w:val="20"/>
                <w:szCs w:val="20"/>
              </w:rPr>
              <w:t>Bundes-Studienhilfe erhalten nur US-Bürger und Green-Card-Inhaber, und der H-4-Status eines Kindes endet mit 21.</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Schwangerschaft und Geburt: Versicherung und Kosten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Kommst du schwanger oder wirst es bald, klärst du zuerst den Deckungsbeginn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Reise- und Kurzzeitpläne schließen Schwangerschaft und Geburt meist aus, im Arbeitgeberplan kann eine Wartefrist von bis zu 90 Tagen gelten. Ein Entbindungstermin vor dem Deckungsbeginn ist der teuerste denkbare Planungsfehler; verhandle „Deckung ab Tag 1“ deshalb schon beim Jobangebot.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Was eine Geburt kostet, zeigt die Auswertung von Peterson-KFF für Arbeitgeberpläne (Daten 2021–23):</w:t>
      </w:r>
    </w:p>
    <w:tbl>
      <w:tblPr>
        <w:tblW w:w="6480" w:type="dxa"/>
        <w:jc w:val="left"/>
        <w:tblInd w:w="0" w:type="dxa"/>
        <w:tblLayout w:type="fixed"/>
        <w:tblCellMar>
          <w:top w:w="50" w:type="dxa"/>
          <w:left w:w="80" w:type="dxa"/>
          <w:bottom w:w="50" w:type="dxa"/>
          <w:right w:w="80" w:type="dxa"/>
        </w:tblCellMar>
      </w:tblPr>
      <w:tblGrid>
        <w:gridCol w:w="3293"/>
        <w:gridCol w:w="1716"/>
        <w:gridCol w:w="1471"/>
      </w:tblGrid>
      <w:tr>
        <w:trPr>
          <w:tblHeader w:val="true"/>
          <w:cantSplit w:val="true"/>
        </w:trPr>
        <w:tc>
          <w:tcPr>
            <w:tcW w:w="329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Leistung</w:t>
            </w:r>
          </w:p>
        </w:tc>
        <w:tc>
          <w:tcPr>
            <w:tcW w:w="171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Gesamtrechnung</w:t>
            </w:r>
          </w:p>
        </w:tc>
        <w:tc>
          <w:tcPr>
            <w:tcW w:w="147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Eigenanteil</w:t>
            </w:r>
          </w:p>
        </w:tc>
      </w:tr>
      <w:tr>
        <w:trPr>
          <w:cantSplit w:val="true"/>
        </w:trPr>
        <w:tc>
          <w:tcPr>
            <w:tcW w:w="32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Geburt, Durchschnitt</w:t>
            </w:r>
          </w:p>
        </w:tc>
        <w:tc>
          <w:tcPr>
            <w:tcW w:w="17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20.416 $</w:t>
            </w:r>
          </w:p>
        </w:tc>
        <w:tc>
          <w:tcPr>
            <w:tcW w:w="14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2.743 $</w:t>
            </w:r>
          </w:p>
        </w:tc>
      </w:tr>
      <w:tr>
        <w:trPr>
          <w:cantSplit w:val="true"/>
        </w:trPr>
        <w:tc>
          <w:tcPr>
            <w:tcW w:w="32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Vaginale Geburt</w:t>
            </w:r>
          </w:p>
        </w:tc>
        <w:tc>
          <w:tcPr>
            <w:tcW w:w="17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15.712 $</w:t>
            </w:r>
          </w:p>
        </w:tc>
        <w:tc>
          <w:tcPr>
            <w:tcW w:w="14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2.563 $</w:t>
            </w:r>
          </w:p>
        </w:tc>
      </w:tr>
      <w:tr>
        <w:trPr>
          <w:cantSplit w:val="true"/>
        </w:trPr>
        <w:tc>
          <w:tcPr>
            <w:tcW w:w="32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Kaiserschnitt</w:t>
            </w:r>
          </w:p>
        </w:tc>
        <w:tc>
          <w:tcPr>
            <w:tcW w:w="17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28.998 $</w:t>
            </w:r>
          </w:p>
        </w:tc>
        <w:tc>
          <w:tcPr>
            <w:tcW w:w="14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3.071 $</w:t>
            </w:r>
          </w:p>
        </w:tc>
      </w:tr>
      <w:tr>
        <w:trPr>
          <w:cantSplit w:val="true"/>
        </w:trPr>
        <w:tc>
          <w:tcPr>
            <w:tcW w:w="32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Neugeborenes, erstes Quartal</w:t>
            </w:r>
          </w:p>
        </w:tc>
        <w:tc>
          <w:tcPr>
            <w:tcW w:w="17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5.820 $</w:t>
            </w:r>
          </w:p>
        </w:tc>
        <w:tc>
          <w:tcPr>
            <w:tcW w:w="14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475 $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Eigenanteil steigt kaum mit der Rechnung, weil bei einem Klinikaufenthalt Selbstbehalt und Jahreshöchstgrenze meist rasch erreicht sind. Trotzdem fehlt rund einem Drittel der Mehrpersonenhaushalte laut derselben Auswertung das Bargeld für den typischen Eigenanteil. Ein Bundesgesetz schützt die Klinikzeit: Der Versicherer darf den Aufenthalt nicht unter 48 Stunden (vaginal) beziehungsweise 96 Stunden (Kaiserschnitt) begrenzen.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Du wählst eine Praxis für Geburtshilfe (</w:t>
      </w:r>
      <w:r>
        <w:rPr>
          <w:rFonts w:eastAsia="Cambria" w:cs="Cambria"/>
          <w:b w:val="false"/>
          <w:bCs w:val="false"/>
          <w:i/>
          <w:iCs/>
          <w:sz w:val="22"/>
          <w:szCs w:val="22"/>
        </w:rPr>
        <w:t>OB-GYN</w:t>
      </w:r>
      <w:r>
        <w:rPr>
          <w:rFonts w:eastAsia="Cambria" w:cs="Cambria"/>
          <w:b w:val="false"/>
          <w:bCs w:val="false"/>
          <w:i w:val="false"/>
          <w:iCs w:val="false"/>
          <w:sz w:val="22"/>
          <w:szCs w:val="22"/>
        </w:rPr>
        <w:t>) oder eine staatlich zugelassene Hebamme (</w:t>
      </w:r>
      <w:r>
        <w:rPr>
          <w:rFonts w:eastAsia="Cambria" w:cs="Cambria"/>
          <w:b w:val="false"/>
          <w:bCs w:val="false"/>
          <w:i/>
          <w:iCs/>
          <w:sz w:val="22"/>
          <w:szCs w:val="22"/>
        </w:rPr>
        <w:t>Certified Nurse-Midwife</w:t>
      </w:r>
      <w:r>
        <w:rPr>
          <w:rFonts w:eastAsia="Cambria" w:cs="Cambria"/>
          <w:b w:val="false"/>
          <w:bCs w:val="false"/>
          <w:i w:val="false"/>
          <w:iCs w:val="false"/>
          <w:sz w:val="22"/>
          <w:szCs w:val="22"/>
        </w:rPr>
        <w:t xml:space="preserve">); die Klinik hängt oft von der Praxis ab. Prüfe beides im Netzwerk deines Plans. Auch dort können einzelne Ärzte, etwa die Anästhesie, außerhalb liegen; der </w:t>
      </w:r>
      <w:r>
        <w:rPr>
          <w:rFonts w:eastAsia="Cambria" w:cs="Cambria"/>
          <w:b w:val="false"/>
          <w:bCs w:val="false"/>
          <w:i/>
          <w:iCs/>
          <w:sz w:val="22"/>
          <w:szCs w:val="22"/>
        </w:rPr>
        <w:t>No Surprises Act</w:t>
      </w:r>
      <w:r>
        <w:rPr>
          <w:rFonts w:eastAsia="Cambria" w:cs="Cambria"/>
          <w:b w:val="false"/>
          <w:bCs w:val="false"/>
          <w:i w:val="false"/>
          <w:iCs w:val="false"/>
          <w:sz w:val="22"/>
          <w:szCs w:val="22"/>
        </w:rPr>
        <w:t xml:space="preserve"> (Bundesgesetz gegen Überraschungsrechnungen) schützt dich davor meist. Wochenbettbetreuung mit Hebammenbesuchen zu Hause ist nicht Standard; üblich sind ein Kontrolltermin in den ersten Wochen und ein umfassender bis zur zwölften Woche (Empfehlung des Fachverbands ACOG). Such früh auch eine Kinderarztpraxis (</w:t>
      </w:r>
      <w:r>
        <w:rPr>
          <w:rFonts w:eastAsia="Cambria" w:cs="Cambria"/>
          <w:b w:val="false"/>
          <w:bCs w:val="false"/>
          <w:i/>
          <w:iCs/>
          <w:sz w:val="22"/>
          <w:szCs w:val="22"/>
        </w:rPr>
        <w:t>Pediatrician</w:t>
      </w:r>
      <w:r>
        <w:rPr>
          <w:rFonts w:eastAsia="Cambria" w:cs="Cambria"/>
          <w:b w:val="false"/>
          <w:bCs w:val="false"/>
          <w:i w:val="false"/>
          <w:iCs w:val="false"/>
          <w:sz w:val="22"/>
          <w:szCs w:val="22"/>
        </w:rPr>
        <w:t>): Neupatienten warten oft Wochen.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Melde das Neugeborene innerhalb von 30 Tagen im Arbeitgeberplan an; die Deckung gilt dann rückwirkend ab der Geburt. Über den Marktplatz hast du 60 Tage. Wer die Frist verpasst, bleibt meist bis zur nächsten Wahlphase ohne Deckung für das Kind.</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Frage die Klinik vor der Geburt nach einem Kostenvoranschlag. Selbstzahlern steht bei Terminen ab drei Werktagen im Voraus eine Schätzung zu (</w:t>
            </w:r>
            <w:r>
              <w:rPr>
                <w:rFonts w:eastAsia="Cambria" w:cs="Cambria"/>
                <w:b w:val="false"/>
                <w:bCs w:val="false"/>
                <w:i/>
                <w:iCs/>
                <w:sz w:val="20"/>
                <w:szCs w:val="20"/>
              </w:rPr>
              <w:t>Good Faith Estimate</w:t>
            </w:r>
            <w:r>
              <w:rPr>
                <w:rFonts w:eastAsia="Cambria" w:cs="Cambria"/>
                <w:b w:val="false"/>
                <w:bCs w:val="false"/>
                <w:i w:val="false"/>
                <w:iCs w:val="false"/>
                <w:sz w:val="20"/>
                <w:szCs w:val="20"/>
              </w:rPr>
              <w:t>). Gemeinnützige Krankenhäuser müssen zudem eine Regelung für Zahlungshilfe veröffentlichen (</w:t>
            </w:r>
            <w:r>
              <w:rPr>
                <w:rFonts w:eastAsia="Cambria" w:cs="Cambria"/>
                <w:b w:val="false"/>
                <w:bCs w:val="false"/>
                <w:i/>
                <w:iCs/>
                <w:sz w:val="20"/>
                <w:szCs w:val="20"/>
              </w:rPr>
              <w:t>Financial Assistance Policy</w:t>
            </w:r>
            <w:r>
              <w:rPr>
                <w:rFonts w:eastAsia="Cambria" w:cs="Cambria"/>
                <w:b w:val="false"/>
                <w:bCs w:val="false"/>
                <w:i w:val="false"/>
                <w:iCs w:val="false"/>
                <w:sz w:val="20"/>
                <w:szCs w:val="20"/>
              </w:rPr>
              <w:t>, Kapitel </w:t>
            </w:r>
            <w:hyperlink w:anchor="k26">
              <w:r>
                <w:rPr>
                  <w:rStyle w:val="ListLabel114"/>
                  <w:rFonts w:eastAsia="Cambria" w:cs="Cambria"/>
                  <w:b w:val="false"/>
                  <w:bCs w:val="false"/>
                  <w:i w:val="false"/>
                  <w:iCs w:val="false"/>
                  <w:sz w:val="20"/>
                  <w:szCs w:val="20"/>
                </w:rPr>
                <w:t>26</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Nach der Geburt: Urkunden, SSN und Pässe</w:t>
      </w:r>
    </w:p>
    <w:p>
      <w:pPr>
        <w:pStyle w:val="ListParagraph"/>
        <w:numPr>
          <w:ilvl w:val="0"/>
          <w:numId w:val="214"/>
        </w:numPr>
        <w:spacing w:lineRule="exact" w:line="288" w:before="0" w:after="60"/>
        <w:rPr/>
      </w:pPr>
      <w:r>
        <w:rPr>
          <w:rFonts w:eastAsia="Cambria" w:cs="Cambria"/>
          <w:b/>
          <w:bCs/>
          <w:i w:val="false"/>
          <w:iCs w:val="false"/>
          <w:sz w:val="22"/>
          <w:szCs w:val="22"/>
        </w:rPr>
        <w:t>Geburtsurkunde.</w:t>
      </w:r>
      <w:r>
        <w:rPr>
          <w:rFonts w:eastAsia="Cambria" w:cs="Cambria"/>
          <w:b w:val="false"/>
          <w:bCs w:val="false"/>
          <w:i w:val="false"/>
          <w:iCs w:val="false"/>
          <w:sz w:val="22"/>
          <w:szCs w:val="22"/>
        </w:rPr>
        <w:t xml:space="preserve"> Die Klinik meldet die Geburt der Personenstandsbehörde des Staates (</w:t>
      </w:r>
      <w:r>
        <w:rPr>
          <w:rFonts w:eastAsia="Cambria" w:cs="Cambria"/>
          <w:b w:val="false"/>
          <w:bCs w:val="false"/>
          <w:i/>
          <w:iCs/>
          <w:sz w:val="22"/>
          <w:szCs w:val="22"/>
        </w:rPr>
        <w:t>Vital Records Office</w:t>
      </w:r>
      <w:r>
        <w:rPr>
          <w:rFonts w:eastAsia="Cambria" w:cs="Cambria"/>
          <w:b w:val="false"/>
          <w:bCs w:val="false"/>
          <w:i w:val="false"/>
          <w:iCs w:val="false"/>
          <w:sz w:val="22"/>
          <w:szCs w:val="22"/>
        </w:rPr>
        <w:t>). Beglaubigte Kopien bestellst du dort oder beim County; die Erinnerungsurkunde der Klinik zählt nicht. Die Gebühr ist meist zweistellig und je Staat verschieden. Bestelle gleich mehrere Kopien.</w:t>
      </w:r>
    </w:p>
    <w:p>
      <w:pPr>
        <w:pStyle w:val="ListParagraph"/>
        <w:numPr>
          <w:ilvl w:val="0"/>
          <w:numId w:val="215"/>
        </w:numPr>
        <w:spacing w:lineRule="exact" w:line="288" w:before="0" w:after="60"/>
        <w:rPr/>
      </w:pPr>
      <w:r>
        <w:rPr>
          <w:rFonts w:eastAsia="Cambria" w:cs="Cambria"/>
          <w:b/>
          <w:bCs/>
          <w:i w:val="false"/>
          <w:iCs w:val="false"/>
          <w:sz w:val="22"/>
          <w:szCs w:val="22"/>
        </w:rPr>
        <w:t>SSN.</w:t>
      </w:r>
      <w:r>
        <w:rPr>
          <w:rFonts w:eastAsia="Cambria" w:cs="Cambria"/>
          <w:b w:val="false"/>
          <w:bCs w:val="false"/>
          <w:i w:val="false"/>
          <w:iCs w:val="false"/>
          <w:sz w:val="22"/>
          <w:szCs w:val="22"/>
        </w:rPr>
        <w:t xml:space="preserve"> Den Antrag stellst du meist über das Klinikformular (</w:t>
      </w:r>
      <w:r>
        <w:rPr>
          <w:rFonts w:eastAsia="Cambria" w:cs="Cambria"/>
          <w:b w:val="false"/>
          <w:bCs w:val="false"/>
          <w:i/>
          <w:iCs/>
          <w:sz w:val="22"/>
          <w:szCs w:val="22"/>
        </w:rPr>
        <w:t>Enumeration at Birth</w:t>
      </w:r>
      <w:r>
        <w:rPr>
          <w:rFonts w:eastAsia="Cambria" w:cs="Cambria"/>
          <w:b w:val="false"/>
          <w:bCs w:val="false"/>
          <w:i w:val="false"/>
          <w:iCs w:val="false"/>
          <w:sz w:val="22"/>
          <w:szCs w:val="22"/>
        </w:rPr>
        <w:t>); die Karte kommt per Post. Sonst gilt der Antrag SS-5 bei der Sozialversicherungsbehörde (Kapitel </w:t>
      </w:r>
      <w:hyperlink w:anchor="k24">
        <w:r>
          <w:rPr>
            <w:rStyle w:val="ListLabel115"/>
            <w:rFonts w:eastAsia="Cambria" w:cs="Cambria"/>
            <w:b w:val="false"/>
            <w:bCs w:val="false"/>
            <w:i w:val="false"/>
            <w:iCs w:val="false"/>
            <w:sz w:val="22"/>
            <w:szCs w:val="22"/>
          </w:rPr>
          <w:t>24</w:t>
        </w:r>
      </w:hyperlink>
      <w:r>
        <w:rPr>
          <w:rFonts w:eastAsia="Cambria" w:cs="Cambria"/>
          <w:b w:val="false"/>
          <w:bCs w:val="false"/>
          <w:i w:val="false"/>
          <w:iCs w:val="false"/>
          <w:sz w:val="22"/>
          <w:szCs w:val="22"/>
        </w:rPr>
        <w:t>).</w:t>
      </w:r>
    </w:p>
    <w:p>
      <w:pPr>
        <w:pStyle w:val="ListParagraph"/>
        <w:numPr>
          <w:ilvl w:val="0"/>
          <w:numId w:val="216"/>
        </w:numPr>
        <w:spacing w:lineRule="exact" w:line="288" w:before="0" w:after="60"/>
        <w:rPr/>
      </w:pPr>
      <w:r>
        <w:rPr>
          <w:rFonts w:eastAsia="Cambria" w:cs="Cambria"/>
          <w:b/>
          <w:bCs/>
          <w:i w:val="false"/>
          <w:iCs w:val="false"/>
          <w:sz w:val="22"/>
          <w:szCs w:val="22"/>
        </w:rPr>
        <w:t>US-Reisepass.</w:t>
      </w:r>
      <w:r>
        <w:rPr>
          <w:rFonts w:eastAsia="Cambria" w:cs="Cambria"/>
          <w:b w:val="false"/>
          <w:bCs w:val="false"/>
          <w:i w:val="false"/>
          <w:iCs w:val="false"/>
          <w:sz w:val="22"/>
          <w:szCs w:val="22"/>
        </w:rPr>
        <w:t xml:space="preserve"> Für Kinder unter 16 beantragen ihn beide Eltern gemeinsam und persönlich (Formular DS-11) oder ein Elternteil mit schriftlicher Zustimmung des anderen. Gebühren und Bearbeitungszeit stehen auf travel.state.gov. US-Bürger reisen mit US-Pass in die USA ein; das gilt auch für dein Baby.</w:t>
      </w:r>
    </w:p>
    <w:p>
      <w:pPr>
        <w:pStyle w:val="ListParagraph"/>
        <w:numPr>
          <w:ilvl w:val="0"/>
          <w:numId w:val="217"/>
        </w:numPr>
        <w:spacing w:lineRule="exact" w:line="288" w:before="0" w:after="60"/>
        <w:rPr/>
      </w:pPr>
      <w:r>
        <w:rPr>
          <w:rFonts w:eastAsia="Cambria" w:cs="Cambria"/>
          <w:b/>
          <w:bCs/>
          <w:i w:val="false"/>
          <w:iCs w:val="false"/>
          <w:sz w:val="22"/>
          <w:szCs w:val="22"/>
        </w:rPr>
        <w:t>Deutscher Kinder-ePass.</w:t>
      </w:r>
      <w:r>
        <w:rPr>
          <w:rFonts w:eastAsia="Cambria" w:cs="Cambria"/>
          <w:b w:val="false"/>
          <w:bCs w:val="false"/>
          <w:i w:val="false"/>
          <w:iCs w:val="false"/>
          <w:sz w:val="22"/>
          <w:szCs w:val="22"/>
        </w:rPr>
        <w:t xml:space="preserve"> Den Kinderreisepass gibt es seit 1. Januar 2024 nicht mehr. Das Konsulat verlangt laut Auswärtigem Amt beide Eltern und das Kind persönlich, dazu US-Geburtsurkunde, Elternpässe und Heiratsurkunde; rechne mit sechs bis acht Wochen.</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Staatsangehörigkeit deines Kindes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Wer in den USA ein Kind zur Welt bringt, verschafft sich damit selbst ein Bleiberecht. Tatsächlich gilt das nur für das Kind: Ein Kind, das auf US-Boden geboren wird, ist mit der Geburt US-Bürger, auch wenn die Eltern nur ein H-1B-, L-1-, E-2- oder Studentenvisum haben. Die Regierung wollte das Anfang 2025 mit der Executive Order 14160 ändern. Der Supreme Court erklärte sie am 30. Juni 2026 in </w:t>
      </w:r>
      <w:r>
        <w:rPr>
          <w:rFonts w:eastAsia="Cambria" w:cs="Cambria"/>
          <w:b w:val="false"/>
          <w:bCs w:val="false"/>
          <w:i/>
          <w:iCs/>
          <w:sz w:val="22"/>
          <w:szCs w:val="22"/>
        </w:rPr>
        <w:t>Trump v. Barbara</w:t>
      </w:r>
      <w:r>
        <w:rPr>
          <w:rFonts w:eastAsia="Cambria" w:cs="Cambria"/>
          <w:b w:val="false"/>
          <w:bCs w:val="false"/>
          <w:i w:val="false"/>
          <w:iCs w:val="false"/>
          <w:sz w:val="22"/>
          <w:szCs w:val="22"/>
        </w:rPr>
        <w:t xml:space="preserve"> für verfassungswidrig, im Ergebnis mit 6 zu 3 Stimmen. Richter Kavanaugh stützte sich nur auf ein einfaches Gesetz und sieht Spielraum für den Kongress.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6. August 2026 folgten zwei neue Erlasse. Nach Berichten von Kanzleien betreffen sie enge Gruppen: Kinder ausländischer Regierungsbediensteter, Fälle von Betrug und kommerziellem Geburtstourismus sowie Kinder von Personen, die als „alien enemy“ eingestuft werden. Eltern mit H-1B, L-1, F-1 oder Green Card sind danach nicht gemeint. Bürgerrechtsorganisationen klagen; nach ihren Angaben erließ ein Bundesgericht am 2. September 2026 eine einstweilige Verfügung. Gesetzentwürfe liegen vor, verabschiedet ist bislang keiner. Die Lage kann sich rasch ändern: Frage vor der Geburt deine Kanzlei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US-Staatsbürgerschaft des Babys ändert nichts an deinem Status und dem deines Partners. Kinder, die im Ausland geboren werden, brauchen ein eigenes Visum (H-4), und ältere Geschwister bleiben Visa-Kinder (Kapitel </w:t>
            </w:r>
            <w:hyperlink w:anchor="k10">
              <w:r>
                <w:rPr>
                  <w:rStyle w:val="ListLabel114"/>
                  <w:rFonts w:eastAsia="Cambria" w:cs="Cambria"/>
                  <w:b w:val="false"/>
                  <w:bCs w:val="false"/>
                  <w:i w:val="false"/>
                  <w:iCs w:val="false"/>
                  <w:sz w:val="20"/>
                  <w:szCs w:val="20"/>
                </w:rPr>
                <w:t>10</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Staatsbürgerschaft hat auch Pflichten: Das Kind ist lebenslang steuerlich an die USA gebunden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Zugleich öffnet sie Türen, etwa die Bundes-Studienhilfe (siehe unten).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Ist ein Elternteil Deutscher, erwirbt das Kind die deutsche Staatsangehörigkeit mit der Geburt (§ 4 Abs. 1 Staatsangehörigkeitsgesetz, StAG). Für das Kind ist die doppelte Staatsangehörigkeit unproblematisch; für dich selbst gilt seit 27. Juni 2024, dass eine spätere US-Einbürgerung die deutsche Staatsangehörigkeit nicht mehr kostet (Kapitel </w:t>
      </w:r>
      <w:hyperlink w:anchor="k41">
        <w:r>
          <w:rPr>
            <w:rStyle w:val="ListLabel115"/>
            <w:rFonts w:eastAsia="Cambria" w:cs="Cambria"/>
            <w:b w:val="false"/>
            <w:bCs w:val="false"/>
            <w:i w:val="false"/>
            <w:iCs w:val="false"/>
            <w:sz w:val="22"/>
            <w:szCs w:val="22"/>
          </w:rPr>
          <w:t>41</w:t>
        </w:r>
      </w:hyperlink>
      <w:r>
        <w:rPr>
          <w:rFonts w:eastAsia="Cambria" w:cs="Cambria"/>
          <w:b w:val="false"/>
          <w:bCs w:val="false"/>
          <w:i w:val="false"/>
          <w:iCs w:val="false"/>
          <w:sz w:val="22"/>
          <w:szCs w:val="22"/>
        </w:rPr>
        <w:t>). Für Eltern mit österreichischer oder Schweizer Staatsangehörigkeit gelten eigene Regeln, die dir die Vertretung nennt.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Beurkundung der Geburt (Antrag nach § 36 Personenstandsgesetz über das Konsulat) ist keine Bedingung für die deutsche Staatsangehörigkeit, aber ihr Nachweis. Sie kostet laut Auswärtigem Amt 80 € plus 12 € je Geburtsurkunde und kann nach Angaben von germany.info beim Standesamt I in Berlin mindestens drei Jahre dauern; einen Pass bekommt das Kind laut Konsulaten früher. Eine Ein-Jahres-Frist gilt nur, wenn du selbst nach dem 31. Dezember 1999 im Ausland geboren wurdest und dort lebst („Generationenschnitt“, § 4 Abs. 4 StAG). Für in Deutschland geborene Eltern trifft sie erst die Enkelgeneration. Beurkunde trotzdem: Der Nachweis erspart später Ärger. Seit 1. Mai 2025 gilt für Kinder im Ausland laut Auswärtigem Amt grundsätzlich ausländisches Namensrecht, sofern die Eltern nicht das deutsche wählen; kläre Namensfragen vor der Geburtsurkunde mit dem Konsulat. Welche Urkunden im Einzelnen nötig sind, etwa mit Apostille, steht bei deinem Konsulat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Elternzeit: die Realität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Deutschland kennt 14 Wochen Mutterschutz, Elterngeld und Elternzeit mit Kündigungsschutz. In den USA gibt es bundesweit nur die </w:t>
      </w:r>
      <w:r>
        <w:rPr>
          <w:rFonts w:eastAsia="Cambria" w:cs="Cambria"/>
          <w:b w:val="false"/>
          <w:bCs w:val="false"/>
          <w:i/>
          <w:iCs/>
          <w:sz w:val="22"/>
          <w:szCs w:val="22"/>
        </w:rPr>
        <w:t>Family and Medical Leave Act</w:t>
      </w:r>
      <w:r>
        <w:rPr>
          <w:rFonts w:eastAsia="Cambria" w:cs="Cambria"/>
          <w:b w:val="false"/>
          <w:bCs w:val="false"/>
          <w:i w:val="false"/>
          <w:iCs w:val="false"/>
          <w:sz w:val="22"/>
          <w:szCs w:val="22"/>
        </w:rPr>
        <w:t xml:space="preserve"> (FMLA): bis zu zwölf Wochen unbezahlte Freistellung für Geburt, Adoption oder Pflege, mit Rückkehrrecht auf dieselbe oder eine gleichwertige Stelle und fortlaufender Gruppenversicherung. Die Hürden: zwölf Monate im Betrieb, 1.250 Arbeitsstunden im Jahr davor und ein Arbeitgeber mit mindestens 50 Beschäftigten im Umkreis von 75 Meilen (ca. 120 km). Wer gerade eingewandert ist, hat im ersten Jahr beim Arbeitgeber meist keinen Anspruch.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Bezahlt wird nur nach Landesrecht: 2026 haben Kalifornien, Colorado, Connecticut, Delaware, Maine, Massachusetts, Minnesota, New Jersey, New York, Oregon, Rhode Island, Washington und der District of Columbia ein Programm; Maryland und Virginia sollen 2028 folgen. Einige Höchstwerte 2026:</w:t>
      </w:r>
    </w:p>
    <w:tbl>
      <w:tblPr>
        <w:tblW w:w="6480" w:type="dxa"/>
        <w:jc w:val="left"/>
        <w:tblInd w:w="0" w:type="dxa"/>
        <w:tblLayout w:type="fixed"/>
        <w:tblCellMar>
          <w:top w:w="50" w:type="dxa"/>
          <w:left w:w="80" w:type="dxa"/>
          <w:bottom w:w="50" w:type="dxa"/>
          <w:right w:w="80" w:type="dxa"/>
        </w:tblCellMar>
      </w:tblPr>
      <w:tblGrid>
        <w:gridCol w:w="1588"/>
        <w:gridCol w:w="1589"/>
        <w:gridCol w:w="1355"/>
        <w:gridCol w:w="1947"/>
      </w:tblGrid>
      <w:tr>
        <w:trPr>
          <w:tblHeader w:val="true"/>
          <w:cantSplit w:val="true"/>
        </w:trPr>
        <w:tc>
          <w:tcPr>
            <w:tcW w:w="158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Staat</w:t>
            </w:r>
          </w:p>
        </w:tc>
        <w:tc>
          <w:tcPr>
            <w:tcW w:w="158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Dauer</w:t>
            </w:r>
          </w:p>
        </w:tc>
        <w:tc>
          <w:tcPr>
            <w:tcW w:w="135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Lohnersatz</w:t>
            </w:r>
          </w:p>
        </w:tc>
        <w:tc>
          <w:tcPr>
            <w:tcW w:w="194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Höchstsatz je Woche</w:t>
            </w:r>
          </w:p>
        </w:tc>
      </w:tr>
      <w:tr>
        <w:trPr>
          <w:cantSplit w:val="true"/>
        </w:trPr>
        <w:tc>
          <w:tcPr>
            <w:tcW w:w="15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Kalifornien</w:t>
            </w:r>
          </w:p>
        </w:tc>
        <w:tc>
          <w:tcPr>
            <w:tcW w:w="15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 Wochen</w:t>
            </w:r>
          </w:p>
        </w:tc>
        <w:tc>
          <w:tcPr>
            <w:tcW w:w="13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70–90 %</w:t>
            </w:r>
          </w:p>
        </w:tc>
        <w:tc>
          <w:tcPr>
            <w:tcW w:w="19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1.765 $</w:t>
            </w:r>
          </w:p>
        </w:tc>
      </w:tr>
      <w:tr>
        <w:trPr>
          <w:cantSplit w:val="true"/>
        </w:trPr>
        <w:tc>
          <w:tcPr>
            <w:tcW w:w="15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 York</w:t>
            </w:r>
          </w:p>
        </w:tc>
        <w:tc>
          <w:tcPr>
            <w:tcW w:w="15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 Wochen</w:t>
            </w:r>
          </w:p>
        </w:tc>
        <w:tc>
          <w:tcPr>
            <w:tcW w:w="13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67 %</w:t>
            </w:r>
          </w:p>
        </w:tc>
        <w:tc>
          <w:tcPr>
            <w:tcW w:w="19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1.228,53 $</w:t>
            </w:r>
          </w:p>
        </w:tc>
      </w:tr>
      <w:tr>
        <w:trPr>
          <w:cantSplit w:val="true"/>
        </w:trPr>
        <w:tc>
          <w:tcPr>
            <w:tcW w:w="15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 Jersey</w:t>
            </w:r>
          </w:p>
        </w:tc>
        <w:tc>
          <w:tcPr>
            <w:tcW w:w="15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12 Wochen</w:t>
            </w:r>
          </w:p>
        </w:tc>
        <w:tc>
          <w:tcPr>
            <w:tcW w:w="13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85 %</w:t>
            </w:r>
          </w:p>
        </w:tc>
        <w:tc>
          <w:tcPr>
            <w:tcW w:w="19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1.119 $</w:t>
            </w:r>
          </w:p>
        </w:tc>
      </w:tr>
      <w:tr>
        <w:trPr>
          <w:cantSplit w:val="true"/>
        </w:trPr>
        <w:tc>
          <w:tcPr>
            <w:tcW w:w="15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Washington</w:t>
            </w:r>
          </w:p>
        </w:tc>
        <w:tc>
          <w:tcPr>
            <w:tcW w:w="15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12 Wochen</w:t>
            </w:r>
          </w:p>
        </w:tc>
        <w:tc>
          <w:tcPr>
            <w:tcW w:w="13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90 %</w:t>
            </w:r>
          </w:p>
        </w:tc>
        <w:tc>
          <w:tcPr>
            <w:tcW w:w="19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1.647 $</w:t>
            </w:r>
          </w:p>
        </w:tc>
      </w:tr>
      <w:tr>
        <w:trPr>
          <w:cantSplit w:val="true"/>
        </w:trPr>
        <w:tc>
          <w:tcPr>
            <w:tcW w:w="15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Massachusetts</w:t>
            </w:r>
          </w:p>
        </w:tc>
        <w:tc>
          <w:tcPr>
            <w:tcW w:w="15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 Wochen</w:t>
            </w:r>
          </w:p>
        </w:tc>
        <w:tc>
          <w:tcPr>
            <w:tcW w:w="13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50–80 %</w:t>
            </w:r>
          </w:p>
        </w:tc>
        <w:tc>
          <w:tcPr>
            <w:tcW w:w="19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rund 1.230 $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Werte für Kalifornien und New York stammen von den Landesbehörden, die übrigen aus Übersichten vom Frühjahr und Sommer 2026; prüfe sie bei der zuständigen Behörde. Der Anspruch hängt an Beschäftigung und Beiträgen. Wo es kein Programm gibt, bleiben Urlaubstage, Krankentage (gesetzlich bezahlt nur in rund 18 bis 19 Staaten und DC) und Ersparnisse. Verbreiteter Irrtum: Kindergeld und Elterngeld liefen nach dem Umzug in die USA einfach weiter. Tatsächlich endet das Kindergeld (2026: 259 € je Kind und Monat) in der Regel mit dem Wegzug aus Deutschland, und Elterngeld setzt einen Wohnsitz dort voraus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 Wer eine längere unbezahlte Auszeit plant, klärt vorher mit Arbeitgeber und Kanzlei die Folgen für Status und Gehalt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Kinderbetreuung: Kosten, Wartelisten, Alternativen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Was in Deutschland Kita heißt, ist in den USA ein freier Markt: </w:t>
      </w:r>
      <w:r>
        <w:rPr>
          <w:rFonts w:eastAsia="Cambria" w:cs="Cambria"/>
          <w:b w:val="false"/>
          <w:bCs w:val="false"/>
          <w:i/>
          <w:iCs/>
          <w:sz w:val="22"/>
          <w:szCs w:val="22"/>
        </w:rPr>
        <w:t>Daycare</w:t>
      </w:r>
      <w:r>
        <w:rPr>
          <w:rFonts w:eastAsia="Cambria" w:cs="Cambria"/>
          <w:b w:val="false"/>
          <w:bCs w:val="false"/>
          <w:i w:val="false"/>
          <w:iCs w:val="false"/>
          <w:sz w:val="22"/>
          <w:szCs w:val="22"/>
        </w:rPr>
        <w:t xml:space="preserve"> oder </w:t>
      </w:r>
      <w:r>
        <w:rPr>
          <w:rFonts w:eastAsia="Cambria" w:cs="Cambria"/>
          <w:b w:val="false"/>
          <w:bCs w:val="false"/>
          <w:i/>
          <w:iCs/>
          <w:sz w:val="22"/>
          <w:szCs w:val="22"/>
        </w:rPr>
        <w:t>Child Care Center</w:t>
      </w:r>
      <w:r>
        <w:rPr>
          <w:rFonts w:eastAsia="Cambria" w:cs="Cambria"/>
          <w:b w:val="false"/>
          <w:bCs w:val="false"/>
          <w:i w:val="false"/>
          <w:iCs w:val="false"/>
          <w:sz w:val="22"/>
          <w:szCs w:val="22"/>
        </w:rPr>
        <w:t xml:space="preserve"> (Betreuungszentrum), </w:t>
      </w:r>
      <w:r>
        <w:rPr>
          <w:rFonts w:eastAsia="Cambria" w:cs="Cambria"/>
          <w:b w:val="false"/>
          <w:bCs w:val="false"/>
          <w:i/>
          <w:iCs/>
          <w:sz w:val="22"/>
          <w:szCs w:val="22"/>
        </w:rPr>
        <w:t>Preschool</w:t>
      </w:r>
      <w:r>
        <w:rPr>
          <w:rFonts w:eastAsia="Cambria" w:cs="Cambria"/>
          <w:b w:val="false"/>
          <w:bCs w:val="false"/>
          <w:i w:val="false"/>
          <w:iCs w:val="false"/>
          <w:sz w:val="22"/>
          <w:szCs w:val="22"/>
        </w:rPr>
        <w:t xml:space="preserve"> (Vorschule für 3- bis 4-Jährige) und </w:t>
      </w:r>
      <w:r>
        <w:rPr>
          <w:rFonts w:eastAsia="Cambria" w:cs="Cambria"/>
          <w:b w:val="false"/>
          <w:bCs w:val="false"/>
          <w:i/>
          <w:iCs/>
          <w:sz w:val="22"/>
          <w:szCs w:val="22"/>
        </w:rPr>
        <w:t>Pre-K</w:t>
      </w:r>
      <w:r>
        <w:rPr>
          <w:rFonts w:eastAsia="Cambria" w:cs="Cambria"/>
          <w:b w:val="false"/>
          <w:bCs w:val="false"/>
          <w:i w:val="false"/>
          <w:iCs w:val="false"/>
          <w:sz w:val="22"/>
          <w:szCs w:val="22"/>
        </w:rPr>
        <w:t xml:space="preserve"> (das Jahr vor dem </w:t>
      </w:r>
      <w:r>
        <w:rPr>
          <w:rFonts w:eastAsia="Cambria" w:cs="Cambria"/>
          <w:b w:val="false"/>
          <w:bCs w:val="false"/>
          <w:i/>
          <w:iCs/>
          <w:sz w:val="22"/>
          <w:szCs w:val="22"/>
        </w:rPr>
        <w:t>Kindergarten</w:t>
      </w:r>
      <w:r>
        <w:rPr>
          <w:rFonts w:eastAsia="Cambria" w:cs="Cambria"/>
          <w:b w:val="false"/>
          <w:bCs w:val="false"/>
          <w:i w:val="false"/>
          <w:iCs w:val="false"/>
          <w:sz w:val="22"/>
          <w:szCs w:val="22"/>
        </w:rPr>
        <w:t>, der in den USA mit fünf Jahren beginnt;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 Der Durchschnittspreis lag 2025 bei 13.184 $ im Jahr, 23 % mehr als 2021 (Child Care Aware of America). Für Säuglinge in Zentren reicht die Spanne nach EPI-Daten von rund 6.900 $ in Mississippi bis über 20.000 $ in Washington D.C., Massachusetts, Minnesota oder Kalifornien.</w:t>
      </w:r>
    </w:p>
    <w:tbl>
      <w:tblPr>
        <w:tblW w:w="6480" w:type="dxa"/>
        <w:jc w:val="left"/>
        <w:tblInd w:w="0" w:type="dxa"/>
        <w:tblLayout w:type="fixed"/>
        <w:tblCellMar>
          <w:top w:w="50" w:type="dxa"/>
          <w:left w:w="80" w:type="dxa"/>
          <w:bottom w:w="50" w:type="dxa"/>
          <w:right w:w="80" w:type="dxa"/>
        </w:tblCellMar>
      </w:tblPr>
      <w:tblGrid>
        <w:gridCol w:w="1728"/>
        <w:gridCol w:w="2204"/>
        <w:gridCol w:w="2548"/>
      </w:tblGrid>
      <w:tr>
        <w:trPr>
          <w:tblHeader w:val="true"/>
          <w:cantSplit w:val="true"/>
        </w:trPr>
        <w:tc>
          <w:tcPr>
            <w:tcW w:w="172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Form</w:t>
            </w:r>
          </w:p>
        </w:tc>
        <w:tc>
          <w:tcPr>
            <w:tcW w:w="220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Kosten (2025/26)</w:t>
            </w:r>
          </w:p>
        </w:tc>
        <w:tc>
          <w:tcPr>
            <w:tcW w:w="254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Bemerkung</w:t>
            </w:r>
          </w:p>
        </w:tc>
      </w:tr>
      <w:tr>
        <w:trPr>
          <w:cantSplit w:val="true"/>
        </w:trPr>
        <w:tc>
          <w:tcPr>
            <w:tcW w:w="17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Betreuungszentrum</w:t>
            </w:r>
          </w:p>
        </w:tc>
        <w:tc>
          <w:tcPr>
            <w:tcW w:w="22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Ø 13.184 $ pro Jahr</w:t>
            </w:r>
          </w:p>
        </w:tc>
        <w:tc>
          <w:tcPr>
            <w:tcW w:w="25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Angebot schrumpft, Wartelisten</w:t>
            </w:r>
          </w:p>
        </w:tc>
      </w:tr>
      <w:tr>
        <w:trPr>
          <w:cantSplit w:val="true"/>
        </w:trPr>
        <w:tc>
          <w:tcPr>
            <w:tcW w:w="17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Tagesmutter im Privathaus (</w:t>
            </w:r>
            <w:r>
              <w:rPr>
                <w:rFonts w:eastAsia="Cambria" w:cs="Cambria"/>
                <w:b w:val="false"/>
                <w:bCs w:val="false"/>
                <w:i/>
                <w:iCs/>
                <w:sz w:val="18"/>
                <w:szCs w:val="18"/>
              </w:rPr>
              <w:t>Family Child Care</w:t>
            </w:r>
            <w:r>
              <w:rPr>
                <w:rFonts w:eastAsia="Cambria" w:cs="Cambria"/>
                <w:b w:val="false"/>
                <w:bCs w:val="false"/>
                <w:i w:val="false"/>
                <w:iCs w:val="false"/>
                <w:sz w:val="18"/>
                <w:szCs w:val="18"/>
              </w:rPr>
              <w:t>)</w:t>
            </w:r>
          </w:p>
        </w:tc>
        <w:tc>
          <w:tcPr>
            <w:tcW w:w="22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meist günstiger als Zentrum</w:t>
            </w:r>
          </w:p>
        </w:tc>
        <w:tc>
          <w:tcPr>
            <w:tcW w:w="25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Angebot wächst leicht (+1,4 % 2025)</w:t>
            </w:r>
          </w:p>
        </w:tc>
      </w:tr>
      <w:tr>
        <w:trPr>
          <w:cantSplit w:val="true"/>
        </w:trPr>
        <w:tc>
          <w:tcPr>
            <w:tcW w:w="17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Nanny</w:t>
            </w:r>
          </w:p>
        </w:tc>
        <w:tc>
          <w:tcPr>
            <w:tcW w:w="22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Ø 21,75 $ pro Stunde, ca. 870 $ pro Woche</w:t>
            </w:r>
          </w:p>
        </w:tc>
        <w:tc>
          <w:tcPr>
            <w:tcW w:w="25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San Francisco 30,20 $, San Antonio 18,71 $</w:t>
            </w:r>
          </w:p>
        </w:tc>
      </w:tr>
      <w:tr>
        <w:trPr>
          <w:cantSplit w:val="true"/>
        </w:trPr>
        <w:tc>
          <w:tcPr>
            <w:tcW w:w="17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Au-pair</w:t>
            </w:r>
          </w:p>
        </w:tc>
        <w:tc>
          <w:tcPr>
            <w:tcW w:w="22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1.785 $ pro Monat plus Kost und Logis</w:t>
            </w:r>
          </w:p>
        </w:tc>
        <w:tc>
          <w:tcPr>
            <w:tcW w:w="25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für Familien mit US-Pass oder Green Card</w:t>
            </w:r>
          </w:p>
        </w:tc>
      </w:tr>
      <w:tr>
        <w:trPr>
          <w:cantSplit w:val="true"/>
        </w:trPr>
        <w:tc>
          <w:tcPr>
            <w:tcW w:w="17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After-School</w:t>
            </w:r>
          </w:p>
        </w:tc>
        <w:tc>
          <w:tcPr>
            <w:tcW w:w="22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grob 200–450 $ pro Monat</w:t>
            </w:r>
          </w:p>
        </w:tc>
        <w:tc>
          <w:tcPr>
            <w:tcW w:w="25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Schulische Programme meist günstiger</w:t>
            </w:r>
          </w:p>
        </w:tc>
      </w:tr>
      <w:tr>
        <w:trPr>
          <w:cantSplit w:val="true"/>
        </w:trPr>
        <w:tc>
          <w:tcPr>
            <w:tcW w:w="17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Sommercamp (Tagescamp)</w:t>
            </w:r>
          </w:p>
        </w:tc>
        <w:tc>
          <w:tcPr>
            <w:tcW w:w="22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grob 200–500 $ pro Woche</w:t>
            </w:r>
          </w:p>
        </w:tc>
        <w:tc>
          <w:tcPr>
            <w:tcW w:w="25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YMCA und Gemeindeprogramme günstiger</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Nanny-Zahlen stammen von Care.com (Mai 2026), die Angaben zu After-School und Camps aus uneinheitlichen Verbraucherportalen: Frage Träger und Schule nach dem tatsächlichen Preis. Wer eine Nanny fest anstellt, wird Haushaltsarbeitgeber: Die Nanny braucht eine Arbeitserlaubnis, die du prüfen musst (Formular I-9), und ab einem Jahreslohn von 3.000 $ fallen Sozialabgaben an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Staatlich finanzierte Pre-K erreichte 2024/25 rund 37 % der Vierjährigen und 9 % der Dreijährigen (NIEER). Die Spanne ist enorm: Washington D.C. 94 %, Vermont 72 %, Colorado 70 %; Idaho, Indiana, Montana, New Hampshire, South Dakota und Wyoming haben kein Programm. Säuglingsplätze in Großstädten sind oft nur über Wartelisten von mehreren Monaten zu bekommen; melde dich schon in der Schwangerschaft an.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Au-pairs (J-1) gibt es nur für Gastfamilien, die US-Bürger oder Green-Card-Inhaber sind. Mit H-1B, L-1 oder E-2 bist du ausgeschlossen (State Department). Bleiben Nanny, Zentrum, Tagesmutter oder eine Nanny-Teilung mit einer Nachbarfamilie.</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Viele Arbeitgeber bieten ein </w:t>
            </w:r>
            <w:r>
              <w:rPr>
                <w:rFonts w:eastAsia="Cambria" w:cs="Cambria"/>
                <w:b w:val="false"/>
                <w:bCs w:val="false"/>
                <w:i/>
                <w:iCs/>
                <w:sz w:val="20"/>
                <w:szCs w:val="20"/>
              </w:rPr>
              <w:t>Dependent Care FSA</w:t>
            </w:r>
            <w:r>
              <w:rPr>
                <w:rFonts w:eastAsia="Cambria" w:cs="Cambria"/>
                <w:b w:val="false"/>
                <w:bCs w:val="false"/>
                <w:i w:val="false"/>
                <w:iCs w:val="false"/>
                <w:sz w:val="20"/>
                <w:szCs w:val="20"/>
              </w:rPr>
              <w:t xml:space="preserve"> an: Du zahlst Betreuungskosten aus dem Bruttolohn bis zu einer jährlichen Höchstgrenze und sparst Steuern. Frage die Personalabteilung nach der aktuellen Höhe und melde dich rechtzeitig an; die Geburt eines Kindes zählt meist als Anlass für eine Anmeldung außerhalb der Wahlphase.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Erziehung und Sicherheit im Alltag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Amerikanische Kindheit ist stärker organisiert als deutsche. Vier Beobachtungen aus dem Alltag:</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Kinder verabreden sich per </w:t>
      </w:r>
      <w:r>
        <w:rPr>
          <w:rFonts w:eastAsia="Cambria" w:cs="Cambria"/>
          <w:b w:val="false"/>
          <w:bCs w:val="false"/>
          <w:i/>
          <w:iCs/>
          <w:sz w:val="22"/>
          <w:szCs w:val="22"/>
        </w:rPr>
        <w:t>Playdate</w:t>
      </w:r>
      <w:r>
        <w:rPr>
          <w:rFonts w:eastAsia="Cambria" w:cs="Cambria"/>
          <w:b w:val="false"/>
          <w:bCs w:val="false"/>
          <w:i w:val="false"/>
          <w:iCs w:val="false"/>
          <w:sz w:val="22"/>
          <w:szCs w:val="22"/>
        </w:rPr>
        <w:t>, meist zwischen den Eltern abgesprochen; unangemeldetes Klingeln bei Nachbarn ist seltener als in Deutschland. Ein spontaner Nachmittag ohne Kalendereintrag kommt manchmal einer kleinen Grenzüberschreitung gleich.</w:t>
      </w:r>
    </w:p>
    <w:p>
      <w:pPr>
        <w:pStyle w:val="ListParagraph"/>
        <w:numPr>
          <w:ilvl w:val="0"/>
          <w:numId w:val="1"/>
        </w:numPr>
        <w:spacing w:lineRule="exact" w:line="288" w:before="0" w:after="60"/>
        <w:rPr/>
      </w:pPr>
      <w:r>
        <w:rPr>
          <w:rFonts w:eastAsia="Cambria" w:cs="Cambria"/>
          <w:b w:val="false"/>
          <w:bCs w:val="false"/>
          <w:i w:val="false"/>
          <w:iCs w:val="false"/>
          <w:sz w:val="22"/>
          <w:szCs w:val="22"/>
        </w:rPr>
        <w:t>Viele Kinder werden gefahren oder fahren mit dem Schulbus; in Vororten ohne Gehwege ist der Fußweg oft keine Option.</w:t>
      </w:r>
    </w:p>
    <w:p>
      <w:pPr>
        <w:pStyle w:val="ListParagraph"/>
        <w:numPr>
          <w:ilvl w:val="0"/>
          <w:numId w:val="1"/>
        </w:numPr>
        <w:spacing w:lineRule="exact" w:line="288" w:before="0" w:after="60"/>
        <w:rPr/>
      </w:pPr>
      <w:r>
        <w:rPr>
          <w:rFonts w:eastAsia="Cambria" w:cs="Cambria"/>
          <w:b w:val="false"/>
          <w:bCs w:val="false"/>
          <w:i w:val="false"/>
          <w:iCs w:val="false"/>
          <w:sz w:val="22"/>
          <w:szCs w:val="22"/>
        </w:rPr>
        <w:t>Sport, Musik und Ferienprogramme werden saisonweise gebucht und bezahlt.</w:t>
      </w:r>
    </w:p>
    <w:p>
      <w:pPr>
        <w:pStyle w:val="ListParagraph"/>
        <w:numPr>
          <w:ilvl w:val="0"/>
          <w:numId w:val="1"/>
        </w:numPr>
        <w:spacing w:lineRule="exact" w:line="288" w:before="0" w:after="60"/>
        <w:rPr/>
      </w:pPr>
      <w:r>
        <w:rPr>
          <w:rFonts w:eastAsia="Cambria" w:cs="Cambria"/>
          <w:b w:val="false"/>
          <w:bCs w:val="false"/>
          <w:i w:val="false"/>
          <w:iCs w:val="false"/>
          <w:sz w:val="22"/>
          <w:szCs w:val="22"/>
        </w:rPr>
        <w:t>Lehrkräfte, Ärzte und Erzieher sind zur Meldung von Verdachtsfällen verpflichtet (</w:t>
      </w:r>
      <w:r>
        <w:rPr>
          <w:rFonts w:eastAsia="Cambria" w:cs="Cambria"/>
          <w:b w:val="false"/>
          <w:bCs w:val="false"/>
          <w:i/>
          <w:iCs/>
          <w:sz w:val="22"/>
          <w:szCs w:val="22"/>
        </w:rPr>
        <w:t>Mandated Reporter</w:t>
      </w:r>
      <w:r>
        <w:rPr>
          <w:rFonts w:eastAsia="Cambria" w:cs="Cambria"/>
          <w:b w:val="false"/>
          <w:bCs w:val="false"/>
          <w:i w:val="false"/>
          <w:iCs w:val="false"/>
          <w:sz w:val="22"/>
          <w:szCs w:val="22"/>
        </w:rPr>
        <w:t>). Die Kinderschutzbehörde (</w:t>
      </w:r>
      <w:r>
        <w:rPr>
          <w:rFonts w:eastAsia="Cambria" w:cs="Cambria"/>
          <w:b w:val="false"/>
          <w:bCs w:val="false"/>
          <w:i/>
          <w:iCs/>
          <w:sz w:val="22"/>
          <w:szCs w:val="22"/>
        </w:rPr>
        <w:t>Child Protective Services</w:t>
      </w:r>
      <w:r>
        <w:rPr>
          <w:rFonts w:eastAsia="Cambria" w:cs="Cambria"/>
          <w:b w:val="false"/>
          <w:bCs w:val="false"/>
          <w:i w:val="false"/>
          <w:iCs w:val="false"/>
          <w:sz w:val="22"/>
          <w:szCs w:val="22"/>
        </w:rPr>
        <w:t>, CPS) jedes Staates geht auch Hinweisen von Nachbarn nach.</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der Sicherheit unterscheiden sich vor allem vier Punkte:</w:t>
      </w:r>
    </w:p>
    <w:p>
      <w:pPr>
        <w:pStyle w:val="ListParagraph"/>
        <w:numPr>
          <w:ilvl w:val="0"/>
          <w:numId w:val="1"/>
        </w:numPr>
        <w:spacing w:lineRule="exact" w:line="288" w:before="0" w:after="60"/>
        <w:rPr/>
      </w:pPr>
      <w:r>
        <w:rPr>
          <w:rFonts w:eastAsia="Cambria" w:cs="Cambria"/>
          <w:b/>
          <w:bCs/>
          <w:i w:val="false"/>
          <w:iCs w:val="false"/>
          <w:sz w:val="22"/>
          <w:szCs w:val="22"/>
        </w:rPr>
        <w:t>Autositz.</w:t>
      </w:r>
      <w:r>
        <w:rPr>
          <w:rFonts w:eastAsia="Cambria" w:cs="Cambria"/>
          <w:b w:val="false"/>
          <w:bCs w:val="false"/>
          <w:i w:val="false"/>
          <w:iCs w:val="false"/>
          <w:sz w:val="22"/>
          <w:szCs w:val="22"/>
        </w:rPr>
        <w:t xml:space="preserve"> Pflicht in allen Staaten, mit unterschiedlichen Grenzen für Lebensjahr, Größe und Gewicht. Die Kinderärzte-Vereinigung AAP rät, Kinder rückwärtsgerichtet zu fahren, solange der Sitz es zulässt. Die Verkehrsbehörde NHTSA empfiehlt eine Sitzerhöhung (</w:t>
      </w:r>
      <w:r>
        <w:rPr>
          <w:rFonts w:eastAsia="Cambria" w:cs="Cambria"/>
          <w:b w:val="false"/>
          <w:bCs w:val="false"/>
          <w:i/>
          <w:iCs/>
          <w:sz w:val="22"/>
          <w:szCs w:val="22"/>
        </w:rPr>
        <w:t>Booster</w:t>
      </w:r>
      <w:r>
        <w:rPr>
          <w:rFonts w:eastAsia="Cambria" w:cs="Cambria"/>
          <w:b w:val="false"/>
          <w:bCs w:val="false"/>
          <w:i w:val="false"/>
          <w:iCs w:val="false"/>
          <w:sz w:val="22"/>
          <w:szCs w:val="22"/>
        </w:rPr>
        <w:t>) bis etwa 4 ft 9 in (ca. 1,45 m) Körpergröße und Kinder bis 12 Jahre möglichst auf der Rückbank. Deutsche ECE-Sitze erfüllen die US-Norm FMVSS 213 nicht; kaufe den Sitz vor Ort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Fahrradhelm.</w:t>
      </w:r>
      <w:r>
        <w:rPr>
          <w:rFonts w:eastAsia="Cambria" w:cs="Cambria"/>
          <w:b w:val="false"/>
          <w:bCs w:val="false"/>
          <w:i w:val="false"/>
          <w:iCs w:val="false"/>
          <w:sz w:val="22"/>
          <w:szCs w:val="22"/>
        </w:rPr>
        <w:t xml:space="preserve"> Rund 22 Staaten inklusive DC haben ein landesweites Helmgesetz, meist für Minderjährige (Altersgrenzen 12 bis 18), dazu über 200 lokale Vorschriften (BHSI, August 2026). Auch ohne Pflicht ist der Helm sinnvoll.</w:t>
      </w:r>
    </w:p>
    <w:p>
      <w:pPr>
        <w:pStyle w:val="ListParagraph"/>
        <w:numPr>
          <w:ilvl w:val="0"/>
          <w:numId w:val="1"/>
        </w:numPr>
        <w:spacing w:lineRule="exact" w:line="288" w:before="0" w:after="60"/>
        <w:rPr/>
      </w:pPr>
      <w:r>
        <w:rPr>
          <w:rFonts w:eastAsia="Cambria" w:cs="Cambria"/>
          <w:b/>
          <w:bCs/>
          <w:i w:val="false"/>
          <w:iCs w:val="false"/>
          <w:sz w:val="22"/>
          <w:szCs w:val="22"/>
        </w:rPr>
        <w:t>Pool.</w:t>
      </w:r>
      <w:r>
        <w:rPr>
          <w:rFonts w:eastAsia="Cambria" w:cs="Cambria"/>
          <w:b w:val="false"/>
          <w:bCs w:val="false"/>
          <w:i w:val="false"/>
          <w:iCs w:val="false"/>
          <w:sz w:val="22"/>
          <w:szCs w:val="22"/>
        </w:rPr>
        <w:t xml:space="preserve"> Ertrinken gehört zu den häufigsten Todesursachen kleiner Kinder. Viele Kommunen verlangen für Privatpools einen Zaun (meist rund 1,20 m) mit selbstschließendem Tor; als Eigentümer kannst du haften, wenn fremde Kinder hineinfallen. Als Mieter frage Vermieter oder Eigentümergemeinschaft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Schulbus.</w:t>
      </w:r>
      <w:r>
        <w:rPr>
          <w:rFonts w:eastAsia="Cambria" w:cs="Cambria"/>
          <w:b w:val="false"/>
          <w:bCs w:val="false"/>
          <w:i w:val="false"/>
          <w:iCs w:val="false"/>
          <w:sz w:val="22"/>
          <w:szCs w:val="22"/>
        </w:rPr>
        <w:t xml:space="preserve"> Blinkt der Bus rot und fährt den Stoparm aus, musst du halten (Gesetze in allen Staaten, je nach Straße auch im Gegenverkehr). Der Bus gilt laut NHTSA als über 70-mal sicherer als die Autofahrt.</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Wie du das Thema Waffen im Haushalt bei Verabredungen ansprichst, steht in Kapitel </w:t>
      </w:r>
      <w:hyperlink w:anchor="k40">
        <w:r>
          <w:rPr>
            <w:rStyle w:val="ListLabel115"/>
            <w:rFonts w:eastAsia="Cambria" w:cs="Cambria"/>
            <w:b w:val="false"/>
            <w:bCs w:val="false"/>
            <w:i w:val="false"/>
            <w:iCs w:val="false"/>
            <w:sz w:val="22"/>
            <w:szCs w:val="22"/>
          </w:rPr>
          <w:t>40</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Kinder allein lassen: Rechtslage und Kulturkonflikt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deutsche Eltern ist der Schulweg ab der ersten Klasse allein normal. In den USA gibt es dazu kein Bundesgesetz, sondern Landesrecht, Behördenrichtlinien und Nachbarschaftsnormen. Maryland verbietet, ein Kind unter 8 Jahren eingesperrt oder außer Sicht ohne zuverlässige Aufsicht (mindestens 13 Jahre) zu lassen (Family Law § 5-801). Oregon wertet es als Vernachlässigung zweiten Grades, ein Kind unter 10 Jahren so allein zu lassen, dass seine Gesundheit gefährdet sein kann (ORS 163.545). Illinois nennt 14 Jahre als Richtwert, ohne gesetzliche Grenze. Dagegen haben 13 Staaten seit 2018 Gesetze zur </w:t>
      </w:r>
      <w:r>
        <w:rPr>
          <w:rFonts w:eastAsia="Cambria" w:cs="Cambria"/>
          <w:b w:val="false"/>
          <w:bCs w:val="false"/>
          <w:i/>
          <w:iCs/>
          <w:sz w:val="22"/>
          <w:szCs w:val="22"/>
        </w:rPr>
        <w:t>Reasonable Childhood Independence</w:t>
      </w:r>
      <w:r>
        <w:rPr>
          <w:rFonts w:eastAsia="Cambria" w:cs="Cambria"/>
          <w:b w:val="false"/>
          <w:bCs w:val="false"/>
          <w:i w:val="false"/>
          <w:iCs w:val="false"/>
          <w:sz w:val="22"/>
          <w:szCs w:val="22"/>
        </w:rPr>
        <w:t xml:space="preserve"> erlassen, die angemessene Selbständigkeit ausdrücklich nicht als Vernachlässigung werten, zuerst Utah, später u. a. Texas, Colorado, Virginia und Florida (Let Grow, Stand April 2026).</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ohne Gesetz gilt: Eine besorgte Nachbarin oder Lehrkraft kann CPS einschalten. Ein Kind allein im geparkten Auto ist in etlichen Staaten ausdrücklich verboten und im Sommer lebensgefährlich. Ein viel zitierter Fall aus Maryland (2014/15) zeigt das Risiko: Es wurde gegen Eltern ermittelt, weil ihre Kinder allein vom Park heimgingen.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 Lena (9) ging in Stuttgart seit der ersten Klasse allein zur Schule. In ihrem Vorort bei Detroit fährt sie mit dem Schulbus; als sie an einem Samstag allein 500 Meter zu einer Klassenkameradin radelt, klingelt eine besorgte Nachbarin bei Anna. „Is everything okay? I saw her riding alone“ – freundlich, aber bestimmt. Anna, die mit H-4-Status nicht arbeiten darf, liest die Merkblätter von Staat und Schuldistrikt, bedankt sich für die Aufmerksamkeit und einigt sich mit Lena auf eine Ankunftsnachricht per Handy und eine feste Heimzeit. Jonas (5) bleibt vorerst nirgends allein.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Es gibt keine bundesweite Altersgrenze. Entscheidend sind Staat, Lebensjahr, Reife und Umstände. Wähle bis zum Kennenlernen der örtlichen Gepflogenheiten die vorsichtigere Variante und sprich mit Nachbarn und Schule.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Teenager: Führerschein, Sport, Alkohol, Social Media</w:t>
      </w:r>
    </w:p>
    <w:p>
      <w:pPr>
        <w:pStyle w:val="Normal"/>
        <w:keepNext w:val="false"/>
        <w:keepLines w:val="false"/>
        <w:spacing w:lineRule="exact" w:line="288" w:before="0" w:after="140"/>
        <w:jc w:val="left"/>
        <w:rPr/>
      </w:pPr>
      <w:r>
        <w:rPr>
          <w:rFonts w:eastAsia="Cambria" w:cs="Cambria"/>
          <w:b/>
          <w:bCs/>
          <w:i w:val="false"/>
          <w:iCs w:val="false"/>
          <w:sz w:val="22"/>
          <w:szCs w:val="22"/>
        </w:rPr>
        <w:t>Führerschein mit 16.</w:t>
      </w:r>
      <w:r>
        <w:rPr>
          <w:rFonts w:eastAsia="Cambria" w:cs="Cambria"/>
          <w:b w:val="false"/>
          <w:bCs w:val="false"/>
          <w:i w:val="false"/>
          <w:iCs w:val="false"/>
          <w:sz w:val="22"/>
          <w:szCs w:val="22"/>
        </w:rPr>
        <w:t xml:space="preserve"> In den meisten Staaten beginnt der Weg (</w:t>
      </w:r>
      <w:r>
        <w:rPr>
          <w:rFonts w:eastAsia="Cambria" w:cs="Cambria"/>
          <w:b w:val="false"/>
          <w:bCs w:val="false"/>
          <w:i/>
          <w:iCs/>
          <w:sz w:val="22"/>
          <w:szCs w:val="22"/>
        </w:rPr>
        <w:t>Graduated Driver Licensing</w:t>
      </w:r>
      <w:r>
        <w:rPr>
          <w:rFonts w:eastAsia="Cambria" w:cs="Cambria"/>
          <w:b w:val="false"/>
          <w:bCs w:val="false"/>
          <w:i w:val="false"/>
          <w:iCs w:val="false"/>
          <w:sz w:val="22"/>
          <w:szCs w:val="22"/>
        </w:rPr>
        <w:t>, GDL) mit einem Lernführerschein (</w:t>
      </w:r>
      <w:r>
        <w:rPr>
          <w:rFonts w:eastAsia="Cambria" w:cs="Cambria"/>
          <w:b w:val="false"/>
          <w:bCs w:val="false"/>
          <w:i/>
          <w:iCs/>
          <w:sz w:val="22"/>
          <w:szCs w:val="22"/>
        </w:rPr>
        <w:t>Learner’s Permit</w:t>
      </w:r>
      <w:r>
        <w:rPr>
          <w:rFonts w:eastAsia="Cambria" w:cs="Cambria"/>
          <w:b w:val="false"/>
          <w:bCs w:val="false"/>
          <w:i w:val="false"/>
          <w:iCs w:val="false"/>
          <w:sz w:val="22"/>
          <w:szCs w:val="22"/>
        </w:rPr>
        <w:t>) ab 15 Jahren; die Spanne reicht von 14 bis 16, New Jersey beginnt mit 16. Es folgen 20 bis 70 Stunden begleitete Fahrpraxis, meist etwa 50, und eine Zwischenlizenz mit Nachtfahrverbot (meist zwischen 21 und 24 Uhr bis 4 oder 6 Uhr) und Mitfahrerlimit (IIHS, September 2026). Deutschland erlaubt begleitetes Fahren frühestens mit 17. In Vororten ohne Bahn und Bus ist der Führerschein der Schlüssel zur Selbständigkeit: Der erste eigene Trip zum Drive-in-Restaurant ohne Elternbegleitung ist für viele Teenager ein Meilenstein, den es in dieser Form in Deutschland erst mit 18 gibt. Er verteuert aber die Familienpolice spürbar. Hole vor dem 16. Geburtstag ein Angebot ein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 xml:space="preserve"> und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Sport.</w:t>
      </w:r>
      <w:r>
        <w:rPr>
          <w:rFonts w:eastAsia="Cambria" w:cs="Cambria"/>
          <w:b w:val="false"/>
          <w:bCs w:val="false"/>
          <w:i w:val="false"/>
          <w:iCs w:val="false"/>
          <w:sz w:val="22"/>
          <w:szCs w:val="22"/>
        </w:rPr>
        <w:t xml:space="preserve"> Schulmannschaften (</w:t>
      </w:r>
      <w:r>
        <w:rPr>
          <w:rFonts w:eastAsia="Cambria" w:cs="Cambria"/>
          <w:b w:val="false"/>
          <w:bCs w:val="false"/>
          <w:i/>
          <w:iCs/>
          <w:sz w:val="22"/>
          <w:szCs w:val="22"/>
        </w:rPr>
        <w:t>Varsity</w:t>
      </w:r>
      <w:r>
        <w:rPr>
          <w:rFonts w:eastAsia="Cambria" w:cs="Cambria"/>
          <w:b w:val="false"/>
          <w:bCs w:val="false"/>
          <w:i w:val="false"/>
          <w:iCs w:val="false"/>
          <w:sz w:val="22"/>
          <w:szCs w:val="22"/>
        </w:rPr>
        <w:t xml:space="preserve"> und </w:t>
      </w:r>
      <w:r>
        <w:rPr>
          <w:rFonts w:eastAsia="Cambria" w:cs="Cambria"/>
          <w:b w:val="false"/>
          <w:bCs w:val="false"/>
          <w:i/>
          <w:iCs/>
          <w:sz w:val="22"/>
          <w:szCs w:val="22"/>
        </w:rPr>
        <w:t>Junior Varsity</w:t>
      </w:r>
      <w:r>
        <w:rPr>
          <w:rFonts w:eastAsia="Cambria" w:cs="Cambria"/>
          <w:b w:val="false"/>
          <w:bCs w:val="false"/>
          <w:i w:val="false"/>
          <w:iCs w:val="false"/>
          <w:sz w:val="22"/>
          <w:szCs w:val="22"/>
        </w:rPr>
        <w:t xml:space="preserve">) prägen das Schulleben. Die Aufnahme läuft meist über </w:t>
      </w:r>
      <w:r>
        <w:rPr>
          <w:rFonts w:eastAsia="Cambria" w:cs="Cambria"/>
          <w:b w:val="false"/>
          <w:bCs w:val="false"/>
          <w:i/>
          <w:iCs/>
          <w:sz w:val="22"/>
          <w:szCs w:val="22"/>
        </w:rPr>
        <w:t>Tryouts</w:t>
      </w:r>
      <w:r>
        <w:rPr>
          <w:rFonts w:eastAsia="Cambria" w:cs="Cambria"/>
          <w:b w:val="false"/>
          <w:bCs w:val="false"/>
          <w:i w:val="false"/>
          <w:iCs w:val="false"/>
          <w:sz w:val="22"/>
          <w:szCs w:val="22"/>
        </w:rPr>
        <w:t xml:space="preserve"> vor der Saison, dazu kommen oft eine Sporttauglichkeitsuntersuchung (</w:t>
      </w:r>
      <w:r>
        <w:rPr>
          <w:rFonts w:eastAsia="Cambria" w:cs="Cambria"/>
          <w:b w:val="false"/>
          <w:bCs w:val="false"/>
          <w:i/>
          <w:iCs/>
          <w:sz w:val="22"/>
          <w:szCs w:val="22"/>
        </w:rPr>
        <w:t>Sports Physical</w:t>
      </w:r>
      <w:r>
        <w:rPr>
          <w:rFonts w:eastAsia="Cambria" w:cs="Cambria"/>
          <w:b w:val="false"/>
          <w:bCs w:val="false"/>
          <w:i w:val="false"/>
          <w:iCs w:val="false"/>
          <w:sz w:val="22"/>
          <w:szCs w:val="22"/>
        </w:rPr>
        <w:t>) und in manchen Distrikten eine Teilnahmegebühr. Frage bei der Ankunft nach den Terminen, damit die Saison nicht ohne dein Kind beginnt.</w:t>
      </w:r>
    </w:p>
    <w:p>
      <w:pPr>
        <w:pStyle w:val="Normal"/>
        <w:keepNext w:val="false"/>
        <w:keepLines w:val="false"/>
        <w:spacing w:lineRule="exact" w:line="288" w:before="0" w:after="140"/>
        <w:jc w:val="left"/>
        <w:rPr/>
      </w:pPr>
      <w:r>
        <w:rPr>
          <w:rFonts w:eastAsia="Cambria" w:cs="Cambria"/>
          <w:b/>
          <w:bCs/>
          <w:i w:val="false"/>
          <w:iCs w:val="false"/>
          <w:sz w:val="22"/>
          <w:szCs w:val="22"/>
        </w:rPr>
        <w:t>Alkohol ab 21.</w:t>
      </w:r>
      <w:r>
        <w:rPr>
          <w:rFonts w:eastAsia="Cambria" w:cs="Cambria"/>
          <w:b w:val="false"/>
          <w:bCs w:val="false"/>
          <w:i w:val="false"/>
          <w:iCs w:val="false"/>
          <w:sz w:val="22"/>
          <w:szCs w:val="22"/>
        </w:rPr>
        <w:t xml:space="preserve"> Bier und Wein mit 16 sind in Deutschland erlaubt, in den USA gilt bundesweit die Grenze 21.</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Für Fahrer unter 21 gelten in allen Staaten extrem niedrige Alkoholgrenzwerte (meist 0,02 % oder weniger). Cannabis ist in einigen Staaten für Erwachsene legal, bleibt bundesrechtlich aber verboten. Alkohol- und Drogendelikte können für Nichtstaatsbürger Folgen für Visum und Status haben (Kapitel </w:t>
            </w:r>
            <w:hyperlink w:anchor="k40">
              <w:r>
                <w:rPr>
                  <w:rStyle w:val="ListLabel114"/>
                  <w:rFonts w:eastAsia="Cambria" w:cs="Cambria"/>
                  <w:b w:val="false"/>
                  <w:bCs w:val="false"/>
                  <w:i w:val="false"/>
                  <w:iCs w:val="false"/>
                  <w:sz w:val="20"/>
                  <w:szCs w:val="20"/>
                </w:rPr>
                <w:t>40</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Social Media und Smartphones.</w:t>
      </w:r>
      <w:r>
        <w:rPr>
          <w:rFonts w:eastAsia="Cambria" w:cs="Cambria"/>
          <w:b w:val="false"/>
          <w:bCs w:val="false"/>
          <w:i w:val="false"/>
          <w:iCs w:val="false"/>
          <w:sz w:val="22"/>
          <w:szCs w:val="22"/>
        </w:rPr>
        <w:t xml:space="preserve"> Das Bundesgesetz COPPA verlangt für die Datenerhebung bei Kindern unter 13 Jahren die Einwilligung der Eltern; deshalb setzen die großen Netzwerke die Mindestgrenze bei 13. Darüber hinaus haben Staaten eigene Gesetze mit Altersprüfung und Elternzustimmung erlassen. Viele blockierten Gerichte aus verfassungsrechtlichen Gründen (u. a. Arkansas, Utah, Ohio, Texas, Louisiana und im Februar 2026 Virginia), andere gelten zumindest teilweise (u. a. Florida, Mississippi, Tennessee und New York, Stand Mitte 2026). An den Schulen ist die Lage klarer: Nach Zählungen vom Sommer 2026 schreiben mehr als 35 Staaten und DC den Schuldistrikten Handyverbote oder Einschränkungen vor, in rund 29 davon für den ganzen Schultag. Die Zahlen schwanken je nach Zählung; die Regeln deiner Schule stehen im Handbuch.</w:t>
      </w:r>
    </w:p>
    <w:p>
      <w:pPr>
        <w:pStyle w:val="Heading3"/>
        <w:keepNext w:val="true"/>
        <w:spacing w:before="280" w:after="100"/>
        <w:jc w:val="center"/>
        <w:rPr/>
      </w:pPr>
      <w:r>
        <w:rPr>
          <w:rFonts w:eastAsia="Amazon Ember" w:cs="Amazon Ember" w:ascii="Amazon Ember" w:hAnsi="Amazon Ember"/>
          <w:b/>
          <w:bCs/>
          <w:color w:val="0000FF"/>
          <w:sz w:val="36"/>
          <w:szCs w:val="36"/>
        </w:rPr>
        <w:t>Klassen 10 bis 12: der schwierige Einstieg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härtesten trifft der Wechsel Jugendliche in Klasse 10 bis 12. Der Abschluss (</w:t>
      </w:r>
      <w:r>
        <w:rPr>
          <w:rFonts w:eastAsia="Cambria" w:cs="Cambria"/>
          <w:b w:val="false"/>
          <w:bCs w:val="false"/>
          <w:i/>
          <w:iCs/>
          <w:sz w:val="22"/>
          <w:szCs w:val="22"/>
        </w:rPr>
        <w:t>High School Diploma</w:t>
      </w:r>
      <w:r>
        <w:rPr>
          <w:rFonts w:eastAsia="Cambria" w:cs="Cambria"/>
          <w:b w:val="false"/>
          <w:bCs w:val="false"/>
          <w:i w:val="false"/>
          <w:iCs w:val="false"/>
          <w:sz w:val="22"/>
          <w:szCs w:val="22"/>
        </w:rPr>
        <w:t>) setzt Credits in festen Fächern voraus, meist 20 bis 24, je nach Staat und Distrikt; ein Zuzug in Klasse 11 oder 12 kann Lücken bei Pflichtkursen erzeugen, etwa in US-Geschichte. Der Notenschnitt (</w:t>
      </w:r>
      <w:r>
        <w:rPr>
          <w:rFonts w:eastAsia="Cambria" w:cs="Cambria"/>
          <w:b w:val="false"/>
          <w:bCs w:val="false"/>
          <w:i/>
          <w:iCs/>
          <w:sz w:val="22"/>
          <w:szCs w:val="22"/>
        </w:rPr>
        <w:t>GPA</w:t>
      </w:r>
      <w:r>
        <w:rPr>
          <w:rFonts w:eastAsia="Cambria" w:cs="Cambria"/>
          <w:b w:val="false"/>
          <w:bCs w:val="false"/>
          <w:i w:val="false"/>
          <w:iCs w:val="false"/>
          <w:sz w:val="22"/>
          <w:szCs w:val="22"/>
        </w:rPr>
        <w:t>) zählt seit Klasse 9. Bitte am ersten Tag um ein Gespräch mit dem Beratungslehrer (</w:t>
      </w:r>
      <w:r>
        <w:rPr>
          <w:rFonts w:eastAsia="Cambria" w:cs="Cambria"/>
          <w:b w:val="false"/>
          <w:bCs w:val="false"/>
          <w:i/>
          <w:iCs/>
          <w:sz w:val="22"/>
          <w:szCs w:val="22"/>
        </w:rPr>
        <w:t>Counselor</w:t>
      </w:r>
      <w:r>
        <w:rPr>
          <w:rFonts w:eastAsia="Cambria" w:cs="Cambria"/>
          <w:b w:val="false"/>
          <w:bCs w:val="false"/>
          <w:i w:val="false"/>
          <w:iCs w:val="false"/>
          <w:sz w:val="22"/>
          <w:szCs w:val="22"/>
        </w:rPr>
        <w:t>): Welche Zeugnisse werden angerechnet, welche Kurse fehlen, welche Tests stehen an? Zur Sprachförderung siehe Kapitel </w:t>
      </w:r>
      <w:hyperlink w:anchor="k37">
        <w:r>
          <w:rPr>
            <w:rStyle w:val="ListLabel115"/>
            <w:rFonts w:eastAsia="Cambria" w:cs="Cambria"/>
            <w:b w:val="false"/>
            <w:bCs w:val="false"/>
            <w:i w:val="false"/>
            <w:iCs w:val="false"/>
            <w:sz w:val="22"/>
            <w:szCs w:val="22"/>
          </w:rPr>
          <w:t>37</w:t>
        </w:r>
      </w:hyperlink>
      <w:r>
        <w:rPr>
          <w:rFonts w:eastAsia="Cambria" w:cs="Cambria"/>
          <w:b w:val="false"/>
          <w:bCs w:val="false"/>
          <w:i w:val="false"/>
          <w:iCs w:val="false"/>
          <w:sz w:val="22"/>
          <w:szCs w:val="22"/>
        </w:rPr>
        <w:t>. Bleibt die Familie nur wenige Jahre, kann eine Deutsche Auslandsschule die Alternative sein (2026/27 grob 27.000–36.000 $ im Jahr, Abschluss DIA plus US-Diploma;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College-Vorbereitung</w:t>
      </w:r>
    </w:p>
    <w:p>
      <w:pPr>
        <w:pStyle w:val="Normal"/>
        <w:keepNext w:val="false"/>
        <w:keepLines w:val="false"/>
        <w:spacing w:lineRule="exact" w:line="288" w:before="0" w:after="140"/>
        <w:jc w:val="left"/>
        <w:rPr/>
      </w:pPr>
      <w:r>
        <w:rPr>
          <w:rFonts w:eastAsia="Cambria" w:cs="Cambria"/>
          <w:b/>
          <w:bCs/>
          <w:i w:val="false"/>
          <w:iCs w:val="false"/>
          <w:sz w:val="22"/>
          <w:szCs w:val="22"/>
        </w:rPr>
        <w:t>Zeitplan.</w:t>
      </w:r>
      <w:r>
        <w:rPr>
          <w:rFonts w:eastAsia="Cambria" w:cs="Cambria"/>
          <w:b w:val="false"/>
          <w:bCs w:val="false"/>
          <w:i w:val="false"/>
          <w:iCs w:val="false"/>
          <w:sz w:val="22"/>
          <w:szCs w:val="22"/>
        </w:rPr>
        <w:t xml:space="preserve"> Die Noten zählen ab Klasse 9. In Klasse 10 und 11 folgen die Tests, in Klasse 12 die Bewerbung, meist über die </w:t>
      </w:r>
      <w:r>
        <w:rPr>
          <w:rFonts w:eastAsia="Cambria" w:cs="Cambria"/>
          <w:b w:val="false"/>
          <w:bCs w:val="false"/>
          <w:i/>
          <w:iCs/>
          <w:sz w:val="22"/>
          <w:szCs w:val="22"/>
        </w:rPr>
        <w:t>Common App</w:t>
      </w:r>
      <w:r>
        <w:rPr>
          <w:rFonts w:eastAsia="Cambria" w:cs="Cambria"/>
          <w:b w:val="false"/>
          <w:bCs w:val="false"/>
          <w:i w:val="false"/>
          <w:iCs w:val="false"/>
          <w:sz w:val="22"/>
          <w:szCs w:val="22"/>
        </w:rPr>
        <w:t xml:space="preserve"> mit Fristen zum 1. November (frühe Bewerbung) und im Januar (reguläre Bewerbung), je nach Hochschule. Der digitale </w:t>
      </w:r>
      <w:r>
        <w:rPr>
          <w:rFonts w:eastAsia="Cambria" w:cs="Cambria"/>
          <w:b w:val="false"/>
          <w:bCs w:val="false"/>
          <w:i/>
          <w:iCs/>
          <w:sz w:val="22"/>
          <w:szCs w:val="22"/>
        </w:rPr>
        <w:t>SAT</w:t>
      </w:r>
      <w:r>
        <w:rPr>
          <w:rFonts w:eastAsia="Cambria" w:cs="Cambria"/>
          <w:b w:val="false"/>
          <w:bCs w:val="false"/>
          <w:i w:val="false"/>
          <w:iCs w:val="false"/>
          <w:sz w:val="22"/>
          <w:szCs w:val="22"/>
        </w:rPr>
        <w:t xml:space="preserve"> (400–1.600 Punkte, rund 2 Std. 14 Min., zuletzt 68 $) und der </w:t>
      </w:r>
      <w:r>
        <w:rPr>
          <w:rFonts w:eastAsia="Cambria" w:cs="Cambria"/>
          <w:b w:val="false"/>
          <w:bCs w:val="false"/>
          <w:i/>
          <w:iCs/>
          <w:sz w:val="22"/>
          <w:szCs w:val="22"/>
        </w:rPr>
        <w:t>ACT</w:t>
      </w:r>
      <w:r>
        <w:rPr>
          <w:rFonts w:eastAsia="Cambria" w:cs="Cambria"/>
          <w:b w:val="false"/>
          <w:bCs w:val="false"/>
          <w:i w:val="false"/>
          <w:iCs w:val="false"/>
          <w:sz w:val="22"/>
          <w:szCs w:val="22"/>
        </w:rPr>
        <w:t xml:space="preserve"> sind die Standardtests. Nach Sekundärquellen verlangen für den Zyklus 2026–27 wieder u. a. Harvard, Yale, Stanford und MIT Testergebnisse; die Universitätssysteme in Kalifornien ignorieren sie, und viele Hochschulen unterhalb der Top 50 bleiben test-optional. Prüfe die Regel jeder Zielhochschule, denn sie ändert sich jährlich.</w:t>
      </w:r>
    </w:p>
    <w:p>
      <w:pPr>
        <w:pStyle w:val="Normal"/>
        <w:keepNext w:val="false"/>
        <w:keepLines w:val="false"/>
        <w:spacing w:lineRule="exact" w:line="288" w:before="0" w:after="140"/>
        <w:jc w:val="left"/>
        <w:rPr/>
      </w:pPr>
      <w:r>
        <w:rPr>
          <w:rFonts w:eastAsia="Cambria" w:cs="Cambria"/>
          <w:b/>
          <w:bCs/>
          <w:i w:val="false"/>
          <w:iCs w:val="false"/>
          <w:sz w:val="22"/>
          <w:szCs w:val="22"/>
        </w:rPr>
        <w:t>Kosten.</w:t>
      </w:r>
      <w:r>
        <w:rPr>
          <w:rFonts w:eastAsia="Cambria" w:cs="Cambria"/>
          <w:b w:val="false"/>
          <w:bCs w:val="false"/>
          <w:i w:val="false"/>
          <w:iCs w:val="false"/>
          <w:sz w:val="22"/>
          <w:szCs w:val="22"/>
        </w:rPr>
        <w:t xml:space="preserve"> Die Tabelle zeigt die Listenpreise (</w:t>
      </w:r>
      <w:r>
        <w:rPr>
          <w:rFonts w:eastAsia="Cambria" w:cs="Cambria"/>
          <w:b w:val="false"/>
          <w:bCs w:val="false"/>
          <w:i/>
          <w:iCs/>
          <w:sz w:val="22"/>
          <w:szCs w:val="22"/>
        </w:rPr>
        <w:t>Sticker Price</w:t>
      </w:r>
      <w:r>
        <w:rPr>
          <w:rFonts w:eastAsia="Cambria" w:cs="Cambria"/>
          <w:b w:val="false"/>
          <w:bCs w:val="false"/>
          <w:i w:val="false"/>
          <w:iCs w:val="false"/>
          <w:sz w:val="22"/>
          <w:szCs w:val="22"/>
        </w:rPr>
        <w:t>) des Studienjahrs 2025–26 (College Board):</w:t>
      </w:r>
    </w:p>
    <w:tbl>
      <w:tblPr>
        <w:tblW w:w="6480" w:type="dxa"/>
        <w:jc w:val="left"/>
        <w:tblInd w:w="0" w:type="dxa"/>
        <w:tblLayout w:type="fixed"/>
        <w:tblCellMar>
          <w:top w:w="50" w:type="dxa"/>
          <w:left w:w="80" w:type="dxa"/>
          <w:bottom w:w="50" w:type="dxa"/>
          <w:right w:w="80" w:type="dxa"/>
        </w:tblCellMar>
      </w:tblPr>
      <w:tblGrid>
        <w:gridCol w:w="3298"/>
        <w:gridCol w:w="950"/>
        <w:gridCol w:w="1208"/>
        <w:gridCol w:w="1023"/>
      </w:tblGrid>
      <w:tr>
        <w:trPr>
          <w:tblHeader w:val="true"/>
          <w:cantSplit w:val="true"/>
        </w:trPr>
        <w:tc>
          <w:tcPr>
            <w:tcW w:w="329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Hochschultyp</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Gebühren</w:t>
            </w:r>
          </w:p>
        </w:tc>
        <w:tc>
          <w:tcPr>
            <w:tcW w:w="120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Wohnen und Essen</w:t>
            </w:r>
          </w:p>
        </w:tc>
        <w:tc>
          <w:tcPr>
            <w:tcW w:w="102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Gesamtbudget</w:t>
            </w:r>
          </w:p>
        </w:tc>
      </w:tr>
      <w:tr>
        <w:trPr>
          <w:cantSplit w:val="true"/>
        </w:trPr>
        <w:tc>
          <w:tcPr>
            <w:tcW w:w="32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Community College (Bezirk, Pendler)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4.150 $</w:t>
            </w:r>
          </w:p>
        </w:tc>
        <w:tc>
          <w:tcPr>
            <w:tcW w:w="12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10.850 $</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21.320 $</w:t>
            </w:r>
          </w:p>
        </w:tc>
      </w:tr>
      <w:tr>
        <w:trPr>
          <w:cantSplit w:val="true"/>
        </w:trPr>
        <w:tc>
          <w:tcPr>
            <w:tcW w:w="32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Staatliche Hochschule, Landeskind</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11.950 $</w:t>
            </w:r>
          </w:p>
        </w:tc>
        <w:tc>
          <w:tcPr>
            <w:tcW w:w="12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13.900 $</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30.990 $</w:t>
            </w:r>
          </w:p>
        </w:tc>
      </w:tr>
      <w:tr>
        <w:trPr>
          <w:cantSplit w:val="true"/>
        </w:trPr>
        <w:tc>
          <w:tcPr>
            <w:tcW w:w="32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Staatliche Hochschule, von außerhalb</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31.880 $</w:t>
            </w:r>
          </w:p>
        </w:tc>
        <w:tc>
          <w:tcPr>
            <w:tcW w:w="12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13.900 $</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50.920 $</w:t>
            </w:r>
          </w:p>
        </w:tc>
      </w:tr>
      <w:tr>
        <w:trPr>
          <w:cantSplit w:val="true"/>
        </w:trPr>
        <w:tc>
          <w:tcPr>
            <w:tcW w:w="32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Private gemeinnützige Hochschule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45.000 $</w:t>
            </w:r>
          </w:p>
        </w:tc>
        <w:tc>
          <w:tcPr>
            <w:tcW w:w="12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15.920 $</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65.470 $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Stipendien liegt der tatsächliche Preis (</w:t>
      </w:r>
      <w:r>
        <w:rPr>
          <w:rFonts w:eastAsia="Cambria" w:cs="Cambria"/>
          <w:b w:val="false"/>
          <w:bCs w:val="false"/>
          <w:i/>
          <w:iCs/>
          <w:sz w:val="22"/>
          <w:szCs w:val="22"/>
        </w:rPr>
        <w:t>Net Price</w:t>
      </w:r>
      <w:r>
        <w:rPr>
          <w:rFonts w:eastAsia="Cambria" w:cs="Cambria"/>
          <w:b w:val="false"/>
          <w:bCs w:val="false"/>
          <w:i w:val="false"/>
          <w:iCs w:val="false"/>
          <w:sz w:val="22"/>
          <w:szCs w:val="22"/>
        </w:rPr>
        <w:t>) niedriger. Die Gebühren staatlicher Hochschulen für Landeskinder reichen von 6.360 $ in Florida bis 18.090 $ in Vermont. An deutschen staatlichen Hochschulen zahlst du meist nur einen Semesterbeitrag im dreistelligen Euro-Bereich.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Zwei Jahre am Community College und danach der Wechsel an eine vierjährige Hochschule (Transfer) können viel sparen. Der günstige Preis gilt nur mit Wohnsitz im Bezirk, und ob Kurse angerechnet werden, klärst du vorher mit der Zielhochschule.</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Finanzhilfe und Tuition.</w:t>
      </w:r>
      <w:r>
        <w:rPr>
          <w:rFonts w:eastAsia="Cambria" w:cs="Cambria"/>
          <w:b w:val="false"/>
          <w:bCs w:val="false"/>
          <w:i w:val="false"/>
          <w:iCs w:val="false"/>
          <w:sz w:val="22"/>
          <w:szCs w:val="22"/>
        </w:rPr>
        <w:t xml:space="preserve"> Bundesmittel (etwa Pell Grant, Bundesdarlehen) beantragst du über die FAFSA. Berechtigt sind US-Bürger, Green-Card-Inhaber und einige weitere Gruppen (20 U.S.C. § 1091(a)(5)); Kinder mit H-4, L-2 oder E-2 zählen nach den Regeln der Bundesstudienhilfe nicht dazu, ein in den USA geborenes Geschwisterkind mit US-Pass schon. Den günstigen Landeskindertarif (</w:t>
      </w:r>
      <w:r>
        <w:rPr>
          <w:rFonts w:eastAsia="Cambria" w:cs="Cambria"/>
          <w:b w:val="false"/>
          <w:bCs w:val="false"/>
          <w:i/>
          <w:iCs/>
          <w:sz w:val="22"/>
          <w:szCs w:val="22"/>
        </w:rPr>
        <w:t>In-State Tuition</w:t>
      </w:r>
      <w:r>
        <w:rPr>
          <w:rFonts w:eastAsia="Cambria" w:cs="Cambria"/>
          <w:b w:val="false"/>
          <w:bCs w:val="false"/>
          <w:i w:val="false"/>
          <w:iCs w:val="false"/>
          <w:sz w:val="22"/>
          <w:szCs w:val="22"/>
        </w:rPr>
        <w:t>) regelt jeder Staat selbst: Florida verlangt zwölf Monate rechtmäßigen Wohnsitz (Fla. Stat. § 1009.21), Virginia knüpft an einen einjährigen Wohnsitz (§ 23.1-502). Eigene Stipendien vergeben manche Hochschulen auch an Nicht-Staatsbürger, viele nicht.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Je nach Hochschule gelten Kinder mit temporärem Visum als </w:t>
            </w:r>
            <w:r>
              <w:rPr>
                <w:rFonts w:eastAsia="Cambria" w:cs="Cambria"/>
                <w:b w:val="false"/>
                <w:bCs w:val="false"/>
                <w:i/>
                <w:iCs/>
                <w:sz w:val="20"/>
                <w:szCs w:val="20"/>
              </w:rPr>
              <w:t>International Applicants</w:t>
            </w:r>
            <w:r>
              <w:rPr>
                <w:rFonts w:eastAsia="Cambria" w:cs="Cambria"/>
                <w:b w:val="false"/>
                <w:bCs w:val="false"/>
                <w:i w:val="false"/>
                <w:iCs w:val="false"/>
                <w:sz w:val="20"/>
                <w:szCs w:val="20"/>
              </w:rPr>
              <w:t xml:space="preserve">. Das betrifft Preisklasse, Fristen und Stipendienchancen. Nur eine erteilte Green Card ändert das, nicht der laufende Antrag. Kläre Tuition-Klasse und Berechtigung schriftlich beim </w:t>
            </w:r>
            <w:r>
              <w:rPr>
                <w:rFonts w:eastAsia="Cambria" w:cs="Cambria"/>
                <w:b w:val="false"/>
                <w:bCs w:val="false"/>
                <w:i/>
                <w:iCs/>
                <w:sz w:val="20"/>
                <w:szCs w:val="20"/>
              </w:rPr>
              <w:t>Registrar</w:t>
            </w:r>
            <w:r>
              <w:rPr>
                <w:rFonts w:eastAsia="Cambria" w:cs="Cambria"/>
                <w:b w:val="false"/>
                <w:bCs w:val="false"/>
                <w:i w:val="false"/>
                <w:iCs w:val="false"/>
                <w:sz w:val="20"/>
                <w:szCs w:val="20"/>
              </w:rPr>
              <w:t xml:space="preserve"> (Studienverwaltung), bevor du dich festlegst.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Abitur und US-Diploma.</w:t>
      </w:r>
      <w:r>
        <w:rPr>
          <w:rFonts w:eastAsia="Cambria" w:cs="Cambria"/>
          <w:b w:val="false"/>
          <w:bCs w:val="false"/>
          <w:i w:val="false"/>
          <w:iCs w:val="false"/>
          <w:sz w:val="22"/>
          <w:szCs w:val="22"/>
        </w:rPr>
        <w:t xml:space="preserve"> Das Abitur gilt an US-Hochschulen als Nachweis der Hochschulreife; ob Leistungen angerechnet werden und ob SAT oder ACT verlangt werden, entscheidet jede Hochschule. Umgekehrt reicht ein US-High-School-Diploma allein für ein Studium in Deutschland oft nicht (DAAD New York). Die Bewertung (über anabin/ZAB und uni-assist) führt zu einem von vier Ergebnissen: Zulassung mit Zusatzleistungen wie Tests oder GPA, fachgebundene Zulassung, </w:t>
      </w:r>
      <w:r>
        <w:rPr>
          <w:rFonts w:eastAsia="Cambria" w:cs="Cambria"/>
          <w:b w:val="false"/>
          <w:bCs w:val="false"/>
          <w:i/>
          <w:iCs/>
          <w:sz w:val="22"/>
          <w:szCs w:val="22"/>
        </w:rPr>
        <w:t>Studienkolleg</w:t>
      </w:r>
      <w:r>
        <w:rPr>
          <w:rFonts w:eastAsia="Cambria" w:cs="Cambria"/>
          <w:b w:val="false"/>
          <w:bCs w:val="false"/>
          <w:i w:val="false"/>
          <w:iCs w:val="false"/>
          <w:sz w:val="22"/>
          <w:szCs w:val="22"/>
        </w:rPr>
        <w:t xml:space="preserve"> (zwei Semester mit Feststellungsprüfung) oder Anerkennung nach ein bis zwei Jahren US-College. Dazu kommt ein Deutschnachweis (TestDaF, DSH oder Goethe-Zertifikat ab B2). Ein IB-Diplom kann direkten Zugang geben, das DIA der Deutschen Auslandsschulen gilt wie das Abitur. Wer eine Rückkehr offenhält, plant das früh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Mit 21 endet die Kinderrolle im Einwanderungsrecht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Im Einwanderungsrecht ist ein Kind unverheiratet und unter 21 (INA § 101(b)(1)). Mit dem 21. Geburtstag endet der H-4-Status; das gilt auch für L-2- und E-2-Kinder. Ein Kind, das mit 16 einreist, hat also nur fünf Jahre. Wer dann noch studiert, wechselt meist zu F-1, was Zulassung, Finanzierungsnachweis und rechtzeitige Planung verlangt (Kapitel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 xml:space="preserve">). Läuft ein Green-Card-Verfahren der Eltern, kann der </w:t>
      </w:r>
      <w:r>
        <w:rPr>
          <w:rFonts w:eastAsia="Cambria" w:cs="Cambria"/>
          <w:b w:val="false"/>
          <w:bCs w:val="false"/>
          <w:i/>
          <w:iCs/>
          <w:sz w:val="22"/>
          <w:szCs w:val="22"/>
        </w:rPr>
        <w:t>Child Status Protection Act</w:t>
      </w:r>
      <w:r>
        <w:rPr>
          <w:rFonts w:eastAsia="Cambria" w:cs="Cambria"/>
          <w:b w:val="false"/>
          <w:bCs w:val="false"/>
          <w:i w:val="false"/>
          <w:iCs w:val="false"/>
          <w:sz w:val="22"/>
          <w:szCs w:val="22"/>
        </w:rPr>
        <w:t xml:space="preserve"> das Kindesalter unter Umständen einfrieren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 xml:space="preserve"> und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Beginne die Planung spätestens mit 18.</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 den USA geborene Kinder erhalten mit US-Pass und deutschem Pass zwei Staatsangehörigkeiten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Geburt: Eigenanteil im Schnitt 2.743 $, Gesamtrechnung über 20.000 $</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Bezahlter Familienurlaub in zwölf Staaten und DC</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Bundesweit nur zwölf unbezahlte Wochen, erst nach zwölf Monaten im Betrieb</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Führerschein mit 16 bringt früh Selbständigkeit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Betreuung im Schnitt 13.184 $ im Jahr, Wartelisten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Vielfältiges Sportangebot an den Schulen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Au-pair für Visa-Familien ausgeschlossen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Community College als günstiger Einstieg ins Studium</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Unklare Rechtslage, wenn Kinder allein bleiben; Meldungen durch Nachbarn möglich</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 lernen Englisch früh und meist rasch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College 31.000–65.000 $ im Jahr, keine Bundeshilfe mit H-4</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 mit deutschem Pass können in Deutschland ohne Visum studieren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H-4-Status endet mit 21</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Checkliste und nächste Schritte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der Geburt: Deckungsbeginn und Wartefrist beim Arbeitgeber klären, Frauenarzt, Klinik und Kinderarzt im Netzwerk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Nach der Geburt: Baby innerhalb von 30 Tagen im Arbeitgeberplan anmelden (Marktplatz: 60 Tage).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Mehrere beglaubigte Geburtsurkunden bestellen und den Eingang der SSN-Karte kontrollieren.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US-Pass und deutschen Kinder-ePass beantragen, die Beurkundung der Geburt beim Konsulat einleiten.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FMLA-Anspruch und das Programm für bezahlten Familienurlaub deines Staates bei Arbeitgeber und Landesbehörde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Betreuungsplatz früh suchen (Warteliste) und ein Dependent Care FSA erfragen.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Autositz in den USA kaufen, Pool sichern, Helmregeln am Wohnort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Regeln des Staates und des Schuldistrikts zum Alleinlassen und zum Schulweg nachlesen.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dem 16. Geburtstag Führerscheinregeln des Staates und ein Versicherungsangebot einholen.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Ab Klasse 9 mit dem Counselor Credits, GPA und Tests besprechen und Wege für ein Studium in Deutschland klären.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Spätestens mit 18 In-State-Tuition und FAFSA-Berechtigung schriftlich klären und den Statuswechsel vor dem 21. Geburtstag planen.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Supreme Court of the United States — Trump v. Barbara, Nr. 25-365 (</w:t>
      </w:r>
      <w:hyperlink r:id="rId362">
        <w:r>
          <w:rPr>
            <w:rStyle w:val="ListLabel113"/>
            <w:rFonts w:eastAsia="Cambria" w:cs="Cambria"/>
            <w:b w:val="false"/>
            <w:bCs w:val="false"/>
            <w:i w:val="false"/>
            <w:iCs w:val="false"/>
            <w:color w:val="0563C1"/>
            <w:sz w:val="22"/>
            <w:szCs w:val="22"/>
            <w:u w:val="single"/>
          </w:rPr>
          <w:t>supremecourt.gov/opinions/25pdf/25-365_4hdj.pdf</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Auswärtiges Amt, Auslandsvertretungen — Geburtsbeurkundung, Pässe, Staatsangehörigkeit (</w:t>
      </w:r>
      <w:hyperlink r:id="rId363">
        <w:r>
          <w:rPr>
            <w:rStyle w:val="ListLabel113"/>
            <w:rFonts w:eastAsia="Cambria" w:cs="Cambria"/>
            <w:b w:val="false"/>
            <w:bCs w:val="false"/>
            <w:i w:val="false"/>
            <w:iCs w:val="false"/>
            <w:color w:val="0563C1"/>
            <w:sz w:val="22"/>
            <w:szCs w:val="22"/>
            <w:u w:val="single"/>
          </w:rPr>
          <w:t>germany.info</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US-Arbeitsministerium — FMLA (</w:t>
      </w:r>
      <w:hyperlink r:id="rId364">
        <w:r>
          <w:rPr>
            <w:rStyle w:val="ListLabel113"/>
            <w:rFonts w:eastAsia="Cambria" w:cs="Cambria"/>
            <w:b w:val="false"/>
            <w:bCs w:val="false"/>
            <w:i w:val="false"/>
            <w:iCs w:val="false"/>
            <w:color w:val="0563C1"/>
            <w:sz w:val="22"/>
            <w:szCs w:val="22"/>
            <w:u w:val="single"/>
          </w:rPr>
          <w:t>dol.gov/agencies/whd/fmla</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Child Care Aware of America — Kosten und Angebot der Kinderbetreuung (</w:t>
      </w:r>
      <w:hyperlink r:id="rId365">
        <w:r>
          <w:rPr>
            <w:rStyle w:val="ListLabel113"/>
            <w:rFonts w:eastAsia="Cambria" w:cs="Cambria"/>
            <w:b w:val="false"/>
            <w:bCs w:val="false"/>
            <w:i w:val="false"/>
            <w:iCs w:val="false"/>
            <w:color w:val="0563C1"/>
            <w:sz w:val="22"/>
            <w:szCs w:val="22"/>
            <w:u w:val="single"/>
          </w:rPr>
          <w:t>childcareaware.org</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State Department — Au-pair-Programm (</w:t>
      </w:r>
      <w:hyperlink r:id="rId366">
        <w:r>
          <w:rPr>
            <w:rStyle w:val="ListLabel113"/>
            <w:rFonts w:eastAsia="Cambria" w:cs="Cambria"/>
            <w:b w:val="false"/>
            <w:bCs w:val="false"/>
            <w:i w:val="false"/>
            <w:iCs w:val="false"/>
            <w:color w:val="0563C1"/>
            <w:sz w:val="22"/>
            <w:szCs w:val="22"/>
            <w:u w:val="single"/>
          </w:rPr>
          <w:t>j1visa.state.gov/programs/au-pair</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College Board — Trends in College Pricing (</w:t>
      </w:r>
      <w:hyperlink r:id="rId367">
        <w:r>
          <w:rPr>
            <w:rStyle w:val="ListLabel113"/>
            <w:rFonts w:eastAsia="Cambria" w:cs="Cambria"/>
            <w:b w:val="false"/>
            <w:bCs w:val="false"/>
            <w:i w:val="false"/>
            <w:iCs w:val="false"/>
            <w:color w:val="0563C1"/>
            <w:sz w:val="22"/>
            <w:szCs w:val="22"/>
            <w:u w:val="single"/>
          </w:rPr>
          <w:t>research.collegeboard.org/trends/college-pricing</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Federal Student Aid — Berechtigung für Bundeshilfe (</w:t>
      </w:r>
      <w:hyperlink r:id="rId368">
        <w:r>
          <w:rPr>
            <w:rStyle w:val="ListLabel113"/>
            <w:rFonts w:eastAsia="Cambria" w:cs="Cambria"/>
            <w:b w:val="false"/>
            <w:bCs w:val="false"/>
            <w:i w:val="false"/>
            <w:iCs w:val="false"/>
            <w:color w:val="0563C1"/>
            <w:sz w:val="22"/>
            <w:szCs w:val="22"/>
            <w:u w:val="single"/>
          </w:rPr>
          <w:t>studentaid.gov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DAAD — Studium in Deutschland mit US-Abschluss (</w:t>
      </w:r>
      <w:hyperlink r:id="rId369">
        <w:r>
          <w:rPr>
            <w:rStyle w:val="ListLabel113"/>
            <w:rFonts w:eastAsia="Cambria" w:cs="Cambria"/>
            <w:b w:val="false"/>
            <w:bCs w:val="false"/>
            <w:i w:val="false"/>
            <w:iCs w:val="false"/>
            <w:color w:val="0563C1"/>
            <w:sz w:val="22"/>
            <w:szCs w:val="22"/>
            <w:u w:val="single"/>
          </w:rPr>
          <w:t>daad.org/en/study-research-in-germany/study-in-germany/undergraduate</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ListParagraph"/>
              <w:numPr>
                <w:ilvl w:val="0"/>
                <w:numId w:val="218"/>
              </w:numPr>
              <w:spacing w:lineRule="exact" w:line="264" w:before="0" w:after="50"/>
              <w:rPr/>
            </w:pPr>
            <w:r>
              <w:rPr>
                <w:rFonts w:eastAsia="Cambria" w:cs="Cambria"/>
                <w:b w:val="false"/>
                <w:bCs w:val="false"/>
                <w:i w:val="false"/>
                <w:iCs w:val="false"/>
                <w:sz w:val="20"/>
                <w:szCs w:val="20"/>
              </w:rPr>
              <w:t>September 2026. Schnell ändern sich die Rechtslage zur Geburtsstaatsangehörigkeit (Klagen gegen die Erlasse vom 6. August 2026 laufen), die Programme für bezahlten Familienurlaub (Beträge jährlich, Maryland und Virginia ab 2028), Preise für Betreuung und College, die Testpflichten der Hochschulen sowie Landesgesetze zu Social Media und Handys. Prüfe vor jeder Entscheidung die offiziellen Seiten.</w:t>
            </w:r>
          </w:p>
        </w:tc>
      </w:tr>
    </w:tbl>
    <w:p>
      <w:pPr>
        <w:sectPr>
          <w:footerReference w:type="even" r:id="rId370"/>
          <w:footerReference w:type="default" r:id="rId371"/>
          <w:footerReference w:type="first" r:id="rId372"/>
          <w:type w:val="nextPage"/>
          <w:pgSz w:w="8640" w:h="12983"/>
          <w:pgMar w:left="1080" w:right="1080" w:gutter="0" w:header="0" w:top="1080" w:footer="708" w:bottom="1100"/>
          <w:pgNumType w:fmt="decimal"/>
          <w:formProt w:val="false"/>
          <w:textDirection w:val="lrTb"/>
          <w:docGrid w:type="default" w:linePitch="360" w:charSpace="4096"/>
        </w:sectPr>
        <w:pStyle w:val="Normal"/>
        <w:spacing w:lineRule="exact" w:line="220" w:before="0" w:after="0"/>
        <w:rPr/>
      </w:pPr>
      <w:r>
        <w:rPr/>
      </w:r>
    </w:p>
    <w:p>
      <w:pPr>
        <w:pStyle w:val="Heading1"/>
        <w:spacing w:before="0" w:after="360"/>
        <w:jc w:val="center"/>
        <w:rPr/>
      </w:pPr>
      <w:bookmarkStart w:id="94" w:name="__RefHeading___Toc56521_3769931028"/>
      <w:bookmarkEnd w:id="94"/>
      <w:r>
        <w:rPr>
          <w:rFonts w:eastAsia="Amazon Ember" w:cs="Amazon Ember" w:ascii="Amazon Ember" w:hAnsi="Amazon Ember"/>
          <w:b/>
          <w:bCs/>
          <w:color w:val="0000FF"/>
        </w:rPr>
        <w:t>TEIL X — Langfristig</w:t>
      </w:r>
    </w:p>
    <w:p>
      <w:pPr>
        <w:sectPr>
          <w:footerReference w:type="even" r:id="rId373"/>
          <w:footerReference w:type="default" r:id="rId374"/>
          <w:footerReference w:type="first" r:id="rId375"/>
          <w:type w:val="nextPage"/>
          <w:pgSz w:w="8640" w:h="12983"/>
          <w:pgMar w:left="1080" w:right="1080" w:gutter="0" w:header="0" w:top="1080" w:footer="708" w:bottom="1100"/>
          <w:pgNumType w:fmt="decimal"/>
          <w:formProt w:val="false"/>
          <w:vAlign w:val="center"/>
          <w:textDirection w:val="lrTb"/>
          <w:docGrid w:type="default" w:linePitch="360" w:charSpace="4096"/>
        </w:sectPr>
        <w:pStyle w:val="Normal"/>
        <w:spacing w:lineRule="exact" w:line="300" w:before="0" w:after="160"/>
        <w:ind w:left="400" w:right="400"/>
        <w:jc w:val="center"/>
        <w:rPr/>
      </w:pPr>
      <w:r>
        <w:rPr>
          <w:rFonts w:eastAsia="Cambria" w:cs="Cambria"/>
          <w:b w:val="false"/>
          <w:bCs w:val="false"/>
          <w:i/>
          <w:iCs/>
          <w:sz w:val="24"/>
          <w:szCs w:val="24"/>
        </w:rPr>
        <w:t>Vorsorge, Erbe, Recht, Staatsbürgerschaft und der Plan B für den Fall, dass du zurückkehrst.</w:t>
      </w:r>
      <w:r>
        <w:br w:type="page"/>
      </w:r>
    </w:p>
    <w:p>
      <w:pPr>
        <w:pStyle w:val="Heading2"/>
        <w:keepNext w:val="true"/>
        <w:spacing w:before="0" w:after="300"/>
        <w:jc w:val="center"/>
        <w:rPr/>
      </w:pPr>
      <w:bookmarkStart w:id="95" w:name="__RefHeading___Toc56523_3769931028"/>
      <w:bookmarkStart w:id="96" w:name="k39"/>
      <w:bookmarkEnd w:id="95"/>
      <w:r>
        <w:rPr>
          <w:rFonts w:eastAsia="Amazon Ember" w:cs="Amazon Ember" w:ascii="Amazon Ember" w:hAnsi="Amazon Ember"/>
          <w:b/>
          <w:bCs/>
          <w:color w:val="0000FF"/>
          <w:sz w:val="36"/>
          <w:szCs w:val="36"/>
        </w:rPr>
        <w:t>Kapitel 39: Vorsorge, Erbe und Vermögen</w:t>
      </w:r>
      <w:bookmarkEnd w:id="96"/>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Fünf Jahre nach dem Umzug ruft ein „Finanzberater“ an: Er habe da eine Lebensversicherung mit garantierter Rendite, perfekt für Auswanderer. Was er nicht sagt: Seine Provision liegt oft bei mehreren tausend Dollar, gezahlt aus deiner ersten Jahresprämie. Genau in diesem Moment merkst du, dass Vorsorge in den USA nicht nebenbei mitläuft. Wer hier lebt, verwaltet zwei Rentensysteme, zwei Steuerpflichten fürs Erbe und oft zwei Rechtsordnungen gleichzeitig – und die meisten deutschen Papiere gelten hier keinen Meter weit.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Die US-Rente (</w:t>
            </w:r>
            <w:r>
              <w:rPr>
                <w:rFonts w:eastAsia="Cambria" w:cs="Cambria"/>
                <w:b w:val="false"/>
                <w:bCs w:val="false"/>
                <w:i/>
                <w:iCs/>
                <w:sz w:val="20"/>
                <w:szCs w:val="20"/>
              </w:rPr>
              <w:t>Social Security</w:t>
            </w:r>
            <w:r>
              <w:rPr>
                <w:rFonts w:eastAsia="Cambria" w:cs="Cambria"/>
                <w:b w:val="false"/>
                <w:bCs w:val="false"/>
                <w:i w:val="false"/>
                <w:iCs w:val="false"/>
                <w:sz w:val="20"/>
                <w:szCs w:val="20"/>
              </w:rPr>
              <w:t>) braucht 40 Credits; das Sozialversicherungsabkommen mit Deutschland zählt für die Wartezeit deutsche und US-Jahre zusammen, zahlt aber getrennt. Seit 2025 kürzt eine deutsche Rente die US-Rente nicht mehr.</w:t>
            </w:r>
          </w:p>
          <w:p>
            <w:pPr>
              <w:pStyle w:val="ListParagraph"/>
              <w:numPr>
                <w:ilvl w:val="0"/>
                <w:numId w:val="1"/>
              </w:numPr>
              <w:spacing w:lineRule="exact" w:line="264" w:before="0" w:after="50"/>
              <w:rPr/>
            </w:pPr>
            <w:r>
              <w:rPr>
                <w:rFonts w:eastAsia="Cambria" w:cs="Cambria"/>
                <w:b w:val="false"/>
                <w:bCs w:val="false"/>
                <w:i w:val="false"/>
                <w:iCs w:val="false"/>
                <w:sz w:val="20"/>
                <w:szCs w:val="20"/>
              </w:rPr>
              <w:t>Medicare kommt erst mit 65 Jahren und setzt Staatsbürgerschaft, Green Card oder bestimmte Aufenthaltsjahre voraus.</w:t>
            </w:r>
          </w:p>
          <w:p>
            <w:pPr>
              <w:pStyle w:val="ListParagraph"/>
              <w:numPr>
                <w:ilvl w:val="0"/>
                <w:numId w:val="1"/>
              </w:numPr>
              <w:spacing w:lineRule="exact" w:line="264" w:before="0" w:after="50"/>
              <w:rPr/>
            </w:pPr>
            <w:r>
              <w:rPr>
                <w:rFonts w:eastAsia="Cambria" w:cs="Cambria"/>
                <w:b w:val="false"/>
                <w:bCs w:val="false"/>
                <w:i w:val="false"/>
                <w:iCs w:val="false"/>
                <w:sz w:val="20"/>
                <w:szCs w:val="20"/>
              </w:rPr>
              <w:t>401(k), IRA/Roth IRA und HSA sind die drei wichtigsten Sparkonten; nimm mindestens den Arbeitgeber-Match mit.</w:t>
            </w:r>
          </w:p>
          <w:p>
            <w:pPr>
              <w:pStyle w:val="ListParagraph"/>
              <w:numPr>
                <w:ilvl w:val="0"/>
                <w:numId w:val="1"/>
              </w:numPr>
              <w:spacing w:lineRule="exact" w:line="264" w:before="0" w:after="50"/>
              <w:rPr/>
            </w:pPr>
            <w:r>
              <w:rPr>
                <w:rFonts w:eastAsia="Cambria" w:cs="Cambria"/>
                <w:b w:val="false"/>
                <w:bCs w:val="false"/>
                <w:i w:val="false"/>
                <w:iCs w:val="false"/>
                <w:sz w:val="20"/>
                <w:szCs w:val="20"/>
              </w:rPr>
              <w:t>Deutsche Fonds und ETFs werden in den USA zur Steuerfalle (PFIC); kaufe nach dem Zuzug nur US-Fonds.</w:t>
            </w:r>
          </w:p>
          <w:p>
            <w:pPr>
              <w:pStyle w:val="ListParagraph"/>
              <w:numPr>
                <w:ilvl w:val="0"/>
                <w:numId w:val="1"/>
              </w:numPr>
              <w:spacing w:lineRule="exact" w:line="264" w:before="0" w:after="50"/>
              <w:rPr/>
            </w:pPr>
            <w:r>
              <w:rPr>
                <w:rFonts w:eastAsia="Cambria" w:cs="Cambria"/>
                <w:b w:val="false"/>
                <w:bCs w:val="false"/>
                <w:i w:val="false"/>
                <w:iCs w:val="false"/>
                <w:sz w:val="20"/>
                <w:szCs w:val="20"/>
              </w:rPr>
              <w:t>Ohne Testament, Vollmacht und Patientenverfügung nach US-Recht entscheidet im Ernstfall ein Gericht oder der Bundesstaat, nicht die Familie.</w:t>
            </w:r>
          </w:p>
          <w:p>
            <w:pPr>
              <w:pStyle w:val="ListParagraph"/>
              <w:numPr>
                <w:ilvl w:val="0"/>
                <w:numId w:val="1"/>
              </w:numPr>
              <w:spacing w:lineRule="exact" w:line="264" w:before="0" w:after="50"/>
              <w:rPr/>
            </w:pPr>
            <w:r>
              <w:rPr>
                <w:rFonts w:eastAsia="Cambria" w:cs="Cambria"/>
                <w:b w:val="false"/>
                <w:bCs w:val="false"/>
                <w:i w:val="false"/>
                <w:iCs w:val="false"/>
                <w:sz w:val="20"/>
                <w:szCs w:val="20"/>
              </w:rPr>
              <w:t>US-Nachlasssteuer und deutsche Erbschaftsteuer können gleichzeitig zuschlagen; wer auswandert, bleibt bis zu fünf Jahre in Deutschland erbschaftsteuerpflichtig.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Zwei Rentensysteme unter einem Dach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Wer Beitragsjahre in Deutschland und den USA gesammelt hat, erwartet oft eine Art Gesamtabrechnung am Ende des Erwerbslebens – eine Rente aus einem Guss, fein zusammengerechnet von einer Stelle, die für beide Länder spricht. Die gibt es nicht. Für die Altersvorsorge zählen in den USA vor allem drei Bausteine: die staatliche Rente (</w:t>
      </w:r>
      <w:r>
        <w:rPr>
          <w:rFonts w:eastAsia="Cambria" w:cs="Cambria"/>
          <w:b w:val="false"/>
          <w:bCs w:val="false"/>
          <w:i/>
          <w:iCs/>
          <w:sz w:val="22"/>
          <w:szCs w:val="22"/>
        </w:rPr>
        <w:t>Social Security</w:t>
      </w:r>
      <w:r>
        <w:rPr>
          <w:rFonts w:eastAsia="Cambria" w:cs="Cambria"/>
          <w:b w:val="false"/>
          <w:bCs w:val="false"/>
          <w:i w:val="false"/>
          <w:iCs w:val="false"/>
          <w:sz w:val="22"/>
          <w:szCs w:val="22"/>
        </w:rPr>
        <w:t>), Arbeitgeberkonten wie das 401(k) und individuelle Konten wie IRA und Roth IRA. Die deutsche gesetzliche Rente läuft parallel weiter, wenn du vor dem Umzug eingezahlt hast – sie verschwindet nicht, wird aber auch nicht automatisch mit der US-Rente verrechnet. Beide Systeme rechnen getrennt, und genau das überrascht viele Zugezogene erst Jahre später, wenn die erste Renteninformation aus beiden Ländern im Briefkasten liegt.</w:t>
      </w:r>
    </w:p>
    <w:p>
      <w:pPr>
        <w:pStyle w:val="Heading3"/>
        <w:keepNext w:val="true"/>
        <w:spacing w:before="280" w:after="100"/>
        <w:jc w:val="center"/>
        <w:rPr/>
      </w:pPr>
      <w:r>
        <w:rPr>
          <w:rFonts w:eastAsia="Amazon Ember" w:cs="Amazon Ember" w:ascii="Amazon Ember" w:hAnsi="Amazon Ember"/>
          <w:b/>
          <w:bCs/>
          <w:color w:val="0000FF"/>
          <w:sz w:val="36"/>
          <w:szCs w:val="36"/>
        </w:rPr>
        <w:t>Social Security: 40 Credits und das Abkommen mit Deutschland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in den USA arbeitet, zahlt über die Lohnsteuer </w:t>
      </w:r>
      <w:r>
        <w:rPr>
          <w:rFonts w:eastAsia="Cambria" w:cs="Cambria"/>
          <w:b w:val="false"/>
          <w:bCs w:val="false"/>
          <w:i/>
          <w:iCs/>
          <w:sz w:val="22"/>
          <w:szCs w:val="22"/>
        </w:rPr>
        <w:t>FICA</w:t>
      </w:r>
      <w:r>
        <w:rPr>
          <w:rFonts w:eastAsia="Cambria" w:cs="Cambria"/>
          <w:b w:val="false"/>
          <w:bCs w:val="false"/>
          <w:i w:val="false"/>
          <w:iCs w:val="false"/>
          <w:sz w:val="22"/>
          <w:szCs w:val="22"/>
        </w:rPr>
        <w:t xml:space="preserve">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xml:space="preserve">) automatisch in Social Security ein. Für einen eigenen Rentenanspruch brauchst du 40 </w:t>
      </w:r>
      <w:r>
        <w:rPr>
          <w:rFonts w:eastAsia="Cambria" w:cs="Cambria"/>
          <w:b w:val="false"/>
          <w:bCs w:val="false"/>
          <w:i/>
          <w:iCs/>
          <w:sz w:val="22"/>
          <w:szCs w:val="22"/>
        </w:rPr>
        <w:t>Credits</w:t>
      </w:r>
      <w:r>
        <w:rPr>
          <w:rFonts w:eastAsia="Cambria" w:cs="Cambria"/>
          <w:b w:val="false"/>
          <w:bCs w:val="false"/>
          <w:i w:val="false"/>
          <w:iCs w:val="false"/>
          <w:sz w:val="22"/>
          <w:szCs w:val="22"/>
        </w:rPr>
        <w:t xml:space="preserve"> (Beitragspunkte): Pro Kalenderjahr sind bis zu vier Credits möglich, rechnerisch also zehn Beitragsjahre. Das Sozialversicherungsabkommen zwischen Deutschland und den USA (</w:t>
      </w:r>
      <w:r>
        <w:rPr>
          <w:rFonts w:eastAsia="Cambria" w:cs="Cambria"/>
          <w:b w:val="false"/>
          <w:bCs w:val="false"/>
          <w:i/>
          <w:iCs/>
          <w:sz w:val="22"/>
          <w:szCs w:val="22"/>
        </w:rPr>
        <w:t>Totalization Agreement</w:t>
      </w:r>
      <w:r>
        <w:rPr>
          <w:rFonts w:eastAsia="Cambria" w:cs="Cambria"/>
          <w:b w:val="false"/>
          <w:bCs w:val="false"/>
          <w:i w:val="false"/>
          <w:iCs w:val="false"/>
          <w:sz w:val="22"/>
          <w:szCs w:val="22"/>
        </w:rPr>
        <w:t>, seit 1. Dezember 1979) hilft, wenn zehn Jahre allein in den USA nicht zusammenkommen: Für die Wartezeit zählen deutsche und US-Versicherungszeiten zusammen, ausgezahlt wird aber getrennt – jedes Land berechnet seine Rente nur aus den eigenen Beitragsjahren.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Bis Ende 2024 kürzten zwei US-Regeln (</w:t>
      </w:r>
      <w:r>
        <w:rPr>
          <w:rFonts w:eastAsia="Cambria" w:cs="Cambria"/>
          <w:b w:val="false"/>
          <w:bCs w:val="false"/>
          <w:i/>
          <w:iCs/>
          <w:sz w:val="22"/>
          <w:szCs w:val="22"/>
        </w:rPr>
        <w:t>Windfall Elimination Provision</w:t>
      </w:r>
      <w:r>
        <w:rPr>
          <w:rFonts w:eastAsia="Cambria" w:cs="Cambria"/>
          <w:b w:val="false"/>
          <w:bCs w:val="false"/>
          <w:i w:val="false"/>
          <w:iCs w:val="false"/>
          <w:sz w:val="22"/>
          <w:szCs w:val="22"/>
        </w:rPr>
        <w:t xml:space="preserve">, WEP, und </w:t>
      </w:r>
      <w:r>
        <w:rPr>
          <w:rFonts w:eastAsia="Cambria" w:cs="Cambria"/>
          <w:b w:val="false"/>
          <w:bCs w:val="false"/>
          <w:i/>
          <w:iCs/>
          <w:sz w:val="22"/>
          <w:szCs w:val="22"/>
        </w:rPr>
        <w:t>Government Pension Offset</w:t>
      </w:r>
      <w:r>
        <w:rPr>
          <w:rFonts w:eastAsia="Cambria" w:cs="Cambria"/>
          <w:b w:val="false"/>
          <w:bCs w:val="false"/>
          <w:i w:val="false"/>
          <w:iCs w:val="false"/>
          <w:sz w:val="22"/>
          <w:szCs w:val="22"/>
        </w:rPr>
        <w:t xml:space="preserve">, GPO) die eigene US-Rente, wenn daneben eine ausländische oder nicht FICA-pflichtige Rente floss. Der </w:t>
      </w:r>
      <w:r>
        <w:rPr>
          <w:rFonts w:eastAsia="Cambria" w:cs="Cambria"/>
          <w:b w:val="false"/>
          <w:bCs w:val="false"/>
          <w:i/>
          <w:iCs/>
          <w:sz w:val="22"/>
          <w:szCs w:val="22"/>
        </w:rPr>
        <w:t>Social Security Fairness Act</w:t>
      </w:r>
      <w:r>
        <w:rPr>
          <w:rFonts w:eastAsia="Cambria" w:cs="Cambria"/>
          <w:b w:val="false"/>
          <w:bCs w:val="false"/>
          <w:i w:val="false"/>
          <w:iCs w:val="false"/>
          <w:sz w:val="22"/>
          <w:szCs w:val="22"/>
        </w:rPr>
        <w:t xml:space="preserve"> hat beide Regeln am 5. Januar 2025 rückwirkend zum Januar 2024 abgeschafft. Eine deutsche Rente mindert die eigene US-Rente seither nicht mehr; wer beides bezieht, bekommt beide ungekürzt.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Steuerlich gilt nach dem Doppelbesteuerungsabkommen (DBA) Artikel 18 Absatz 5: Die deutsche gesetzliche Rente wird bei US-Ansässigkeit nur in den USA besteuert, dort wie eine eigene Social-Security-Leistung. Die Deutsche Rentenversicherung zahlt unverändert und ungekürzt in die USA aus (aktueller Rentenwert 42,52 € seit 1. Juli 2026); Bankgebühren und Wechselkurs trägt der Empfänger. Melde dich drei bis vier Monate vor dem Umzug bei der Rentenversicherung, kläre deinen Versicherungsverlauf und erwäge freiwillige Beiträge, um Lücken zu schließen oder den Erwerbsminderungsschutz zu erhalten – für Nichtdeutsche geht das erst nach 60 Beitragsmonaten.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Rente aus zwei Ländern ist keine gemeinsame Rechnung. Jedes Land zahlt nur, was du dort erarbeitet hast; das Abkommen hilft lediglich, die Mindestzeiten zu erreichen.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Medicare: Krankenversicherung im Ruhestand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Medicare ist die staatliche Krankenversicherung für Menschen ab 65 Jahren und für bestimmte Erwerbsunfähige. Beitragsfrei ist Teil A (Krankenhausversicherung) nur, wer mindestens 40 Credits durch die Medicare-Steuer gesammelt hat – dieselbe Zählweise wie bei Social Security. Fehlen die 40 Credits, lässt sich Teil A ab fünf Jahren ununterbrochenem Aufenthalt als Green-Card-Inhaber zukaufen: 2026 kostet das 311 $ im Monat (30 bis 39 Credits) oder 565 $ (weniger als 30 Credits). Teil B (ambulante Behandlung) kostet 2026 unabhängig von den Credits 202,90 $ im Monat, dazu Selbstbehalte von 283 $ (Teil B) und 1.736 $ je Krankenhausaufenthalt (Teil A).</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Seit Juli 2025 steht Medicare nur noch Staatsbürgern, Green-Card-Inhabern sowie wenigen weiteren Gruppen offen; laufende Ansprüche anderer Gruppen enden bis zum 4. Januar 2027. Wer mit einem Arbeitsvisum bis 65 im Land bleibt, sollte die eigene Green-Card-Planung (Kapitel </w:t>
            </w:r>
            <w:hyperlink w:anchor="k6">
              <w:r>
                <w:rPr>
                  <w:rStyle w:val="ListLabel114"/>
                  <w:rFonts w:eastAsia="Cambria" w:cs="Cambria"/>
                  <w:b w:val="false"/>
                  <w:bCs w:val="false"/>
                  <w:i w:val="false"/>
                  <w:iCs w:val="false"/>
                  <w:sz w:val="20"/>
                  <w:szCs w:val="20"/>
                </w:rPr>
                <w:t>6</w:t>
              </w:r>
            </w:hyperlink>
            <w:r>
              <w:rPr>
                <w:rFonts w:eastAsia="Cambria" w:cs="Cambria"/>
                <w:b w:val="false"/>
                <w:bCs w:val="false"/>
                <w:i w:val="false"/>
                <w:iCs w:val="false"/>
                <w:sz w:val="20"/>
                <w:szCs w:val="20"/>
              </w:rPr>
              <w:t>) rechtzeitig mit dem Medicare-Zugang zusammendenken – ohne Green Card oder Staatsbürgerschaft gibt es keinen Anspruch.</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US-Sparkonten: 401(k), IRA, Roth und HSA</w:t>
      </w:r>
    </w:p>
    <w:tbl>
      <w:tblPr>
        <w:tblW w:w="6480" w:type="dxa"/>
        <w:jc w:val="left"/>
        <w:tblInd w:w="0" w:type="dxa"/>
        <w:tblLayout w:type="fixed"/>
        <w:tblCellMar>
          <w:top w:w="50" w:type="dxa"/>
          <w:left w:w="80" w:type="dxa"/>
          <w:bottom w:w="50" w:type="dxa"/>
          <w:right w:w="80" w:type="dxa"/>
        </w:tblCellMar>
      </w:tblPr>
      <w:tblGrid>
        <w:gridCol w:w="949"/>
        <w:gridCol w:w="1841"/>
        <w:gridCol w:w="2036"/>
        <w:gridCol w:w="1653"/>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Konto</w:t>
            </w:r>
          </w:p>
        </w:tc>
        <w:tc>
          <w:tcPr>
            <w:tcW w:w="184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Grenze 2026</w:t>
            </w:r>
          </w:p>
        </w:tc>
        <w:tc>
          <w:tcPr>
            <w:tcW w:w="203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Steuerlogik</w:t>
            </w:r>
          </w:p>
        </w:tc>
        <w:tc>
          <w:tcPr>
            <w:tcW w:w="165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Praxis</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401(k)</w:t>
            </w:r>
          </w:p>
        </w:tc>
        <w:tc>
          <w:tcPr>
            <w:tcW w:w="18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24.500 $ (ab 50: +8.000 $; 60–63: +11.250 $)</w:t>
            </w:r>
          </w:p>
        </w:tc>
        <w:tc>
          <w:tcPr>
            <w:tcW w:w="20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 Steuer eingezahlt, Auszahlung im Ruhestand versteuert</w:t>
            </w:r>
          </w:p>
        </w:tc>
        <w:tc>
          <w:tcPr>
            <w:tcW w:w="16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Arbeitgeber-Match zuerst mitnehmen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Traditional IRA</w:t>
            </w:r>
          </w:p>
        </w:tc>
        <w:tc>
          <w:tcPr>
            <w:tcW w:w="18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7.500 $ (ab 50: +1.100 $)</w:t>
            </w:r>
          </w:p>
        </w:tc>
        <w:tc>
          <w:tcPr>
            <w:tcW w:w="20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Beitrag oft absetzbar, Auszahlung versteuert</w:t>
            </w:r>
          </w:p>
        </w:tc>
        <w:tc>
          <w:tcPr>
            <w:tcW w:w="16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Abzug entfällt bei hohem Einkommen mit Betriebsplan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Roth IRA</w:t>
            </w:r>
          </w:p>
        </w:tc>
        <w:tc>
          <w:tcPr>
            <w:tcW w:w="18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gemeinsame Grenze mit IRA</w:t>
            </w:r>
          </w:p>
        </w:tc>
        <w:tc>
          <w:tcPr>
            <w:tcW w:w="20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Beitrag aus versteuertem Geld, Auszahlung steuerfrei</w:t>
            </w:r>
          </w:p>
        </w:tc>
        <w:tc>
          <w:tcPr>
            <w:tcW w:w="16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Einkommensgrenze: Einzelperson 153.000–168.000 $, Ehepaar 242.000–252.000 $</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HSA</w:t>
            </w:r>
          </w:p>
        </w:tc>
        <w:tc>
          <w:tcPr>
            <w:tcW w:w="18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4.400 $ Einzelperson / 8.750 $ Familie (ab 55: +1.000 $)</w:t>
            </w:r>
          </w:p>
        </w:tc>
        <w:tc>
          <w:tcPr>
            <w:tcW w:w="20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Dreifach steuerbegünstigt</w:t>
            </w:r>
          </w:p>
        </w:tc>
        <w:tc>
          <w:tcPr>
            <w:tcW w:w="16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mit Hochselbstbehalt-Tarif (</w:t>
            </w:r>
            <w:r>
              <w:rPr>
                <w:rFonts w:eastAsia="Cambria" w:cs="Cambria"/>
                <w:b w:val="false"/>
                <w:bCs w:val="false"/>
                <w:i/>
                <w:iCs/>
                <w:sz w:val="18"/>
                <w:szCs w:val="18"/>
              </w:rPr>
              <w:t>HDHP</w:t>
            </w:r>
            <w:r>
              <w:rPr>
                <w:rFonts w:eastAsia="Cambria" w:cs="Cambria"/>
                <w:b w:val="false"/>
                <w:bCs w:val="false"/>
                <w:i w:val="false"/>
                <w:iCs w:val="false"/>
                <w:sz w:val="18"/>
                <w:szCs w:val="18"/>
              </w:rPr>
              <w:t>); Details Kapitel </w:t>
            </w:r>
            <w:hyperlink w:anchor="k26">
              <w:r>
                <w:rPr>
                  <w:rStyle w:val="ListLabel112"/>
                  <w:rFonts w:eastAsia="Cambria" w:cs="Cambria"/>
                  <w:b w:val="false"/>
                  <w:bCs w:val="false"/>
                  <w:i w:val="false"/>
                  <w:iCs w:val="false"/>
                  <w:sz w:val="18"/>
                  <w:szCs w:val="18"/>
                </w:rPr>
                <w:t>26</w:t>
              </w:r>
            </w:hyperlink>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401(k) ist ein Arbeitgeberkonto, oft mit Match: Der Arbeitgeber verdoppelt oder ergänzt deinen Beitrag bis zu einer Grenze, meist 3 bis 6 % des Gehalts. Viele Pläne bieten zusätzlich eine Roth-401(k)-Variante mit derselben Logik wie die Roth IRA. Für die IRA brauchst du eigenes Erwerbseinkommen; wer die Roth-Einkommensgrenze überschreitet, nutzt oft die sogenannte </w:t>
      </w:r>
      <w:r>
        <w:rPr>
          <w:rFonts w:eastAsia="Cambria" w:cs="Cambria"/>
          <w:b w:val="false"/>
          <w:bCs w:val="false"/>
          <w:i/>
          <w:iCs/>
          <w:sz w:val="22"/>
          <w:szCs w:val="22"/>
        </w:rPr>
        <w:t>Backdoor Roth</w:t>
      </w:r>
      <w:r>
        <w:rPr>
          <w:rFonts w:eastAsia="Cambria" w:cs="Cambria"/>
          <w:b w:val="false"/>
          <w:bCs w:val="false"/>
          <w:i w:val="false"/>
          <w:iCs w:val="false"/>
          <w:sz w:val="22"/>
          <w:szCs w:val="22"/>
        </w:rPr>
        <w:t>-Strategie (nicht abziehbare IRA-Einzahlung, anschließende Umwandlung) – das ist im Detail komplex und gehört in die Hände eines Steuerexperten. Die HSA ist der einzige Kontotyp mit dreifachem Steuervorteil: Einzahlung mindert das Einkommen, Wachstum bleibt steuerfrei, und Abhebungen für Gesundheitskosten sind es ebenfalls.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Zahle immer mindestens so viel ins 401(k) ein, wie der Arbeitgeber-Match ausschöpft – das ist sofortige Rendite von häufig 50 bis 100 %, die sonst verschenkt wird.</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529-Sparplan und Aktienvergütung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Ausbildung der Kinder gibt es den 529-Plan: Das Vermögen wächst steuerfrei, solange du es für Bildungskosten nutzt; einen Bundesabzug gibt es nicht, viele Bundesstaaten gewähren aber einen eigenen Abzug auf den Beitrag. Ein Teil lässt sich inzwischen auch für Schulgeld an K-12-Schulen verwenden, allerdings begrenzt auf einen jährlichen Höchstbetrag – prüfe die genaue Grenze bei deinem Anbieter, da sie sich durch die jüngste Steuerreform geändert hat.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Aktienvergütung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 xml:space="preserve"> erklärt die arbeitsrechtliche Seite) wirkt auch auf die Vorsorge. Bei RSUs (</w:t>
      </w:r>
      <w:r>
        <w:rPr>
          <w:rFonts w:eastAsia="Cambria" w:cs="Cambria"/>
          <w:b w:val="false"/>
          <w:bCs w:val="false"/>
          <w:i/>
          <w:iCs/>
          <w:sz w:val="22"/>
          <w:szCs w:val="22"/>
        </w:rPr>
        <w:t>Restricted Stock Units</w:t>
      </w:r>
      <w:r>
        <w:rPr>
          <w:rFonts w:eastAsia="Cambria" w:cs="Cambria"/>
          <w:b w:val="false"/>
          <w:bCs w:val="false"/>
          <w:i w:val="false"/>
          <w:iCs w:val="false"/>
          <w:sz w:val="22"/>
          <w:szCs w:val="22"/>
        </w:rPr>
        <w:t xml:space="preserve">, Aktienzuteilungen) zählt der Marktwert beim Vesten als Lohn. Bei Optionen unterscheidet die IRS zwei Typen: </w:t>
      </w:r>
      <w:r>
        <w:rPr>
          <w:rFonts w:eastAsia="Cambria" w:cs="Cambria"/>
          <w:b w:val="false"/>
          <w:bCs w:val="false"/>
          <w:i/>
          <w:iCs/>
          <w:sz w:val="22"/>
          <w:szCs w:val="22"/>
        </w:rPr>
        <w:t>NSOs</w:t>
      </w:r>
      <w:r>
        <w:rPr>
          <w:rFonts w:eastAsia="Cambria" w:cs="Cambria"/>
          <w:b w:val="false"/>
          <w:bCs w:val="false"/>
          <w:i w:val="false"/>
          <w:iCs w:val="false"/>
          <w:sz w:val="22"/>
          <w:szCs w:val="22"/>
        </w:rPr>
        <w:t xml:space="preserve"> (nicht qualifizierte Optionen) werden bei Ausübung wie Lohn versteuert, </w:t>
      </w:r>
      <w:r>
        <w:rPr>
          <w:rFonts w:eastAsia="Cambria" w:cs="Cambria"/>
          <w:b w:val="false"/>
          <w:bCs w:val="false"/>
          <w:i/>
          <w:iCs/>
          <w:sz w:val="22"/>
          <w:szCs w:val="22"/>
        </w:rPr>
        <w:t>ISOs</w:t>
      </w:r>
      <w:r>
        <w:rPr>
          <w:rFonts w:eastAsia="Cambria" w:cs="Cambria"/>
          <w:b w:val="false"/>
          <w:bCs w:val="false"/>
          <w:i w:val="false"/>
          <w:iCs w:val="false"/>
          <w:sz w:val="22"/>
          <w:szCs w:val="22"/>
        </w:rPr>
        <w:t xml:space="preserve"> (</w:t>
      </w:r>
      <w:r>
        <w:rPr>
          <w:rFonts w:eastAsia="Cambria" w:cs="Cambria"/>
          <w:b w:val="false"/>
          <w:bCs w:val="false"/>
          <w:i/>
          <w:iCs/>
          <w:sz w:val="22"/>
          <w:szCs w:val="22"/>
        </w:rPr>
        <w:t>Incentive Stock Options</w:t>
      </w:r>
      <w:r>
        <w:rPr>
          <w:rFonts w:eastAsia="Cambria" w:cs="Cambria"/>
          <w:b w:val="false"/>
          <w:bCs w:val="false"/>
          <w:i w:val="false"/>
          <w:iCs w:val="false"/>
          <w:sz w:val="22"/>
          <w:szCs w:val="22"/>
        </w:rPr>
        <w:t>) lösen bei Ausübung keine reguläre Steuer aus, bergen aber ein Risiko über die Alternative Minimum Tax; die günstige Kapitalgewinnbesteuerung greift nur bei Haltefristen von zwei Jahren ab Gewährung und einem Jahr ab Ausübung. Der Mitarbeiteraktienkauf (</w:t>
      </w:r>
      <w:r>
        <w:rPr>
          <w:rFonts w:eastAsia="Cambria" w:cs="Cambria"/>
          <w:b w:val="false"/>
          <w:bCs w:val="false"/>
          <w:i/>
          <w:iCs/>
          <w:sz w:val="22"/>
          <w:szCs w:val="22"/>
        </w:rPr>
        <w:t>ESPP</w:t>
      </w:r>
      <w:r>
        <w:rPr>
          <w:rFonts w:eastAsia="Cambria" w:cs="Cambria"/>
          <w:b w:val="false"/>
          <w:bCs w:val="false"/>
          <w:i w:val="false"/>
          <w:iCs w:val="false"/>
          <w:sz w:val="22"/>
          <w:szCs w:val="22"/>
        </w:rPr>
        <w:t>) hat eigene Haltefristen, die über Lohn- oder Gewinnanteil entscheiden.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Sabine Keller (fiktives Beispiel) bekommt bei ihrem Arbeitgeber in Seattle jährlich RSUs im Wert von 15.000 $, die über vier Jahre vesten. Als die erste Tranche vestet, freut sie sich kurz über die stattliche Zahl im Depot – bis ihr Steuerberater ihr vorrechnet, dass ein gutes Stück davon dem Finanzamt gehört. Denn beim Vesten zählt der Marktwert als Lohn; ihr Arbeitgeber behält pauschal 22 % Bundessteuer ein, was bei ihrem Einkommen zu wenig ist. Sabine legt die Differenz für die Steuererklärung zurück, verkauft die Hälfte der frisch gevesteten Aktien sofort, um nicht zu einseitig auf einen Arbeitgeber zu setzen, und investiert den Erlös in breit gestreute, in den USA aufgelegte Indexfonds statt in deutsche ETFs.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Sparen und Investieren: die PFIC-Falle vermeiden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als Ansässiger in den USA lebt, sollte deutsche Fonds und ETFs meiden.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xml:space="preserve"> erklärt die Meldepflichten für Auslandsvermögen im Detail; hier nur die Kurzfassung fürs Sparen.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Deutsche Fonds und ETFs gelten für US-Steuerpflichtige fast immer als </w:t>
            </w:r>
            <w:r>
              <w:rPr>
                <w:rFonts w:eastAsia="Cambria" w:cs="Cambria"/>
                <w:b w:val="false"/>
                <w:bCs w:val="false"/>
                <w:i/>
                <w:iCs/>
                <w:sz w:val="20"/>
                <w:szCs w:val="20"/>
              </w:rPr>
              <w:t>PFIC</w:t>
            </w:r>
            <w:r>
              <w:rPr>
                <w:rFonts w:eastAsia="Cambria" w:cs="Cambria"/>
                <w:b w:val="false"/>
                <w:bCs w:val="false"/>
                <w:i w:val="false"/>
                <w:iCs w:val="false"/>
                <w:sz w:val="20"/>
                <w:szCs w:val="20"/>
              </w:rPr>
              <w:t xml:space="preserve"> (</w:t>
            </w:r>
            <w:r>
              <w:rPr>
                <w:rFonts w:eastAsia="Cambria" w:cs="Cambria"/>
                <w:b w:val="false"/>
                <w:bCs w:val="false"/>
                <w:i/>
                <w:iCs/>
                <w:sz w:val="20"/>
                <w:szCs w:val="20"/>
              </w:rPr>
              <w:t>Passive Foreign Investment Company</w:t>
            </w:r>
            <w:r>
              <w:rPr>
                <w:rFonts w:eastAsia="Cambria" w:cs="Cambria"/>
                <w:b w:val="false"/>
                <w:bCs w:val="false"/>
                <w:i w:val="false"/>
                <w:iCs w:val="false"/>
                <w:sz w:val="20"/>
                <w:szCs w:val="20"/>
              </w:rPr>
              <w:t>, passive ausländische Kapitalgesellschaft) mit teurer Sonderbesteuerung und eigener Formularpflicht (Form 8621). Kläre vor dem Zuzug mit einem Berater beider Länder, ob du bestehende Fonds verkaufst, und kaufe danach nur noch in den USA aufgelegte Indexfonds. Details zu PFIC und den Meldepflichten: Kapitel </w:t>
            </w:r>
            <w:hyperlink w:anchor="k28">
              <w:r>
                <w:rPr>
                  <w:rStyle w:val="ListLabel114"/>
                  <w:rFonts w:eastAsia="Cambria" w:cs="Cambria"/>
                  <w:b w:val="false"/>
                  <w:bCs w:val="false"/>
                  <w:i w:val="false"/>
                  <w:iCs w:val="false"/>
                  <w:sz w:val="20"/>
                  <w:szCs w:val="20"/>
                </w:rPr>
                <w:t>28</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Deutsche Vorsorge: behalten oder abwickeln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Deutsche Vorsorgeverträge sind zäh – sie kündigen sich nicht von selbst, auch nicht über den Atlantik hinweg, und laufen munter weiter, wenn du sie nicht aktiv beendest; ob das sinnvoll ist, hängt vom Vertrag ab.</w:t>
      </w:r>
    </w:p>
    <w:p>
      <w:pPr>
        <w:pStyle w:val="ListParagraph"/>
        <w:numPr>
          <w:ilvl w:val="0"/>
          <w:numId w:val="1"/>
        </w:numPr>
        <w:spacing w:lineRule="exact" w:line="288" w:before="0" w:after="60"/>
        <w:rPr/>
      </w:pPr>
      <w:r>
        <w:rPr>
          <w:rFonts w:eastAsia="Cambria" w:cs="Cambria"/>
          <w:b/>
          <w:bCs/>
          <w:i w:val="false"/>
          <w:iCs w:val="false"/>
          <w:sz w:val="22"/>
          <w:szCs w:val="22"/>
        </w:rPr>
        <w:t>Gesetzliche Krankenversicherung (GKV):</w:t>
      </w:r>
      <w:r>
        <w:rPr>
          <w:rFonts w:eastAsia="Cambria" w:cs="Cambria"/>
          <w:b w:val="false"/>
          <w:bCs w:val="false"/>
          <w:i w:val="false"/>
          <w:iCs w:val="false"/>
          <w:sz w:val="22"/>
          <w:szCs w:val="22"/>
        </w:rPr>
        <w:t xml:space="preserve"> Die Pflichtmitgliedschaft endet mit dem letzten Arbeitstag. Eine freiwillige Mitgliedschaft läuft dagegen weiter, bis du sie kündigst – ohne Kündigung zahlst du trotz ruhendem Leistungsanspruch im Ausland weiter. Wer eine Rückkehroption offenhalten will, etwa weil ein Umzug zurück nach Deutschland denkbar bleibt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 sichert sich vor der Ausreise eine Anwartschaft bei der Kasse (laut Verbraucherquellen rund 70 €/Monat, je nach Kasse unterschiedlich).</w:t>
      </w:r>
    </w:p>
    <w:p>
      <w:pPr>
        <w:pStyle w:val="ListParagraph"/>
        <w:numPr>
          <w:ilvl w:val="0"/>
          <w:numId w:val="1"/>
        </w:numPr>
        <w:spacing w:lineRule="exact" w:line="288" w:before="0" w:after="60"/>
        <w:rPr/>
      </w:pPr>
      <w:r>
        <w:rPr>
          <w:rFonts w:eastAsia="Cambria" w:cs="Cambria"/>
          <w:b/>
          <w:bCs/>
          <w:i w:val="false"/>
          <w:iCs w:val="false"/>
          <w:sz w:val="22"/>
          <w:szCs w:val="22"/>
        </w:rPr>
        <w:t>Private Krankenversicherung (PKV):</w:t>
      </w:r>
      <w:r>
        <w:rPr>
          <w:rFonts w:eastAsia="Cambria" w:cs="Cambria"/>
          <w:b w:val="false"/>
          <w:bCs w:val="false"/>
          <w:i w:val="false"/>
          <w:iCs w:val="false"/>
          <w:sz w:val="22"/>
          <w:szCs w:val="22"/>
        </w:rPr>
        <w:t xml:space="preserve"> Eine Kündigung vernichtet die angesparten Alterungsrückstellungen. Eine „kleine“ Anwartschaft (rund 5–10 % des Beitrags) sichert den Gesundheitszustand, eine „große“ (rund 20–45 %) zusätzlich das Eintrittsalter.</w:t>
      </w:r>
    </w:p>
    <w:p>
      <w:pPr>
        <w:pStyle w:val="ListParagraph"/>
        <w:numPr>
          <w:ilvl w:val="0"/>
          <w:numId w:val="1"/>
        </w:numPr>
        <w:spacing w:lineRule="exact" w:line="288" w:before="0" w:after="60"/>
        <w:rPr/>
      </w:pPr>
      <w:r>
        <w:rPr>
          <w:rFonts w:eastAsia="Cambria" w:cs="Cambria"/>
          <w:b/>
          <w:bCs/>
          <w:i w:val="false"/>
          <w:iCs w:val="false"/>
          <w:sz w:val="22"/>
          <w:szCs w:val="22"/>
        </w:rPr>
        <w:t>Riester:</w:t>
      </w:r>
      <w:r>
        <w:rPr>
          <w:rFonts w:eastAsia="Cambria" w:cs="Cambria"/>
          <w:b w:val="false"/>
          <w:bCs w:val="false"/>
          <w:i w:val="false"/>
          <w:iCs w:val="false"/>
          <w:sz w:val="22"/>
          <w:szCs w:val="22"/>
        </w:rPr>
        <w:t xml:space="preserve"> Der Wegzug in der Ansparphase löst nichts aus; kritisch wird es erst, wenn die Auszahlungsphase beginnt, während du außerhalb der EU/EWR wohnst – dann fordert der Anbieter Zulagen und Steuervorteile zurück. Ab 1. Januar 2027 gibt es keine neuen Riester-Verträge mehr, bestehende laufen mit Bestandsschutz weiter.</w:t>
      </w:r>
    </w:p>
    <w:p>
      <w:pPr>
        <w:pStyle w:val="ListParagraph"/>
        <w:numPr>
          <w:ilvl w:val="0"/>
          <w:numId w:val="1"/>
        </w:numPr>
        <w:spacing w:lineRule="exact" w:line="288" w:before="0" w:after="60"/>
        <w:rPr/>
      </w:pPr>
      <w:r>
        <w:rPr>
          <w:rFonts w:eastAsia="Cambria" w:cs="Cambria"/>
          <w:b/>
          <w:bCs/>
          <w:i w:val="false"/>
          <w:iCs w:val="false"/>
          <w:sz w:val="22"/>
          <w:szCs w:val="22"/>
        </w:rPr>
        <w:t>Rürup und betriebliche Altersvorsorge (bAV):</w:t>
      </w:r>
      <w:r>
        <w:rPr>
          <w:rFonts w:eastAsia="Cambria" w:cs="Cambria"/>
          <w:b w:val="false"/>
          <w:bCs w:val="false"/>
          <w:i w:val="false"/>
          <w:iCs w:val="false"/>
          <w:sz w:val="22"/>
          <w:szCs w:val="22"/>
        </w:rPr>
        <w:t xml:space="preserve"> Rürup-Verträge sind nicht kündbar; der Wegzug allein löst nichts aus, die US-Besteuerung der späteren Auszahlung ist aber nicht abschließend geklärt. Die bAV nach § 1 BetrAVG ist im DBA ausdrücklich als „Pension Plan“ anerkannt; unverfallbare Ansprüche bleiben erhalten und werden auch ins Ausland ausgezahlt.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Lass Riester-, Rürup- und bAV-Verträge vor dem Umzug von einem Berater bewerten, der beide Länder kennt – oft lohnt sich das Weiterführen der bAV, während Riester in der Auszahlungsphase zum Problem werden kann.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Testament, Vollmacht und Patientenverfügung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Eine deutsche Vorsorgevollmacht oder ein deutsches Testament regeln dein Vermögen und deine Vertretung in den USA nicht. Jeder Bundesstaat legt eigene Formvorschriften fest, meist: schriftlich, unterschrieben, von zwei Zeugen bestätigt; eine notarielle Beglaubigung ist in den meisten Staaten nicht Pflicht, aber sinnvoll. Ohne Testament (</w:t>
      </w:r>
      <w:r>
        <w:rPr>
          <w:rFonts w:eastAsia="Cambria" w:cs="Cambria"/>
          <w:b w:val="false"/>
          <w:bCs w:val="false"/>
          <w:i/>
          <w:iCs/>
          <w:sz w:val="22"/>
          <w:szCs w:val="22"/>
        </w:rPr>
        <w:t>Will</w:t>
      </w:r>
      <w:r>
        <w:rPr>
          <w:rFonts w:eastAsia="Cambria" w:cs="Cambria"/>
          <w:b w:val="false"/>
          <w:bCs w:val="false"/>
          <w:i w:val="false"/>
          <w:iCs w:val="false"/>
          <w:sz w:val="22"/>
          <w:szCs w:val="22"/>
        </w:rPr>
        <w:t>) entscheidet die gesetzliche Erbfolge des Bundesstaats, wer erbt – das muss nicht der Partner oder die Kinder sein, und bei minderjährigen Kindern entscheidet im Zweifel ein Familiengericht über die Vormundschaft.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Ergänzend nutzen viele Amerikaner einen widerruflichen Trust (</w:t>
      </w:r>
      <w:r>
        <w:rPr>
          <w:rFonts w:eastAsia="Cambria" w:cs="Cambria"/>
          <w:b w:val="false"/>
          <w:bCs w:val="false"/>
          <w:i/>
          <w:iCs/>
          <w:sz w:val="22"/>
          <w:szCs w:val="22"/>
        </w:rPr>
        <w:t>Revocable Living Trust</w:t>
      </w:r>
      <w:r>
        <w:rPr>
          <w:rFonts w:eastAsia="Cambria" w:cs="Cambria"/>
          <w:b w:val="false"/>
          <w:bCs w:val="false"/>
          <w:i w:val="false"/>
          <w:iCs w:val="false"/>
          <w:sz w:val="22"/>
          <w:szCs w:val="22"/>
        </w:rPr>
        <w:t xml:space="preserve">): Du überträgst Vermögen zu Lebzeiten in den Trust, bleibst selbst Verwalter und Begünstigter, und nach deinem Tod geht es ohne </w:t>
      </w:r>
      <w:r>
        <w:rPr>
          <w:rFonts w:eastAsia="Cambria" w:cs="Cambria"/>
          <w:b w:val="false"/>
          <w:bCs w:val="false"/>
          <w:i/>
          <w:iCs/>
          <w:sz w:val="22"/>
          <w:szCs w:val="22"/>
        </w:rPr>
        <w:t>Probate</w:t>
      </w:r>
      <w:r>
        <w:rPr>
          <w:rFonts w:eastAsia="Cambria" w:cs="Cambria"/>
          <w:b w:val="false"/>
          <w:bCs w:val="false"/>
          <w:i w:val="false"/>
          <w:iCs w:val="false"/>
          <w:sz w:val="22"/>
          <w:szCs w:val="22"/>
        </w:rPr>
        <w:t xml:space="preserve"> – das gerichtliche Nachlassverfahren zur Bestätigung des Testaments und Verteilung des Vermögens – direkt an die genannten Personen. Probate kann je nach Bundesstaat Monate bis über ein Jahr dauern und Anwalts- sowie Gerichtskosten verursachen. Auch gemeinsames Eigentum mit Überlebensrecht oder direkte Begünstigtenbenennungen bei Renten- und Bankkonten (</w:t>
      </w:r>
      <w:r>
        <w:rPr>
          <w:rFonts w:eastAsia="Cambria" w:cs="Cambria"/>
          <w:b w:val="false"/>
          <w:bCs w:val="false"/>
          <w:i/>
          <w:iCs/>
          <w:sz w:val="22"/>
          <w:szCs w:val="22"/>
        </w:rPr>
        <w:t>Payable on Death</w:t>
      </w:r>
      <w:r>
        <w:rPr>
          <w:rFonts w:eastAsia="Cambria" w:cs="Cambria"/>
          <w:b w:val="false"/>
          <w:bCs w:val="false"/>
          <w:i w:val="false"/>
          <w:iCs w:val="false"/>
          <w:sz w:val="22"/>
          <w:szCs w:val="22"/>
        </w:rPr>
        <w:t>, POD) umgehen Probate; 401(k), IRA und Lebensversicherungen gehen ohnehin direkt an die dort benannte Person – prüfe diese Angaben nach jedem größeren Lebensereignis. Für den Ernstfall zu Lebzeiten brauchst du zusätzlich eine finanzielle Vollmacht (</w:t>
      </w:r>
      <w:r>
        <w:rPr>
          <w:rFonts w:eastAsia="Cambria" w:cs="Cambria"/>
          <w:b w:val="false"/>
          <w:bCs w:val="false"/>
          <w:i/>
          <w:iCs/>
          <w:sz w:val="22"/>
          <w:szCs w:val="22"/>
        </w:rPr>
        <w:t>Durable Power of Attorney</w:t>
      </w:r>
      <w:r>
        <w:rPr>
          <w:rFonts w:eastAsia="Cambria" w:cs="Cambria"/>
          <w:b w:val="false"/>
          <w:bCs w:val="false"/>
          <w:i w:val="false"/>
          <w:iCs w:val="false"/>
          <w:sz w:val="22"/>
          <w:szCs w:val="22"/>
        </w:rPr>
        <w:t>) und eine Patientenverfügung mit Vollmacht für Gesundheitsentscheidungen (</w:t>
      </w:r>
      <w:r>
        <w:rPr>
          <w:rFonts w:eastAsia="Cambria" w:cs="Cambria"/>
          <w:b w:val="false"/>
          <w:bCs w:val="false"/>
          <w:i/>
          <w:iCs/>
          <w:sz w:val="22"/>
          <w:szCs w:val="22"/>
        </w:rPr>
        <w:t>Healthcare Directive</w:t>
      </w:r>
      <w:r>
        <w:rPr>
          <w:rFonts w:eastAsia="Cambria" w:cs="Cambria"/>
          <w:b w:val="false"/>
          <w:bCs w:val="false"/>
          <w:i w:val="false"/>
          <w:iCs w:val="false"/>
          <w:sz w:val="22"/>
          <w:szCs w:val="22"/>
        </w:rPr>
        <w:t xml:space="preserve">, </w:t>
      </w:r>
      <w:r>
        <w:rPr>
          <w:rFonts w:eastAsia="Cambria" w:cs="Cambria"/>
          <w:b w:val="false"/>
          <w:bCs w:val="false"/>
          <w:i/>
          <w:iCs/>
          <w:sz w:val="22"/>
          <w:szCs w:val="22"/>
        </w:rPr>
        <w:t>Healthcare Power of Attorney</w:t>
      </w:r>
      <w:r>
        <w:rPr>
          <w:rFonts w:eastAsia="Cambria" w:cs="Cambria"/>
          <w:b w:val="false"/>
          <w:bCs w:val="false"/>
          <w:i w:val="false"/>
          <w:iCs w:val="false"/>
          <w:sz w:val="22"/>
          <w:szCs w:val="22"/>
        </w:rPr>
        <w:t>); beide Formulare stellen viele Bundesstaaten und Anwaltskammern kostenlos bereit.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(fiktives Beispiel) lässt sich in Michigan von einer Anwältin für Nachlassrecht beraten, kurz nachdem die Green Card durch ist. Der wichtigste Rat: Ohne US-Testament entscheidet im Zweifel ein Familiengericht in Michigan, wer Lena und Jonas aufzieht, falls beiden Eltern etwas zustößt – nicht automatisch die Großeltern in Stuttgart. Markus und Anna setzen ein Testament mit Vormundschaftsklausel auf, dazu eine finanzielle Vollmacht und eine Patientenverfügung nach Michigan-Recht. Das komplette Paket beim Anwalt kostet rund 900 $.</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Eine deutsche Vorsorgevollmacht oder Patientenverfügung gilt in den USA nicht automatisch; Kliniken und Banken verlangen eigene, bundesstaatliche Formulare. Besorge dir US-Dokumente, sobald du einen festen Wohnsitz hast, und bewahre die deutschen Originale parallel auf, falls du dort noch Vermögen hast.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Dieser Abschnitt erklärt Begriffe und Zusammenhänge, ersetzt aber keine Rechtsberatung. Testament, Trust und Vollmachten regelt jeder Bundesstaat unterschiedlich; lass die Dokumente von einer Anwältin oder einem Anwalt für Nachlassrecht in deinem Bundesstaat aufsetzen.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Nachlasssteuer und Erbschaft über den Atlantik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US-Nachlasssteuer (</w:t>
      </w:r>
      <w:r>
        <w:rPr>
          <w:rFonts w:eastAsia="Cambria" w:cs="Cambria"/>
          <w:b w:val="false"/>
          <w:bCs w:val="false"/>
          <w:i/>
          <w:iCs/>
          <w:sz w:val="22"/>
          <w:szCs w:val="22"/>
        </w:rPr>
        <w:t>Estate Tax</w:t>
      </w:r>
      <w:r>
        <w:rPr>
          <w:rFonts w:eastAsia="Cambria" w:cs="Cambria"/>
          <w:b w:val="false"/>
          <w:bCs w:val="false"/>
          <w:i w:val="false"/>
          <w:iCs w:val="false"/>
          <w:sz w:val="22"/>
          <w:szCs w:val="22"/>
        </w:rPr>
        <w:t xml:space="preserve">) betrifft 2026 nur große Vermögen: Wer in den USA </w:t>
      </w:r>
      <w:r>
        <w:rPr>
          <w:rFonts w:eastAsia="Cambria" w:cs="Cambria"/>
          <w:b w:val="false"/>
          <w:bCs w:val="false"/>
          <w:i/>
          <w:iCs/>
          <w:sz w:val="22"/>
          <w:szCs w:val="22"/>
        </w:rPr>
        <w:t>domiziliert</w:t>
      </w:r>
      <w:r>
        <w:rPr>
          <w:rFonts w:eastAsia="Cambria" w:cs="Cambria"/>
          <w:b w:val="false"/>
          <w:bCs w:val="false"/>
          <w:i w:val="false"/>
          <w:iCs w:val="false"/>
          <w:sz w:val="22"/>
          <w:szCs w:val="22"/>
        </w:rPr>
        <w:t xml:space="preserve"> ist – ein engerer Begriff als reine Steueransässigkeit, denn er verlangt einen Wohnsitz mit erkennbarer Bleibeabsicht –, hat einen Freibetrag von 15 Millionen $ pro Person, darüber greift ein Spitzensatz von 40 %. Für die meisten Zuwanderer ist das kein Thema. Anders für alle, die noch nicht domiziliert sind, aber US-Vermögen besitzen, etwa ein Haus oder ein Maklerdepot: Der Freibetrag für Nichtdomizilierte liegt bei nur 60.000 $ (Form 706-NA); ausländische Konten und Lebensversicherungsleistungen zählen dabei nicht mit. Schenkungen bleiben bis 19.000 $ je Empfänger und Jahr steuerfrei, an einen nicht-amerikanischen Ehepartner bis 194.000 $.</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60.000-$-Grenze für Nichtdomizilierte trifft schneller als gedacht – ein zu früh gekauftes US-Ferienhaus oder ein Maklerkonto kann sie überschreiten, während dein Auslandsvermögen unangetastet bleibt. Kläre bei größeren US-Investitionen vor Erreichen der Domizil-Schwelle mit einem Steuerberater, ob eine andere Eigentumsstruktur sinnvoller ist.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Mit dem letzten Blick auf den Rückspiegel endet vermeintlich auch die deutsche Steuerpflicht fürs Erbe. Tatsächlich bleibt die deutsche Seite parallel bestehen: Deutsche Staatsangehörige sind bis zu fünf Jahre nach dem Wegzug ohne deutschen Wohnsitz weiter unbeschränkt erbschaft- und schenkungsteuerpflichtig (§ 2 ErbStG) – als Erblasser, Schenker oder Erwerber. Die deutschen Freibeträge gelten unverändert: 500.000 € für Ehepartner, 400.000 € je Kind, 200.000 € je Enkelkind, 100.000 € für übrige Personen der Steuerklasse I, 20.000 € für Steuerklasse II und III. Innerhalb der Fünf-Jahres-Frist können beide Steuern gleichzeitig anfallen; ein eigenes Doppelbesteuerungsabkommen für Erbschaften (1980, mit Protokollen von 1998 und 2006) regelt die Anrechnung im Detail – das gehört in die Hände eines Beraters mit Erfahrung in beiden Rechtsordnungen. Zur deutschen Seite insgesamt: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Erbst du selbst aus Deutschland, ist das für die US-Steuer meist unproblematisch: Der Empfänger einer Erbschaft zahlt in den USA grundsätzlich keine eigene Steuer darauf. Melden musst du trotzdem: Erbschaften oder Schenkungen von im Ausland ansässigen Personen über 100.000 $ im Jahr gehören mit Form 3520 in die Steuererklärung, obwohl keine Steuer fällig wird. Wer die Meldung vergisst, riskiert eine Strafe von 5 % je Monat, höchstens 25 % der Summe. Weitere Meldepflichten für Auslandsvermögen (FBAR, Form 8938):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Leben und Arbeitskraft absichern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In Deutschland ist die Berufsunfähigkeitsversicherung eine der wichtigsten Absicherungen; ein direktes US-Gegenstück gibt es nicht. Der nächste Verwandte ist die </w:t>
      </w:r>
      <w:r>
        <w:rPr>
          <w:rFonts w:eastAsia="Cambria" w:cs="Cambria"/>
          <w:b w:val="false"/>
          <w:bCs w:val="false"/>
          <w:i/>
          <w:iCs/>
          <w:sz w:val="22"/>
          <w:szCs w:val="22"/>
        </w:rPr>
        <w:t>Long-Term Disability</w:t>
      </w:r>
      <w:r>
        <w:rPr>
          <w:rFonts w:eastAsia="Cambria" w:cs="Cambria"/>
          <w:b w:val="false"/>
          <w:bCs w:val="false"/>
          <w:i w:val="false"/>
          <w:iCs w:val="false"/>
          <w:sz w:val="22"/>
          <w:szCs w:val="22"/>
        </w:rPr>
        <w:t xml:space="preserve">-Versicherung (LTD, Erwerbsunfähigkeitsschutz), die viele Arbeitgeber als Zusatzleistung anbieten – meist ersetzt sie 50 bis 60 % des Gehalts und endet mit dem Arbeitsverhältnis. Wer den Job wechselt oder entlassen wird, verliert den Schutz; eine private, portable Zusatzpolice schließt die Lücke, verlangt aber eine Gesundheitsprüfung und sollte vor einer Diagnose abgeschlossen werden. Die staatliche </w:t>
      </w:r>
      <w:r>
        <w:rPr>
          <w:rFonts w:eastAsia="Cambria" w:cs="Cambria"/>
          <w:b w:val="false"/>
          <w:bCs w:val="false"/>
          <w:i/>
          <w:iCs/>
          <w:sz w:val="22"/>
          <w:szCs w:val="22"/>
        </w:rPr>
        <w:t>Social Security Disability Insurance</w:t>
      </w:r>
      <w:r>
        <w:rPr>
          <w:rFonts w:eastAsia="Cambria" w:cs="Cambria"/>
          <w:b w:val="false"/>
          <w:bCs w:val="false"/>
          <w:i w:val="false"/>
          <w:iCs w:val="false"/>
          <w:sz w:val="22"/>
          <w:szCs w:val="22"/>
        </w:rPr>
        <w:t xml:space="preserve"> (SSDI) springt erst bei sehr strengen Voraussetzungen und eigenen Beitragsjahren ein und ersetzt keine private Absicherung.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Lebensversicherung heißt in den USA meist </w:t>
      </w:r>
      <w:r>
        <w:rPr>
          <w:rFonts w:eastAsia="Cambria" w:cs="Cambria"/>
          <w:b w:val="false"/>
          <w:bCs w:val="false"/>
          <w:i/>
          <w:iCs/>
          <w:sz w:val="22"/>
          <w:szCs w:val="22"/>
        </w:rPr>
        <w:t>Term Life</w:t>
      </w:r>
      <w:r>
        <w:rPr>
          <w:rFonts w:eastAsia="Cambria" w:cs="Cambria"/>
          <w:b w:val="false"/>
          <w:bCs w:val="false"/>
          <w:i w:val="false"/>
          <w:iCs w:val="false"/>
          <w:sz w:val="22"/>
          <w:szCs w:val="22"/>
        </w:rPr>
        <w:t>: eine reine Risikoversicherung über 10, 20 oder 30 Jahre ohne Sparanteil, günstig und für die meisten Familien mit Kindern oder Hypothek ausreichend. Eine Gruppen-Lebensversicherung des Arbeitgebers ist oft auf ein niedriges Vielfaches des Jahresgehalts begrenzt und endet mit dem Job – für die eigentliche Absicherung zählt meist nur die private Police.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Berater verkaufen Einwanderern häufig fondsgebundene oder lebenslange Policen (</w:t>
            </w:r>
            <w:r>
              <w:rPr>
                <w:rFonts w:eastAsia="Cambria" w:cs="Cambria"/>
                <w:b w:val="false"/>
                <w:bCs w:val="false"/>
                <w:i/>
                <w:iCs/>
                <w:sz w:val="20"/>
                <w:szCs w:val="20"/>
              </w:rPr>
              <w:t>Whole Life</w:t>
            </w:r>
            <w:r>
              <w:rPr>
                <w:rFonts w:eastAsia="Cambria" w:cs="Cambria"/>
                <w:b w:val="false"/>
                <w:bCs w:val="false"/>
                <w:i w:val="false"/>
                <w:iCs w:val="false"/>
                <w:sz w:val="20"/>
                <w:szCs w:val="20"/>
              </w:rPr>
              <w:t xml:space="preserve">, </w:t>
            </w:r>
            <w:r>
              <w:rPr>
                <w:rFonts w:eastAsia="Cambria" w:cs="Cambria"/>
                <w:b w:val="false"/>
                <w:bCs w:val="false"/>
                <w:i/>
                <w:iCs/>
                <w:sz w:val="20"/>
                <w:szCs w:val="20"/>
              </w:rPr>
              <w:t>Universal Life</w:t>
            </w:r>
            <w:r>
              <w:rPr>
                <w:rFonts w:eastAsia="Cambria" w:cs="Cambria"/>
                <w:b w:val="false"/>
                <w:bCs w:val="false"/>
                <w:i w:val="false"/>
                <w:iCs w:val="false"/>
                <w:sz w:val="20"/>
                <w:szCs w:val="20"/>
              </w:rPr>
              <w:t>) als Vorsorge- und Sparlösung in einem. Die Abschlussprovision steckt in den ersten Jahresprämien, die Rendite bleibt oft hinter einem einfachen Sparplan zurück. Trenne Risikoschutz (Term Life, LTD) und Vermögensaufbau (401(k), IRA, US-Fonds) bewusst.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Finanzberater ohne Provisionsfalle wählen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Anruf vom Kapitelanfang folgt fast immer demselben Muster: viel Wärme, viel Dringlichkeit, wenig Zahlen. Viele „Finanzberater“ in den USA sind in Wahrheit Vertriebsmitarbeiter von Versicherungen oder Brokern. Diese verdienen an Abschlussprovisionen, nicht an einer festen Gebühr, und müssen rechtlich nur eine „geeignete“, nicht zwingend die beste Empfehlung geben. Ein gebührenbasierter Berater (</w:t>
      </w:r>
      <w:r>
        <w:rPr>
          <w:rFonts w:eastAsia="Cambria" w:cs="Cambria"/>
          <w:b w:val="false"/>
          <w:bCs w:val="false"/>
          <w:i/>
          <w:iCs/>
          <w:sz w:val="22"/>
          <w:szCs w:val="22"/>
        </w:rPr>
        <w:t>Fee-Only Advisor</w:t>
      </w:r>
      <w:r>
        <w:rPr>
          <w:rFonts w:eastAsia="Cambria" w:cs="Cambria"/>
          <w:b w:val="false"/>
          <w:bCs w:val="false"/>
          <w:i w:val="false"/>
          <w:iCs w:val="false"/>
          <w:sz w:val="22"/>
          <w:szCs w:val="22"/>
        </w:rPr>
        <w:t>) verdient dagegen ausschließlich von dir – als Stundensatz, Pauschale oder Prozentsatz des verwalteten Vermögens – und unterliegt meist einer durchgehenden Treuepflicht (</w:t>
      </w:r>
      <w:r>
        <w:rPr>
          <w:rFonts w:eastAsia="Cambria" w:cs="Cambria"/>
          <w:b w:val="false"/>
          <w:bCs w:val="false"/>
          <w:i/>
          <w:iCs/>
          <w:sz w:val="22"/>
          <w:szCs w:val="22"/>
        </w:rPr>
        <w:t>Fiduciary Duty</w:t>
      </w:r>
      <w:r>
        <w:rPr>
          <w:rFonts w:eastAsia="Cambria" w:cs="Cambria"/>
          <w:b w:val="false"/>
          <w:bCs w:val="false"/>
          <w:i w:val="false"/>
          <w:iCs w:val="false"/>
          <w:sz w:val="22"/>
          <w:szCs w:val="22"/>
        </w:rPr>
        <w:t>). Frage direkt: „Are you a fee-only fiduciary at all times?“ Eine ausweichende Antwort ist ein Warnsignal.</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Verzeichnisse wie letsmakeaplan.org (CFP Board) listen zertifizierte, teils gebührenbasierte Planer nach Postleitzahl. Ein Erstgespräch ist meist kostenlos; nutze es, um Vergütung und Interessenkonflikte offen zu erfragen, bevor du unterschreibst.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Zwei Wohnsitze: was das für Vorsorge und Nachlass bedeutet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Wohnsitze in beide Richtungen offenhält – eine Wohnung in Deutschland, ein Zuhause in den USA –, sollte wissen, dass das mehr betrifft als die Steuererklärung. Steuerlich kann eine „jederzeit nutzbare“ deutsche Wohnung die unbeschränkte Steuerpflicht in Deutschland auslösen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 für die US-Nachlasssteuer zählt daneben die Bleibeabsicht, nicht nur die Steuerresidenz – auch ohne deutschen Wohnsitz kannst du als US-domiziliert gelten, wenn dein Lebensmittelpunkt erkennbar hier liegt. Die deutsche Krankenversicherung ruht bei Auslandsaufenthalt; wer regelmäßig länger in Deutschland ist, braucht dafür eine eigene Reise- oder Auslandskrankenversicherung, nicht die Fortsetzung der GKV-Leistung. Bei Bankkonten, Depots und Versicherungen in beiden Ländern lohnt sich eine jährliche Bestandsaufnahme: Wo bist du gemeldet, welche Meldepflichten laufen (FBAR, Form 8938, deutsche Steuererklärung), und welches Testament – deutsches oder amerikanisches – gilt für welches Vermögen. Zwei Wohnsitze sind kein Problem, solange du sie bewusst verwaltest, statt sie „mitlaufen“ zu lassen.</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Hohe Beitragsgrenzen bei 401(k) und IRA erlauben schnellen Vermögensaufbau mit Steuervorteil</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Zwei Rentensysteme, zwei Steuerpflichten fürs Erbe – die Planung wird komplizierter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Das Sozialversicherungsabkommen sichert die Wartezeit für die US-Rente; WEP/GPO kürzen seit 2025 nicht mehr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Fonds werden zur PFIC-Falle; Umschichten kostet Zeit und oft deutsche Steuer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HSA bietet einen in Deutschland unbekannten dreifachen Steuervorteil</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Vorsorgeverträge (Riester, Lebensversicherung) sind aus den USA schwer zu bewerten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Trusts und Begünstigtenbenennungen vermeiden ein langwieriges Nachlassverfahren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US-Testament entscheidet im Ernstfall ein fremdes Gericht über die Kinder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 Freibetrag für US-Domizilierte bei der Nachlasssteuer ist mit 15 Mio. $ hoch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Nichtdomizilierte haben nur 60.000 $ Freibetrag – eine Falle bei US-Immobilien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den ersten Monaten reicht es, die Konten zu eröffnen und den Arbeitgeber-Match mitzunehmen. Innerhalb des ersten Jahres solltest du ein US-Testament mit Vormundschaftsklausel, eine finanzielle Vollmacht und eine Patientenverfügung aufsetzen lassen – das kostet meist wenige hundert bis rund 1.000 $ und schließt die größte Lücke. Kläre parallel mit einem Berater beider Länder, was mit deutschen Fonds, Riester- oder Lebensversicherungsverträgen passiert, bevor die erste Steuererklärung ansteht. Sobald du dich langfristig niederlässt, lohnt ein Gesamtblick: Rentenanspruch in beiden Ländern, Nachlassplanung, Versicherungsschutz und, bei größerem Vermögen, die Frage nach einem Trust.</w:t>
      </w:r>
    </w:p>
    <w:tbl>
      <w:tblPr>
        <w:tblW w:w="6480" w:type="dxa"/>
        <w:jc w:val="left"/>
        <w:tblInd w:w="0" w:type="dxa"/>
        <w:tblLayout w:type="fixed"/>
        <w:tblCellMar>
          <w:top w:w="110" w:type="dxa"/>
          <w:left w:w="200" w:type="dxa"/>
          <w:bottom w:w="80" w:type="dxa"/>
          <w:right w:w="160" w:type="dxa"/>
        </w:tblCellMar>
      </w:tblPr>
      <w:tblGrid>
        <w:gridCol w:w="6480"/>
      </w:tblGrid>
      <w:tr>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Arbeitgeber-Match beim 401(k) vollständig mitnehmen, danach IRA oder Roth IRA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HSA eröffnen, falls ein Hochselbstbehalt-Tarif (HDHP) vorliegt.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Deutsche Fonds und ETFs vor dem Zuzug mit einem Berater beider Länder klären (PFIC, Kapitel </w:t>
            </w:r>
            <w:hyperlink w:anchor="k28">
              <w:r>
                <w:rPr>
                  <w:rStyle w:val="ListLabel114"/>
                  <w:rFonts w:eastAsia="Cambria" w:cs="Cambria"/>
                  <w:b w:val="false"/>
                  <w:bCs w:val="false"/>
                  <w:i w:val="false"/>
                  <w:iCs w:val="false"/>
                  <w:sz w:val="20"/>
                  <w:szCs w:val="20"/>
                </w:rPr>
                <w:t>28</w:t>
              </w:r>
            </w:hyperlink>
            <w:r>
              <w:rPr>
                <w:rFonts w:eastAsia="Cambria" w:cs="Cambria"/>
                <w:b w:val="false"/>
                <w:bCs w:val="false"/>
                <w:i w:val="false"/>
                <w:iCs w:val="false"/>
                <w:sz w:val="20"/>
                <w:szCs w:val="20"/>
              </w:rPr>
              <w: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Deutsche Rentenversicherung informieren, Versicherungsverlauf klären, freiwillige Beiträge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GKV- oder PKV-Anwartschaft vor der Ausreise klären, falls eine Rückkehr denkbar ist.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Riester-, Rürup- und bAV-Verträge auf Wegzugsfolgen prüfen lassen.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US-Testament mit Vormundschaftsklausel, finanzielle Vollmacht und Patientenverfügung nach dem Recht deines Bundesstaats aufsetzen.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Begünstigte bei Renten-, Bank- und Versicherungskonten eintragen und nach jedem Lebensereignis aktualisieren.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größerem US-Vermögen vor Erreichen der Domizil-Schwelle die Nachlasssteuer-Freibeträge mit einem Steuerberater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Erbschaften oder Schenkungen aus Deutschland über 100.000 $ mit Form 3520 melden.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Finanzberater nach Vergütung fragen und einen gebührenbasierten Fiduciary-Berater bevorzugen.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Erwerbsunfähigkeitsschutz (LTD) und Term-Life-Versicherung unabhängig vom Arbeitgeber prüfen.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SSA — Sozialversicherungsabkommen Deutschland–USA (</w:t>
      </w:r>
      <w:hyperlink r:id="rId376">
        <w:r>
          <w:rPr>
            <w:rStyle w:val="ListLabel113"/>
            <w:rFonts w:eastAsia="Cambria" w:cs="Cambria"/>
            <w:b w:val="false"/>
            <w:bCs w:val="false"/>
            <w:i w:val="false"/>
            <w:iCs w:val="false"/>
            <w:color w:val="0563C1"/>
            <w:sz w:val="22"/>
            <w:szCs w:val="22"/>
            <w:u w:val="single"/>
          </w:rPr>
          <w:t>ssa.gov/international/Agreement_Pamphlets/germany.html</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SSA — Social Security Fairness Act, WEP/GPO-Abschaffung (</w:t>
      </w:r>
      <w:hyperlink r:id="rId377">
        <w:r>
          <w:rPr>
            <w:rStyle w:val="ListLabel113"/>
            <w:rFonts w:eastAsia="Cambria" w:cs="Cambria"/>
            <w:b w:val="false"/>
            <w:bCs w:val="false"/>
            <w:i w:val="false"/>
            <w:iCs w:val="false"/>
            <w:color w:val="0563C1"/>
            <w:sz w:val="22"/>
            <w:szCs w:val="22"/>
            <w:u w:val="single"/>
          </w:rPr>
          <w:t>ssa.gov/benefits/retirement/social-security-fairness-act.html</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Medicare.gov — Kosten und Anspruchsvoraussetzungen (</w:t>
      </w:r>
      <w:hyperlink r:id="rId378">
        <w:r>
          <w:rPr>
            <w:rStyle w:val="ListLabel113"/>
            <w:rFonts w:eastAsia="Cambria" w:cs="Cambria"/>
            <w:b w:val="false"/>
            <w:bCs w:val="false"/>
            <w:i w:val="false"/>
            <w:iCs w:val="false"/>
            <w:color w:val="0563C1"/>
            <w:sz w:val="22"/>
            <w:szCs w:val="22"/>
            <w:u w:val="single"/>
          </w:rPr>
          <w:t>medicare.gov/basics/costs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Nachlass- und Schenkungsteuer (</w:t>
      </w:r>
      <w:hyperlink r:id="rId379">
        <w:r>
          <w:rPr>
            <w:rStyle w:val="ListLabel113"/>
            <w:rFonts w:eastAsia="Cambria" w:cs="Cambria"/>
            <w:b w:val="false"/>
            <w:bCs w:val="false"/>
            <w:i w:val="false"/>
            <w:iCs w:val="false"/>
            <w:color w:val="0563C1"/>
            <w:sz w:val="22"/>
            <w:szCs w:val="22"/>
            <w:u w:val="single"/>
          </w:rPr>
          <w:t>irs.gov/businesses/small-businesses-self-employed/whats-new-estate-and-gift-tax</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Form 3520, Anleitung (</w:t>
      </w:r>
      <w:hyperlink r:id="rId380">
        <w:r>
          <w:rPr>
            <w:rStyle w:val="ListLabel113"/>
            <w:rFonts w:eastAsia="Cambria" w:cs="Cambria"/>
            <w:b w:val="false"/>
            <w:bCs w:val="false"/>
            <w:i w:val="false"/>
            <w:iCs w:val="false"/>
            <w:color w:val="0563C1"/>
            <w:sz w:val="22"/>
            <w:szCs w:val="22"/>
            <w:u w:val="single"/>
          </w:rPr>
          <w:t>irs.gov/instructions/i3520</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Deutsche Rentenversicherung — Broschüre „Arbeit und Rente in Deutschland und in den USA“ (</w:t>
      </w:r>
      <w:hyperlink r:id="rId381">
        <w:r>
          <w:rPr>
            <w:rStyle w:val="ListLabel113"/>
            <w:rFonts w:eastAsia="Cambria" w:cs="Cambria"/>
            <w:b w:val="false"/>
            <w:bCs w:val="false"/>
            <w:i w:val="false"/>
            <w:iCs w:val="false"/>
            <w:color w:val="0563C1"/>
            <w:sz w:val="22"/>
            <w:szCs w:val="22"/>
            <w:u w:val="single"/>
          </w:rPr>
          <w:t>deutsche-rentenversicherung.de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Gesetze im Internet — Erbschaftsteuer- und Schenkungsteuergesetz, § 2 und § 16 (</w:t>
      </w:r>
      <w:hyperlink r:id="rId382">
        <w:r>
          <w:rPr>
            <w:rStyle w:val="ListLabel113"/>
            <w:rFonts w:eastAsia="Cambria" w:cs="Cambria"/>
            <w:b w:val="false"/>
            <w:bCs w:val="false"/>
            <w:i w:val="false"/>
            <w:iCs w:val="false"/>
            <w:color w:val="0563C1"/>
            <w:sz w:val="22"/>
            <w:szCs w:val="22"/>
            <w:u w:val="single"/>
          </w:rPr>
          <w:t>gesetze-im-internet.de/erbstg_1974</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CFP Board — Verzeichnis gebührenbasierter Finanzplaner (</w:t>
      </w:r>
      <w:hyperlink r:id="rId383">
        <w:r>
          <w:rPr>
            <w:rStyle w:val="ListLabel113"/>
            <w:rFonts w:eastAsia="Cambria" w:cs="Cambria"/>
            <w:b w:val="false"/>
            <w:bCs w:val="false"/>
            <w:i w:val="false"/>
            <w:iCs w:val="false"/>
            <w:color w:val="0563C1"/>
            <w:sz w:val="22"/>
            <w:szCs w:val="22"/>
            <w:u w:val="single"/>
          </w:rPr>
          <w:t>letsmakeaplan.org</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Beträge für 401(k), IRA, HSA, Nachlasssteuer und Medicare gelten für 2026 und werden jährlich angepasst; die Werte für 2027 veröffentlichen IRS und SSA meist im Herbst. Die Abschaffung von WEP/GPO gilt seit Januar 2025 unbefristet, der Zugang zu Medicare kann sich dagegen mit der Einwanderungspolitik ändern. Prüfe vor jeder Entscheidung ssa.gov, irs.gov und gesetze-im-internet.de.</w:t>
            </w:r>
          </w:p>
        </w:tc>
      </w:tr>
    </w:tbl>
    <w:p>
      <w:pPr>
        <w:pStyle w:val="Normal"/>
        <w:spacing w:lineRule="exact" w:line="220" w:before="0" w:after="0"/>
        <w:rPr/>
      </w:pPr>
      <w:r>
        <w:rPr/>
      </w:r>
      <w:r>
        <w:br w:type="page"/>
      </w:r>
    </w:p>
    <w:p>
      <w:pPr>
        <w:pStyle w:val="Heading2"/>
        <w:keepNext w:val="true"/>
        <w:spacing w:before="0" w:after="300"/>
        <w:jc w:val="center"/>
        <w:rPr/>
      </w:pPr>
      <w:bookmarkStart w:id="97" w:name="__RefHeading___Toc56525_3769931028"/>
      <w:bookmarkStart w:id="98" w:name="k40"/>
      <w:bookmarkEnd w:id="97"/>
      <w:r>
        <w:rPr>
          <w:rFonts w:eastAsia="Amazon Ember" w:cs="Amazon Ember" w:ascii="Amazon Ember" w:hAnsi="Amazon Ember"/>
          <w:b/>
          <w:bCs/>
          <w:color w:val="0000FF"/>
          <w:sz w:val="36"/>
          <w:szCs w:val="36"/>
        </w:rPr>
        <w:t>Kapitel 40: Recht und Sicherheit im Alltag</w:t>
      </w:r>
      <w:bookmarkEnd w:id="98"/>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Dienstagabend, du fährst nach Hause, im Rückspiegel blinkt Blaulicht. In Deutschland würdest du anhalten, aussteigen und die Papiere zeigen. In den USA ist genau das der falsche Reflex: Sitzenbleiben gilt hier als die höfliche Variante. Dieses Kapitel erklärt, wie das Rechtssystem arbeitet, was für dich als Nichtstaatsbürger zusätzlich gilt und wie du dich, deine Familie und dein Geld im Alltag schützt.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Es gilt dasselbe Strafrecht wie für alle, aber Bagatellen können bei dir Visum, Green Card und Einbürgerung gefährden. Die größten Risiken: Trunkenheit am Steuer, Drogen (auch Cannabis), Diebstahl und Gewalt.</w:t>
            </w:r>
          </w:p>
          <w:p>
            <w:pPr>
              <w:pStyle w:val="ListParagraph"/>
              <w:numPr>
                <w:ilvl w:val="0"/>
                <w:numId w:val="1"/>
              </w:numPr>
              <w:spacing w:lineRule="exact" w:line="264" w:before="0" w:after="50"/>
              <w:rPr/>
            </w:pPr>
            <w:r>
              <w:rPr>
                <w:rFonts w:eastAsia="Cambria" w:cs="Cambria"/>
                <w:b w:val="false"/>
                <w:bCs w:val="false"/>
                <w:i w:val="false"/>
                <w:iCs w:val="false"/>
                <w:sz w:val="20"/>
                <w:szCs w:val="20"/>
              </w:rPr>
              <w:t>Bei Polizeikontakt: ruhig bleiben, Hände sichtbar, nichts unterschreiben, was du nicht verstehst. Das Recht zu schweigen und einen Anwalt zu verlangen gilt für alle, muss aber ausgesprochen werden.</w:t>
            </w:r>
          </w:p>
          <w:p>
            <w:pPr>
              <w:pStyle w:val="ListParagraph"/>
              <w:numPr>
                <w:ilvl w:val="0"/>
                <w:numId w:val="1"/>
              </w:numPr>
              <w:spacing w:lineRule="exact" w:line="264" w:before="0" w:after="50"/>
              <w:rPr/>
            </w:pPr>
            <w:r>
              <w:rPr>
                <w:rFonts w:eastAsia="Cambria" w:cs="Cambria"/>
                <w:b w:val="false"/>
                <w:bCs w:val="false"/>
                <w:i w:val="false"/>
                <w:iCs w:val="false"/>
                <w:sz w:val="20"/>
                <w:szCs w:val="20"/>
              </w:rPr>
              <w:t>Pflichten als Nichtstaatsbürger: Registrierungsnachweis bei dir tragen, jeden Umzug binnen 10 Tagen melden (AR-11), nie wählen; Männer von 18 bis 25 mit Green Card müssen sich beim Selective Service registrieren.</w:t>
            </w:r>
          </w:p>
          <w:p>
            <w:pPr>
              <w:pStyle w:val="ListParagraph"/>
              <w:numPr>
                <w:ilvl w:val="0"/>
                <w:numId w:val="1"/>
              </w:numPr>
              <w:spacing w:lineRule="exact" w:line="264" w:before="0" w:after="50"/>
              <w:rPr/>
            </w:pPr>
            <w:r>
              <w:rPr>
                <w:rFonts w:eastAsia="Cambria" w:cs="Cambria"/>
                <w:b w:val="false"/>
                <w:bCs w:val="false"/>
                <w:i w:val="false"/>
                <w:iCs w:val="false"/>
                <w:sz w:val="20"/>
                <w:szCs w:val="20"/>
              </w:rPr>
              <w:t>Waffen: Inhabern eines Visums wie H-1B, L-1 oder F-1 sind Besitz und Erwerb bundesrechtlich verboten; mit Green Card sind sie erlaubt, je nach Bundesstaat.</w:t>
            </w:r>
          </w:p>
          <w:p>
            <w:pPr>
              <w:pStyle w:val="ListParagraph"/>
              <w:numPr>
                <w:ilvl w:val="0"/>
                <w:numId w:val="1"/>
              </w:numPr>
              <w:spacing w:lineRule="exact" w:line="264" w:before="0" w:after="50"/>
              <w:rPr/>
            </w:pPr>
            <w:r>
              <w:rPr>
                <w:rFonts w:eastAsia="Cambria" w:cs="Cambria"/>
                <w:b w:val="false"/>
                <w:bCs w:val="false"/>
                <w:i w:val="false"/>
                <w:iCs w:val="false"/>
                <w:sz w:val="20"/>
                <w:szCs w:val="20"/>
              </w:rPr>
              <w:t>Notruf 911. Für Katastrophen brauchst du Warnungen aufs Handy, einen Notvorrat und getrennte Hochwasser- und Erdbebenversicherung.</w:t>
            </w:r>
          </w:p>
          <w:p>
            <w:pPr>
              <w:pStyle w:val="ListParagraph"/>
              <w:numPr>
                <w:ilvl w:val="0"/>
                <w:numId w:val="1"/>
              </w:numPr>
              <w:spacing w:lineRule="exact" w:line="264" w:before="0" w:after="50"/>
              <w:rPr/>
            </w:pPr>
            <w:r>
              <w:rPr>
                <w:rFonts w:eastAsia="Cambria" w:cs="Cambria"/>
                <w:b w:val="false"/>
                <w:bCs w:val="false"/>
                <w:i w:val="false"/>
                <w:iCs w:val="false"/>
                <w:sz w:val="20"/>
                <w:szCs w:val="20"/>
              </w:rPr>
              <w:t>Betrug ist häufig; deutsche Vertretungen helfen bei Festnahme und Notlagen.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Rechtssystem in Kurzform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USA haben nicht ein Rechtssystem, sondern 51: das Bundesrecht (</w:t>
      </w:r>
      <w:r>
        <w:rPr>
          <w:rFonts w:eastAsia="Cambria" w:cs="Cambria"/>
          <w:b w:val="false"/>
          <w:bCs w:val="false"/>
          <w:i/>
          <w:iCs/>
          <w:sz w:val="22"/>
          <w:szCs w:val="22"/>
        </w:rPr>
        <w:t>Federal Law</w:t>
      </w:r>
      <w:r>
        <w:rPr>
          <w:rFonts w:eastAsia="Cambria" w:cs="Cambria"/>
          <w:b w:val="false"/>
          <w:bCs w:val="false"/>
          <w:i w:val="false"/>
          <w:iCs w:val="false"/>
          <w:sz w:val="22"/>
          <w:szCs w:val="22"/>
        </w:rPr>
        <w:t>) und das Recht der 50 Staaten, dazu Vorschriften von Landkreisen und Städten. Für Einwanderung, Visa und Zoll ist allein der Bund zuständig. Deshalb zählt bei Cannabis für dich das Bundesrecht, selbst dort, wo der Staat den Konsum erlaubt.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Im Strafrecht klagt der Staat gegen eine Person. Taten werden in drei Stufen eingeteilt: </w:t>
      </w:r>
      <w:r>
        <w:rPr>
          <w:rFonts w:eastAsia="Cambria" w:cs="Cambria"/>
          <w:b w:val="false"/>
          <w:bCs w:val="false"/>
          <w:i/>
          <w:iCs/>
          <w:sz w:val="22"/>
          <w:szCs w:val="22"/>
        </w:rPr>
        <w:t>Infraction</w:t>
      </w:r>
      <w:r>
        <w:rPr>
          <w:rFonts w:eastAsia="Cambria" w:cs="Cambria"/>
          <w:b w:val="false"/>
          <w:bCs w:val="false"/>
          <w:i w:val="false"/>
          <w:iCs w:val="false"/>
          <w:sz w:val="22"/>
          <w:szCs w:val="22"/>
        </w:rPr>
        <w:t xml:space="preserve"> (Ordnungswidrigkeit, etwa ein Strafzettel), </w:t>
      </w:r>
      <w:r>
        <w:rPr>
          <w:rFonts w:eastAsia="Cambria" w:cs="Cambria"/>
          <w:b w:val="false"/>
          <w:bCs w:val="false"/>
          <w:i/>
          <w:iCs/>
          <w:sz w:val="22"/>
          <w:szCs w:val="22"/>
        </w:rPr>
        <w:t>Misdemeanor</w:t>
      </w:r>
      <w:r>
        <w:rPr>
          <w:rFonts w:eastAsia="Cambria" w:cs="Cambria"/>
          <w:b w:val="false"/>
          <w:bCs w:val="false"/>
          <w:i w:val="false"/>
          <w:iCs w:val="false"/>
          <w:sz w:val="22"/>
          <w:szCs w:val="22"/>
        </w:rPr>
        <w:t xml:space="preserve"> (Vergehen, meist bis zu einem Jahr Haft) und </w:t>
      </w:r>
      <w:r>
        <w:rPr>
          <w:rFonts w:eastAsia="Cambria" w:cs="Cambria"/>
          <w:b w:val="false"/>
          <w:bCs w:val="false"/>
          <w:i/>
          <w:iCs/>
          <w:sz w:val="22"/>
          <w:szCs w:val="22"/>
        </w:rPr>
        <w:t>Felony</w:t>
      </w:r>
      <w:r>
        <w:rPr>
          <w:rFonts w:eastAsia="Cambria" w:cs="Cambria"/>
          <w:b w:val="false"/>
          <w:bCs w:val="false"/>
          <w:i w:val="false"/>
          <w:iCs w:val="false"/>
          <w:sz w:val="22"/>
          <w:szCs w:val="22"/>
        </w:rPr>
        <w:t xml:space="preserve"> (Verbrechen, mehr als ein Jahr). Im Zivilrecht streiten Private ums Geld. In beiden Verfahren gibt es Geschworene (</w:t>
      </w:r>
      <w:r>
        <w:rPr>
          <w:rFonts w:eastAsia="Cambria" w:cs="Cambria"/>
          <w:b w:val="false"/>
          <w:bCs w:val="false"/>
          <w:i/>
          <w:iCs/>
          <w:sz w:val="22"/>
          <w:szCs w:val="22"/>
        </w:rPr>
        <w:t>Jury</w:t>
      </w:r>
      <w:r>
        <w:rPr>
          <w:rFonts w:eastAsia="Cambria" w:cs="Cambria"/>
          <w:b w:val="false"/>
          <w:bCs w:val="false"/>
          <w:i w:val="false"/>
          <w:iCs w:val="false"/>
          <w:sz w:val="22"/>
          <w:szCs w:val="22"/>
        </w:rPr>
        <w:t>). Ein Kernunterschied zu Deutschland: Im Zivilprozess zahlt jede Seite ihre Anwälte selbst, auch die Siegerin (</w:t>
      </w:r>
      <w:r>
        <w:rPr>
          <w:rFonts w:eastAsia="Cambria" w:cs="Cambria"/>
          <w:b w:val="false"/>
          <w:bCs w:val="false"/>
          <w:i/>
          <w:iCs/>
          <w:sz w:val="22"/>
          <w:szCs w:val="22"/>
        </w:rPr>
        <w:t>American Rule</w:t>
      </w:r>
      <w:r>
        <w:rPr>
          <w:rFonts w:eastAsia="Cambria" w:cs="Cambria"/>
          <w:b w:val="false"/>
          <w:bCs w:val="false"/>
          <w:i w:val="false"/>
          <w:iCs w:val="false"/>
          <w:sz w:val="22"/>
          <w:szCs w:val="22"/>
        </w:rPr>
        <w:t>); in Deutschland trägt meist der Unterlegene die Kosten. Das macht Prozesse teuer und Vergleiche üblich; wer aus Deutschland gewohnt ist, am Ende einfach recht zu bekommen, lernt hier schnell, dass Rechthaben und Kostendecken zwei verschiedene Dinge sind. Erfolgshonorare und Haftungskultur: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Kleinere Streitigkeiten löst das </w:t>
      </w:r>
      <w:r>
        <w:rPr>
          <w:rFonts w:eastAsia="Cambria" w:cs="Cambria"/>
          <w:b w:val="false"/>
          <w:bCs w:val="false"/>
          <w:i/>
          <w:iCs/>
          <w:sz w:val="22"/>
          <w:szCs w:val="22"/>
        </w:rPr>
        <w:t>Small Claims Court</w:t>
      </w:r>
      <w:r>
        <w:rPr>
          <w:rFonts w:eastAsia="Cambria" w:cs="Cambria"/>
          <w:b w:val="false"/>
          <w:bCs w:val="false"/>
          <w:i w:val="false"/>
          <w:iCs w:val="false"/>
          <w:sz w:val="22"/>
          <w:szCs w:val="22"/>
        </w:rPr>
        <w:t>, ein vereinfachtes Gericht für Geldforderungen bis zu einer Obergrenze, die jeder Staat selbst festlegt: 2.500 $ in Kentucky, 12.500 $ in Kalifornien, 20.000 $ in Texas, 25.000 $ in Delaware und Tennessee (Stand 2026). Du brauchst meist keinen Anwalt. Typische Fälle sind zurückgehaltene Mietkaution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 Streit mit Handwerkern und unbezahlte Rechnungen. Der Ablauf: schriftliche Zahlungsaufforderung, Klage beim örtlichen Gericht, förmliche Zustellung an den Gegner (</w:t>
      </w:r>
      <w:r>
        <w:rPr>
          <w:rFonts w:eastAsia="Cambria" w:cs="Cambria"/>
          <w:b w:val="false"/>
          <w:bCs w:val="false"/>
          <w:i/>
          <w:iCs/>
          <w:sz w:val="22"/>
          <w:szCs w:val="22"/>
        </w:rPr>
        <w:t>Service of Process</w:t>
      </w:r>
      <w:r>
        <w:rPr>
          <w:rFonts w:eastAsia="Cambria" w:cs="Cambria"/>
          <w:b w:val="false"/>
          <w:bCs w:val="false"/>
          <w:i w:val="false"/>
          <w:iCs w:val="false"/>
          <w:sz w:val="22"/>
          <w:szCs w:val="22"/>
        </w:rPr>
        <w:t>), Verhandlung. Danach musst du das Geld noch eintreiben, denn ein Urteil ist noch keine Zahlung. Haftpflichtschutz für Schäden, die du anderen zufügst, steckt meist in der Mieter- oder Hausversicherung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Ignoriere nie eine Vorladung (</w:t>
            </w:r>
            <w:r>
              <w:rPr>
                <w:rFonts w:eastAsia="Cambria" w:cs="Cambria"/>
                <w:b w:val="false"/>
                <w:bCs w:val="false"/>
                <w:i/>
                <w:iCs/>
                <w:sz w:val="20"/>
                <w:szCs w:val="20"/>
              </w:rPr>
              <w:t>Summons</w:t>
            </w:r>
            <w:r>
              <w:rPr>
                <w:rFonts w:eastAsia="Cambria" w:cs="Cambria"/>
                <w:b w:val="false"/>
                <w:bCs w:val="false"/>
                <w:i w:val="false"/>
                <w:iCs w:val="false"/>
                <w:sz w:val="20"/>
                <w:szCs w:val="20"/>
              </w:rPr>
              <w:t>), einen Strafzettel oder Gerichtspost. Wer nicht erscheint, verliert automatisch (</w:t>
            </w:r>
            <w:r>
              <w:rPr>
                <w:rFonts w:eastAsia="Cambria" w:cs="Cambria"/>
                <w:b w:val="false"/>
                <w:bCs w:val="false"/>
                <w:i/>
                <w:iCs/>
                <w:sz w:val="20"/>
                <w:szCs w:val="20"/>
              </w:rPr>
              <w:t>Default Judgment</w:t>
            </w:r>
            <w:r>
              <w:rPr>
                <w:rFonts w:eastAsia="Cambria" w:cs="Cambria"/>
                <w:b w:val="false"/>
                <w:bCs w:val="false"/>
                <w:i w:val="false"/>
                <w:iCs w:val="false"/>
                <w:sz w:val="20"/>
                <w:szCs w:val="20"/>
              </w:rPr>
              <w:t>); bei Strafzetteln folgen Führerscheinsperre oder Haftbefehl (</w:t>
            </w:r>
            <w:r>
              <w:rPr>
                <w:rFonts w:eastAsia="Cambria" w:cs="Cambria"/>
                <w:b w:val="false"/>
                <w:bCs w:val="false"/>
                <w:i/>
                <w:iCs/>
                <w:sz w:val="20"/>
                <w:szCs w:val="20"/>
              </w:rPr>
              <w:t>Bench Warrant</w:t>
            </w:r>
            <w:r>
              <w:rPr>
                <w:rFonts w:eastAsia="Cambria" w:cs="Cambria"/>
                <w:b w:val="false"/>
                <w:bCs w:val="false"/>
                <w:i w:val="false"/>
                <w:iCs w:val="false"/>
                <w:sz w:val="20"/>
                <w:szCs w:val="20"/>
              </w:rPr>
              <w:t>). Ein offener Haftbefehl fällt bei jeder Verlängerung und Einreise auf.</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Polizeikontakt: So verhältst du dich</w:t>
      </w:r>
    </w:p>
    <w:p>
      <w:pPr>
        <w:pStyle w:val="Normal"/>
        <w:keepNext w:val="false"/>
        <w:keepLines w:val="false"/>
        <w:spacing w:lineRule="exact" w:line="288" w:before="0" w:after="140"/>
        <w:jc w:val="left"/>
        <w:rPr/>
      </w:pPr>
      <w:r>
        <w:rPr>
          <w:rFonts w:eastAsia="Cambria" w:cs="Cambria"/>
          <w:b/>
          <w:bCs/>
          <w:i w:val="false"/>
          <w:iCs w:val="false"/>
          <w:sz w:val="22"/>
          <w:szCs w:val="22"/>
        </w:rPr>
        <w:t>Verkehrskontrolle (</w:t>
      </w:r>
      <w:r>
        <w:rPr>
          <w:rFonts w:eastAsia="Cambria" w:cs="Cambria"/>
          <w:b/>
          <w:bCs/>
          <w:i/>
          <w:iCs/>
          <w:sz w:val="22"/>
          <w:szCs w:val="22"/>
        </w:rPr>
        <w:t>Traffic Stop</w:t>
      </w:r>
      <w:r>
        <w:rPr>
          <w:rFonts w:eastAsia="Cambria" w:cs="Cambria"/>
          <w:b/>
          <w:bCs/>
          <w:i w:val="false"/>
          <w:iCs w:val="false"/>
          <w:sz w:val="22"/>
          <w:szCs w:val="22"/>
        </w:rPr>
        <w:t>).</w:t>
      </w:r>
      <w:r>
        <w:rPr>
          <w:rFonts w:eastAsia="Cambria" w:cs="Cambria"/>
          <w:b w:val="false"/>
          <w:bCs w:val="false"/>
          <w:i w:val="false"/>
          <w:iCs w:val="false"/>
          <w:sz w:val="22"/>
          <w:szCs w:val="22"/>
        </w:rPr>
        <w:t xml:space="preserve"> Bei Blaulicht fährst du rechts ran, sobald es sicher ist, stellst den Motor aus, lässt das Fenster herunter, schaltest nachts das Innenlicht ein und legst beide Hände sichtbar ans Lenkrad. Der Puls geht hoch, das ist normal – wichtig ist, was die Hände tun, nicht wie ruhig du dich fühlst. Du bleibst sitzen, bis ein Beamter etwas anderes sagt. Beamte sind bewaffnet, und plötzliche Bewegungen machen sie nervös; sichtbare Hände nehmen die Spannung aus der Lage. Sage, wo Führerschein, Fahrzeugschein (</w:t>
      </w:r>
      <w:r>
        <w:rPr>
          <w:rFonts w:eastAsia="Cambria" w:cs="Cambria"/>
          <w:b w:val="false"/>
          <w:bCs w:val="false"/>
          <w:i/>
          <w:iCs/>
          <w:sz w:val="22"/>
          <w:szCs w:val="22"/>
        </w:rPr>
        <w:t>Registration</w:t>
      </w:r>
      <w:r>
        <w:rPr>
          <w:rFonts w:eastAsia="Cambria" w:cs="Cambria"/>
          <w:b w:val="false"/>
          <w:bCs w:val="false"/>
          <w:i w:val="false"/>
          <w:iCs w:val="false"/>
          <w:sz w:val="22"/>
          <w:szCs w:val="22"/>
        </w:rPr>
        <w:t>) und Versicherungsnachweis liegen, bevor du danach greifst. Bleibe höflich („Officer“, „Sir“, „Ma’am“), diskutiere nicht am Straßenrand und fahre nie weg. Ob die Kontrolle berechtigt war, klärst du später vor Gericht, nicht an der Autotür. Die Unterschrift auf dem Strafzettel ist in den meisten Staaten kein Schuldeingeständnis, sondern das Versprechen, zu zahlen oder zu erscheinen. Alkohol am Steuer und Verstöße: Kapitel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Filmen der Kontrolle.</w:t>
      </w:r>
      <w:r>
        <w:rPr>
          <w:rFonts w:eastAsia="Cambria" w:cs="Cambria"/>
          <w:b w:val="false"/>
          <w:bCs w:val="false"/>
          <w:i w:val="false"/>
          <w:iCs w:val="false"/>
          <w:sz w:val="22"/>
          <w:szCs w:val="22"/>
        </w:rPr>
        <w:t xml:space="preserve"> Das Handy laufen zu lassen ist nach mehreren Bundesberufungsgerichten durch den Ersten Verfassungszusatz gedeckt, solange du Polizeibeamte bei ihrer Arbeit im öffentlichen Raum offen filmst, statt sie zu stören. Entscheidend ist der Unterschied zwischen Beobachten und Einmischen: Handy sichtbar halten, Abstand wahren, Anweisungen weiter befolgen. In einer Handvoll Staaten gilt für Tonaufnahmen zusätzlich eine Zustimmungspflicht aller Beteiligten (</w:t>
      </w:r>
      <w:r>
        <w:rPr>
          <w:rFonts w:eastAsia="Cambria" w:cs="Cambria"/>
          <w:b w:val="false"/>
          <w:bCs w:val="false"/>
          <w:i/>
          <w:iCs/>
          <w:sz w:val="22"/>
          <w:szCs w:val="22"/>
        </w:rPr>
        <w:t>Two-Party Consent</w:t>
      </w:r>
      <w:r>
        <w:rPr>
          <w:rFonts w:eastAsia="Cambria" w:cs="Cambria"/>
          <w:b w:val="false"/>
          <w:bCs w:val="false"/>
          <w:i w:val="false"/>
          <w:iCs w:val="false"/>
          <w:sz w:val="22"/>
          <w:szCs w:val="22"/>
        </w:rPr>
        <w:t>); ob das auch für eine offen laufende Aufnahme von Polizeiarbeit im öffentlichen Raum gilt, ist je nach Staat unterschiedlich geregelt und im Zweifel nicht der Moment für einen Rechtsstreit an der Bordsteinkante.</w:t>
      </w:r>
    </w:p>
    <w:p>
      <w:pPr>
        <w:pStyle w:val="Normal"/>
        <w:keepNext w:val="false"/>
        <w:keepLines w:val="false"/>
        <w:spacing w:lineRule="exact" w:line="288" w:before="0" w:after="140"/>
        <w:jc w:val="left"/>
        <w:rPr/>
      </w:pPr>
      <w:r>
        <w:rPr>
          <w:rFonts w:eastAsia="Cambria" w:cs="Cambria"/>
          <w:b/>
          <w:bCs/>
          <w:i w:val="false"/>
          <w:iCs w:val="false"/>
          <w:sz w:val="22"/>
          <w:szCs w:val="22"/>
        </w:rPr>
        <w:t>Deine Rechte.</w:t>
      </w:r>
      <w:r>
        <w:rPr>
          <w:rFonts w:eastAsia="Cambria" w:cs="Cambria"/>
          <w:b w:val="false"/>
          <w:bCs w:val="false"/>
          <w:i w:val="false"/>
          <w:iCs w:val="false"/>
          <w:sz w:val="22"/>
          <w:szCs w:val="22"/>
        </w:rPr>
        <w:t xml:space="preserve"> Der Vierte, Fünfte und Sechste Verfassungszusatz gelten auch für Nichtstaatsbürger: Schutz vor unangemessener Durchsuchung, Recht zu schweigen, Recht auf einen Anwalt. Verbreiteter Irrtum: Viele glauben, das Recht zu schweigen gelte automatisch, sobald man einfach nichts mehr sagt. Zwei Feinheiten helfen in der Praxis. Erstens musst du das Schweigen ausdrücklich beanspruchen („I am invoking my right to remain silent. I want to speak to a lawyer.“) und danach wirklich schweigen. Zweitens darfst du eine Durchsuchung höflich ablehnen („I do not consent to a search.“), ohne dich körperlich zu wehren. Hat ein Beamter hinreichenden Verdacht, darf er ein Auto trotzdem durchsuchen, aber deine Ablehnung bleibt für das Verfahren festgehalten. Namen und Adresse nennst du auf Nachfrage; in vielen Staaten besteht bei Kontrollen eine Ausweispflicht (</w:t>
      </w:r>
      <w:r>
        <w:rPr>
          <w:rFonts w:eastAsia="Cambria" w:cs="Cambria"/>
          <w:b w:val="false"/>
          <w:bCs w:val="false"/>
          <w:i/>
          <w:iCs/>
          <w:sz w:val="22"/>
          <w:szCs w:val="22"/>
        </w:rPr>
        <w:t>Stop and Identify</w:t>
      </w:r>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Festnahme.</w:t>
      </w:r>
      <w:r>
        <w:rPr>
          <w:rFonts w:eastAsia="Cambria" w:cs="Cambria"/>
          <w:b w:val="false"/>
          <w:bCs w:val="false"/>
          <w:i w:val="false"/>
          <w:iCs w:val="false"/>
          <w:sz w:val="22"/>
          <w:szCs w:val="22"/>
        </w:rPr>
        <w:t xml:space="preserve"> Leistest du keinen Widerstand, bleibt die Lage kontrollierbar. Sage nur Namen, Adresse und den Satz zum Anwalt. Im Strafverfahren steht dir ein kostenloser Pflichtverteidiger (</w:t>
      </w:r>
      <w:r>
        <w:rPr>
          <w:rFonts w:eastAsia="Cambria" w:cs="Cambria"/>
          <w:b w:val="false"/>
          <w:bCs w:val="false"/>
          <w:i/>
          <w:iCs/>
          <w:sz w:val="22"/>
          <w:szCs w:val="22"/>
        </w:rPr>
        <w:t>Public Defender</w:t>
      </w:r>
      <w:r>
        <w:rPr>
          <w:rFonts w:eastAsia="Cambria" w:cs="Cambria"/>
          <w:b w:val="false"/>
          <w:bCs w:val="false"/>
          <w:i w:val="false"/>
          <w:iCs w:val="false"/>
          <w:sz w:val="22"/>
          <w:szCs w:val="22"/>
        </w:rPr>
        <w:t xml:space="preserve">) zu, wenn du dir keinen Anwalt leisten kannst; im Einwanderungsverfahren gibt es das nicht. Sage deinem Verteidiger als Erstes, dass du kein Staatsbürger bist: Nach dem Urteil des Supreme Court in </w:t>
      </w:r>
      <w:r>
        <w:rPr>
          <w:rFonts w:eastAsia="Cambria" w:cs="Cambria"/>
          <w:b w:val="false"/>
          <w:bCs w:val="false"/>
          <w:i/>
          <w:iCs/>
          <w:sz w:val="22"/>
          <w:szCs w:val="22"/>
        </w:rPr>
        <w:t>Padilla v. Kentucky</w:t>
      </w:r>
      <w:r>
        <w:rPr>
          <w:rFonts w:eastAsia="Cambria" w:cs="Cambria"/>
          <w:b w:val="false"/>
          <w:bCs w:val="false"/>
          <w:i w:val="false"/>
          <w:iCs w:val="false"/>
          <w:sz w:val="22"/>
          <w:szCs w:val="22"/>
        </w:rPr>
        <w:t xml:space="preserve"> (2010) muss er dich über das Abschiebungsrisiko beraten. Gegen Kaution (</w:t>
      </w:r>
      <w:r>
        <w:rPr>
          <w:rFonts w:eastAsia="Cambria" w:cs="Cambria"/>
          <w:b w:val="false"/>
          <w:bCs w:val="false"/>
          <w:i/>
          <w:iCs/>
          <w:sz w:val="22"/>
          <w:szCs w:val="22"/>
        </w:rPr>
        <w:t>Bail</w:t>
      </w:r>
      <w:r>
        <w:rPr>
          <w:rFonts w:eastAsia="Cambria" w:cs="Cambria"/>
          <w:b w:val="false"/>
          <w:bCs w:val="false"/>
          <w:i w:val="false"/>
          <w:iCs w:val="false"/>
          <w:sz w:val="22"/>
          <w:szCs w:val="22"/>
        </w:rPr>
        <w:t>) kommst du oft frei; ein Kautionsagent verlangt dafür in den meisten Staaten rund 10 % der Summe, nicht erstattbar. Als Deutscher hast du das Recht, mit dem Konsulat zu sprechen (siehe unten).</w:t>
      </w:r>
    </w:p>
    <w:p>
      <w:pPr>
        <w:pStyle w:val="Heading3"/>
        <w:keepNext w:val="true"/>
        <w:spacing w:before="280" w:after="100"/>
        <w:jc w:val="center"/>
        <w:rPr/>
      </w:pPr>
      <w:r>
        <w:rPr>
          <w:rFonts w:eastAsia="Amazon Ember" w:cs="Amazon Ember" w:ascii="Amazon Ember" w:hAnsi="Amazon Ember"/>
          <w:b/>
          <w:bCs/>
          <w:color w:val="0000FF"/>
          <w:sz w:val="36"/>
          <w:szCs w:val="36"/>
        </w:rPr>
        <w:t>Strafrecht und Einwanderung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Neben der Strafe droht Nichtstaatsbürgern der Verlust des Status: Widerruf des Visums, Abschiebung (</w:t>
      </w:r>
      <w:r>
        <w:rPr>
          <w:rFonts w:eastAsia="Cambria" w:cs="Cambria"/>
          <w:b w:val="false"/>
          <w:bCs w:val="false"/>
          <w:i/>
          <w:iCs/>
          <w:sz w:val="22"/>
          <w:szCs w:val="22"/>
        </w:rPr>
        <w:t>Removal</w:t>
      </w:r>
      <w:r>
        <w:rPr>
          <w:rFonts w:eastAsia="Cambria" w:cs="Cambria"/>
          <w:b w:val="false"/>
          <w:bCs w:val="false"/>
          <w:i w:val="false"/>
          <w:iCs w:val="false"/>
          <w:sz w:val="22"/>
          <w:szCs w:val="22"/>
        </w:rPr>
        <w:t>), abgelehnte Verlängerung, Green Card oder Einbürgerung. Zwei Begriffe entscheiden über die Schwere. Erstens die Verurteilung (</w:t>
      </w:r>
      <w:r>
        <w:rPr>
          <w:rFonts w:eastAsia="Cambria" w:cs="Cambria"/>
          <w:b w:val="false"/>
          <w:bCs w:val="false"/>
          <w:i/>
          <w:iCs/>
          <w:sz w:val="22"/>
          <w:szCs w:val="22"/>
        </w:rPr>
        <w:t>Conviction</w:t>
      </w:r>
      <w:r>
        <w:rPr>
          <w:rFonts w:eastAsia="Cambria" w:cs="Cambria"/>
          <w:b w:val="false"/>
          <w:bCs w:val="false"/>
          <w:i w:val="false"/>
          <w:iCs w:val="false"/>
          <w:sz w:val="22"/>
          <w:szCs w:val="22"/>
        </w:rPr>
        <w:t>): Verbreiteter Irrtum ist, eine später eingestellte Anzeige oder eine zur Bewährung ausgesetzte Strafe für harmlos zu halten, weil ja „nichts dabei herausgekommen“ sei. Im Einwanderungsrecht genügt ein Schuldbekenntnis (auch „no contest“) plus irgendeine Auflage wie Bewährung, Kurs oder Geldbuße. Dann zählt der Fall auch, wenn der Staat ihn später „einstellt“ oder die Akte löscht, und eine zur Bewährung ausgesetzte Haftstrafe gilt als verhängte Strafe. Ob eine Einigung als Verurteilung zählt, hängt am genauen Wortlaut. Zweitens die Tat selbst: Bestimmte Delikte machen unzulässig oder abschiebbar, andere nicht. Festnahmen musst du in Visa- und Green-Card-Formularen auch dann angeben, wenn das Verfahren eingestellt wurde.</w:t>
      </w:r>
    </w:p>
    <w:tbl>
      <w:tblPr>
        <w:tblW w:w="6480" w:type="dxa"/>
        <w:jc w:val="left"/>
        <w:tblInd w:w="0" w:type="dxa"/>
        <w:tblLayout w:type="fixed"/>
        <w:tblCellMar>
          <w:top w:w="50" w:type="dxa"/>
          <w:left w:w="80" w:type="dxa"/>
          <w:bottom w:w="50" w:type="dxa"/>
          <w:right w:w="80" w:type="dxa"/>
        </w:tblCellMar>
      </w:tblPr>
      <w:tblGrid>
        <w:gridCol w:w="1338"/>
        <w:gridCol w:w="2572"/>
        <w:gridCol w:w="2570"/>
      </w:tblGrid>
      <w:tr>
        <w:trPr>
          <w:tblHeader w:val="true"/>
          <w:cantSplit w:val="true"/>
        </w:trPr>
        <w:tc>
          <w:tcPr>
            <w:tcW w:w="133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Delikt</w:t>
            </w:r>
          </w:p>
        </w:tc>
        <w:tc>
          <w:tcPr>
            <w:tcW w:w="257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Risiko für deinen Status</w:t>
            </w:r>
          </w:p>
        </w:tc>
        <w:tc>
          <w:tcPr>
            <w:tcW w:w="257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du tun kannst</w:t>
            </w:r>
          </w:p>
        </w:tc>
      </w:tr>
      <w:tr>
        <w:trPr>
          <w:cantSplit w:val="true"/>
        </w:trPr>
        <w:tc>
          <w:tcPr>
            <w:tcW w:w="13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Trunkenheit am Steuer (</w:t>
            </w:r>
            <w:r>
              <w:rPr>
                <w:rFonts w:eastAsia="Cambria" w:cs="Cambria"/>
                <w:b w:val="false"/>
                <w:bCs w:val="false"/>
                <w:i/>
                <w:iCs/>
                <w:sz w:val="18"/>
                <w:szCs w:val="18"/>
              </w:rPr>
              <w:t>DUI</w:t>
            </w:r>
            <w:r>
              <w:rPr>
                <w:rFonts w:eastAsia="Cambria" w:cs="Cambria"/>
                <w:b w:val="false"/>
                <w:bCs w:val="false"/>
                <w:i w:val="false"/>
                <w:iCs w:val="false"/>
                <w:sz w:val="18"/>
                <w:szCs w:val="18"/>
              </w:rPr>
              <w:t>)</w:t>
            </w:r>
          </w:p>
        </w:tc>
        <w:tc>
          <w:tcPr>
            <w:tcW w:w="25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Visum-Widerruf möglich; bei Verletzten, Kind im Auto, entzogenem Führerschein oder Wiederholung kann es zum Abschiebegrund werden; Nachfragen bei Green Card und Einbürgerung</w:t>
            </w:r>
          </w:p>
        </w:tc>
        <w:tc>
          <w:tcPr>
            <w:tcW w:w="25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 Alkohol nie fahren; Fahrdienst nutzen</w:t>
            </w:r>
          </w:p>
        </w:tc>
      </w:tr>
      <w:tr>
        <w:trPr>
          <w:cantSplit w:val="true"/>
        </w:trPr>
        <w:tc>
          <w:tcPr>
            <w:tcW w:w="13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Drogen, auch Cannabis</w:t>
            </w:r>
          </w:p>
        </w:tc>
        <w:tc>
          <w:tcPr>
            <w:tcW w:w="25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Fast jede Verurteilung ist ein Abschiebegrund (Ausnahme: einmaliger Eigenbesitz bis 30 g Marihuana); auch Geständnis oder Branchentätigkeit kann zur Unzulässigkeit führen</w:t>
            </w:r>
          </w:p>
        </w:tc>
        <w:tc>
          <w:tcPr>
            <w:tcW w:w="25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Meiden, auch mit Landeserlaubnis</w:t>
            </w:r>
          </w:p>
        </w:tc>
      </w:tr>
      <w:tr>
        <w:trPr>
          <w:cantSplit w:val="true"/>
        </w:trPr>
        <w:tc>
          <w:tcPr>
            <w:tcW w:w="13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Ladendiebstahl</w:t>
            </w:r>
          </w:p>
        </w:tc>
        <w:tc>
          <w:tcPr>
            <w:tcW w:w="25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Diebstahl gilt meist als </w:t>
            </w:r>
            <w:r>
              <w:rPr>
                <w:rFonts w:eastAsia="Cambria" w:cs="Cambria"/>
                <w:b w:val="false"/>
                <w:bCs w:val="false"/>
                <w:i/>
                <w:iCs/>
                <w:sz w:val="18"/>
                <w:szCs w:val="18"/>
              </w:rPr>
              <w:t>CIMT</w:t>
            </w:r>
            <w:r>
              <w:rPr>
                <w:rFonts w:eastAsia="Cambria" w:cs="Cambria"/>
                <w:b w:val="false"/>
                <w:bCs w:val="false"/>
                <w:i w:val="false"/>
                <w:iCs w:val="false"/>
                <w:sz w:val="18"/>
                <w:szCs w:val="18"/>
              </w:rPr>
              <w:t xml:space="preserve"> (Delikt mit „sittlicher Verworfenheit“); zwei Taten oder eine Tat in den ersten fünf Jahren nach der Zulassung mit möglicher Jahresstrafe können reichen</w:t>
            </w:r>
          </w:p>
        </w:tc>
        <w:tc>
          <w:tcPr>
            <w:tcW w:w="25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Nie mitnehmen, was nicht bezahlt ist; Vorwürfe nie ohne Anwalt beantworten</w:t>
            </w:r>
          </w:p>
        </w:tc>
      </w:tr>
      <w:tr>
        <w:trPr>
          <w:cantSplit w:val="true"/>
        </w:trPr>
        <w:tc>
          <w:tcPr>
            <w:tcW w:w="13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Körperverletzung, häusliche Gewalt</w:t>
            </w:r>
          </w:p>
        </w:tc>
        <w:tc>
          <w:tcPr>
            <w:tcW w:w="25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Abschiebegrund; in einigen Staaten führt ein Polizeieinsatz nach Streit zur Festnahme</w:t>
            </w:r>
          </w:p>
        </w:tc>
        <w:tc>
          <w:tcPr>
            <w:tcW w:w="25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Streit deeskalieren, Hilfe suchen (Kapitel </w:t>
            </w:r>
            <w:hyperlink w:anchor="k33">
              <w:r>
                <w:rPr>
                  <w:rStyle w:val="ListLabel112"/>
                  <w:rFonts w:eastAsia="Cambria" w:cs="Cambria"/>
                  <w:b w:val="false"/>
                  <w:bCs w:val="false"/>
                  <w:i w:val="false"/>
                  <w:iCs w:val="false"/>
                  <w:sz w:val="18"/>
                  <w:szCs w:val="18"/>
                </w:rPr>
                <w:t>33</w:t>
              </w:r>
            </w:hyperlink>
            <w:r>
              <w:rPr>
                <w:rFonts w:eastAsia="Cambria" w:cs="Cambria"/>
                <w:b w:val="false"/>
                <w:bCs w:val="false"/>
                <w:i w:val="false"/>
                <w:iCs w:val="false"/>
                <w:sz w:val="18"/>
                <w:szCs w:val="18"/>
              </w:rPr>
              <w:t>)</w:t>
            </w:r>
          </w:p>
        </w:tc>
      </w:tr>
      <w:tr>
        <w:trPr>
          <w:cantSplit w:val="true"/>
        </w:trPr>
        <w:tc>
          <w:tcPr>
            <w:tcW w:w="13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Verkehrsverstöße</w:t>
            </w:r>
          </w:p>
        </w:tc>
        <w:tc>
          <w:tcPr>
            <w:tcW w:w="25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Meist kein Statusproblem, zählen aber im Gesamtbild (Kapitel </w:t>
            </w:r>
            <w:hyperlink w:anchor="k41">
              <w:r>
                <w:rPr>
                  <w:rStyle w:val="ListLabel112"/>
                  <w:rFonts w:eastAsia="Cambria" w:cs="Cambria"/>
                  <w:b w:val="false"/>
                  <w:bCs w:val="false"/>
                  <w:i w:val="false"/>
                  <w:iCs w:val="false"/>
                  <w:sz w:val="18"/>
                  <w:szCs w:val="18"/>
                </w:rPr>
                <w:t>41</w:t>
              </w:r>
            </w:hyperlink>
            <w:r>
              <w:rPr>
                <w:rFonts w:eastAsia="Cambria" w:cs="Cambria"/>
                <w:b w:val="false"/>
                <w:bCs w:val="false"/>
                <w:i w:val="false"/>
                <w:iCs w:val="false"/>
                <w:sz w:val="18"/>
                <w:szCs w:val="18"/>
              </w:rPr>
              <w:t>)</w:t>
            </w:r>
          </w:p>
        </w:tc>
        <w:tc>
          <w:tcPr>
            <w:tcW w:w="25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Zahlen oder anfechten, nie ignorieren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Bei Diebstahl kommt eine zweite Ebene dazu: Mit einer verhängten Strafe von mindestens einem Jahr, auch auf Bewährung, wird er zum </w:t>
      </w:r>
      <w:r>
        <w:rPr>
          <w:rFonts w:eastAsia="Cambria" w:cs="Cambria"/>
          <w:b w:val="false"/>
          <w:bCs w:val="false"/>
          <w:i/>
          <w:iCs/>
          <w:sz w:val="22"/>
          <w:szCs w:val="22"/>
        </w:rPr>
        <w:t>Aggravated Felony</w:t>
      </w:r>
      <w:r>
        <w:rPr>
          <w:rFonts w:eastAsia="Cambria" w:cs="Cambria"/>
          <w:b w:val="false"/>
          <w:bCs w:val="false"/>
          <w:i w:val="false"/>
          <w:iCs w:val="false"/>
          <w:sz w:val="22"/>
          <w:szCs w:val="22"/>
        </w:rPr>
        <w:t>, einer Kategorie mit Abschiebung und wenigen Ausnahmen. Händler schicken bei Ladendiebstahl außerdem zivilrechtliche Forderungsschreiben, die du nicht ignorieren solltest. Die Wertgrenze, ab der aus dem Vergehen ein Verbrechen wird, legt jeder Staat selbst fest.</w:t>
      </w:r>
    </w:p>
    <w:p>
      <w:pPr>
        <w:pStyle w:val="Normal"/>
        <w:keepNext w:val="false"/>
        <w:keepLines w:val="false"/>
        <w:spacing w:lineRule="exact" w:line="288" w:before="0" w:after="140"/>
        <w:jc w:val="left"/>
        <w:rPr/>
      </w:pPr>
      <w:r>
        <w:rPr>
          <w:rFonts w:eastAsia="Cambria" w:cs="Cambria"/>
          <w:b/>
          <w:bCs/>
          <w:i w:val="false"/>
          <w:iCs w:val="false"/>
          <w:sz w:val="22"/>
          <w:szCs w:val="22"/>
        </w:rPr>
        <w:t>Cannabis.</w:t>
      </w:r>
      <w:r>
        <w:rPr>
          <w:rFonts w:eastAsia="Cambria" w:cs="Cambria"/>
          <w:b w:val="false"/>
          <w:bCs w:val="false"/>
          <w:i w:val="false"/>
          <w:iCs w:val="false"/>
          <w:sz w:val="22"/>
          <w:szCs w:val="22"/>
        </w:rPr>
        <w:t xml:space="preserve"> Konsum, Besitz und Kauf können nach Bundesrecht zur Unzulässigkeit führen, auch ohne Verurteilung. Auch ein Geständnis gegenüber Behörden oder Arzt kann als Einräumen einer Straftat zählen; das Dilemma gehört vor ein Gespräch mit einem Einwanderungsanwalt, denn Lügen macht es nur schlimmer. Für die Einbürgerung wertet USCIS Cannabis weiter als Verstoß, selbst wenn der Staat es erlaubt. Die Umstufung im April 2026 betrifft nur zugelassene Arzneimittel und staatlich lizenzierte medizinische Produkte (Schedule III); über eine breitere Umstufung verhandelte die DEA im Sommer 2026. Rescheduling ist keine Legalisierung, und nach Einschätzung von Kanzleien ändert es die Einwanderungspraxis nicht. Bei CBD und Hanfprodukten ist die Rechtslage uneinheitlich und der THC-Gehalt oft unzuverlässig.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Felix Wagner (fiktives Beispiel), 24, studiert mit F-1-Visum in Boston. Nach einer Semesterparty misst die Polizei auf dem Heimweg 0,09 % BAC; er wird festgenommen und morgens gegen 500 $ Kaution entlassen. Der Verteidiger schlägt einen Deal vor: Schuldbekenntnis, Geldstrafe, Führerscheinsperre – Routine, sagt er, so laufe das hier meistens. Erst als Felix nachfragt, was das für sein Visum bedeutet, wird sein Ton vorsichtiger. Felix sagt, dass er kein Staatsbürger ist, und lässt den Wortlaut von einem Einwanderungsanwalt prüfen (Erstberatung 250 $). Der warnt: Das State Department kann das Visum widerrufen. Felix dürfte im Land bleiben, solange sein Status gilt, bräuchte für jede Auslandsreise aber ein neues Visum (Kapitel </w:t>
            </w:r>
            <w:hyperlink w:anchor="k8">
              <w:r>
                <w:rPr>
                  <w:rStyle w:val="ListLabel114"/>
                  <w:rFonts w:eastAsia="Cambria" w:cs="Cambria"/>
                  <w:b w:val="false"/>
                  <w:bCs w:val="false"/>
                  <w:i w:val="false"/>
                  <w:iCs w:val="false"/>
                  <w:sz w:val="20"/>
                  <w:szCs w:val="20"/>
                </w:rPr>
                <w:t>8</w:t>
              </w:r>
            </w:hyperlink>
            <w:r>
              <w:rPr>
                <w:rFonts w:eastAsia="Cambria" w:cs="Cambria"/>
                <w:b w:val="false"/>
                <w:bCs w:val="false"/>
                <w:i w:val="false"/>
                <w:iCs w:val="false"/>
                <w:sz w:val="20"/>
                <w:szCs w:val="20"/>
              </w:rPr>
              <w: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Sage bei einem Angebot der Staatsanwaltschaft (</w:t>
            </w:r>
            <w:r>
              <w:rPr>
                <w:rFonts w:eastAsia="Cambria" w:cs="Cambria"/>
                <w:b w:val="false"/>
                <w:bCs w:val="false"/>
                <w:i/>
                <w:iCs/>
                <w:sz w:val="20"/>
                <w:szCs w:val="20"/>
              </w:rPr>
              <w:t>Plea Deal</w:t>
            </w:r>
            <w:r>
              <w:rPr>
                <w:rFonts w:eastAsia="Cambria" w:cs="Cambria"/>
                <w:b w:val="false"/>
                <w:bCs w:val="false"/>
                <w:i w:val="false"/>
                <w:iCs w:val="false"/>
                <w:sz w:val="20"/>
                <w:szCs w:val="20"/>
              </w:rPr>
              <w:t>) nie „schuldig“, bevor die Einwanderungsfolgen geprüft sind, auch nicht bei Bagatellen. Ein Strafverteidiger kennt das lokale Verfahren, aber oft nicht das Einwanderungsrecht; bitte beide, sich abzustimmen.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ist eine Orientierung, keine Rechts- oder Steuerberatung. Was eine Tat für deinen Status bedeutet, hängt vom Staat, vom Wortlaut der Einigung und deinem Aufenthaltsstatus ab. Klär es vorab mit einem Einwanderungsanwalt (Kapitel </w:t>
            </w:r>
            <w:hyperlink w:anchor="k11">
              <w:r>
                <w:rPr>
                  <w:rStyle w:val="ListLabel114"/>
                  <w:rFonts w:eastAsia="Cambria" w:cs="Cambria"/>
                  <w:b w:val="false"/>
                  <w:bCs w:val="false"/>
                  <w:i w:val="false"/>
                  <w:iCs w:val="false"/>
                  <w:sz w:val="20"/>
                  <w:szCs w:val="20"/>
                </w:rPr>
                <w:t>11</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Waffen: Recht, Aufbewahrung, Fragen an Gastgeber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Zweite Verfassungszusatz schützt den Waffenbesitz. Beim Kauf im lizenzierten Handel prüft ein bundesweites System die Käufer (</w:t>
      </w:r>
      <w:r>
        <w:rPr>
          <w:rFonts w:eastAsia="Cambria" w:cs="Cambria"/>
          <w:b w:val="false"/>
          <w:bCs w:val="false"/>
          <w:i/>
          <w:iCs/>
          <w:sz w:val="22"/>
          <w:szCs w:val="22"/>
        </w:rPr>
        <w:t>Background Check</w:t>
      </w:r>
      <w:r>
        <w:rPr>
          <w:rFonts w:eastAsia="Cambria" w:cs="Cambria"/>
          <w:b w:val="false"/>
          <w:bCs w:val="false"/>
          <w:i w:val="false"/>
          <w:iCs w:val="false"/>
          <w:sz w:val="22"/>
          <w:szCs w:val="22"/>
        </w:rPr>
        <w:t>); Privatverkäufe, Tragen und Transport regelt jeder Staat für sich. Zahlen und Kultur: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Für Nichtstaatsbürger unterscheidet das Bundesrecht klar:</w:t>
      </w:r>
    </w:p>
    <w:p>
      <w:pPr>
        <w:pStyle w:val="ListParagraph"/>
        <w:numPr>
          <w:ilvl w:val="0"/>
          <w:numId w:val="1"/>
        </w:numPr>
        <w:spacing w:lineRule="exact" w:line="288" w:before="0" w:after="60"/>
        <w:rPr/>
      </w:pPr>
      <w:r>
        <w:rPr>
          <w:rFonts w:eastAsia="Cambria" w:cs="Cambria"/>
          <w:b/>
          <w:bCs/>
          <w:i w:val="false"/>
          <w:iCs w:val="false"/>
          <w:sz w:val="22"/>
          <w:szCs w:val="22"/>
        </w:rPr>
        <w:t>Green Card:</w:t>
      </w:r>
      <w:r>
        <w:rPr>
          <w:rFonts w:eastAsia="Cambria" w:cs="Cambria"/>
          <w:b w:val="false"/>
          <w:bCs w:val="false"/>
          <w:i w:val="false"/>
          <w:iCs w:val="false"/>
          <w:sz w:val="22"/>
          <w:szCs w:val="22"/>
        </w:rPr>
        <w:t xml:space="preserve"> Erwerb und Besitz sind wie bei Staatsbürgern erlaubt, mit den zusätzlichen Auflagen deines Staats (Erlaubnisschein, Wartefrist, Kurs).</w:t>
      </w:r>
    </w:p>
    <w:p>
      <w:pPr>
        <w:pStyle w:val="ListParagraph"/>
        <w:numPr>
          <w:ilvl w:val="0"/>
          <w:numId w:val="1"/>
        </w:numPr>
        <w:spacing w:lineRule="exact" w:line="288" w:before="0" w:after="60"/>
        <w:rPr/>
      </w:pPr>
      <w:r>
        <w:rPr>
          <w:rFonts w:eastAsia="Cambria" w:cs="Cambria"/>
          <w:b/>
          <w:bCs/>
          <w:i w:val="false"/>
          <w:iCs w:val="false"/>
          <w:sz w:val="22"/>
          <w:szCs w:val="22"/>
        </w:rPr>
        <w:t>Nichteinwanderervisum</w:t>
      </w:r>
      <w:r>
        <w:rPr>
          <w:rFonts w:eastAsia="Cambria" w:cs="Cambria"/>
          <w:b w:val="false"/>
          <w:bCs w:val="false"/>
          <w:i w:val="false"/>
          <w:iCs w:val="false"/>
          <w:sz w:val="22"/>
          <w:szCs w:val="22"/>
        </w:rPr>
        <w:t xml:space="preserve"> (H-1B, L-1, F-1, E-2, J-1 und ihre Angehörigen): Nach 18 U.S.C. § 922(g)(5)(B) sind Besitz und Erwerb von Schusswaffen und Munition verboten, und nach § 922(d)(5) darf sie dir niemand verkaufen oder überlassen. Ausnahmen (§ 922(y)) gelten unter anderem bei einer gültigen, in den USA ausgestellten Jagdlizenz oder mit einer Ausnahmegenehmigung des Justizministeriums (</w:t>
      </w:r>
      <w:r>
        <w:rPr>
          <w:rFonts w:eastAsia="Cambria" w:cs="Cambria"/>
          <w:b w:val="false"/>
          <w:bCs w:val="false"/>
          <w:i/>
          <w:iCs/>
          <w:sz w:val="22"/>
          <w:szCs w:val="22"/>
        </w:rPr>
        <w:t>Waiver</w:t>
      </w:r>
      <w:r>
        <w:rPr>
          <w:rFonts w:eastAsia="Cambria" w:cs="Cambria"/>
          <w:b w:val="false"/>
          <w:bCs w:val="false"/>
          <w:i w:val="false"/>
          <w:iCs w:val="false"/>
          <w:sz w:val="22"/>
          <w:szCs w:val="22"/>
        </w:rPr>
        <w:t>). Ein Verstoß ist ein Bundesverbrechen mit bis zu 15 Jahren Haft und beendet fast sicher deinen Aufenthalt.</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Zieht ein Waffenbesitzer in deiner Wohnung oder in deinem Auto etwas ab, kann das als Besitz zählen. Fasse fremde Waffen nicht an, leihe keine aus und nimm auch nichts zur Aufbewahrung an. Ein Probeschießen am Schießstand mit geliehener Waffe ist für Visum-Inhaber eine Grauzone; lass es ohne anwaltliche Klärung. Aus Deutschland mitbringen solltest du Waffen nicht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Wenn du selbst als Green-Card-Inhaber Waffen besitzt: Bewahre Waffe und Munition getrennt und verschlossen auf (Tresor, Abzugsschloss); viele Staaten haben Kinderzugangsgesetze. Bei Verabredungen deiner Kinder ist die Frage „Gibt es bei euch Waffen im Haus, und wie sind sie gesichert?“ üblich, ähnlich wie die Frage nach Nussallergien. Bedanke dich für die Antwort und bewerte sie nicht; ist dir unwohl, trefft ihr euch bei dir oder auf dem Spielplatz. Schulische Sicherheitsübungen: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LGBTQ+: Rechtslage und Sicherheit je nach Bundesstaat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Ehe zählt bundesweit unabhängig vom Geschlecht der Partner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 Darüber hinaus ist die Rechtslage so uneinheitlich wie bei kaum einem anderen Thema in diesem Buch, und sie ändert sich schnell.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Bundesweit einheitlich gelten zwei Dinge: Die Ehe ist seit 2015 in allen Bundesstaaten geöffnet (</w:t>
      </w:r>
      <w:r>
        <w:rPr>
          <w:rFonts w:eastAsia="Cambria" w:cs="Cambria"/>
          <w:b w:val="false"/>
          <w:bCs w:val="false"/>
          <w:i/>
          <w:iCs/>
          <w:sz w:val="22"/>
          <w:szCs w:val="22"/>
        </w:rPr>
        <w:t>Obergefell v. Hodges</w:t>
      </w:r>
      <w:r>
        <w:rPr>
          <w:rFonts w:eastAsia="Cambria" w:cs="Cambria"/>
          <w:b w:val="false"/>
          <w:bCs w:val="false"/>
          <w:i w:val="false"/>
          <w:iCs w:val="false"/>
          <w:sz w:val="22"/>
          <w:szCs w:val="22"/>
        </w:rPr>
        <w:t>), und Kündigung wegen sexueller Orientierung oder Geschlechtsidentität verstößt seit einem Urteil des Obersten Gerichtshofs von 2020 (</w:t>
      </w:r>
      <w:r>
        <w:rPr>
          <w:rFonts w:eastAsia="Cambria" w:cs="Cambria"/>
          <w:b w:val="false"/>
          <w:bCs w:val="false"/>
          <w:i/>
          <w:iCs/>
          <w:sz w:val="22"/>
          <w:szCs w:val="22"/>
        </w:rPr>
        <w:t>Bostock v. Clayton County</w:t>
      </w:r>
      <w:r>
        <w:rPr>
          <w:rFonts w:eastAsia="Cambria" w:cs="Cambria"/>
          <w:b w:val="false"/>
          <w:bCs w:val="false"/>
          <w:i w:val="false"/>
          <w:iCs w:val="false"/>
          <w:sz w:val="22"/>
          <w:szCs w:val="22"/>
        </w:rPr>
        <w:t xml:space="preserve">) gegen das Bundes-Antidiskriminierungsrecht </w:t>
      </w:r>
      <w:r>
        <w:rPr>
          <w:rFonts w:eastAsia="Cambria" w:cs="Cambria"/>
          <w:b w:val="false"/>
          <w:bCs w:val="false"/>
          <w:i/>
          <w:iCs/>
          <w:sz w:val="22"/>
          <w:szCs w:val="22"/>
        </w:rPr>
        <w:t>Title VII</w:t>
      </w:r>
      <w:r>
        <w:rPr>
          <w:rFonts w:eastAsia="Cambria" w:cs="Cambria"/>
          <w:b w:val="false"/>
          <w:bCs w:val="false"/>
          <w:i w:val="false"/>
          <w:iCs w:val="false"/>
          <w:sz w:val="22"/>
          <w:szCs w:val="22"/>
        </w:rPr>
        <w:t xml:space="preserve"> – das gilt bei Arbeitgebern ab 15 Beschäftigten in jedem Bundesstaat.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Alles andere regelt jeder Bundesstaat selbst, und die Unterschiede sind groß. Ob auch Vermieter, Restaurants oder Geschäfte nicht diskriminieren dürfen, legt nur etwa die Hälfte der Bundesstaaten ausdrücklich fest; in der anderen Hälfte greift nur der schmalere Bundesschutz. Einzelne Staaten haben ihre Schutzgesetze zuletzt sogar zurückgenommen: Iowa strich 2025 als erster Bundesstaat den Schutz der Geschlechtsidentität wieder aus seinem Antidiskriminierungsgesetz.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folgenreichsten für Familien ist die medizinische Versorgung trans Jugendlicher. Der Oberste Gerichtshof entschied im Juni 2025 (</w:t>
      </w:r>
      <w:r>
        <w:rPr>
          <w:rFonts w:eastAsia="Cambria" w:cs="Cambria"/>
          <w:b w:val="false"/>
          <w:bCs w:val="false"/>
          <w:i/>
          <w:iCs/>
          <w:sz w:val="22"/>
          <w:szCs w:val="22"/>
        </w:rPr>
        <w:t>United States v. Skrmetti</w:t>
      </w:r>
      <w:r>
        <w:rPr>
          <w:rFonts w:eastAsia="Cambria" w:cs="Cambria"/>
          <w:b w:val="false"/>
          <w:bCs w:val="false"/>
          <w:i w:val="false"/>
          <w:iCs w:val="false"/>
          <w:sz w:val="22"/>
          <w:szCs w:val="22"/>
        </w:rPr>
        <w:t>), dass Bundesstaaten pubertätsblockierende und hormonelle Behandlungen für Minderjährige verbieten dürfen. Rund 25 Staaten haben ein solches Verbot (Stand 2026, zwei davon durch einstweilige Gerichtsbeschlüsse derzeit ausgesetzt); in den übrigen Staaten bleibt die Behandlung zugänglich.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Ziehst du mit einem minderjährigen trans Kind, das bereits in Behandlung ist, entscheidet allein der Bundesstaat, ob diese Behandlung dort fortgesetzt werden darf. Prüfe das für jeden infrage kommenden Wohnort, bevor du unterschreibst, nicht danach.</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den aktuellen Stand je Bundesstaat (Antidiskriminierung, Familienrecht, Gesundheitsversorgung, Schulrecht) führt die überparteiliche Organisation </w:t>
      </w:r>
      <w:r>
        <w:rPr>
          <w:rFonts w:eastAsia="Cambria" w:cs="Cambria"/>
          <w:b w:val="false"/>
          <w:bCs w:val="false"/>
          <w:i/>
          <w:iCs/>
          <w:sz w:val="22"/>
          <w:szCs w:val="22"/>
        </w:rPr>
        <w:t>Movement Advancement Project</w:t>
      </w:r>
      <w:r>
        <w:rPr>
          <w:rFonts w:eastAsia="Cambria" w:cs="Cambria"/>
          <w:b w:val="false"/>
          <w:bCs w:val="false"/>
          <w:i w:val="false"/>
          <w:iCs w:val="false"/>
          <w:sz w:val="22"/>
          <w:szCs w:val="22"/>
        </w:rPr>
        <w:t xml:space="preserve"> eine laufend aktualisierte Übersichtskarte. Bei der Wohnortwahl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und bei Schulentscheidungen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 xml:space="preserve"> und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 lohnt sich ein Blick dorthin, bevor du dich festlegst.</w:t>
      </w:r>
    </w:p>
    <w:p>
      <w:pPr>
        <w:pStyle w:val="Heading3"/>
        <w:keepNext w:val="true"/>
        <w:spacing w:before="280" w:after="100"/>
        <w:jc w:val="center"/>
        <w:rPr/>
      </w:pPr>
      <w:r>
        <w:rPr>
          <w:rFonts w:eastAsia="Amazon Ember" w:cs="Amazon Ember" w:ascii="Amazon Ember" w:hAnsi="Amazon Ember"/>
          <w:b/>
          <w:bCs/>
          <w:color w:val="0000FF"/>
          <w:sz w:val="36"/>
          <w:szCs w:val="36"/>
        </w:rPr>
        <w:t>Kriminalität sachlich und die Wahl des Viertels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Kriminalität schwankt zwischen Städten stark, und innerhalb einer Stadt oft mehr als zwischen Städten: Ein Großteil der Delikte konzentriert sich auf wenige Straßenzüge. Pauschale Urteile über „gefährliche Städte“ helfen dir also nicht, konkrete Kriterien schon:</w:t>
      </w:r>
    </w:p>
    <w:p>
      <w:pPr>
        <w:pStyle w:val="ListParagraph"/>
        <w:numPr>
          <w:ilvl w:val="0"/>
          <w:numId w:val="219"/>
        </w:numPr>
        <w:spacing w:lineRule="exact" w:line="288" w:before="0" w:after="60"/>
        <w:rPr/>
      </w:pPr>
      <w:r>
        <w:rPr>
          <w:rFonts w:eastAsia="Cambria" w:cs="Cambria"/>
          <w:b/>
          <w:bCs/>
          <w:i w:val="false"/>
          <w:iCs w:val="false"/>
          <w:sz w:val="22"/>
          <w:szCs w:val="22"/>
        </w:rPr>
        <w:t>Daten der Adresse:</w:t>
      </w:r>
      <w:r>
        <w:rPr>
          <w:rFonts w:eastAsia="Cambria" w:cs="Cambria"/>
          <w:b w:val="false"/>
          <w:bCs w:val="false"/>
          <w:i w:val="false"/>
          <w:iCs w:val="false"/>
          <w:sz w:val="22"/>
          <w:szCs w:val="22"/>
        </w:rPr>
        <w:t xml:space="preserve"> Viele Polizeibehörden veröffentlichen Kriminalitätskarten; landesweite Zahlen gibt es im FBI Crime Data Explorer (cde.fbi.gov).</w:t>
      </w:r>
    </w:p>
    <w:p>
      <w:pPr>
        <w:pStyle w:val="ListParagraph"/>
        <w:numPr>
          <w:ilvl w:val="0"/>
          <w:numId w:val="220"/>
        </w:numPr>
        <w:spacing w:lineRule="exact" w:line="288" w:before="0" w:after="60"/>
        <w:rPr/>
      </w:pPr>
      <w:r>
        <w:rPr>
          <w:rFonts w:eastAsia="Cambria" w:cs="Cambria"/>
          <w:b/>
          <w:bCs/>
          <w:i w:val="false"/>
          <w:iCs w:val="false"/>
          <w:sz w:val="22"/>
          <w:szCs w:val="22"/>
        </w:rPr>
        <w:t>Sexualstraftäterregister:</w:t>
      </w:r>
      <w:r>
        <w:rPr>
          <w:rFonts w:eastAsia="Cambria" w:cs="Cambria"/>
          <w:b w:val="false"/>
          <w:bCs w:val="false"/>
          <w:i w:val="false"/>
          <w:iCs w:val="false"/>
          <w:sz w:val="22"/>
          <w:szCs w:val="22"/>
        </w:rPr>
        <w:t xml:space="preserve"> Die Website nsopw.gov durchsucht alle Staaten nach registrierten Tätern in Adressnähe.</w:t>
      </w:r>
    </w:p>
    <w:p>
      <w:pPr>
        <w:pStyle w:val="ListParagraph"/>
        <w:numPr>
          <w:ilvl w:val="0"/>
          <w:numId w:val="221"/>
        </w:numPr>
        <w:spacing w:lineRule="exact" w:line="288" w:before="0" w:after="60"/>
        <w:rPr/>
      </w:pPr>
      <w:r>
        <w:rPr>
          <w:rFonts w:eastAsia="Cambria" w:cs="Cambria"/>
          <w:b/>
          <w:bCs/>
          <w:i w:val="false"/>
          <w:iCs w:val="false"/>
          <w:sz w:val="22"/>
          <w:szCs w:val="22"/>
        </w:rPr>
        <w:t>Besuch zu verschiedenen Zeiten:</w:t>
      </w:r>
      <w:r>
        <w:rPr>
          <w:rFonts w:eastAsia="Cambria" w:cs="Cambria"/>
          <w:b w:val="false"/>
          <w:bCs w:val="false"/>
          <w:i w:val="false"/>
          <w:iCs w:val="false"/>
          <w:sz w:val="22"/>
          <w:szCs w:val="22"/>
        </w:rPr>
        <w:t xml:space="preserve"> Werktag, Abend, Wochenende. Achte auf Beleuchtung, Zustand der Gebäude, Leerstand und Verkehr.</w:t>
      </w:r>
    </w:p>
    <w:p>
      <w:pPr>
        <w:pStyle w:val="ListParagraph"/>
        <w:numPr>
          <w:ilvl w:val="0"/>
          <w:numId w:val="222"/>
        </w:numPr>
        <w:spacing w:lineRule="exact" w:line="288" w:before="0" w:after="60"/>
        <w:rPr/>
      </w:pPr>
      <w:r>
        <w:rPr>
          <w:rFonts w:eastAsia="Cambria" w:cs="Cambria"/>
          <w:b/>
          <w:bCs/>
          <w:i w:val="false"/>
          <w:iCs w:val="false"/>
          <w:sz w:val="22"/>
          <w:szCs w:val="22"/>
        </w:rPr>
        <w:t>Nachbarn, Schulen und Vermieter fragen:</w:t>
      </w:r>
      <w:r>
        <w:rPr>
          <w:rFonts w:eastAsia="Cambria" w:cs="Cambria"/>
          <w:b w:val="false"/>
          <w:bCs w:val="false"/>
          <w:i w:val="false"/>
          <w:iCs w:val="false"/>
          <w:sz w:val="22"/>
          <w:szCs w:val="22"/>
        </w:rPr>
        <w:t xml:space="preserve">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xml:space="preserve"> und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w:t>
      </w:r>
    </w:p>
    <w:p>
      <w:pPr>
        <w:pStyle w:val="ListParagraph"/>
        <w:numPr>
          <w:ilvl w:val="0"/>
          <w:numId w:val="223"/>
        </w:numPr>
        <w:spacing w:lineRule="exact" w:line="288" w:before="0" w:after="60"/>
        <w:rPr/>
      </w:pPr>
      <w:r>
        <w:rPr>
          <w:rFonts w:eastAsia="Cambria" w:cs="Cambria"/>
          <w:b/>
          <w:bCs/>
          <w:i w:val="false"/>
          <w:iCs w:val="false"/>
          <w:sz w:val="22"/>
          <w:szCs w:val="22"/>
        </w:rPr>
        <w:t>Eigentumsdelikte einplanen:</w:t>
      </w:r>
      <w:r>
        <w:rPr>
          <w:rFonts w:eastAsia="Cambria" w:cs="Cambria"/>
          <w:b w:val="false"/>
          <w:bCs w:val="false"/>
          <w:i w:val="false"/>
          <w:iCs w:val="false"/>
          <w:sz w:val="22"/>
          <w:szCs w:val="22"/>
        </w:rPr>
        <w:t xml:space="preserve"> Autoaufbrüche und Paketdiebstähle sind häufiger als Gewalt. Lasse nichts sichtbar im Auto, nutze Paketfächer oder Abholstationen.</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Bei einem Überfall gibst du Wertsachen heraus und rufst danach 911; Gegenwehr lohnt selten. Für den seltenen Fall einer Schießerei empfehlen Behörden die Regel </w:t>
      </w:r>
      <w:r>
        <w:rPr>
          <w:rFonts w:eastAsia="Cambria" w:cs="Cambria"/>
          <w:b w:val="false"/>
          <w:bCs w:val="false"/>
          <w:i/>
          <w:iCs/>
          <w:sz w:val="22"/>
          <w:szCs w:val="22"/>
        </w:rPr>
        <w:t>Run, Hide, Fight</w:t>
      </w:r>
      <w:r>
        <w:rPr>
          <w:rFonts w:eastAsia="Cambria" w:cs="Cambria"/>
          <w:b w:val="false"/>
          <w:bCs w:val="false"/>
          <w:i w:val="false"/>
          <w:iCs w:val="false"/>
          <w:sz w:val="22"/>
          <w:szCs w:val="22"/>
        </w:rPr>
        <w:t>: Fluchtweg suchen, sich verstecken, nur im äußersten Notfall wehren. Aufsicht über Kinder: Kapitel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Betrug und Scams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Verbraucherschutzbehörde FTC verzeichnete für 2025 rund 16 Milliarden $ gemeldete Betrugsverluste, etwa ein Viertel mehr als 2024. Am häufigsten sind Imitationen (</w:t>
      </w:r>
      <w:r>
        <w:rPr>
          <w:rFonts w:eastAsia="Cambria" w:cs="Cambria"/>
          <w:b w:val="false"/>
          <w:bCs w:val="false"/>
          <w:i/>
          <w:iCs/>
          <w:sz w:val="22"/>
          <w:szCs w:val="22"/>
        </w:rPr>
        <w:t>Imposter Scams</w:t>
      </w:r>
      <w:r>
        <w:rPr>
          <w:rFonts w:eastAsia="Cambria" w:cs="Cambria"/>
          <w:b w:val="false"/>
          <w:bCs w:val="false"/>
          <w:i w:val="false"/>
          <w:iCs w:val="false"/>
          <w:sz w:val="22"/>
          <w:szCs w:val="22"/>
        </w:rPr>
        <w:t>): Betrüger geben sich als Behörde, Bank oder Firma aus; für Behörden-Imitatoren meldete die FTC rund 920 Millionen $ Verlust. Der größte Schaden entsteht durch Anlagebetrug. Die Muster für Neuankömmlinge (Wohnung, Behördenanruf, Fake-Job, Visa-Berater) stehen in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 dazu kommen:</w:t>
      </w:r>
    </w:p>
    <w:p>
      <w:pPr>
        <w:pStyle w:val="ListParagraph"/>
        <w:numPr>
          <w:ilvl w:val="0"/>
          <w:numId w:val="1"/>
        </w:numPr>
        <w:spacing w:lineRule="exact" w:line="288" w:before="0" w:after="60"/>
        <w:rPr/>
      </w:pPr>
      <w:r>
        <w:rPr>
          <w:rFonts w:eastAsia="Cambria" w:cs="Cambria"/>
          <w:b/>
          <w:bCs/>
          <w:i w:val="false"/>
          <w:iCs w:val="false"/>
          <w:sz w:val="22"/>
          <w:szCs w:val="22"/>
        </w:rPr>
        <w:t>Bank-Alarm:</w:t>
      </w:r>
      <w:r>
        <w:rPr>
          <w:rFonts w:eastAsia="Cambria" w:cs="Cambria"/>
          <w:b w:val="false"/>
          <w:bCs w:val="false"/>
          <w:i w:val="false"/>
          <w:iCs w:val="false"/>
          <w:sz w:val="22"/>
          <w:szCs w:val="22"/>
        </w:rPr>
        <w:t xml:space="preserve"> SMS oder Anruf „verdächtige Abbuchung“, oft mit gefälschter Absendernummer. Lege auf und rufe die Nummer auf deiner Karte an.</w:t>
      </w:r>
    </w:p>
    <w:p>
      <w:pPr>
        <w:pStyle w:val="ListParagraph"/>
        <w:numPr>
          <w:ilvl w:val="0"/>
          <w:numId w:val="1"/>
        </w:numPr>
        <w:spacing w:lineRule="exact" w:line="288" w:before="0" w:after="60"/>
        <w:rPr/>
      </w:pPr>
      <w:r>
        <w:rPr>
          <w:rFonts w:eastAsia="Cambria" w:cs="Cambria"/>
          <w:b/>
          <w:bCs/>
          <w:i w:val="false"/>
          <w:iCs w:val="false"/>
          <w:sz w:val="22"/>
          <w:szCs w:val="22"/>
        </w:rPr>
        <w:t>Maut- und Paket-SMS:</w:t>
      </w:r>
      <w:r>
        <w:rPr>
          <w:rFonts w:eastAsia="Cambria" w:cs="Cambria"/>
          <w:b w:val="false"/>
          <w:bCs w:val="false"/>
          <w:i w:val="false"/>
          <w:iCs w:val="false"/>
          <w:sz w:val="22"/>
          <w:szCs w:val="22"/>
        </w:rPr>
        <w:t xml:space="preserve"> „Offene Mautgebühr“ mit Link, formuliert mit einer Dringlichkeit, die keine echte Behörde je an den Tag legt; öffne ihn nie.</w:t>
      </w:r>
    </w:p>
    <w:p>
      <w:pPr>
        <w:pStyle w:val="ListParagraph"/>
        <w:numPr>
          <w:ilvl w:val="0"/>
          <w:numId w:val="1"/>
        </w:numPr>
        <w:spacing w:lineRule="exact" w:line="288" w:before="0" w:after="60"/>
        <w:rPr/>
      </w:pPr>
      <w:r>
        <w:rPr>
          <w:rFonts w:eastAsia="Cambria" w:cs="Cambria"/>
          <w:b/>
          <w:bCs/>
          <w:i w:val="false"/>
          <w:iCs w:val="false"/>
          <w:sz w:val="22"/>
          <w:szCs w:val="22"/>
        </w:rPr>
        <w:t>Anlage- und Romantikbetrug:</w:t>
      </w:r>
      <w:r>
        <w:rPr>
          <w:rFonts w:eastAsia="Cambria" w:cs="Cambria"/>
          <w:b w:val="false"/>
          <w:bCs w:val="false"/>
          <w:i w:val="false"/>
          <w:iCs w:val="false"/>
          <w:sz w:val="22"/>
          <w:szCs w:val="22"/>
        </w:rPr>
        <w:t xml:space="preserve"> Kontakt über Chat oder Dating-App, dann „sichere Krypto-Anlage“.</w:t>
      </w:r>
    </w:p>
    <w:p>
      <w:pPr>
        <w:pStyle w:val="ListParagraph"/>
        <w:numPr>
          <w:ilvl w:val="0"/>
          <w:numId w:val="1"/>
        </w:numPr>
        <w:spacing w:lineRule="exact" w:line="288" w:before="0" w:after="60"/>
        <w:rPr/>
      </w:pPr>
      <w:r>
        <w:rPr>
          <w:rFonts w:eastAsia="Cambria" w:cs="Cambria"/>
          <w:b/>
          <w:bCs/>
          <w:i w:val="false"/>
          <w:iCs w:val="false"/>
          <w:sz w:val="22"/>
          <w:szCs w:val="22"/>
        </w:rPr>
        <w:t>Schockanruf in Deutschland:</w:t>
      </w:r>
      <w:r>
        <w:rPr>
          <w:rFonts w:eastAsia="Cambria" w:cs="Cambria"/>
          <w:b w:val="false"/>
          <w:bCs w:val="false"/>
          <w:i w:val="false"/>
          <w:iCs w:val="false"/>
          <w:sz w:val="22"/>
          <w:szCs w:val="22"/>
        </w:rPr>
        <w:t xml:space="preserve"> Deine Eltern hören, dass du verhaftet wurdest oder einen Unfall hattest. Vereinbare ein Codewort.</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Regeln:</w:t>
      </w:r>
      <w:r>
        <w:rPr>
          <w:rFonts w:eastAsia="Cambria" w:cs="Cambria"/>
          <w:b w:val="false"/>
          <w:bCs w:val="false"/>
          <w:i w:val="false"/>
          <w:iCs w:val="false"/>
          <w:sz w:val="22"/>
          <w:szCs w:val="22"/>
        </w:rPr>
        <w:t xml:space="preserve"> Zahle nie unter Zeitdruck, nie per Geschenkkarte, Krypto oder Zelle an Unbekannte. Behörden fordern keine SSN am Telefon (Kapitel </w:t>
      </w:r>
      <w:hyperlink w:anchor="k24">
        <w:r>
          <w:rPr>
            <w:rStyle w:val="ListLabel115"/>
            <w:rFonts w:eastAsia="Cambria" w:cs="Cambria"/>
            <w:b w:val="false"/>
            <w:bCs w:val="false"/>
            <w:i w:val="false"/>
            <w:iCs w:val="false"/>
            <w:sz w:val="22"/>
            <w:szCs w:val="22"/>
          </w:rPr>
          <w:t>24</w:t>
        </w:r>
      </w:hyperlink>
      <w:r>
        <w:rPr>
          <w:rFonts w:eastAsia="Cambria" w:cs="Cambria"/>
          <w:b w:val="false"/>
          <w:bCs w:val="false"/>
          <w:i w:val="false"/>
          <w:iCs w:val="false"/>
          <w:sz w:val="22"/>
          <w:szCs w:val="22"/>
        </w:rPr>
        <w:t>). Kreditkarten schützen besser als Überweisungen: Bei unautorisierten Zahlungen begrenzt Bundesrecht die Haftung auf 50 $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 Meldestellen: reportfraud.ftc.gov, bei Identitätsdiebstahl identitytheft.gov.</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Kredit-Freeze bei Equifax, Experian und TransUnion kostet nichts und verhindert, dass Betrüger mit deiner SSN neue Kredite eröffnen. Du hebst ihn für eigene Anträge kurz auf.</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Notfälle: 911 und Krankenwagen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Grundlagen zum Notruf 911 stehen in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 Nenne zuerst den Ort (Straße, Hausnummer, Apartment), dann was passiert, und bleibe in der Leitung: Die Leitstelle gibt Anweisungen, etwa zur Herzdruckmassage. Ohne akute Gefahr wählst du die örtliche Non-Emergency-Nummer der Polizei oder 311. Bei Herzinfarkt, Schlaganfall oder schwerem Unfall ruf den Rettungswagen, statt selbst zu fahren. Ein Krankenwagen (</w:t>
      </w:r>
      <w:r>
        <w:rPr>
          <w:rFonts w:eastAsia="Cambria" w:cs="Cambria"/>
          <w:b w:val="false"/>
          <w:bCs w:val="false"/>
          <w:i/>
          <w:iCs/>
          <w:sz w:val="22"/>
          <w:szCs w:val="22"/>
        </w:rPr>
        <w:t>Ambulance</w:t>
      </w:r>
      <w:r>
        <w:rPr>
          <w:rFonts w:eastAsia="Cambria" w:cs="Cambria"/>
          <w:b w:val="false"/>
          <w:bCs w:val="false"/>
          <w:i w:val="false"/>
          <w:iCs w:val="false"/>
          <w:sz w:val="22"/>
          <w:szCs w:val="22"/>
        </w:rPr>
        <w:t xml:space="preserve">) kostet Geld, oft mehrere hundert bis über tausend Dollar, und der Schutz des </w:t>
      </w:r>
      <w:r>
        <w:rPr>
          <w:rFonts w:eastAsia="Cambria" w:cs="Cambria"/>
          <w:b w:val="false"/>
          <w:bCs w:val="false"/>
          <w:i/>
          <w:iCs/>
          <w:sz w:val="22"/>
          <w:szCs w:val="22"/>
        </w:rPr>
        <w:t>No Surprises Act</w:t>
      </w:r>
      <w:r>
        <w:rPr>
          <w:rFonts w:eastAsia="Cambria" w:cs="Cambria"/>
          <w:b w:val="false"/>
          <w:bCs w:val="false"/>
          <w:i w:val="false"/>
          <w:iCs w:val="false"/>
          <w:sz w:val="22"/>
          <w:szCs w:val="22"/>
        </w:rPr>
        <w:t xml:space="preserve"> gilt nicht für Bodenrettung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Zögere trotzdem nicht: Rechnungen lassen sich verhandeln, Leben nicht.</w:t>
      </w:r>
    </w:p>
    <w:p>
      <w:pPr>
        <w:pStyle w:val="Heading3"/>
        <w:keepNext w:val="true"/>
        <w:spacing w:before="280" w:after="100"/>
        <w:jc w:val="center"/>
        <w:rPr/>
      </w:pPr>
      <w:r>
        <w:rPr>
          <w:rFonts w:eastAsia="Amazon Ember" w:cs="Amazon Ember" w:ascii="Amazon Ember" w:hAnsi="Amazon Ember"/>
          <w:b/>
          <w:bCs/>
          <w:color w:val="0000FF"/>
          <w:sz w:val="36"/>
          <w:szCs w:val="36"/>
        </w:rPr>
        <w:t>Naturkatastrophen und Vorsorge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Welche Gefahr droht, hängt vom Wohnort ab (Orte: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2886"/>
        <w:gridCol w:w="3593"/>
      </w:tblGrid>
      <w:tr>
        <w:trPr>
          <w:tblHeader w:val="true"/>
          <w:cantSplit w:val="true"/>
        </w:trPr>
        <w:tc>
          <w:tcPr>
            <w:tcW w:w="288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Region</w:t>
            </w:r>
          </w:p>
        </w:tc>
        <w:tc>
          <w:tcPr>
            <w:tcW w:w="359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Typische Gefahr</w:t>
            </w:r>
          </w:p>
        </w:tc>
      </w:tr>
      <w:tr>
        <w:trPr>
          <w:cantSplit w:val="true"/>
        </w:trPr>
        <w:tc>
          <w:tcPr>
            <w:tcW w:w="28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Atlantikküste, Carolinas (Raum Raleigh–Durham durch Restzyklone)</w:t>
            </w:r>
          </w:p>
        </w:tc>
        <w:tc>
          <w:tcPr>
            <w:tcW w:w="35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Hurrikane, Überflutung; Saison 1. Juni bis 30. November</w:t>
            </w:r>
          </w:p>
        </w:tc>
      </w:tr>
      <w:tr>
        <w:trPr>
          <w:cantSplit w:val="true"/>
        </w:trPr>
        <w:tc>
          <w:tcPr>
            <w:tcW w:w="28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Michigan, Mittlerer Westen</w:t>
            </w:r>
          </w:p>
        </w:tc>
        <w:tc>
          <w:tcPr>
            <w:tcW w:w="35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Tornados (Frühjahr bis Sommer), Blizzards, Stromausfälle</w:t>
            </w:r>
          </w:p>
        </w:tc>
      </w:tr>
      <w:tr>
        <w:trPr>
          <w:cantSplit w:val="true"/>
        </w:trPr>
        <w:tc>
          <w:tcPr>
            <w:tcW w:w="28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Nordosten (Boston)</w:t>
            </w:r>
          </w:p>
        </w:tc>
        <w:tc>
          <w:tcPr>
            <w:tcW w:w="35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Nor’easter</w:t>
            </w:r>
            <w:r>
              <w:rPr>
                <w:rFonts w:eastAsia="Cambria" w:cs="Cambria"/>
                <w:b w:val="false"/>
                <w:bCs w:val="false"/>
                <w:i w:val="false"/>
                <w:iCs w:val="false"/>
                <w:sz w:val="18"/>
                <w:szCs w:val="18"/>
              </w:rPr>
              <w:t xml:space="preserve"> (Nordoststurm), Schneestürme, Küstenflut</w:t>
            </w:r>
          </w:p>
        </w:tc>
      </w:tr>
      <w:tr>
        <w:trPr>
          <w:cantSplit w:val="true"/>
        </w:trPr>
        <w:tc>
          <w:tcPr>
            <w:tcW w:w="28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Westküste (Seattle)</w:t>
            </w:r>
          </w:p>
        </w:tc>
        <w:tc>
          <w:tcPr>
            <w:tcW w:w="35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Erdbeben, Waldbrände und Rauch im Sommer und Herbst</w:t>
            </w:r>
          </w:p>
        </w:tc>
      </w:tr>
      <w:tr>
        <w:trPr>
          <w:cantSplit w:val="true"/>
        </w:trPr>
        <w:tc>
          <w:tcPr>
            <w:tcW w:w="28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Südwesten (Phoenix)</w:t>
            </w:r>
          </w:p>
        </w:tc>
        <w:tc>
          <w:tcPr>
            <w:tcW w:w="35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Extreme Hitze; Monsun vom 15. Juni bis 30. September mit Staubstürmen und Sturzfluten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Wetterdienst unterscheidet </w:t>
      </w:r>
      <w:r>
        <w:rPr>
          <w:rFonts w:eastAsia="Cambria" w:cs="Cambria"/>
          <w:b w:val="false"/>
          <w:bCs w:val="false"/>
          <w:i/>
          <w:iCs/>
          <w:sz w:val="22"/>
          <w:szCs w:val="22"/>
        </w:rPr>
        <w:t>Watch</w:t>
      </w:r>
      <w:r>
        <w:rPr>
          <w:rFonts w:eastAsia="Cambria" w:cs="Cambria"/>
          <w:b w:val="false"/>
          <w:bCs w:val="false"/>
          <w:i w:val="false"/>
          <w:iCs w:val="false"/>
          <w:sz w:val="22"/>
          <w:szCs w:val="22"/>
        </w:rPr>
        <w:t xml:space="preserve"> (Bedingungen möglich, sei vorbereitet) und </w:t>
      </w:r>
      <w:r>
        <w:rPr>
          <w:rFonts w:eastAsia="Cambria" w:cs="Cambria"/>
          <w:b w:val="false"/>
          <w:bCs w:val="false"/>
          <w:i/>
          <w:iCs/>
          <w:sz w:val="22"/>
          <w:szCs w:val="22"/>
        </w:rPr>
        <w:t>Warning</w:t>
      </w:r>
      <w:r>
        <w:rPr>
          <w:rFonts w:eastAsia="Cambria" w:cs="Cambria"/>
          <w:b w:val="false"/>
          <w:bCs w:val="false"/>
          <w:i w:val="false"/>
          <w:iCs w:val="false"/>
          <w:sz w:val="22"/>
          <w:szCs w:val="22"/>
        </w:rPr>
        <w:t xml:space="preserve"> (Gefahr akut, handle jetzt). Warnungen kommen automatisch als </w:t>
      </w:r>
      <w:r>
        <w:rPr>
          <w:rFonts w:eastAsia="Cambria" w:cs="Cambria"/>
          <w:b w:val="false"/>
          <w:bCs w:val="false"/>
          <w:i/>
          <w:iCs/>
          <w:sz w:val="22"/>
          <w:szCs w:val="22"/>
        </w:rPr>
        <w:t>Wireless Emergency Alert</w:t>
      </w:r>
      <w:r>
        <w:rPr>
          <w:rFonts w:eastAsia="Cambria" w:cs="Cambria"/>
          <w:b w:val="false"/>
          <w:bCs w:val="false"/>
          <w:i w:val="false"/>
          <w:iCs w:val="false"/>
          <w:sz w:val="22"/>
          <w:szCs w:val="22"/>
        </w:rPr>
        <w:t xml:space="preserve"> auf dein Handy, ähnlich dem Cell Broadcast in Deutschland; dazu gibt es weather.gov und das NOAA-Wetterradio. Sinnvoll sind ein Notvorrat für mindestens drei Tage (Wasser: rund 3,8 Liter pro Person und Tag, Nahrung, Medikamente, Taschenlampe, Powerbank, Radio, Bargeld), ein Familienplan mit Treffpunkt und einer Kontaktperson außerhalb der Region sowie Kopien von Pass, I-94 und Green Card in der Cloud. In Küstengebieten kennst du deine Evakuierungszone.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Hochwasser und Erdbeben sind in der Standardpolice der Haus- und Mieterversicherung nicht eingeschlossen. Eine Flutversicherung (staatlich über das NFIP oder privat) hat meist eine Wartefrist von 30 Tagen, und Überflutung gibt es auch außerhalb der Risikozonen. Prüfe das beim Einzug (Kapitel </w:t>
            </w:r>
            <w:hyperlink w:anchor="k14">
              <w:r>
                <w:rPr>
                  <w:rStyle w:val="ListLabel114"/>
                  <w:rFonts w:eastAsia="Cambria" w:cs="Cambria"/>
                  <w:b w:val="false"/>
                  <w:bCs w:val="false"/>
                  <w:i w:val="false"/>
                  <w:iCs w:val="false"/>
                  <w:sz w:val="20"/>
                  <w:szCs w:val="20"/>
                </w:rPr>
                <w:t>14</w:t>
              </w:r>
            </w:hyperlink>
            <w:r>
              <w:rPr>
                <w:rFonts w:eastAsia="Cambria" w:cs="Cambria"/>
                <w:b w:val="false"/>
                <w:bCs w:val="false"/>
                <w:i w:val="false"/>
                <w:iCs w:val="false"/>
                <w:sz w:val="20"/>
                <w:szCs w:val="20"/>
              </w:rPr>
              <w:t xml:space="preserve"> und </w:t>
            </w:r>
            <w:hyperlink w:anchor="k25">
              <w:r>
                <w:rPr>
                  <w:rStyle w:val="ListLabel114"/>
                  <w:rFonts w:eastAsia="Cambria" w:cs="Cambria"/>
                  <w:b w:val="false"/>
                  <w:bCs w:val="false"/>
                  <w:i w:val="false"/>
                  <w:iCs w:val="false"/>
                  <w:sz w:val="20"/>
                  <w:szCs w:val="20"/>
                </w:rPr>
                <w:t>25</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Nach einer Katastrophe setzt die individuelle Hilfe der Katastrophenschutzbehörde FEMA in der Regel Staatsbürgerschaft oder den Status </w:t>
      </w:r>
      <w:r>
        <w:rPr>
          <w:rFonts w:eastAsia="Cambria" w:cs="Cambria"/>
          <w:b w:val="false"/>
          <w:bCs w:val="false"/>
          <w:i/>
          <w:iCs/>
          <w:sz w:val="22"/>
          <w:szCs w:val="22"/>
        </w:rPr>
        <w:t>Qualified Alien</w:t>
      </w:r>
      <w:r>
        <w:rPr>
          <w:rFonts w:eastAsia="Cambria" w:cs="Cambria"/>
          <w:b w:val="false"/>
          <w:bCs w:val="false"/>
          <w:i w:val="false"/>
          <w:iCs w:val="false"/>
          <w:sz w:val="22"/>
          <w:szCs w:val="22"/>
        </w:rPr>
        <w:t xml:space="preserve"> voraus (dazu zählen Green-Card-Inhaber); Inhaber befristeter Visa sind meist nicht antragsberechtigt, für Kinder mit US-Staatsbürgerschaft können Eltern aber Hilfe beantragen (disasterassistance.gov). Notunterkünfte stehen in der Regel allen offen.</w:t>
      </w:r>
    </w:p>
    <w:p>
      <w:pPr>
        <w:pStyle w:val="Heading3"/>
        <w:keepNext w:val="true"/>
        <w:spacing w:before="280" w:after="100"/>
        <w:jc w:val="center"/>
        <w:rPr/>
      </w:pPr>
      <w:r>
        <w:rPr>
          <w:rFonts w:eastAsia="Amazon Ember" w:cs="Amazon Ember" w:ascii="Amazon Ember" w:hAnsi="Amazon Ember"/>
          <w:b/>
          <w:bCs/>
          <w:color w:val="0000FF"/>
          <w:sz w:val="36"/>
          <w:szCs w:val="36"/>
        </w:rPr>
        <w:t>Datenschutz und digitale Sicherheit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Grundlagen zum US-Datenschutz (keine DSGVO, Einzelgesetze und Landesrecht) stehen in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Praktisch: Nenne die SSN nur, wo sie nötig ist. In Staaten wie Kalifornien kannst du Auskunft und Löschung verlangen und dem Verkauf deiner Daten widersprechen („Do Not Sell or Share My Personal Information“). Auf Firmenrechner und Firmen-E-Mail hast du keinen Anspruch auf Privatsphäre. An der Grenze darf CBP Handys und Laptops in einfacher Form ohne Verdacht durchsehen; wer als Visum-Inhaber die Entsperrung verweigert, riskiert die Einreiseverweigerung. Nimm auf Reisen nur mit, was du brauchst. Passwortmanager und Zwei-Faktor-Anmeldung verhindern die meisten Kontoübernahmen.</w:t>
      </w:r>
    </w:p>
    <w:p>
      <w:pPr>
        <w:pStyle w:val="Heading3"/>
        <w:keepNext w:val="true"/>
        <w:spacing w:before="280" w:after="100"/>
        <w:jc w:val="center"/>
        <w:rPr/>
      </w:pPr>
      <w:r>
        <w:rPr>
          <w:rFonts w:eastAsia="Amazon Ember" w:cs="Amazon Ember" w:ascii="Amazon Ember" w:hAnsi="Amazon Ember"/>
          <w:b/>
          <w:bCs/>
          <w:color w:val="0000FF"/>
          <w:sz w:val="36"/>
          <w:szCs w:val="36"/>
        </w:rPr>
        <w:t>Pflichten von Nichtstaatsbürgern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Als Nichtstaatsbürger unterliegst du einigen Pflichten, die es in Deutschland so nicht gibt. Die wichtigsten im Überblick:</w:t>
      </w:r>
    </w:p>
    <w:tbl>
      <w:tblPr>
        <w:tblW w:w="6480" w:type="dxa"/>
        <w:jc w:val="left"/>
        <w:tblInd w:w="0" w:type="dxa"/>
        <w:tblLayout w:type="fixed"/>
        <w:tblCellMar>
          <w:top w:w="50" w:type="dxa"/>
          <w:left w:w="80" w:type="dxa"/>
          <w:bottom w:w="50" w:type="dxa"/>
          <w:right w:w="80" w:type="dxa"/>
        </w:tblCellMar>
      </w:tblPr>
      <w:tblGrid>
        <w:gridCol w:w="1364"/>
        <w:gridCol w:w="1165"/>
        <w:gridCol w:w="1975"/>
        <w:gridCol w:w="1975"/>
      </w:tblGrid>
      <w:tr>
        <w:trPr>
          <w:tblHeader w:val="true"/>
          <w:cantSplit w:val="true"/>
        </w:trPr>
        <w:tc>
          <w:tcPr>
            <w:tcW w:w="136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Pflicht</w:t>
            </w:r>
          </w:p>
        </w:tc>
        <w:tc>
          <w:tcPr>
            <w:tcW w:w="116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Gilt für</w:t>
            </w:r>
          </w:p>
        </w:tc>
        <w:tc>
          <w:tcPr>
            <w:tcW w:w="197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du tun musst</w:t>
            </w:r>
          </w:p>
        </w:tc>
        <w:tc>
          <w:tcPr>
            <w:tcW w:w="197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Folge bei Verstoß</w:t>
            </w:r>
          </w:p>
        </w:tc>
      </w:tr>
      <w:tr>
        <w:trPr>
          <w:cantSplit w:val="true"/>
        </w:trPr>
        <w:tc>
          <w:tcPr>
            <w:tcW w:w="13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Registrierungsnachweis mitführen (8 U.S.C. § 1304(e))</w:t>
            </w:r>
          </w:p>
        </w:tc>
        <w:tc>
          <w:tcPr>
            <w:tcW w:w="1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18 Jahren</w:t>
            </w:r>
          </w:p>
        </w:tc>
        <w:tc>
          <w:tcPr>
            <w:tcW w:w="19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Card im Original; sonst I-94 (Ausdruck oder Handy) mit Pass und Visum bzw. Bescheid I-797A oder EAD</w:t>
            </w:r>
          </w:p>
        </w:tc>
        <w:tc>
          <w:tcPr>
            <w:tcW w:w="19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Vergehen; nach USCIS bis 5.000 $ und/oder 30 Tage Haft</w:t>
            </w:r>
          </w:p>
        </w:tc>
      </w:tr>
      <w:tr>
        <w:trPr>
          <w:cantSplit w:val="true"/>
        </w:trPr>
        <w:tc>
          <w:tcPr>
            <w:tcW w:w="13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Registrierung (Form G-325R)</w:t>
            </w:r>
          </w:p>
        </w:tc>
        <w:tc>
          <w:tcPr>
            <w:tcW w:w="1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14 Jahren, wenn noch nicht registriert</w:t>
            </w:r>
          </w:p>
        </w:tc>
        <w:tc>
          <w:tcPr>
            <w:tcW w:w="19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Wer mit Visum eingereist ist oder Green Card oder EAD hat, gilt als registriert; sonst online mit Biometrie</w:t>
            </w:r>
          </w:p>
        </w:tc>
        <w:tc>
          <w:tcPr>
            <w:tcW w:w="19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Vorsätzliches Unterlassen: bis 5.000 $ und/oder 6 Monate Haft</w:t>
            </w:r>
          </w:p>
        </w:tc>
      </w:tr>
      <w:tr>
        <w:trPr>
          <w:cantSplit w:val="true"/>
        </w:trPr>
        <w:tc>
          <w:tcPr>
            <w:tcW w:w="13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Adressänderung (AR-11)</w:t>
            </w:r>
          </w:p>
        </w:tc>
        <w:tc>
          <w:tcPr>
            <w:tcW w:w="1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Fast alle Nichtstaatsbürger</w:t>
            </w:r>
          </w:p>
        </w:tc>
        <w:tc>
          <w:tcPr>
            <w:tcW w:w="19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Jeden Umzug binnen 10 Tagen online melden (Kapitel </w:t>
            </w:r>
            <w:hyperlink w:anchor="k30">
              <w:r>
                <w:rPr>
                  <w:rStyle w:val="ListLabel112"/>
                  <w:rFonts w:eastAsia="Cambria" w:cs="Cambria"/>
                  <w:b w:val="false"/>
                  <w:bCs w:val="false"/>
                  <w:i w:val="false"/>
                  <w:iCs w:val="false"/>
                  <w:sz w:val="18"/>
                  <w:szCs w:val="18"/>
                </w:rPr>
                <w:t>30</w:t>
              </w:r>
            </w:hyperlink>
            <w:r>
              <w:rPr>
                <w:rFonts w:eastAsia="Cambria" w:cs="Cambria"/>
                <w:b w:val="false"/>
                <w:bCs w:val="false"/>
                <w:i w:val="false"/>
                <w:iCs w:val="false"/>
                <w:sz w:val="18"/>
                <w:szCs w:val="18"/>
              </w:rPr>
              <w:t>)</w:t>
            </w:r>
          </w:p>
        </w:tc>
        <w:tc>
          <w:tcPr>
            <w:tcW w:w="19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 USCIS bis 5.000 $ und/oder 30 Tage Haft; kann Abschiebeverfahren auslösen</w:t>
            </w:r>
          </w:p>
        </w:tc>
      </w:tr>
      <w:tr>
        <w:trPr>
          <w:cantSplit w:val="true"/>
        </w:trPr>
        <w:tc>
          <w:tcPr>
            <w:tcW w:w="13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Wahlverbot</w:t>
            </w:r>
          </w:p>
        </w:tc>
        <w:tc>
          <w:tcPr>
            <w:tcW w:w="1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Alle</w:t>
            </w:r>
          </w:p>
        </w:tc>
        <w:tc>
          <w:tcPr>
            <w:tcW w:w="19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wählen, dich nicht registrieren lassen, dich nie als Staatsbürger ausgeben</w:t>
            </w:r>
          </w:p>
        </w:tc>
        <w:tc>
          <w:tcPr>
            <w:tcW w:w="19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Strafbar; kann Abschiebung und Einreisesperre bedeuten</w:t>
            </w:r>
          </w:p>
        </w:tc>
      </w:tr>
      <w:tr>
        <w:trPr>
          <w:cantSplit w:val="true"/>
        </w:trPr>
        <w:tc>
          <w:tcPr>
            <w:tcW w:w="13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Selective Service</w:t>
            </w:r>
          </w:p>
        </w:tc>
        <w:tc>
          <w:tcPr>
            <w:tcW w:w="1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Männer von 18 bis 25 mit Green Card</w:t>
            </w:r>
          </w:p>
        </w:tc>
        <w:tc>
          <w:tcPr>
            <w:tcW w:w="19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Binnen 30 Tagen nach Einreise oder 18. Geburtstag registrieren</w:t>
            </w:r>
          </w:p>
        </w:tc>
        <w:tc>
          <w:tcPr>
            <w:tcW w:w="19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Nachteile bei Einbürgerung, Bundesjobs, staatlicher Studienhilfe</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Registrierung und Nachweis.</w:t>
      </w:r>
      <w:r>
        <w:rPr>
          <w:rFonts w:eastAsia="Cambria" w:cs="Cambria"/>
          <w:b w:val="false"/>
          <w:bCs w:val="false"/>
          <w:i w:val="false"/>
          <w:iCs w:val="false"/>
          <w:sz w:val="22"/>
          <w:szCs w:val="22"/>
        </w:rPr>
        <w:t xml:space="preserve"> Seit 11. April 2025 müssen Ausländer ab 14 Jahren, die länger als 30 Tage im Land sind und noch nicht registriert wurden, sich online melden. Die Pflicht besteht seit 1940; die Bundesregierung hat ihre Durchsetzung 2025 zur Priorität erklärt. Für dich heißt das: Dein I-94 ist dein Nachweis. Lade es unter i94.cbp.dhs.gov herunter, speichere es auf dem Handy und lege einen Ausdruck in die Brieftasche. Kinder, die 14 werden, müssen laut USCIS binnen 30 Tagen nach dem Geburtstag erneut erfasst werden; frage deine Anwältin, wie das bei deiner Familie läuft.</w:t>
      </w:r>
    </w:p>
    <w:p>
      <w:pPr>
        <w:pStyle w:val="Normal"/>
        <w:keepNext w:val="false"/>
        <w:keepLines w:val="false"/>
        <w:spacing w:lineRule="exact" w:line="288" w:before="0" w:after="140"/>
        <w:jc w:val="left"/>
        <w:rPr/>
      </w:pPr>
      <w:r>
        <w:rPr>
          <w:rFonts w:eastAsia="Cambria" w:cs="Cambria"/>
          <w:b/>
          <w:bCs/>
          <w:i w:val="false"/>
          <w:iCs w:val="false"/>
          <w:sz w:val="22"/>
          <w:szCs w:val="22"/>
        </w:rPr>
        <w:t>Wählen verboten.</w:t>
      </w:r>
      <w:r>
        <w:rPr>
          <w:rFonts w:eastAsia="Cambria" w:cs="Cambria"/>
          <w:b w:val="false"/>
          <w:bCs w:val="false"/>
          <w:i w:val="false"/>
          <w:iCs w:val="false"/>
          <w:sz w:val="22"/>
          <w:szCs w:val="22"/>
        </w:rPr>
        <w:t xml:space="preserve"> Bei Bundeswahlen ist die Stimmabgabe für Nichtstaatsbürger strafbar; auch die Registrierung im Wählerverzeichnis kann Abschiebung nach sich ziehen. Beim Führerscheinantrag im </w:t>
      </w:r>
      <w:r>
        <w:rPr>
          <w:rFonts w:eastAsia="Cambria" w:cs="Cambria"/>
          <w:b w:val="false"/>
          <w:bCs w:val="false"/>
          <w:i/>
          <w:iCs/>
          <w:sz w:val="22"/>
          <w:szCs w:val="22"/>
        </w:rPr>
        <w:t>DMV</w:t>
      </w:r>
      <w:r>
        <w:rPr>
          <w:rFonts w:eastAsia="Cambria" w:cs="Cambria"/>
          <w:b w:val="false"/>
          <w:bCs w:val="false"/>
          <w:i w:val="false"/>
          <w:iCs w:val="false"/>
          <w:sz w:val="22"/>
          <w:szCs w:val="22"/>
        </w:rPr>
        <w:t xml:space="preserve"> wirst du gefragt, ob du dich als Wähler registrieren willst: Kreuze „Nein“ an und lies das Formular genau. Kreuze in keinem Formular (Form I-9, Bewerbung, Wählerverzeichnis) „Staatsbürger“ an; die falsche Behauptung der Staatsbürgerschaft macht dauerhaft unzulässig. Spenden an Kandidaten sind Inhabern befristeter Visa untersagt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Auch zum Geschworenendienst (</w:t>
      </w:r>
      <w:r>
        <w:rPr>
          <w:rFonts w:eastAsia="Cambria" w:cs="Cambria"/>
          <w:b w:val="false"/>
          <w:bCs w:val="false"/>
          <w:i/>
          <w:iCs/>
          <w:sz w:val="22"/>
          <w:szCs w:val="22"/>
        </w:rPr>
        <w:t>Jury Duty</w:t>
      </w:r>
      <w:r>
        <w:rPr>
          <w:rFonts w:eastAsia="Cambria" w:cs="Cambria"/>
          <w:b w:val="false"/>
          <w:bCs w:val="false"/>
          <w:i w:val="false"/>
          <w:iCs w:val="false"/>
          <w:sz w:val="22"/>
          <w:szCs w:val="22"/>
        </w:rPr>
        <w:t>) werden nur Staatsbürger berufen. Kommt eine Ladung, ignoriere sie nicht: Antworte wahrheitsgemäß, dass du kein Staatsbürger bist.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Kreuz an der falschen Stelle im Wählerregister-Formular hat schon Nichtstaatsbürger die Green Card gekostet. Wer irrtümlich registriert wurde, sollte sich mit anwaltlicher Hilfe abmelden, bevor er wählt oder eine Ladung ignoriert.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Selective Service.</w:t>
      </w:r>
      <w:r>
        <w:rPr>
          <w:rFonts w:eastAsia="Cambria" w:cs="Cambria"/>
          <w:b w:val="false"/>
          <w:bCs w:val="false"/>
          <w:i w:val="false"/>
          <w:iCs w:val="false"/>
          <w:sz w:val="22"/>
          <w:szCs w:val="22"/>
        </w:rPr>
        <w:t xml:space="preserve"> Fast alle Männer im Alter von 18 bis 25 müssen sich in einer Datei für den Kriegsfall registrieren, auch Green-Card-Inhaber. Eine Einberufung gibt es seit 1973 nicht. Inhaber befristeter Visa (H-1B, L-1, F-1, J-1 und Angehörige) sind ausgenommen. Ab 18. Dezember 2026 registriert die Behörde Männer laut Gesetz automatisch aus Behördendaten; Details für Nichteinwanderer prüfst du auf sss.gov.</w:t>
      </w:r>
    </w:p>
    <w:p>
      <w:pPr>
        <w:pStyle w:val="Normal"/>
        <w:keepNext w:val="false"/>
        <w:keepLines w:val="false"/>
        <w:spacing w:lineRule="exact" w:line="288" w:before="0" w:after="140"/>
        <w:jc w:val="left"/>
        <w:rPr/>
      </w:pPr>
      <w:r>
        <w:rPr>
          <w:rFonts w:eastAsia="Cambria" w:cs="Cambria"/>
          <w:b/>
          <w:bCs/>
          <w:i w:val="false"/>
          <w:iCs w:val="false"/>
          <w:sz w:val="22"/>
          <w:szCs w:val="22"/>
        </w:rPr>
        <w:t>Sozialleistungen (</w:t>
      </w:r>
      <w:r>
        <w:rPr>
          <w:rFonts w:eastAsia="Cambria" w:cs="Cambria"/>
          <w:b/>
          <w:bCs/>
          <w:i/>
          <w:iCs/>
          <w:sz w:val="22"/>
          <w:szCs w:val="22"/>
        </w:rPr>
        <w:t>Public Charge</w:t>
      </w:r>
      <w:r>
        <w:rPr>
          <w:rFonts w:eastAsia="Cambria" w:cs="Cambria"/>
          <w:b/>
          <w:bCs/>
          <w:i w:val="false"/>
          <w:iCs w:val="false"/>
          <w:sz w:val="22"/>
          <w:szCs w:val="22"/>
        </w:rPr>
        <w:t>).</w:t>
      </w:r>
      <w:r>
        <w:rPr>
          <w:rFonts w:eastAsia="Cambria" w:cs="Cambria"/>
          <w:b w:val="false"/>
          <w:bCs w:val="false"/>
          <w:i w:val="false"/>
          <w:iCs w:val="false"/>
          <w:sz w:val="22"/>
          <w:szCs w:val="22"/>
        </w:rPr>
        <w:t xml:space="preserve"> Für Green-Card-Anträge, die seit 18. September 2026 gestellt werden, bewerten Beamte alle Umstände im Einzelfall. Leistungen wie Medicaid, SNAP (Lebensmittelhilfe) oder Wohngeld, die du danach beziehst, können berücksichtigt werden. Für Beschäftigte mit sicherem Einkommen dürfte das Risiko gering sein; sprich vor einem Antrag mit einer Anwältin, wenn ein Green-Card-Verfahren läuft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xml:space="preserve">,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Verhalten gegenüber Behörden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Zwei Grundsätze: Schweigen ist erlaubt, Lügen nie. Falsche Angaben in Visa-, Green-Card- oder Steuerformularen können als Täuschung (</w:t>
      </w:r>
      <w:r>
        <w:rPr>
          <w:rFonts w:eastAsia="Cambria" w:cs="Cambria"/>
          <w:b w:val="false"/>
          <w:bCs w:val="false"/>
          <w:i/>
          <w:iCs/>
          <w:sz w:val="22"/>
          <w:szCs w:val="22"/>
        </w:rPr>
        <w:t>Misrepresentation</w:t>
      </w:r>
      <w:r>
        <w:rPr>
          <w:rFonts w:eastAsia="Cambria" w:cs="Cambria"/>
          <w:b w:val="false"/>
          <w:bCs w:val="false"/>
          <w:i w:val="false"/>
          <w:iCs w:val="false"/>
          <w:sz w:val="22"/>
          <w:szCs w:val="22"/>
        </w:rPr>
        <w:t>) dauerhaft unzulässig machen; wer einen Bundesbeamten belügt, begeht eine Straftat (18 U.S.C. § 1001). Das gilt auch für falsche Papiere.</w:t>
      </w:r>
    </w:p>
    <w:p>
      <w:pPr>
        <w:pStyle w:val="ListParagraph"/>
        <w:numPr>
          <w:ilvl w:val="0"/>
          <w:numId w:val="1"/>
        </w:numPr>
        <w:spacing w:lineRule="exact" w:line="288" w:before="0" w:after="60"/>
        <w:rPr/>
      </w:pPr>
      <w:r>
        <w:rPr>
          <w:rFonts w:eastAsia="Cambria" w:cs="Cambria"/>
          <w:b w:val="false"/>
          <w:bCs w:val="false"/>
          <w:i w:val="false"/>
          <w:iCs w:val="false"/>
          <w:sz w:val="22"/>
          <w:szCs w:val="22"/>
        </w:rPr>
        <w:t>Bei Fragen nach deinem Status zeigst du deine Dokumente vor (Mitführpflicht). Weitere Fragen beantwortest du nicht, sondern verlangst deinen Anwalt.</w:t>
      </w:r>
    </w:p>
    <w:p>
      <w:pPr>
        <w:pStyle w:val="ListParagraph"/>
        <w:numPr>
          <w:ilvl w:val="0"/>
          <w:numId w:val="1"/>
        </w:numPr>
        <w:spacing w:lineRule="exact" w:line="288" w:before="0" w:after="60"/>
        <w:rPr/>
      </w:pPr>
      <w:r>
        <w:rPr>
          <w:rFonts w:eastAsia="Cambria" w:cs="Cambria"/>
          <w:b w:val="false"/>
          <w:bCs w:val="false"/>
          <w:i w:val="false"/>
          <w:iCs w:val="false"/>
          <w:sz w:val="22"/>
          <w:szCs w:val="22"/>
        </w:rPr>
        <w:t>Unterschreibe nichts, was du nicht verstehst, etwa die Aufgabe der Green Card (</w:t>
      </w:r>
      <w:r>
        <w:rPr>
          <w:rFonts w:eastAsia="Cambria" w:cs="Cambria"/>
          <w:b w:val="false"/>
          <w:bCs w:val="false"/>
          <w:i/>
          <w:iCs/>
          <w:sz w:val="22"/>
          <w:szCs w:val="22"/>
        </w:rPr>
        <w:t>Form I-407</w:t>
      </w:r>
      <w:r>
        <w:rPr>
          <w:rFonts w:eastAsia="Cambria" w:cs="Cambria"/>
          <w:b w:val="false"/>
          <w:bCs w:val="false"/>
          <w:i w:val="false"/>
          <w:iCs w:val="false"/>
          <w:sz w:val="22"/>
          <w:szCs w:val="22"/>
        </w:rPr>
        <w:t>) unter Druck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Beamte dürfen deine Wohnung grundsätzlich nur mit deiner Zustimmung oder mit einem richterlichen Beschluss (</w:t>
      </w:r>
      <w:r>
        <w:rPr>
          <w:rFonts w:eastAsia="Cambria" w:cs="Cambria"/>
          <w:b w:val="false"/>
          <w:bCs w:val="false"/>
          <w:i/>
          <w:iCs/>
          <w:sz w:val="22"/>
          <w:szCs w:val="22"/>
        </w:rPr>
        <w:t>Judicial Warrant</w:t>
      </w:r>
      <w:r>
        <w:rPr>
          <w:rFonts w:eastAsia="Cambria" w:cs="Cambria"/>
          <w:b w:val="false"/>
          <w:bCs w:val="false"/>
          <w:i w:val="false"/>
          <w:iCs w:val="false"/>
          <w:sz w:val="22"/>
          <w:szCs w:val="22"/>
        </w:rPr>
        <w:t>) betreten. Ob ein behördeneigener Haftbefehl (</w:t>
      </w:r>
      <w:r>
        <w:rPr>
          <w:rFonts w:eastAsia="Cambria" w:cs="Cambria"/>
          <w:b w:val="false"/>
          <w:bCs w:val="false"/>
          <w:i/>
          <w:iCs/>
          <w:sz w:val="22"/>
          <w:szCs w:val="22"/>
        </w:rPr>
        <w:t>Administrative Warrant</w:t>
      </w:r>
      <w:r>
        <w:rPr>
          <w:rFonts w:eastAsia="Cambria" w:cs="Cambria"/>
          <w:b w:val="false"/>
          <w:bCs w:val="false"/>
          <w:i w:val="false"/>
          <w:iCs w:val="false"/>
          <w:sz w:val="22"/>
          <w:szCs w:val="22"/>
        </w:rPr>
        <w:t>), wie ihn auch die Einwanderungsbehörde ausstellt, dafür genügt, ist rechtlich umstritten. Öffne im Zweifel nicht, sondern frage durch die Tür nach dem Beschluss und rufe deinen Anwalt an.</w:t>
      </w:r>
    </w:p>
    <w:p>
      <w:pPr>
        <w:pStyle w:val="ListParagraph"/>
        <w:numPr>
          <w:ilvl w:val="0"/>
          <w:numId w:val="1"/>
        </w:numPr>
        <w:spacing w:lineRule="exact" w:line="288" w:before="0" w:after="60"/>
        <w:rPr/>
      </w:pPr>
      <w:r>
        <w:rPr>
          <w:rFonts w:eastAsia="Cambria" w:cs="Cambria"/>
          <w:b w:val="false"/>
          <w:bCs w:val="false"/>
          <w:i w:val="false"/>
          <w:iCs w:val="false"/>
          <w:sz w:val="22"/>
          <w:szCs w:val="22"/>
        </w:rPr>
        <w:t>Trage die Nummer deines Einwanderungsanwalts bei dir und lege für Behördenbriefe (Nachforderungen, Steuerbescheide, Ladungen) eine Fristenliste an. Nicht zu antworten kann ein Verfahren beenden.</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Konsularische Hilfe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Deutschland unterhält die Botschaft in Washington und acht Generalkonsulate (Atlanta, Boston, Chicago, Houston, Los Angeles, Miami, New York, San Francisco); die Zuständigkeit richtet sich nach dem Bundesstaat. Sie helfen bei Erkrankung, Verhaftung, Verbrechen und Passverlust, etwa mit einem Reiseausweis als Passersatz, und stellen auf Wunsch Kontakt zu Angehörigen her. Bei einer Festnahme hast du das Recht, umgehend mit einem Konsularbeamten zu sprechen, ausdrücklich verlangen solltest du es selbst. Nicht zuständig sind sie für Anwaltskosten, Kaution oder Eingriffe in Verfahren, und auch nicht für US-Visa und Einwanderung. Der Notdienst der Botschaft ist außerhalb der Dienstzeiten unter +1 202 298 4000 erreichbar. Trage dich außerdem in die Krisenvorsorgeliste </w:t>
      </w:r>
      <w:r>
        <w:rPr>
          <w:rFonts w:eastAsia="Cambria" w:cs="Cambria"/>
          <w:b w:val="false"/>
          <w:bCs w:val="false"/>
          <w:i/>
          <w:iCs/>
          <w:sz w:val="22"/>
          <w:szCs w:val="22"/>
        </w:rPr>
        <w:t>Elefand</w:t>
      </w:r>
      <w:r>
        <w:rPr>
          <w:rFonts w:eastAsia="Cambria" w:cs="Cambria"/>
          <w:b w:val="false"/>
          <w:bCs w:val="false"/>
          <w:i w:val="false"/>
          <w:iCs w:val="false"/>
          <w:sz w:val="22"/>
          <w:szCs w:val="22"/>
        </w:rPr>
        <w:t xml:space="preserve"> ein, damit das Auswärtige Amt dich bei Krisen erreicht.</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Grundrechte (Schweigen, Anwalt, Durchsuchungsschutz) gelten für alle im Land</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Strafen treffen Nichtstaatsbürger härter, weil der Aufenthalt mitentschieden wird</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Kostenloser Pflichtverteidiger im Strafverfahren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Zivilprozesse sind teuer: jede Seite zahlt ihre Anwälte selbst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Small Claims: günstiger Weg zum Recht, meist ohne Anwalt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 plus 50 Staaten: Waffen, Cannabis und Streitwertgrenzen unterscheiden sich</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Einheitlicher Notruf 911, Warnungen aufs Handy</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Krankenwagen und Katastrophenschäden können teuer werden, Hochwasser und Erdbeben sind extra zu versichern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Kreditkarten und Kredit-Freeze schützen gut vor Missbrauch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Betrug ist häufig, Überweisungen lassen sich kaum zurückholen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Vertretungen helfen bei Festnahme und Notlage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Melde- und Mitführpflichten lassen wenig Spielraum</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Erledige zuerst die Pflichten, die nichts kosten: I-94 sichern, Anwaltsnummer speichern, Freeze einrichten, Versicherung auf Hochwasser prüfen. Sprich mit Familie und Kindern die Regeln bei Polizeikontakt durch. Wenn du Strafanzeige, Vorladung oder Behördenpost bekommst, hole rechtzeitig Rat.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I-94 unter i94.cbp.dhs.gov herunterladen, auf dem Handy speichern und ausdrucken; Green Card im Original bei dir tragen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Nach jedem Umzug binnen 10 Tagen AR-11 einreichen und die Bestätigung speichern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Nummer eines Einwanderungsanwalts im Handy und in der Brieftasche haben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Beim Führerscheinantrag nicht als Wähler registrieren lassen und nie „Staatsbürger“ ankreuzen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Cannabis und Waffen meiden; als Visum-Inhaber keine Waffe leihen, halten oder aufbewahren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Verhalten bei der Verkehrskontrolle und den Anwaltssatz mit Familie üben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Kredit-Freeze bei Equifax, Experian und TransUnion einrichten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Mit den Eltern in Deutschland ein Codewort gegen Schockanrufe vereinbaren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Wetterwarnungen (Wireless Emergency Alerts) aktivieren, Notvorrat und Familienplan anlegen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Flut- und Erdbebenversicherung prüfen; Wartefrist von 30 Tagen beachten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Notdienstnummer der Botschaft (+1 202 298 4000) speichern und dich in die Krisenvorsorgeliste eintragen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Söhnen mit Green Card ab 18 Selective Service prüfen (sss.gov)</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Registrierungspflicht und Mitführen von Dokumenten (</w:t>
      </w:r>
      <w:hyperlink r:id="rId384">
        <w:r>
          <w:rPr>
            <w:rStyle w:val="ListLabel113"/>
            <w:rFonts w:eastAsia="Cambria" w:cs="Cambria"/>
            <w:b w:val="false"/>
            <w:bCs w:val="false"/>
            <w:i w:val="false"/>
            <w:iCs w:val="false"/>
            <w:color w:val="0563C1"/>
            <w:sz w:val="22"/>
            <w:szCs w:val="22"/>
            <w:u w:val="single"/>
          </w:rPr>
          <w:t>uscis.gov/alienregistration</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Adressänderung Form AR-11 (</w:t>
      </w:r>
      <w:hyperlink r:id="rId385">
        <w:r>
          <w:rPr>
            <w:rStyle w:val="ListLabel113"/>
            <w:rFonts w:eastAsia="Cambria" w:cs="Cambria"/>
            <w:b w:val="false"/>
            <w:bCs w:val="false"/>
            <w:i w:val="false"/>
            <w:iCs w:val="false"/>
            <w:color w:val="0563C1"/>
            <w:sz w:val="22"/>
            <w:szCs w:val="22"/>
            <w:u w:val="single"/>
          </w:rPr>
          <w:t>uscis.gov/ar-11</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Selective Service System — Registrierung (</w:t>
      </w:r>
      <w:hyperlink r:id="rId386">
        <w:r>
          <w:rPr>
            <w:rStyle w:val="ListLabel113"/>
            <w:rFonts w:eastAsia="Cambria" w:cs="Cambria"/>
            <w:b w:val="false"/>
            <w:bCs w:val="false"/>
            <w:i w:val="false"/>
            <w:iCs w:val="false"/>
            <w:color w:val="0563C1"/>
            <w:sz w:val="22"/>
            <w:szCs w:val="22"/>
            <w:u w:val="single"/>
          </w:rPr>
          <w:t>sss.gov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Cornell Law School — 18 U.S.C. § 922, Waffen und Nichteinwanderer (</w:t>
      </w:r>
      <w:hyperlink r:id="rId387">
        <w:r>
          <w:rPr>
            <w:rStyle w:val="ListLabel113"/>
            <w:rFonts w:eastAsia="Cambria" w:cs="Cambria"/>
            <w:b w:val="false"/>
            <w:bCs w:val="false"/>
            <w:i w:val="false"/>
            <w:iCs w:val="false"/>
            <w:color w:val="0563C1"/>
            <w:sz w:val="22"/>
            <w:szCs w:val="22"/>
            <w:u w:val="single"/>
          </w:rPr>
          <w:t>law.cornell.edu/uscode/text/18/922</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Movement Advancement Project — Rechtslage für LGBTQ+ je Bundesstaat (</w:t>
      </w:r>
      <w:hyperlink r:id="rId388">
        <w:r>
          <w:rPr>
            <w:rStyle w:val="ListLabel113"/>
            <w:rFonts w:eastAsia="Cambria" w:cs="Cambria"/>
            <w:b w:val="false"/>
            <w:bCs w:val="false"/>
            <w:i w:val="false"/>
            <w:iCs w:val="false"/>
            <w:color w:val="0563C1"/>
            <w:sz w:val="22"/>
            <w:szCs w:val="22"/>
            <w:u w:val="single"/>
          </w:rPr>
          <w:t>mapresearch.org/equality-maps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DEA — Stand der Cannabis-Umstufung (</w:t>
      </w:r>
      <w:hyperlink r:id="rId389">
        <w:r>
          <w:rPr>
            <w:rStyle w:val="ListLabel113"/>
            <w:rFonts w:eastAsia="Cambria" w:cs="Cambria"/>
            <w:b w:val="false"/>
            <w:bCs w:val="false"/>
            <w:i w:val="false"/>
            <w:iCs w:val="false"/>
            <w:color w:val="0563C1"/>
            <w:sz w:val="22"/>
            <w:szCs w:val="22"/>
            <w:u w:val="single"/>
          </w:rPr>
          <w:t>dea.gov/marijuana-rescheduling-regulatory-actions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FTC — Betrug melden und Identitätsdiebstahl (</w:t>
      </w:r>
      <w:hyperlink r:id="rId390">
        <w:r>
          <w:rPr>
            <w:rStyle w:val="ListLabel113"/>
            <w:rFonts w:eastAsia="Cambria" w:cs="Cambria"/>
            <w:b w:val="false"/>
            <w:bCs w:val="false"/>
            <w:i w:val="false"/>
            <w:iCs w:val="false"/>
            <w:color w:val="0563C1"/>
            <w:sz w:val="22"/>
            <w:szCs w:val="22"/>
            <w:u w:val="single"/>
          </w:rPr>
          <w:t>reportfraud.ftc.gov</w:t>
        </w:r>
      </w:hyperlink>
      <w:r>
        <w:rPr>
          <w:rFonts w:eastAsia="Cambria" w:cs="Cambria"/>
          <w:b w:val="false"/>
          <w:bCs w:val="false"/>
          <w:i w:val="false"/>
          <w:iCs w:val="false"/>
          <w:sz w:val="22"/>
          <w:szCs w:val="22"/>
        </w:rPr>
        <w:t xml:space="preserve">, </w:t>
      </w:r>
      <w:hyperlink r:id="rId391">
        <w:r>
          <w:rPr>
            <w:rStyle w:val="ListLabel113"/>
            <w:rFonts w:eastAsia="Cambria" w:cs="Cambria"/>
            <w:b w:val="false"/>
            <w:bCs w:val="false"/>
            <w:i w:val="false"/>
            <w:iCs w:val="false"/>
            <w:color w:val="0563C1"/>
            <w:sz w:val="22"/>
            <w:szCs w:val="22"/>
            <w:u w:val="single"/>
          </w:rPr>
          <w:t>identitytheft.gov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Ready.gov und Wetterdienst — Katastrophenvorsorge und Warnungen (</w:t>
      </w:r>
      <w:hyperlink r:id="rId392">
        <w:r>
          <w:rPr>
            <w:rStyle w:val="ListLabel113"/>
            <w:rFonts w:eastAsia="Cambria" w:cs="Cambria"/>
            <w:b w:val="false"/>
            <w:bCs w:val="false"/>
            <w:i w:val="false"/>
            <w:iCs w:val="false"/>
            <w:color w:val="0563C1"/>
            <w:sz w:val="22"/>
            <w:szCs w:val="22"/>
            <w:u w:val="single"/>
          </w:rPr>
          <w:t>ready.gov</w:t>
        </w:r>
      </w:hyperlink>
      <w:r>
        <w:rPr>
          <w:rFonts w:eastAsia="Cambria" w:cs="Cambria"/>
          <w:b w:val="false"/>
          <w:bCs w:val="false"/>
          <w:i w:val="false"/>
          <w:iCs w:val="false"/>
          <w:sz w:val="22"/>
          <w:szCs w:val="22"/>
        </w:rPr>
        <w:t xml:space="preserve">, </w:t>
      </w:r>
      <w:hyperlink r:id="rId393">
        <w:r>
          <w:rPr>
            <w:rStyle w:val="ListLabel113"/>
            <w:rFonts w:eastAsia="Cambria" w:cs="Cambria"/>
            <w:b w:val="false"/>
            <w:bCs w:val="false"/>
            <w:i w:val="false"/>
            <w:iCs w:val="false"/>
            <w:color w:val="0563C1"/>
            <w:sz w:val="22"/>
            <w:szCs w:val="22"/>
            <w:u w:val="single"/>
          </w:rPr>
          <w:t>weather.gov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Auswärtiges Amt — Hilfe für Deutsche in Notfällen (</w:t>
      </w:r>
      <w:hyperlink r:id="rId394">
        <w:r>
          <w:rPr>
            <w:rStyle w:val="ListLabel113"/>
            <w:rFonts w:eastAsia="Cambria" w:cs="Cambria"/>
            <w:b w:val="false"/>
            <w:bCs w:val="false"/>
            <w:i w:val="false"/>
            <w:iCs w:val="false"/>
            <w:color w:val="0563C1"/>
            <w:sz w:val="22"/>
            <w:szCs w:val="22"/>
            <w:u w:val="single"/>
          </w:rPr>
          <w:t>germany.info/us-de/service/hilfe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ACLU — Rechte beim Filmen von Polizeieinsätzen (</w:t>
      </w:r>
      <w:hyperlink r:id="rId395">
        <w:r>
          <w:rPr>
            <w:rStyle w:val="ListLabel113"/>
            <w:rFonts w:eastAsia="Cambria" w:cs="Cambria"/>
            <w:b w:val="false"/>
            <w:bCs w:val="false"/>
            <w:i w:val="false"/>
            <w:iCs w:val="false"/>
            <w:color w:val="0563C1"/>
            <w:sz w:val="22"/>
            <w:szCs w:val="22"/>
            <w:u w:val="single"/>
          </w:rPr>
          <w:t>aclu.org/know-your-rights/photographers</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schnell: die Registrierungspflicht und ihre Durchsetzung (seit April 2025), die Umstufung von Cannabis (Verfahren läuft), die automatische Selective-Service-Registrierung ab 18. Dezember 2026, die Public-Charge-Regel seit 18. September 2026 sowie Waffen-, Small-Claims- und Datenschutzregeln der Staaten und die Betrugszahlen der FTC. Prüfe vor jeder Entscheidung die offiziellen Seiten und lasse Strafverfahren immer anwaltlich begleiten.</w:t>
            </w:r>
          </w:p>
        </w:tc>
      </w:tr>
    </w:tbl>
    <w:p>
      <w:pPr>
        <w:pStyle w:val="Normal"/>
        <w:spacing w:lineRule="exact" w:line="220" w:before="0" w:after="0"/>
        <w:rPr/>
      </w:pPr>
      <w:r>
        <w:rPr/>
      </w:r>
      <w:r>
        <w:br w:type="page"/>
      </w:r>
    </w:p>
    <w:p>
      <w:pPr>
        <w:pStyle w:val="Heading2"/>
        <w:keepNext w:val="true"/>
        <w:spacing w:before="0" w:after="300"/>
        <w:jc w:val="center"/>
        <w:rPr/>
      </w:pPr>
      <w:bookmarkStart w:id="99" w:name="__RefHeading___Toc56527_3769931028"/>
      <w:bookmarkStart w:id="100" w:name="k41"/>
      <w:bookmarkEnd w:id="99"/>
      <w:r>
        <w:rPr>
          <w:rFonts w:eastAsia="Amazon Ember" w:cs="Amazon Ember" w:ascii="Amazon Ember" w:hAnsi="Amazon Ember"/>
          <w:b/>
          <w:bCs/>
          <w:color w:val="0000FF"/>
          <w:sz w:val="36"/>
          <w:szCs w:val="36"/>
        </w:rPr>
        <w:t>Kapitel 41: Von der Green Card zur Staatsbürgerschaft: Der Doppelpass</w:t>
      </w:r>
      <w:bookmarkEnd w:id="100"/>
    </w:p>
    <w:p>
      <w:pPr>
        <w:pStyle w:val="Normal"/>
        <w:keepNext w:val="false"/>
        <w:keepLines w:val="false"/>
        <w:spacing w:lineRule="exact" w:line="288" w:before="0" w:after="140"/>
        <w:jc w:val="left"/>
        <w:rPr/>
      </w:pPr>
      <w:r>
        <w:rPr>
          <w:rFonts w:eastAsia="Cambria" w:cs="Cambria"/>
          <w:b w:val="false"/>
          <w:bCs w:val="false"/>
          <w:i w:val="false"/>
          <w:iCs w:val="false"/>
          <w:sz w:val="22"/>
          <w:szCs w:val="22"/>
        </w:rPr>
        <w:t>Du landest nach acht Wochen in Deutschland wieder in Detroit, schiebst Pass und Green Card über den Tresen und rechnest still mit: Wie viele Tage war ich im letzten Jahr insgesamt weg? Diese Rechnerei begleitet viele Green-Card-Inhaber, die Familie in Deutschland haben. Die Einbürgerung beendet sie und bringt Wahlrecht, gesicherten Aufenthalt und einen zweiten Pass. Der Preis dafür wird oft erst spät sichtbar: Die US-Steuerpflicht gilt dann lebenslang, auch nach einer Rückkehr nach Deutschland.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Einbürgerung frühestens nach fünf Jahren Green Card (drei bei Ehe mit einem US-Bürger); Jahre mit H-1B zählen nicht. Die Gebühr beträgt 760 $ (Papier) oder 710 $ (online), die Bearbeitung dauert derzeit etwa 8–17,5 Monate.</w:t>
            </w:r>
          </w:p>
          <w:p>
            <w:pPr>
              <w:pStyle w:val="ListParagraph"/>
              <w:numPr>
                <w:ilvl w:val="0"/>
                <w:numId w:val="1"/>
              </w:numPr>
              <w:spacing w:lineRule="exact" w:line="264" w:before="0" w:after="50"/>
              <w:rPr/>
            </w:pPr>
            <w:r>
              <w:rPr>
                <w:rFonts w:eastAsia="Cambria" w:cs="Cambria"/>
                <w:b w:val="false"/>
                <w:bCs w:val="false"/>
                <w:i w:val="false"/>
                <w:iCs w:val="false"/>
                <w:sz w:val="20"/>
                <w:szCs w:val="20"/>
              </w:rPr>
              <w:t>Neu seit Oktober 2025 und August 2026: ein schwererer Staatskundetest (</w:t>
            </w:r>
            <w:r>
              <w:rPr>
                <w:rFonts w:eastAsia="Cambria" w:cs="Cambria"/>
                <w:b w:val="false"/>
                <w:bCs w:val="false"/>
                <w:i/>
                <w:iCs/>
                <w:sz w:val="20"/>
                <w:szCs w:val="20"/>
              </w:rPr>
              <w:t>Civics Test</w:t>
            </w:r>
            <w:r>
              <w:rPr>
                <w:rFonts w:eastAsia="Cambria" w:cs="Cambria"/>
                <w:b w:val="false"/>
                <w:bCs w:val="false"/>
                <w:i w:val="false"/>
                <w:iCs w:val="false"/>
                <w:sz w:val="20"/>
                <w:szCs w:val="20"/>
              </w:rPr>
              <w:t>, 128 Fragen) und Nachbarschaftsermittlungen (</w:t>
            </w:r>
            <w:r>
              <w:rPr>
                <w:rFonts w:eastAsia="Cambria" w:cs="Cambria"/>
                <w:b w:val="false"/>
                <w:bCs w:val="false"/>
                <w:i/>
                <w:iCs/>
                <w:sz w:val="20"/>
                <w:szCs w:val="20"/>
              </w:rPr>
              <w:t>Neighborhood Investigations</w:t>
            </w:r>
            <w:r>
              <w:rPr>
                <w:rFonts w:eastAsia="Cambria" w:cs="Cambria"/>
                <w:b w:val="false"/>
                <w:bCs w:val="false"/>
                <w:i w:val="false"/>
                <w:iCs w:val="false"/>
                <w:sz w:val="20"/>
                <w:szCs w:val="20"/>
              </w:rPr>
              <w:t>).</w:t>
            </w:r>
          </w:p>
          <w:p>
            <w:pPr>
              <w:pStyle w:val="ListParagraph"/>
              <w:numPr>
                <w:ilvl w:val="0"/>
                <w:numId w:val="1"/>
              </w:numPr>
              <w:spacing w:lineRule="exact" w:line="264" w:before="0" w:after="50"/>
              <w:rPr/>
            </w:pPr>
            <w:r>
              <w:rPr>
                <w:rFonts w:eastAsia="Cambria" w:cs="Cambria"/>
                <w:b w:val="false"/>
                <w:bCs w:val="false"/>
                <w:i w:val="false"/>
                <w:iCs w:val="false"/>
                <w:sz w:val="20"/>
                <w:szCs w:val="20"/>
              </w:rPr>
              <w:t>Deutschland erlaubt den Doppelpass seit dem 27. Juni 2024: Du behältst die deutsche Staatsangehörigkeit ohne Genehmigung.</w:t>
            </w:r>
          </w:p>
          <w:p>
            <w:pPr>
              <w:pStyle w:val="ListParagraph"/>
              <w:numPr>
                <w:ilvl w:val="0"/>
                <w:numId w:val="1"/>
              </w:numPr>
              <w:spacing w:lineRule="exact" w:line="264" w:before="0" w:after="50"/>
              <w:rPr/>
            </w:pPr>
            <w:r>
              <w:rPr>
                <w:rFonts w:eastAsia="Cambria" w:cs="Cambria"/>
                <w:b w:val="false"/>
                <w:bCs w:val="false"/>
                <w:i w:val="false"/>
                <w:iCs w:val="false"/>
                <w:sz w:val="20"/>
                <w:szCs w:val="20"/>
              </w:rPr>
              <w:t>Der Preis: lebenslange US-Steuerpflicht, auch in Deutschland. Der Verzicht kostet seit dem 13. April 2026 nur noch 450 $, kann aber die Exit Tax auslösen.</w:t>
            </w:r>
          </w:p>
          <w:p>
            <w:pPr>
              <w:pStyle w:val="ListParagraph"/>
              <w:numPr>
                <w:ilvl w:val="0"/>
                <w:numId w:val="1"/>
              </w:numPr>
              <w:spacing w:lineRule="exact" w:line="264" w:before="0" w:after="50"/>
              <w:rPr/>
            </w:pPr>
            <w:r>
              <w:rPr>
                <w:rFonts w:eastAsia="Cambria" w:cs="Cambria"/>
                <w:b w:val="false"/>
                <w:bCs w:val="false"/>
                <w:i w:val="false"/>
                <w:iCs w:val="false"/>
                <w:sz w:val="20"/>
                <w:szCs w:val="20"/>
              </w:rPr>
              <w:t>Kinder unter 18 mit Green Card werden automatisch US-Bürger, in den USA geborene sind es von Geburt. Deutsche sind sie zugleich, wenn ein Elternteil Deutscher ist.</w:t>
            </w:r>
          </w:p>
          <w:p>
            <w:pPr>
              <w:pStyle w:val="ListParagraph"/>
              <w:numPr>
                <w:ilvl w:val="0"/>
                <w:numId w:val="1"/>
              </w:numPr>
              <w:spacing w:lineRule="exact" w:line="264" w:before="0" w:after="50"/>
              <w:rPr/>
            </w:pPr>
            <w:r>
              <w:rPr>
                <w:rFonts w:eastAsia="Cambria" w:cs="Cambria"/>
                <w:b w:val="false"/>
                <w:bCs w:val="false"/>
                <w:i w:val="false"/>
                <w:iCs w:val="false"/>
                <w:sz w:val="20"/>
                <w:szCs w:val="20"/>
              </w:rPr>
              <w:t>In die USA reist du mit dem US-Pass, nach Deutschland mit dem deutschen.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Voraussetzungen: Wann du den Antrag stellen darfst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Einbürgerung (</w:t>
      </w:r>
      <w:r>
        <w:rPr>
          <w:rFonts w:eastAsia="Cambria" w:cs="Cambria"/>
          <w:b w:val="false"/>
          <w:bCs w:val="false"/>
          <w:i/>
          <w:iCs/>
          <w:sz w:val="22"/>
          <w:szCs w:val="22"/>
        </w:rPr>
        <w:t>Naturalization</w:t>
      </w:r>
      <w:r>
        <w:rPr>
          <w:rFonts w:eastAsia="Cambria" w:cs="Cambria"/>
          <w:b w:val="false"/>
          <w:bCs w:val="false"/>
          <w:i w:val="false"/>
          <w:iCs w:val="false"/>
          <w:sz w:val="22"/>
          <w:szCs w:val="22"/>
        </w:rPr>
        <w:t>) folgt festen Kriterien: Wer sie erfüllt und im Verfahren nichts verschweigt, hat in der Regel einen Anspruch darauf. Verbreiteter Irrtum: Viele rechnen ihre gesamte Zeit im Land zusammen, vom ersten Tag mit H-1B-Visum an. Tatsächlich läuft die Uhr erst ab dem Tag, an dem du Green-Card-Inhaber (</w:t>
      </w:r>
      <w:r>
        <w:rPr>
          <w:rFonts w:eastAsia="Cambria" w:cs="Cambria"/>
          <w:b w:val="false"/>
          <w:bCs w:val="false"/>
          <w:i/>
          <w:iCs/>
          <w:sz w:val="22"/>
          <w:szCs w:val="22"/>
        </w:rPr>
        <w:t>Lawful Permanent Resident</w:t>
      </w:r>
      <w:r>
        <w:rPr>
          <w:rFonts w:eastAsia="Cambria" w:cs="Cambria"/>
          <w:b w:val="false"/>
          <w:bCs w:val="false"/>
          <w:i w:val="false"/>
          <w:iCs w:val="false"/>
          <w:sz w:val="22"/>
          <w:szCs w:val="22"/>
        </w:rPr>
        <w:t xml:space="preserve">, LPR) wirst; das Datum steht auf der Karte als </w:t>
      </w:r>
      <w:r>
        <w:rPr>
          <w:rFonts w:eastAsia="Cambria" w:cs="Cambria"/>
          <w:b w:val="false"/>
          <w:bCs w:val="false"/>
          <w:i/>
          <w:iCs/>
          <w:sz w:val="22"/>
          <w:szCs w:val="22"/>
        </w:rPr>
        <w:t>Resident Since</w:t>
      </w:r>
      <w:r>
        <w:rPr>
          <w:rFonts w:eastAsia="Cambria" w:cs="Cambria"/>
          <w:b w:val="false"/>
          <w:bCs w:val="false"/>
          <w:i w:val="false"/>
          <w:iCs w:val="false"/>
          <w:sz w:val="22"/>
          <w:szCs w:val="22"/>
        </w:rPr>
        <w:t>. Jahre in H-1B, L-1 oder F-1 zählen nicht mit. Dauert der Weg zur Green Card drei bis fünf Jahre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liegt der US-Pass daher frühestens nach etwa acht bis elf Jahren in Reichweite (eigene Schätzung, inklusive Bearbeitungszeit).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Kriterien im Überblick (Stand September 2026):</w:t>
      </w:r>
    </w:p>
    <w:p>
      <w:pPr>
        <w:pStyle w:val="ListParagraph"/>
        <w:numPr>
          <w:ilvl w:val="0"/>
          <w:numId w:val="1"/>
        </w:numPr>
        <w:spacing w:lineRule="exact" w:line="288" w:before="0" w:after="60"/>
        <w:rPr/>
      </w:pPr>
      <w:r>
        <w:rPr>
          <w:rFonts w:eastAsia="Cambria" w:cs="Cambria"/>
          <w:b/>
          <w:bCs/>
          <w:i w:val="false"/>
          <w:iCs w:val="false"/>
          <w:sz w:val="22"/>
          <w:szCs w:val="22"/>
        </w:rPr>
        <w:t>Aufenthalt:</w:t>
      </w:r>
      <w:r>
        <w:rPr>
          <w:rFonts w:eastAsia="Cambria" w:cs="Cambria"/>
          <w:b w:val="false"/>
          <w:bCs w:val="false"/>
          <w:i w:val="false"/>
          <w:iCs w:val="false"/>
          <w:sz w:val="22"/>
          <w:szCs w:val="22"/>
        </w:rPr>
        <w:t xml:space="preserve"> mindestens 18 Jahre alt und fünf Jahre Green Card. Nur drei Jahre gelten, wenn du seit drei Jahren mit einem US-Bürger verheiratet bist und mit ihm zusammenlebst. Den Antrag (Form N-400) darfst du frühestens 90 Tage vor Ablauf dieser Frist stellen.</w:t>
      </w:r>
    </w:p>
    <w:p>
      <w:pPr>
        <w:pStyle w:val="ListParagraph"/>
        <w:numPr>
          <w:ilvl w:val="0"/>
          <w:numId w:val="1"/>
        </w:numPr>
        <w:spacing w:lineRule="exact" w:line="288" w:before="0" w:after="60"/>
        <w:rPr/>
      </w:pPr>
      <w:r>
        <w:rPr>
          <w:rFonts w:eastAsia="Cambria" w:cs="Cambria"/>
          <w:b/>
          <w:bCs/>
          <w:i w:val="false"/>
          <w:iCs w:val="false"/>
          <w:sz w:val="22"/>
          <w:szCs w:val="22"/>
        </w:rPr>
        <w:t>Anwesenheit:</w:t>
      </w:r>
      <w:r>
        <w:rPr>
          <w:rFonts w:eastAsia="Cambria" w:cs="Cambria"/>
          <w:b w:val="false"/>
          <w:bCs w:val="false"/>
          <w:i w:val="false"/>
          <w:iCs w:val="false"/>
          <w:sz w:val="22"/>
          <w:szCs w:val="22"/>
        </w:rPr>
        <w:t xml:space="preserve"> mindestens 30 der 60 Monate physisch in den USA (auf dem Drei-Jahres-Weg 18 von 36), dazu drei Monate in dem Bundesstaat oder Bezirk der Einwanderungsbehörde USCIS, in dem du den Antrag stellst.</w:t>
      </w:r>
    </w:p>
    <w:p>
      <w:pPr>
        <w:pStyle w:val="ListParagraph"/>
        <w:numPr>
          <w:ilvl w:val="0"/>
          <w:numId w:val="1"/>
        </w:numPr>
        <w:spacing w:lineRule="exact" w:line="288" w:before="0" w:after="60"/>
        <w:rPr/>
      </w:pPr>
      <w:r>
        <w:rPr>
          <w:rFonts w:eastAsia="Cambria" w:cs="Cambria"/>
          <w:b/>
          <w:bCs/>
          <w:i w:val="false"/>
          <w:iCs w:val="false"/>
          <w:sz w:val="22"/>
          <w:szCs w:val="22"/>
        </w:rPr>
        <w:t>Ununterbrochener Aufenthalt:</w:t>
      </w:r>
      <w:r>
        <w:rPr>
          <w:rFonts w:eastAsia="Cambria" w:cs="Cambria"/>
          <w:b w:val="false"/>
          <w:bCs w:val="false"/>
          <w:i w:val="false"/>
          <w:iCs w:val="false"/>
          <w:sz w:val="22"/>
          <w:szCs w:val="22"/>
        </w:rPr>
        <w:t xml:space="preserve"> Eine Abwesenheit von mehr als sechs und weniger als zwölf Monaten lässt vermuten, dass du den Aufenthalt unterbrochen hast; mit Belegen (Wohnung, Arbeit, Steuererklärungen in den USA) kannst du das widerlegen. Ab einem Jahr gilt er als unterbrochen, die Uhr beginnt neu. In Sonderfällen kann Form N-470 (420 $) den Aufenthalt schützen; das ist ein Fall für den Einwanderungsanwalt.</w:t>
      </w:r>
    </w:p>
    <w:p>
      <w:pPr>
        <w:pStyle w:val="ListParagraph"/>
        <w:numPr>
          <w:ilvl w:val="0"/>
          <w:numId w:val="1"/>
        </w:numPr>
        <w:spacing w:lineRule="exact" w:line="288" w:before="0" w:after="60"/>
        <w:rPr/>
      </w:pPr>
      <w:r>
        <w:rPr>
          <w:rFonts w:eastAsia="Cambria" w:cs="Cambria"/>
          <w:b/>
          <w:bCs/>
          <w:i w:val="false"/>
          <w:iCs w:val="false"/>
          <w:sz w:val="22"/>
          <w:szCs w:val="22"/>
        </w:rPr>
        <w:t>Englisch und Staatskunde:</w:t>
      </w:r>
      <w:r>
        <w:rPr>
          <w:rFonts w:eastAsia="Cambria" w:cs="Cambria"/>
          <w:b w:val="false"/>
          <w:bCs w:val="false"/>
          <w:i w:val="false"/>
          <w:iCs w:val="false"/>
          <w:sz w:val="22"/>
          <w:szCs w:val="22"/>
        </w:rPr>
        <w:t xml:space="preserve"> Im Interview sprichst du Englisch, liest und schreibst kurze Sätze und beantwortest mündlich Fragen zum Staatskundetest. Für Anträge seit dem 20. Oktober 2025 gilt der neue Test: 128 Fragen im Pool, 20 werden gestellt, 12 müssen stimmen (vorher 100, 10 und 6). Kanzleien berichten von mehr Durchfallern, belegte Quoten fehlen. Wer durchfällt, bekommt in der Regel einen Wiederholungstermin.</w:t>
      </w:r>
    </w:p>
    <w:p>
      <w:pPr>
        <w:pStyle w:val="ListParagraph"/>
        <w:numPr>
          <w:ilvl w:val="0"/>
          <w:numId w:val="1"/>
        </w:numPr>
        <w:spacing w:lineRule="exact" w:line="288" w:before="0" w:after="60"/>
        <w:rPr/>
      </w:pPr>
      <w:r>
        <w:rPr>
          <w:rFonts w:eastAsia="Cambria" w:cs="Cambria"/>
          <w:b/>
          <w:bCs/>
          <w:i w:val="false"/>
          <w:iCs w:val="false"/>
          <w:sz w:val="22"/>
          <w:szCs w:val="22"/>
        </w:rPr>
        <w:t>Charakterliche Eignung (</w:t>
      </w:r>
      <w:r>
        <w:rPr>
          <w:rFonts w:eastAsia="Cambria" w:cs="Cambria"/>
          <w:b/>
          <w:bCs/>
          <w:i/>
          <w:iCs/>
          <w:sz w:val="22"/>
          <w:szCs w:val="22"/>
        </w:rPr>
        <w:t>Good Moral Character</w:t>
      </w:r>
      <w:r>
        <w:rPr>
          <w:rFonts w:eastAsia="Cambria" w:cs="Cambria"/>
          <w:b/>
          <w:bCs/>
          <w:i w:val="false"/>
          <w:iCs w:val="false"/>
          <w:sz w:val="22"/>
          <w:szCs w:val="22"/>
        </w:rPr>
        <w:t>):</w:t>
      </w:r>
      <w:r>
        <w:rPr>
          <w:rFonts w:eastAsia="Cambria" w:cs="Cambria"/>
          <w:b w:val="false"/>
          <w:bCs w:val="false"/>
          <w:i w:val="false"/>
          <w:iCs w:val="false"/>
          <w:sz w:val="22"/>
          <w:szCs w:val="22"/>
        </w:rPr>
        <w:t xml:space="preserve"> Seit einem USCIS-Memo vom 15. August 2025 gilt eine Gesamtschau statt einer Checkliste. Zugunsten zählen Beiträge zu Gemeinde, Familie, Bildung und Steuertreue; Bedenken wecken etwa Verkehrsdelikte und Belästigung. Jede Festnahme und jede Anzeige gehört in den Antrag. Strafrechtliche Folgen für den Status: Kapitel </w:t>
      </w:r>
      <w:hyperlink w:anchor="k40">
        <w:r>
          <w:rPr>
            <w:rStyle w:val="ListLabel115"/>
            <w:rFonts w:eastAsia="Cambria" w:cs="Cambria"/>
            <w:b w:val="false"/>
            <w:bCs w:val="false"/>
            <w:i w:val="false"/>
            <w:iCs w:val="false"/>
            <w:sz w:val="22"/>
            <w:szCs w:val="22"/>
          </w:rPr>
          <w:t>40</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bCs/>
          <w:i w:val="false"/>
          <w:iCs w:val="false"/>
          <w:sz w:val="22"/>
          <w:szCs w:val="22"/>
        </w:rPr>
        <w:t>Verfassungstreue und Eid:</w:t>
      </w:r>
      <w:r>
        <w:rPr>
          <w:rFonts w:eastAsia="Cambria" w:cs="Cambria"/>
          <w:b w:val="false"/>
          <w:bCs w:val="false"/>
          <w:i w:val="false"/>
          <w:iCs w:val="false"/>
          <w:sz w:val="22"/>
          <w:szCs w:val="22"/>
        </w:rPr>
        <w:t xml:space="preserve"> Du bekennst dich zur Verfassung und legst am Ende einen Eid ab.</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Neu seit dem 25. August 2026:</w:t>
      </w:r>
      <w:r>
        <w:rPr>
          <w:rFonts w:eastAsia="Cambria" w:cs="Cambria"/>
          <w:b w:val="false"/>
          <w:bCs w:val="false"/>
          <w:i w:val="false"/>
          <w:iCs w:val="false"/>
          <w:sz w:val="22"/>
          <w:szCs w:val="22"/>
        </w:rPr>
        <w:t xml:space="preserve"> Mit dem Policy Alert PA-2026-10 hat USCIS die seit 1991 übliche Praxis beendet, generell auf solche Ermittlungen zu verzichten, und führt wieder persönliche Ermittlungen im Umfeld der Antragsteller durch (</w:t>
      </w:r>
      <w:r>
        <w:rPr>
          <w:rFonts w:eastAsia="Cambria" w:cs="Cambria"/>
          <w:b w:val="false"/>
          <w:bCs w:val="false"/>
          <w:i/>
          <w:iCs/>
          <w:sz w:val="22"/>
          <w:szCs w:val="22"/>
        </w:rPr>
        <w:t>Neighborhood Investigations</w:t>
      </w:r>
      <w:r>
        <w:rPr>
          <w:rFonts w:eastAsia="Cambria" w:cs="Cambria"/>
          <w:b w:val="false"/>
          <w:bCs w:val="false"/>
          <w:i w:val="false"/>
          <w:iCs w:val="false"/>
          <w:sz w:val="22"/>
          <w:szCs w:val="22"/>
        </w:rPr>
        <w:t>, § 335(a) des Einwanderungsgesetzes INA). Sie gelten auch für laufende Anträge und finden laut Kanzleien meist vor dem Interview statt; im Einzelfall kann USCIS weiterhin darauf verzichten. Du darfst Leumundsschreiben einreichen, am besten von US-Bürgern außerhalb deiner Familie; USCIS berücksichtigt sie bei dieser Entscheidung. Praktisch heißt das: Deine Angaben zu Adressen und Arbeitgebern müssen lückenlos und überprüfbar sein.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Führe ab dem ersten Tag der Green Card ein Reiseprotokoll mit allen Ein- und Ausreisedaten und bewahre alle Steuerbescheide auf; beides fragt USCIS ab. Wer sich in den USA als Nichteinwanderer (</w:t>
            </w:r>
            <w:r>
              <w:rPr>
                <w:rFonts w:eastAsia="Cambria" w:cs="Cambria"/>
                <w:b w:val="false"/>
                <w:bCs w:val="false"/>
                <w:i/>
                <w:iCs/>
                <w:sz w:val="20"/>
                <w:szCs w:val="20"/>
              </w:rPr>
              <w:t>Nonresident</w:t>
            </w:r>
            <w:r>
              <w:rPr>
                <w:rFonts w:eastAsia="Cambria" w:cs="Cambria"/>
                <w:b w:val="false"/>
                <w:bCs w:val="false"/>
                <w:i w:val="false"/>
                <w:iCs w:val="false"/>
                <w:sz w:val="20"/>
                <w:szCs w:val="20"/>
              </w:rPr>
              <w:t>) besteuern lässt, riskiert außerdem, dass dies als Aufgabe der Green Card gewertet wird (Kapitel </w:t>
            </w:r>
            <w:hyperlink w:anchor="k28">
              <w:r>
                <w:rPr>
                  <w:rStyle w:val="ListLabel114"/>
                  <w:rFonts w:eastAsia="Cambria" w:cs="Cambria"/>
                  <w:b w:val="false"/>
                  <w:bCs w:val="false"/>
                  <w:i w:val="false"/>
                  <w:iCs w:val="false"/>
                  <w:sz w:val="20"/>
                  <w:szCs w:val="20"/>
                </w:rPr>
                <w:t>28</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Ablauf, Kosten und Dauer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Weg vom Entschluss bis zum Pass hat sechs Schritte:</w:t>
      </w:r>
    </w:p>
    <w:p>
      <w:pPr>
        <w:pStyle w:val="ListParagraph"/>
        <w:numPr>
          <w:ilvl w:val="0"/>
          <w:numId w:val="224"/>
        </w:numPr>
        <w:spacing w:lineRule="exact" w:line="288" w:before="0" w:after="60"/>
        <w:rPr/>
      </w:pPr>
      <w:r>
        <w:rPr>
          <w:rFonts w:eastAsia="Cambria" w:cs="Cambria"/>
          <w:b/>
          <w:bCs/>
          <w:i w:val="false"/>
          <w:iCs w:val="false"/>
          <w:sz w:val="22"/>
          <w:szCs w:val="22"/>
        </w:rPr>
        <w:t>Unterlagen sammeln:</w:t>
      </w:r>
      <w:r>
        <w:rPr>
          <w:rFonts w:eastAsia="Cambria" w:cs="Cambria"/>
          <w:b w:val="false"/>
          <w:bCs w:val="false"/>
          <w:i w:val="false"/>
          <w:iCs w:val="false"/>
          <w:sz w:val="22"/>
          <w:szCs w:val="22"/>
        </w:rPr>
        <w:t xml:space="preserve"> Green Card, Reiseprotokoll der letzten fünf Jahre, Steuerbescheide, Liste aller Adressen und Arbeitgeber, bei Festnahmen die Gerichtsakten.</w:t>
      </w:r>
    </w:p>
    <w:p>
      <w:pPr>
        <w:pStyle w:val="ListParagraph"/>
        <w:numPr>
          <w:ilvl w:val="0"/>
          <w:numId w:val="225"/>
        </w:numPr>
        <w:spacing w:lineRule="exact" w:line="288" w:before="0" w:after="60"/>
        <w:rPr/>
      </w:pPr>
      <w:r>
        <w:rPr>
          <w:rFonts w:eastAsia="Cambria" w:cs="Cambria"/>
          <w:b/>
          <w:bCs/>
          <w:i w:val="false"/>
          <w:iCs w:val="false"/>
          <w:sz w:val="22"/>
          <w:szCs w:val="22"/>
        </w:rPr>
        <w:t>Antrag stellen:</w:t>
      </w:r>
      <w:r>
        <w:rPr>
          <w:rFonts w:eastAsia="Cambria" w:cs="Cambria"/>
          <w:b w:val="false"/>
          <w:bCs w:val="false"/>
          <w:i w:val="false"/>
          <w:iCs w:val="false"/>
          <w:sz w:val="22"/>
          <w:szCs w:val="22"/>
        </w:rPr>
        <w:t xml:space="preserve"> Form N-400 (</w:t>
      </w:r>
      <w:r>
        <w:rPr>
          <w:rFonts w:eastAsia="Cambria" w:cs="Cambria"/>
          <w:b w:val="false"/>
          <w:bCs w:val="false"/>
          <w:i/>
          <w:iCs/>
          <w:sz w:val="22"/>
          <w:szCs w:val="22"/>
        </w:rPr>
        <w:t>Application for Naturalization</w:t>
      </w:r>
      <w:r>
        <w:rPr>
          <w:rFonts w:eastAsia="Cambria" w:cs="Cambria"/>
          <w:b w:val="false"/>
          <w:bCs w:val="false"/>
          <w:i w:val="false"/>
          <w:iCs w:val="false"/>
          <w:sz w:val="22"/>
          <w:szCs w:val="22"/>
        </w:rPr>
        <w:t>) online im USCIS-Konto oder auf Papier.</w:t>
      </w:r>
    </w:p>
    <w:p>
      <w:pPr>
        <w:pStyle w:val="ListParagraph"/>
        <w:numPr>
          <w:ilvl w:val="0"/>
          <w:numId w:val="226"/>
        </w:numPr>
        <w:spacing w:lineRule="exact" w:line="288" w:before="0" w:after="60"/>
        <w:rPr/>
      </w:pPr>
      <w:r>
        <w:rPr>
          <w:rFonts w:eastAsia="Cambria" w:cs="Cambria"/>
          <w:b/>
          <w:bCs/>
          <w:i w:val="false"/>
          <w:iCs w:val="false"/>
          <w:sz w:val="22"/>
          <w:szCs w:val="22"/>
        </w:rPr>
        <w:t>Biometrie-Termin:</w:t>
      </w:r>
      <w:r>
        <w:rPr>
          <w:rFonts w:eastAsia="Cambria" w:cs="Cambria"/>
          <w:b w:val="false"/>
          <w:bCs w:val="false"/>
          <w:i w:val="false"/>
          <w:iCs w:val="false"/>
          <w:sz w:val="22"/>
          <w:szCs w:val="22"/>
        </w:rPr>
        <w:t xml:space="preserve"> Fingerabdrücke und Foto.</w:t>
      </w:r>
    </w:p>
    <w:p>
      <w:pPr>
        <w:pStyle w:val="ListParagraph"/>
        <w:numPr>
          <w:ilvl w:val="0"/>
          <w:numId w:val="227"/>
        </w:numPr>
        <w:spacing w:lineRule="exact" w:line="288" w:before="0" w:after="60"/>
        <w:rPr/>
      </w:pPr>
      <w:r>
        <w:rPr>
          <w:rFonts w:eastAsia="Cambria" w:cs="Cambria"/>
          <w:b/>
          <w:bCs/>
          <w:i w:val="false"/>
          <w:iCs w:val="false"/>
          <w:sz w:val="22"/>
          <w:szCs w:val="22"/>
        </w:rPr>
        <w:t>Interview</w:t>
      </w:r>
      <w:r>
        <w:rPr>
          <w:rFonts w:eastAsia="Cambria" w:cs="Cambria"/>
          <w:b w:val="false"/>
          <w:bCs w:val="false"/>
          <w:i w:val="false"/>
          <w:iCs w:val="false"/>
          <w:sz w:val="22"/>
          <w:szCs w:val="22"/>
        </w:rPr>
        <w:t xml:space="preserve"> beim örtlichen USCIS-Büro (</w:t>
      </w:r>
      <w:r>
        <w:rPr>
          <w:rFonts w:eastAsia="Cambria" w:cs="Cambria"/>
          <w:b w:val="false"/>
          <w:bCs w:val="false"/>
          <w:i/>
          <w:iCs/>
          <w:sz w:val="22"/>
          <w:szCs w:val="22"/>
        </w:rPr>
        <w:t>Field Office</w:t>
      </w:r>
      <w:r>
        <w:rPr>
          <w:rFonts w:eastAsia="Cambria" w:cs="Cambria"/>
          <w:b w:val="false"/>
          <w:bCs w:val="false"/>
          <w:i w:val="false"/>
          <w:iCs w:val="false"/>
          <w:sz w:val="22"/>
          <w:szCs w:val="22"/>
        </w:rPr>
        <w:t>): Fragen zum Antrag, Englisch- und Staatskundetest.</w:t>
      </w:r>
    </w:p>
    <w:p>
      <w:pPr>
        <w:pStyle w:val="ListParagraph"/>
        <w:numPr>
          <w:ilvl w:val="0"/>
          <w:numId w:val="228"/>
        </w:numPr>
        <w:spacing w:lineRule="exact" w:line="288" w:before="0" w:after="60"/>
        <w:rPr/>
      </w:pPr>
      <w:r>
        <w:rPr>
          <w:rFonts w:eastAsia="Cambria" w:cs="Cambria"/>
          <w:b/>
          <w:bCs/>
          <w:i w:val="false"/>
          <w:iCs w:val="false"/>
          <w:sz w:val="22"/>
          <w:szCs w:val="22"/>
        </w:rPr>
        <w:t>Entscheidung und Eid:</w:t>
      </w:r>
      <w:r>
        <w:rPr>
          <w:rFonts w:eastAsia="Cambria" w:cs="Cambria"/>
          <w:b w:val="false"/>
          <w:bCs w:val="false"/>
          <w:i w:val="false"/>
          <w:iCs w:val="false"/>
          <w:sz w:val="22"/>
          <w:szCs w:val="22"/>
        </w:rPr>
        <w:t xml:space="preserve"> Nach der Genehmigung legst du bei der Vereidigung (</w:t>
      </w:r>
      <w:r>
        <w:rPr>
          <w:rFonts w:eastAsia="Cambria" w:cs="Cambria"/>
          <w:b w:val="false"/>
          <w:bCs w:val="false"/>
          <w:i/>
          <w:iCs/>
          <w:sz w:val="22"/>
          <w:szCs w:val="22"/>
        </w:rPr>
        <w:t>Oath Ceremony</w:t>
      </w:r>
      <w:r>
        <w:rPr>
          <w:rFonts w:eastAsia="Cambria" w:cs="Cambria"/>
          <w:b w:val="false"/>
          <w:bCs w:val="false"/>
          <w:i w:val="false"/>
          <w:iCs w:val="false"/>
          <w:sz w:val="22"/>
          <w:szCs w:val="22"/>
        </w:rPr>
        <w:t>) den Eid ab – oft in einem Saal mit hundert anderen Antragstellern aus ebenso vielen Ländern – und erhältst die Einbürgerungsurkunde (</w:t>
      </w:r>
      <w:r>
        <w:rPr>
          <w:rFonts w:eastAsia="Cambria" w:cs="Cambria"/>
          <w:b w:val="false"/>
          <w:bCs w:val="false"/>
          <w:i/>
          <w:iCs/>
          <w:sz w:val="22"/>
          <w:szCs w:val="22"/>
        </w:rPr>
        <w:t>Certificate of Naturalization</w:t>
      </w:r>
      <w:r>
        <w:rPr>
          <w:rFonts w:eastAsia="Cambria" w:cs="Cambria"/>
          <w:b w:val="false"/>
          <w:bCs w:val="false"/>
          <w:i w:val="false"/>
          <w:iCs w:val="false"/>
          <w:sz w:val="22"/>
          <w:szCs w:val="22"/>
        </w:rPr>
        <w:t>). Erst mit dem Eid bist du US-Bürger.</w:t>
      </w:r>
    </w:p>
    <w:p>
      <w:pPr>
        <w:pStyle w:val="ListParagraph"/>
        <w:numPr>
          <w:ilvl w:val="0"/>
          <w:numId w:val="229"/>
        </w:numPr>
        <w:spacing w:lineRule="exact" w:line="288" w:before="0" w:after="60"/>
        <w:rPr/>
      </w:pPr>
      <w:r>
        <w:rPr>
          <w:rFonts w:eastAsia="Cambria" w:cs="Cambria"/>
          <w:b/>
          <w:bCs/>
          <w:i w:val="false"/>
          <w:iCs w:val="false"/>
          <w:sz w:val="22"/>
          <w:szCs w:val="22"/>
        </w:rPr>
        <w:t>Danach:</w:t>
      </w:r>
      <w:r>
        <w:rPr>
          <w:rFonts w:eastAsia="Cambria" w:cs="Cambria"/>
          <w:b w:val="false"/>
          <w:bCs w:val="false"/>
          <w:i w:val="false"/>
          <w:iCs w:val="false"/>
          <w:sz w:val="22"/>
          <w:szCs w:val="22"/>
        </w:rPr>
        <w:t xml:space="preserve"> US-Pass beantragen (Formular DS-11, Gebühr auf travel.state.gov), die Sozialversicherungsbehörde SSA informieren, dich zum Wählen registrieren.</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N-400 kostet 760 $ auf Papier und 710 $ online (USCIS-Gebührenblatt G-1055, Ausgabe vom 9. September 2026); die Zusatzgebühren des Gesetzes H.R. 1 fallen hier nicht an. Bei einem Haushaltseinkommen bis 400 % der </w:t>
      </w:r>
      <w:r>
        <w:rPr>
          <w:rFonts w:eastAsia="Cambria" w:cs="Cambria"/>
          <w:b w:val="false"/>
          <w:bCs w:val="false"/>
          <w:i/>
          <w:iCs/>
          <w:sz w:val="22"/>
          <w:szCs w:val="22"/>
        </w:rPr>
        <w:t>Federal Poverty Guidelines</w:t>
      </w:r>
      <w:r>
        <w:rPr>
          <w:rFonts w:eastAsia="Cambria" w:cs="Cambria"/>
          <w:b w:val="false"/>
          <w:bCs w:val="false"/>
          <w:i w:val="false"/>
          <w:iCs w:val="false"/>
          <w:sz w:val="22"/>
          <w:szCs w:val="22"/>
        </w:rPr>
        <w:t xml:space="preserve"> (der US-Armutsgrenzen) gilt eine ermäßigte Gebühr von 380 $ (nur Papier); eine Gebührenbefreiung ist möglich, Militärangehörige zahlen nichts. Ein Anwalt ist nicht vorgeschrieben, bei Festnahmen, langen Auslandsaufenthalten oder Steuerproblemen aber sinnvoll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 Die Bearbeitung dauert im September 2026 je nach Field Office etwa 8–17,5 Monate (Auswertungen von Aggregatoren); die Zeit deines Büros zeigt egov.uscis.gov/processing-times.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Online zahlst du 50 $ weniger als auf Papier. Prüfe vor dem Absenden, ob dir die ermäßigte Gebühr von 380 $ oder eine Gebührenbefreiung zusteht.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Doppelte Staatsangehörigkeit: Was Deutschland und die USA sagen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USA verlangen nicht, dass du deine bisherige Staatsangehörigkeit aufgibst. Der Einbürgerungseid enthält zwar eine Formel, mit der du der Treue zu jedem anderen Staat entsagst – sie klingt endgültiger, als sie gemeint ist. Durchgesetzt wird sie nicht als Verlust der deutschen Staatsangehörigkeit: Das Außenministerium (State Department) erkennt Doppelstaatlichkeit an, ohne sie zu fördern.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Deutschland hat die Hürde 2024 beseitigt. Viele denken noch in der alten Rechtslage: Wer sich in den USA einbürgern lässt, verliere automatisch den deutschen Pass. Das galt lange, gilt aber seit 2024 nicht mehr. Das Gesetz zur Modernisierung des Staatsangehörigkeitsrechts vom 22. März 2024 (BGBl. 2024 I Nr. 104) hob § 25 des Staatsangehörigkeitsgesetzes (StAG) auf, der den Verlust bei freiwilligem Erwerb einer fremden Staatsangehörigkeit anordnete. Seit dem 27. Juni 2024 behältst du den deutschen Pass, die frühere Beibehaltungsgenehmigung entfällt. Verlustgründe wie der ausdrückliche Verzicht oder die Rücknahme einer Einbürgerung bleiben bestehen (§ 17 StAG).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Reform wirkt nicht rückwirkend. Wer sich vor dem 27. Juni 2024 in den USA einbürgern ließ, ohne vorher eine Beibehaltungsgenehmigung zu erhalten, hat die deutsche Staatsangehörigkeit damals verloren, und dieser Verlust bleibt wirksam. Ein Wiedererwerb ist über § 13 StAG möglich; kläre ihn mit dem Generalkonsulat oder dem Bundesverwaltungsamt. Das betrifft vor allem Verwandte, die früher ausgewandert sind.</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Green Card und Staatsbürgerschaft im Vergleich</w:t>
      </w:r>
    </w:p>
    <w:tbl>
      <w:tblPr>
        <w:tblW w:w="6480" w:type="dxa"/>
        <w:jc w:val="left"/>
        <w:tblInd w:w="0" w:type="dxa"/>
        <w:tblLayout w:type="fixed"/>
        <w:tblCellMar>
          <w:top w:w="50" w:type="dxa"/>
          <w:left w:w="80" w:type="dxa"/>
          <w:bottom w:w="50" w:type="dxa"/>
          <w:right w:w="80" w:type="dxa"/>
        </w:tblCellMar>
      </w:tblPr>
      <w:tblGrid>
        <w:gridCol w:w="949"/>
        <w:gridCol w:w="2633"/>
        <w:gridCol w:w="2898"/>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
          </w:p>
        </w:tc>
        <w:tc>
          <w:tcPr>
            <w:tcW w:w="263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Green Card</w:t>
            </w:r>
          </w:p>
        </w:tc>
        <w:tc>
          <w:tcPr>
            <w:tcW w:w="289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US-Staatsbürgerschaft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Aufenthalt</w:t>
            </w:r>
          </w:p>
        </w:tc>
        <w:tc>
          <w:tcPr>
            <w:tcW w:w="26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unbefristet, aber verlierbar (Aufgabe, lange Abwesenheit)</w:t>
            </w:r>
          </w:p>
        </w:tc>
        <w:tc>
          <w:tcPr>
            <w:tcW w:w="28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gesichert; Verlust praktisch nur durch Verzicht oder Betrug bei der Einbürgerung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Auslandsaufenthalt</w:t>
            </w:r>
          </w:p>
        </w:tc>
        <w:tc>
          <w:tcPr>
            <w:tcW w:w="26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 6 Monate: Prüfung bei Einreise; ab 1 Jahr Wiedereinreisegenehmigung (</w:t>
            </w:r>
            <w:r>
              <w:rPr>
                <w:rFonts w:eastAsia="Cambria" w:cs="Cambria"/>
                <w:b w:val="false"/>
                <w:bCs w:val="false"/>
                <w:i/>
                <w:iCs/>
                <w:sz w:val="18"/>
                <w:szCs w:val="18"/>
              </w:rPr>
              <w:t>Reentry Permit</w:t>
            </w:r>
            <w:r>
              <w:rPr>
                <w:rFonts w:eastAsia="Cambria" w:cs="Cambria"/>
                <w:b w:val="false"/>
                <w:bCs w:val="false"/>
                <w:i w:val="false"/>
                <w:iCs w:val="false"/>
                <w:sz w:val="18"/>
                <w:szCs w:val="18"/>
              </w:rPr>
              <w:t>, 630 $) nötig</w:t>
            </w:r>
          </w:p>
        </w:tc>
        <w:tc>
          <w:tcPr>
            <w:tcW w:w="28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unbegrenzt möglich</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Wählen</w:t>
            </w:r>
          </w:p>
        </w:tc>
        <w:tc>
          <w:tcPr>
            <w:tcW w:w="26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w:t>
            </w:r>
          </w:p>
        </w:tc>
        <w:tc>
          <w:tcPr>
            <w:tcW w:w="28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in Bund, Bundesstaat und Kommune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Berufe</w:t>
            </w:r>
          </w:p>
        </w:tc>
        <w:tc>
          <w:tcPr>
            <w:tcW w:w="26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fast alle</w:t>
            </w:r>
          </w:p>
        </w:tc>
        <w:tc>
          <w:tcPr>
            <w:tcW w:w="28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alle; auch Stellen mit Staatsbürgerschaftserfordernis (viele Bundesjobs)</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Steuern</w:t>
            </w:r>
          </w:p>
        </w:tc>
        <w:tc>
          <w:tcPr>
            <w:tcW w:w="26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weltweit steuerpflichtig, solange du LPR bist</w:t>
            </w:r>
          </w:p>
        </w:tc>
        <w:tc>
          <w:tcPr>
            <w:tcW w:w="28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weltweit, lebenslang, auch im Ausland</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Pflichten</w:t>
            </w:r>
          </w:p>
        </w:tc>
        <w:tc>
          <w:tcPr>
            <w:tcW w:w="26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Adressmeldung (AR-11), Karte mitführen, Wehrerfassung (</w:t>
            </w:r>
            <w:r>
              <w:rPr>
                <w:rFonts w:eastAsia="Cambria" w:cs="Cambria"/>
                <w:b w:val="false"/>
                <w:bCs w:val="false"/>
                <w:i/>
                <w:iCs/>
                <w:sz w:val="18"/>
                <w:szCs w:val="18"/>
              </w:rPr>
              <w:t>Selective Service</w:t>
            </w:r>
            <w:r>
              <w:rPr>
                <w:rFonts w:eastAsia="Cambria" w:cs="Cambria"/>
                <w:b w:val="false"/>
                <w:bCs w:val="false"/>
                <w:i w:val="false"/>
                <w:iCs w:val="false"/>
                <w:sz w:val="18"/>
                <w:szCs w:val="18"/>
              </w:rPr>
              <w:t>) für Männer 18–25</w:t>
            </w:r>
          </w:p>
        </w:tc>
        <w:tc>
          <w:tcPr>
            <w:tcW w:w="28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Selective Service, Geschworenendienst (</w:t>
            </w:r>
            <w:r>
              <w:rPr>
                <w:rFonts w:eastAsia="Cambria" w:cs="Cambria"/>
                <w:b w:val="false"/>
                <w:bCs w:val="false"/>
                <w:i/>
                <w:iCs/>
                <w:sz w:val="18"/>
                <w:szCs w:val="18"/>
              </w:rPr>
              <w:t>Jury Duty</w:t>
            </w:r>
            <w:r>
              <w:rPr>
                <w:rFonts w:eastAsia="Cambria" w:cs="Cambria"/>
                <w:b w:val="false"/>
                <w:bCs w:val="false"/>
                <w:i w:val="false"/>
                <w:iCs w:val="false"/>
                <w:sz w:val="18"/>
                <w:szCs w:val="18"/>
              </w:rPr>
              <w: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Reisen</w:t>
            </w:r>
          </w:p>
        </w:tc>
        <w:tc>
          <w:tcPr>
            <w:tcW w:w="26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deutscher Pass plus Green Card</w:t>
            </w:r>
          </w:p>
        </w:tc>
        <w:tc>
          <w:tcPr>
            <w:tcW w:w="28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US-Pass für Ein- und Ausreise USA</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Gebühren</w:t>
            </w:r>
          </w:p>
        </w:tc>
        <w:tc>
          <w:tcPr>
            <w:tcW w:w="26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Erneuerung alle 10 Jahre: 465 $ / 415 $ (I-90)</w:t>
            </w:r>
          </w:p>
        </w:tc>
        <w:tc>
          <w:tcPr>
            <w:tcW w:w="28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einmalig 760 $ / 710 $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größte praktische Unterschied betrifft die Familie. Als Bürger holst du Ehepartner, unverheiratete Kinder unter 21 und Eltern (ab deinem 21. Geburtstag) ohne Quote nach (</w:t>
      </w:r>
      <w:r>
        <w:rPr>
          <w:rFonts w:eastAsia="Cambria" w:cs="Cambria"/>
          <w:b w:val="false"/>
          <w:bCs w:val="false"/>
          <w:i/>
          <w:iCs/>
          <w:sz w:val="22"/>
          <w:szCs w:val="22"/>
        </w:rPr>
        <w:t>Immediate Relatives</w:t>
      </w:r>
      <w:r>
        <w:rPr>
          <w:rFonts w:eastAsia="Cambria" w:cs="Cambria"/>
          <w:b w:val="false"/>
          <w:bCs w:val="false"/>
          <w:i w:val="false"/>
          <w:iCs w:val="false"/>
          <w:sz w:val="22"/>
          <w:szCs w:val="22"/>
        </w:rPr>
        <w:t>). Geschwister (Kategorie F4) warten laut Visa Bulletin vom September 2026 auf den Stichtag 22. Oktober 2011, also rund 15 Jahre. Green-Card-Inhaber dürfen nur Ehepartner und unverheiratete Kinder nachholen (Kategorien F2A und F2B).</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US-Staatsbürgerschaft ist der einzige Status, den Jahre im Ausland dir nicht nehmen. Zugleich ist sie der einzige, aus dem du dich nur gegen Gebühr und nach einer Steuerprüfung wieder verabschieden kannst.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Rechnung dahinter: Steuern, Verzicht und Exit Tax</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Als US-Bürger gibst du lebenslang jedes Jahr eine US-Steuererklärung über dein weltweites Einkommen ab, auch wenn du in Deutschland lebst und arbeitest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Das Doppelbesteuerungsabkommen und die Anrechnung deutscher Steuern verhindern meist doppelte Zahlungen; die Meldepflichten für Auslandskonten (FBAR, Form 8938) bleiben, mit einer Green Card zunächst nicht anders. Der Unterschied liegt im Ausstieg: Die Green Card kannst du freiwillig mit Form I-407 aufgeben (0 $,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 die Staatsbürgerschaft nur durch förmlichen Verzicht (</w:t>
      </w:r>
      <w:r>
        <w:rPr>
          <w:rFonts w:eastAsia="Cambria" w:cs="Cambria"/>
          <w:b w:val="false"/>
          <w:bCs w:val="false"/>
          <w:i/>
          <w:iCs/>
          <w:sz w:val="22"/>
          <w:szCs w:val="22"/>
        </w:rPr>
        <w:t>Renunciation</w:t>
      </w:r>
      <w:r>
        <w:rPr>
          <w:rFonts w:eastAsia="Cambria" w:cs="Cambria"/>
          <w:b w:val="false"/>
          <w:bCs w:val="false"/>
          <w:i w:val="false"/>
          <w:iCs w:val="false"/>
          <w:sz w:val="22"/>
          <w:szCs w:val="22"/>
        </w:rPr>
        <w:t xml:space="preserve">). Er erfolgt persönlich vor einem US-Konsularbeamten außerhalb der USA und endet mit der Verlustbescheinigung </w:t>
      </w:r>
      <w:r>
        <w:rPr>
          <w:rFonts w:eastAsia="Cambria" w:cs="Cambria"/>
          <w:b w:val="false"/>
          <w:bCs w:val="false"/>
          <w:i/>
          <w:iCs/>
          <w:sz w:val="22"/>
          <w:szCs w:val="22"/>
        </w:rPr>
        <w:t>Certificate of Loss of Nationality</w:t>
      </w:r>
      <w:r>
        <w:rPr>
          <w:rFonts w:eastAsia="Cambria" w:cs="Cambria"/>
          <w:b w:val="false"/>
          <w:bCs w:val="false"/>
          <w:i w:val="false"/>
          <w:iCs w:val="false"/>
          <w:sz w:val="22"/>
          <w:szCs w:val="22"/>
        </w:rPr>
        <w:t>. Die Gebühr beträgt seit dem 13. April 2026 nur noch 450 $ (vorher 2.350 $).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Teuer wird der Ausstieg nicht durch die Gebühr, sondern durch die Exit Tax (§ 877A des Internal Revenue Code). Betroffen ist, wer die Staatsbürgerschaft aufgibt oder als </w:t>
      </w:r>
      <w:r>
        <w:rPr>
          <w:rFonts w:eastAsia="Cambria" w:cs="Cambria"/>
          <w:b w:val="false"/>
          <w:bCs w:val="false"/>
          <w:i/>
          <w:iCs/>
          <w:sz w:val="22"/>
          <w:szCs w:val="22"/>
        </w:rPr>
        <w:t>Long-term Resident</w:t>
      </w:r>
      <w:r>
        <w:rPr>
          <w:rFonts w:eastAsia="Cambria" w:cs="Cambria"/>
          <w:b w:val="false"/>
          <w:bCs w:val="false"/>
          <w:i w:val="false"/>
          <w:iCs w:val="false"/>
          <w:sz w:val="22"/>
          <w:szCs w:val="22"/>
        </w:rPr>
        <w:t xml:space="preserve"> (Green Card in mindestens 8 der letzten 15 Steuerjahre) den Status beendet und dabei als </w:t>
      </w:r>
      <w:r>
        <w:rPr>
          <w:rFonts w:eastAsia="Cambria" w:cs="Cambria"/>
          <w:b w:val="false"/>
          <w:bCs w:val="false"/>
          <w:i/>
          <w:iCs/>
          <w:sz w:val="22"/>
          <w:szCs w:val="22"/>
        </w:rPr>
        <w:t>Covered Expatriate</w:t>
      </w:r>
      <w:r>
        <w:rPr>
          <w:rFonts w:eastAsia="Cambria" w:cs="Cambria"/>
          <w:b w:val="false"/>
          <w:bCs w:val="false"/>
          <w:i w:val="false"/>
          <w:iCs w:val="false"/>
          <w:sz w:val="22"/>
          <w:szCs w:val="22"/>
        </w:rPr>
        <w:t xml:space="preserve"> (steuerlich erfasster Aussteiger) gilt. Dafür genügt einer von drei Tests (Werte 2026):</w:t>
      </w:r>
    </w:p>
    <w:p>
      <w:pPr>
        <w:pStyle w:val="ListParagraph"/>
        <w:numPr>
          <w:ilvl w:val="0"/>
          <w:numId w:val="1"/>
        </w:numPr>
        <w:spacing w:lineRule="exact" w:line="288" w:before="0" w:after="60"/>
        <w:rPr/>
      </w:pPr>
      <w:r>
        <w:rPr>
          <w:rFonts w:eastAsia="Cambria" w:cs="Cambria"/>
          <w:b w:val="false"/>
          <w:bCs w:val="false"/>
          <w:i w:val="false"/>
          <w:iCs w:val="false"/>
          <w:sz w:val="22"/>
          <w:szCs w:val="22"/>
        </w:rPr>
        <w:t>Die durchschnittliche Einkommensteuer der letzten fünf Jahre liegt über 211.000 $.</w:t>
      </w:r>
    </w:p>
    <w:p>
      <w:pPr>
        <w:pStyle w:val="ListParagraph"/>
        <w:numPr>
          <w:ilvl w:val="0"/>
          <w:numId w:val="1"/>
        </w:numPr>
        <w:spacing w:lineRule="exact" w:line="288" w:before="0" w:after="60"/>
        <w:rPr/>
      </w:pPr>
      <w:r>
        <w:rPr>
          <w:rFonts w:eastAsia="Cambria" w:cs="Cambria"/>
          <w:b w:val="false"/>
          <w:bCs w:val="false"/>
          <w:i w:val="false"/>
          <w:iCs w:val="false"/>
          <w:sz w:val="22"/>
          <w:szCs w:val="22"/>
        </w:rPr>
        <w:t>Das Nettovermögen beträgt mindestens 2 Mio. $.</w:t>
      </w:r>
    </w:p>
    <w:p>
      <w:pPr>
        <w:pStyle w:val="ListParagraph"/>
        <w:numPr>
          <w:ilvl w:val="0"/>
          <w:numId w:val="1"/>
        </w:numPr>
        <w:spacing w:lineRule="exact" w:line="288" w:before="0" w:after="60"/>
        <w:rPr/>
      </w:pPr>
      <w:r>
        <w:rPr>
          <w:rFonts w:eastAsia="Cambria" w:cs="Cambria"/>
          <w:b w:val="false"/>
          <w:bCs w:val="false"/>
          <w:i w:val="false"/>
          <w:iCs w:val="false"/>
          <w:sz w:val="22"/>
          <w:szCs w:val="22"/>
        </w:rPr>
        <w:t>Du kannst nicht nachweisen, dass du in den fünf Vorjahren steuerlich korrekt warst (Form 8854).</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Dann gelten alle Vermögenswerte als am Vortag zum Marktwert verkauft; Gewinne über 910.000 $ (Freibetrag 2026) werden besteuert. Für Altersvorsorge gelten Sonderregeln, für Geschenke und Erbschaften an US-Empfänger eine eigene Steuer (§ 2801). Die Werte werden jährlich angepasst (Rev. Proc. 2025-32). Ob einer der drei Tests bei dir greift, klärt verlässlich nur eine Berechnung vor dem Schritt.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Rechne vor der Einbürgerung, nicht danach. Wer in fünf bis zehn Jahren nach Deutschland zurückwill, hat mit der Green Card den einfacheren Ausgang (Form I-407 statt förmlichem Verzicht), muss aber ab dem achten Green-Card-Jahr ebenfalls mit der Exit-Tax-Prüfung rechnen. Ein Staatsbürger bleibt steuerpflichtig, bis er verzichtet (Kapitel </w:t>
            </w:r>
            <w:hyperlink w:anchor="k42">
              <w:r>
                <w:rPr>
                  <w:rStyle w:val="ListLabel114"/>
                  <w:rFonts w:eastAsia="Cambria" w:cs="Cambria"/>
                  <w:b w:val="false"/>
                  <w:bCs w:val="false"/>
                  <w:i w:val="false"/>
                  <w:iCs w:val="false"/>
                  <w:sz w:val="20"/>
                  <w:szCs w:val="20"/>
                </w:rPr>
                <w:t>42</w:t>
              </w:r>
            </w:hyperlink>
            <w:r>
              <w:rPr>
                <w:rFonts w:eastAsia="Cambria" w:cs="Cambria"/>
                <w:b w:val="false"/>
                <w:bCs w:val="false"/>
                <w:i w:val="false"/>
                <w:iCs w:val="false"/>
                <w:sz w:val="20"/>
                <w:szCs w:val="20"/>
              </w:rPr>
              <w: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Das ist keine Rechts- oder Steuerberatung. Exit Tax, Verzicht und Einbürgerung hängen vom Einzelfall ab. Lass dich vor dem Antrag von einem Einwanderungsanwalt und einer auf US-Auslandsfälle spezialisierten Steuerfachperson (</w:t>
            </w:r>
            <w:r>
              <w:rPr>
                <w:rFonts w:eastAsia="Cambria" w:cs="Cambria"/>
                <w:b w:val="false"/>
                <w:bCs w:val="false"/>
                <w:i/>
                <w:iCs/>
                <w:sz w:val="20"/>
                <w:szCs w:val="20"/>
              </w:rPr>
              <w:t>Certified Public Accountant</w:t>
            </w:r>
            <w:r>
              <w:rPr>
                <w:rFonts w:eastAsia="Cambria" w:cs="Cambria"/>
                <w:b w:val="false"/>
                <w:bCs w:val="false"/>
                <w:i w:val="false"/>
                <w:iCs w:val="false"/>
                <w:sz w:val="20"/>
                <w:szCs w:val="20"/>
              </w:rPr>
              <w:t xml:space="preserve"> oder </w:t>
            </w:r>
            <w:r>
              <w:rPr>
                <w:rFonts w:eastAsia="Cambria" w:cs="Cambria"/>
                <w:b w:val="false"/>
                <w:bCs w:val="false"/>
                <w:i/>
                <w:iCs/>
                <w:sz w:val="20"/>
                <w:szCs w:val="20"/>
              </w:rPr>
              <w:t>Enrolled Agent</w:t>
            </w:r>
            <w:r>
              <w:rPr>
                <w:rFonts w:eastAsia="Cambria" w:cs="Cambria"/>
                <w:b w:val="false"/>
                <w:bCs w:val="false"/>
                <w:i w:val="false"/>
                <w:iCs w:val="false"/>
                <w:sz w:val="20"/>
                <w:szCs w:val="20"/>
              </w:rPr>
              <w:t>) beraten.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Kinder: Wer wann welchen Pass hat</w:t>
      </w:r>
    </w:p>
    <w:p>
      <w:pPr>
        <w:pStyle w:val="Normal"/>
        <w:keepNext w:val="false"/>
        <w:keepLines w:val="false"/>
        <w:spacing w:lineRule="exact" w:line="288" w:before="0" w:after="140"/>
        <w:jc w:val="left"/>
        <w:rPr/>
      </w:pPr>
      <w:r>
        <w:rPr>
          <w:rFonts w:eastAsia="Cambria" w:cs="Cambria"/>
          <w:b/>
          <w:bCs/>
          <w:i w:val="false"/>
          <w:iCs w:val="false"/>
          <w:sz w:val="22"/>
          <w:szCs w:val="22"/>
        </w:rPr>
        <w:t>Geburt in den USA.</w:t>
      </w:r>
      <w:r>
        <w:rPr>
          <w:rFonts w:eastAsia="Cambria" w:cs="Cambria"/>
          <w:b w:val="false"/>
          <w:bCs w:val="false"/>
          <w:i w:val="false"/>
          <w:iCs w:val="false"/>
          <w:sz w:val="22"/>
          <w:szCs w:val="22"/>
        </w:rPr>
        <w:t xml:space="preserve"> Kinder, die in den USA zur Welt kommen, sind US-Bürger von Geburt (14. Zusatzartikel), auch wenn die Eltern nur H-1B-, L-1-, E-2- oder F-1-Status haben. Der Oberste Gerichtshof hat am 30. Juni 2026 in </w:t>
      </w:r>
      <w:r>
        <w:rPr>
          <w:rFonts w:eastAsia="Cambria" w:cs="Cambria"/>
          <w:b w:val="false"/>
          <w:bCs w:val="false"/>
          <w:i/>
          <w:iCs/>
          <w:sz w:val="22"/>
          <w:szCs w:val="22"/>
        </w:rPr>
        <w:t>Trump v. Barbara</w:t>
      </w:r>
      <w:r>
        <w:rPr>
          <w:rFonts w:eastAsia="Cambria" w:cs="Cambria"/>
          <w:b w:val="false"/>
          <w:bCs w:val="false"/>
          <w:i w:val="false"/>
          <w:iCs w:val="false"/>
          <w:sz w:val="22"/>
          <w:szCs w:val="22"/>
        </w:rPr>
        <w:t xml:space="preserve"> (Nr. 25-365) die </w:t>
      </w:r>
      <w:r>
        <w:rPr>
          <w:rFonts w:eastAsia="Cambria" w:cs="Cambria"/>
          <w:b w:val="false"/>
          <w:bCs w:val="false"/>
          <w:i/>
          <w:iCs/>
          <w:sz w:val="22"/>
          <w:szCs w:val="22"/>
        </w:rPr>
        <w:t>Executive Order</w:t>
      </w:r>
      <w:r>
        <w:rPr>
          <w:rFonts w:eastAsia="Cambria" w:cs="Cambria"/>
          <w:b w:val="false"/>
          <w:bCs w:val="false"/>
          <w:i w:val="false"/>
          <w:iCs w:val="false"/>
          <w:sz w:val="22"/>
          <w:szCs w:val="22"/>
        </w:rPr>
        <w:t xml:space="preserve"> 14160 (einen Präsidentenerlass), die das ändern sollte, für verfassungswidrig erklärt. Zwei neue Erlasse vom 6. August 2026 richten sich nach Angaben von Kanzleien gegen eng gefasste Gruppen (etwa Geburtstourismus) und erfassen Kinder von Eltern mit Arbeitsvisum oder Green Card nicht; Klagen laufen. Ein Bundesgericht in Maryland (</w:t>
      </w:r>
      <w:r>
        <w:rPr>
          <w:rFonts w:eastAsia="Cambria" w:cs="Cambria"/>
          <w:b w:val="false"/>
          <w:bCs w:val="false"/>
          <w:i/>
          <w:iCs/>
          <w:sz w:val="22"/>
          <w:szCs w:val="22"/>
        </w:rPr>
        <w:t>Casa Inc. v. Trump</w:t>
      </w:r>
      <w:r>
        <w:rPr>
          <w:rFonts w:eastAsia="Cambria" w:cs="Cambria"/>
          <w:b w:val="false"/>
          <w:bCs w:val="false"/>
          <w:i w:val="false"/>
          <w:iCs w:val="false"/>
          <w:sz w:val="22"/>
          <w:szCs w:val="22"/>
        </w:rPr>
        <w:t>) hat am 2. September 2026 eine einstweilige Verfügung erlassen, die die Durchsetzung des ersten der beiden Erlasse (Executive Order 14418) gegen die im ursprünglichen Verfahren geschützte Klägergruppe vorerst untersagt; die Regierung hat Berufung angekündigt. Die Einzelheiten stehen in Kapitel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Die deutsche Seite.</w:t>
      </w:r>
      <w:r>
        <w:rPr>
          <w:rFonts w:eastAsia="Cambria" w:cs="Cambria"/>
          <w:b w:val="false"/>
          <w:bCs w:val="false"/>
          <w:i w:val="false"/>
          <w:iCs w:val="false"/>
          <w:sz w:val="22"/>
          <w:szCs w:val="22"/>
        </w:rPr>
        <w:t xml:space="preserve"> Ein Kind mit einem deutschen Elternteil ist von Geburt deutsch (§ 4 Abs. 1 StAG), auch bei Geburt in den USA. Den Nachweis holst du über die Beurkundung der Auslandsgeburt (§ 36 Personenstandsgesetz), in der Regel über das Konsulat: 80 € Gebühr plus 12 € für die Geburtsurkunde (germany.info, Stand prüfen). Zuständig ist das Standesamt deines letzten deutschen Wohnsitzes, sonst das Standesamt I Berlin, das laut germany.info mindestens drei Jahre braucht. Einen Reisepass für das Kind kannst du früher beantragen (Vorgehen mit dem Konsulat klären).</w:t>
      </w:r>
    </w:p>
    <w:p>
      <w:pPr>
        <w:pStyle w:val="Normal"/>
        <w:keepNext w:val="false"/>
        <w:keepLines w:val="false"/>
        <w:spacing w:lineRule="exact" w:line="288" w:before="0" w:after="140"/>
        <w:jc w:val="left"/>
        <w:rPr/>
      </w:pPr>
      <w:r>
        <w:rPr>
          <w:rFonts w:eastAsia="Cambria" w:cs="Cambria"/>
          <w:b/>
          <w:bCs/>
          <w:i w:val="false"/>
          <w:iCs w:val="false"/>
          <w:sz w:val="22"/>
          <w:szCs w:val="22"/>
        </w:rPr>
        <w:t>Der Generationenschnitt</w:t>
      </w:r>
      <w:r>
        <w:rPr>
          <w:rFonts w:eastAsia="Cambria" w:cs="Cambria"/>
          <w:b w:val="false"/>
          <w:bCs w:val="false"/>
          <w:i w:val="false"/>
          <w:iCs w:val="false"/>
          <w:sz w:val="22"/>
          <w:szCs w:val="22"/>
        </w:rPr>
        <w:t xml:space="preserve"> (§ 4 Abs. 4 StAG) trifft erst die nächste Generation. Ist der deutsche Elternteil nach dem 31. Dezember 1999 im Ausland geboren und lebt dort, wird ein im Ausland geborenes Kind nur dann Deutsches, wenn die Beurkundung der Geburt binnen eines Jahres beantragt wird; der Eingang bei der Auslandsvertretung wahrt die Frist. Für dich als in Deutschland Geborenen gilt das nicht. Erst wenn dein in Michigan geborenes Kind später selbst im Ausland Kinder bekommt, ist die Jahresfrist zu beachten; wer sie versäumt, hat für dieses Kind keinen Automatismus mehr.</w:t>
      </w:r>
    </w:p>
    <w:p>
      <w:pPr>
        <w:pStyle w:val="Normal"/>
        <w:keepNext w:val="false"/>
        <w:keepLines w:val="false"/>
        <w:spacing w:lineRule="exact" w:line="288" w:before="0" w:after="140"/>
        <w:jc w:val="left"/>
        <w:rPr/>
      </w:pPr>
      <w:r>
        <w:rPr>
          <w:rFonts w:eastAsia="Cambria" w:cs="Cambria"/>
          <w:b/>
          <w:bCs/>
          <w:i w:val="false"/>
          <w:iCs w:val="false"/>
          <w:sz w:val="22"/>
          <w:szCs w:val="22"/>
        </w:rPr>
        <w:t>Kinder mit Green Card und Kinder im Ausland.</w:t>
      </w:r>
      <w:r>
        <w:rPr>
          <w:rFonts w:eastAsia="Cambria" w:cs="Cambria"/>
          <w:b w:val="false"/>
          <w:bCs w:val="false"/>
          <w:i w:val="false"/>
          <w:iCs w:val="false"/>
          <w:sz w:val="22"/>
          <w:szCs w:val="22"/>
        </w:rPr>
        <w:t xml:space="preserve"> Nach dem </w:t>
      </w:r>
      <w:r>
        <w:rPr>
          <w:rFonts w:eastAsia="Cambria" w:cs="Cambria"/>
          <w:b w:val="false"/>
          <w:bCs w:val="false"/>
          <w:i/>
          <w:iCs/>
          <w:sz w:val="22"/>
          <w:szCs w:val="22"/>
        </w:rPr>
        <w:t>Child Citizenship Act</w:t>
      </w:r>
      <w:r>
        <w:rPr>
          <w:rFonts w:eastAsia="Cambria" w:cs="Cambria"/>
          <w:b w:val="false"/>
          <w:bCs w:val="false"/>
          <w:i w:val="false"/>
          <w:iCs w:val="false"/>
          <w:sz w:val="22"/>
          <w:szCs w:val="22"/>
        </w:rPr>
        <w:t xml:space="preserve"> (8 U.S.C. § 1431) wird ein Kind mit Green Card automatisch US-Bürger, wenn es unter 18 ist und in der Obhut eines Elternteils lebt, der US-Bürger ist oder wird. Ab 18 gilt das nicht mehr; dann stellt das Kind seinen eigenen Antrag. Kommt später ein Kind im Ausland (etwa in Deutschland) zur Welt, kann es US-Bürger von Geburt sein: Ist nur ein Elternteil US-Bürger, muss dieser vor der Geburt mindestens fünf Jahre in den USA gewesen sein, davon zwei nach seinem 14. Geburtstag (INA § 301(g)); Zeiten vor der Einbürgerung zählen mit. Dokumentiert wird das mit dem </w:t>
      </w:r>
      <w:r>
        <w:rPr>
          <w:rFonts w:eastAsia="Cambria" w:cs="Cambria"/>
          <w:b w:val="false"/>
          <w:bCs w:val="false"/>
          <w:i/>
          <w:iCs/>
          <w:sz w:val="22"/>
          <w:szCs w:val="22"/>
        </w:rPr>
        <w:t>Consular Report of Birth Abroad</w:t>
      </w:r>
      <w:r>
        <w:rPr>
          <w:rFonts w:eastAsia="Cambria" w:cs="Cambria"/>
          <w:b w:val="false"/>
          <w:bCs w:val="false"/>
          <w:i w:val="false"/>
          <w:iCs w:val="false"/>
          <w:sz w:val="22"/>
          <w:szCs w:val="22"/>
        </w:rPr>
        <w:t xml:space="preserve"> (CRBA, konsularischer Geburtsbericht).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Für Kinder, die automatisch Bürger geworden sind, ist die Bescheinigung N-600 (1.385 $ auf Papier, 1.335 $ online) nicht immer nötig: Ein US-Pass belegt die Staatsbürgerschaft ebenfalls.</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(fiktives Beispiel), zehn Jahre nach dem Umzug nach Michigan. Markus (48) und Anna (46) haben seit fünf Jahren und drei Monaten die Green Card und stellen die N-400 online: 2 × 710 $. Lena (19), die sich kaum noch an das Haus bei Stuttgart erinnert, muss ihren eigenen Antrag stellen, denn das Gesetz bürgert nur Kinder unter 18 automatisch ein: weitere 710 $. Jonas (15) wird mit der Vereidigung seiner Eltern von selbst US-Bürger; die Familie beantragt für ihn einen US-Pass statt der N-600. Die drei Anträge kosten zusammen 2.130 $ (Gebühren 2026). Die Brandts behalten ihre deutschen Pässe. Anna beantragt vor jeder Bundestagswahl Briefwahl bei ihrer früheren Gemeinde bei Stuttgart. Eine Rückkehr planen sie nicht; Markus hatte die Exit-Tax-Werte vor dem Antrag mit einer Steuerberaterin durchgerechnet.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Wählen: in den USA und in Deutschland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Mit dem Eid darfst du in den USA bei Bundes-, Landes- und Kommunalwahlen wählen; die Registrierung regelt jeder Bundesstaat. Vorher ist das Wählen für Nichtstaatsbürger verboten (Kapitel </w:t>
      </w:r>
      <w:hyperlink w:anchor="k40">
        <w:r>
          <w:rPr>
            <w:rStyle w:val="ListLabel115"/>
            <w:rFonts w:eastAsia="Cambria" w:cs="Cambria"/>
            <w:b w:val="false"/>
            <w:bCs w:val="false"/>
            <w:i w:val="false"/>
            <w:iCs w:val="false"/>
            <w:sz w:val="22"/>
            <w:szCs w:val="22"/>
          </w:rPr>
          <w:t>40</w:t>
        </w:r>
      </w:hyperlink>
      <w:r>
        <w:rPr>
          <w:rFonts w:eastAsia="Cambria" w:cs="Cambria"/>
          <w:b w:val="false"/>
          <w:bCs w:val="false"/>
          <w:i w:val="false"/>
          <w:iCs w:val="false"/>
          <w:sz w:val="22"/>
          <w:szCs w:val="22"/>
        </w:rPr>
        <w:t>). Dein deutsches Wahlrecht verlierst du durch die Einbürgerung nicht, es ruht aber, solange du nichts unternimmst: Deutsche im Ausland wählen den Bundestag nur auf Antrag. Wer am Küchentisch in Detroit einst die Tage bis zur nächsten Deutschlandreise zusammenzählte, füllt jetzt von demselben Tisch aus die Briefwahlunterlagen für beide Länder aus.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Voraussetzung steht in § 12 Abs. 2 des Bundeswahlgesetzes. Du hast nach deinem 14. Geburtstag mindestens drei Monate ununterbrochen in Deutschland gewohnt oder dich dort gewöhnlich aufgehalten, und das liegt nicht länger als 25 Jahre zurück. Alternativ genügt eine persönliche und unmittelbare Vertrautheit mit den politischen Verhältnissen, von denen du betroffen bist. Ein Urlaub zählt nach dem Wortlaut nicht. Wer als Kind ausgewandert oder in den USA geboren ist, erfüllt die erste Alternative daher meist nicht.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So gehst du vor: Du stellst schriftlich einen Antrag auf Eintragung ins Wählerverzeichnis bei der Gemeinde deines letzten Wohnorts, spätestens bis zum 21. Tag vor der Wahl (§ 18 Bundeswahlordnung; bei der Bundestagswahl 2025 der 2. Februar), mit eigenhändiger Unterschrift und vor jeder Wahl neu. Die Unterlagen kommen per Post, die Rückgabe muss rechtzeitig eintreffen; plane die Laufzeit aus den USA großzügig ein. Die nächste reguläre Bundestagswahl steht für 2029 an (vorgezogene Neuwahlen sind möglich). Für Landtags- und Kommunalwahlen gilt Landesrecht; Auslandsdeutsche sind dort meist nicht wahlberechtigt.</w:t>
      </w:r>
    </w:p>
    <w:p>
      <w:pPr>
        <w:pStyle w:val="Heading3"/>
        <w:keepNext w:val="true"/>
        <w:spacing w:before="280" w:after="100"/>
        <w:jc w:val="center"/>
        <w:rPr/>
      </w:pPr>
      <w:r>
        <w:rPr>
          <w:rFonts w:eastAsia="Amazon Ember" w:cs="Amazon Ember" w:ascii="Amazon Ember" w:hAnsi="Amazon Ember"/>
          <w:b/>
          <w:bCs/>
          <w:color w:val="0000FF"/>
          <w:sz w:val="36"/>
          <w:szCs w:val="36"/>
        </w:rPr>
        <w:t>Welchen Pass benutzt du wann?</w:t>
      </w:r>
    </w:p>
    <w:tbl>
      <w:tblPr>
        <w:tblW w:w="6480" w:type="dxa"/>
        <w:jc w:val="left"/>
        <w:tblInd w:w="0" w:type="dxa"/>
        <w:tblLayout w:type="fixed"/>
        <w:tblCellMar>
          <w:top w:w="50" w:type="dxa"/>
          <w:left w:w="80" w:type="dxa"/>
          <w:bottom w:w="50" w:type="dxa"/>
          <w:right w:w="80" w:type="dxa"/>
        </w:tblCellMar>
      </w:tblPr>
      <w:tblGrid>
        <w:gridCol w:w="1656"/>
        <w:gridCol w:w="1738"/>
        <w:gridCol w:w="3086"/>
      </w:tblGrid>
      <w:tr>
        <w:trPr>
          <w:tblHeader w:val="true"/>
          <w:cantSplit w:val="true"/>
        </w:trPr>
        <w:tc>
          <w:tcPr>
            <w:tcW w:w="165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Situation</w:t>
            </w:r>
          </w:p>
        </w:tc>
        <w:tc>
          <w:tcPr>
            <w:tcW w:w="173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Pass</w:t>
            </w:r>
          </w:p>
        </w:tc>
        <w:tc>
          <w:tcPr>
            <w:tcW w:w="308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Grund</w:t>
            </w:r>
          </w:p>
        </w:tc>
      </w:tr>
      <w:tr>
        <w:trPr>
          <w:cantSplit w:val="true"/>
        </w:trPr>
        <w:tc>
          <w:tcPr>
            <w:tcW w:w="16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und Ausreise USA</w:t>
            </w:r>
          </w:p>
        </w:tc>
        <w:tc>
          <w:tcPr>
            <w:tcW w:w="17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US-Pass</w:t>
            </w:r>
          </w:p>
        </w:tc>
        <w:tc>
          <w:tcPr>
            <w:tcW w:w="30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Pflicht für US-Bürger (8 U.S.C. § 1185(b)); Airlines prüfen es</w:t>
            </w:r>
          </w:p>
        </w:tc>
      </w:tr>
      <w:tr>
        <w:trPr>
          <w:cantSplit w:val="true"/>
        </w:trPr>
        <w:tc>
          <w:tcPr>
            <w:tcW w:w="16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Einreise nach Deutschland und Schengen</w:t>
            </w:r>
          </w:p>
        </w:tc>
        <w:tc>
          <w:tcPr>
            <w:tcW w:w="17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deutscher Pass oder Personalausweis</w:t>
            </w:r>
          </w:p>
        </w:tc>
        <w:tc>
          <w:tcPr>
            <w:tcW w:w="30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Als Deutscher brauchst du weder Visum noch Reisegenehmigung</w:t>
            </w:r>
          </w:p>
        </w:tc>
      </w:tr>
      <w:tr>
        <w:trPr>
          <w:cantSplit w:val="true"/>
        </w:trPr>
        <w:tc>
          <w:tcPr>
            <w:tcW w:w="16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Drittländer</w:t>
            </w:r>
          </w:p>
        </w:tc>
        <w:tc>
          <w:tcPr>
            <w:tcW w:w="17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Einreiseregeln beider Pässe prüfen</w:t>
            </w:r>
          </w:p>
        </w:tc>
        <w:tc>
          <w:tcPr>
            <w:tcW w:w="30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Visumfreiheit und Gebühren unterscheiden sich</w:t>
            </w:r>
          </w:p>
        </w:tc>
      </w:tr>
      <w:tr>
        <w:trPr>
          <w:cantSplit w:val="true"/>
        </w:trPr>
        <w:tc>
          <w:tcPr>
            <w:tcW w:w="16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Behörden vor Ort</w:t>
            </w:r>
          </w:p>
        </w:tc>
        <w:tc>
          <w:tcPr>
            <w:tcW w:w="17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Papiere des jeweiligen Staates</w:t>
            </w:r>
          </w:p>
        </w:tc>
        <w:tc>
          <w:tcPr>
            <w:tcW w:w="30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Meldeamt, Rente, US-Führerschein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Personalausweis genügt in Europa, gilt aber nicht für die US-Einreise (Auswärtiges Amt). Die geplante EU-Reisegenehmigung ETIAS erfasst nach Angaben der EU Doppelstaatler mit EU-Pass nicht; sie reisen mit diesem ein. Der Start war zuletzt für Ende 2026 vorgesehen und ist nach aktuellen Berichten offen. Im Land deiner anderen Staatsangehörigkeit kann dir der jeweils andere Staat konsularisch nur eingeschränkt helfen; in Deutschland behandeln dich die Behörden als Deutschen.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Halte beide Pässe gültig. Der deutsche Reisepass gilt zehn Jahre (unter 24 Jahren sechs Jahre); im Konsulat brauchst du einen persönlichen Termin und rechnest mit etwa sechs bis acht Wochen Bearbeitung. Kinder erhalten einen ePass; den Kinderreisepass gibt es seit dem 1. Januar 2024 nicht mehr.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als US-Bürger nur mit dem deutschen Pass in die USA fliegen will, verstößt gegen die Passpflicht und wird von Fluggesellschaften oft nicht befördert. Umgekehrt kann, wer als Deutscher mit dem US-Pass nach Europa einreist, bei einer künftigen ETIAS-Pflicht unnötig in Schwierigkeiten geraten.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In die USA mit dem US-Pass, nach Deutschland mit dem deutschen. Halte beide gültig.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Denaturalisierung: sachlich betrachtet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Einbürgerung ist nicht in jedem Fall endgültig. Ein Bundesgericht kann sie in einem Zivilverfahren aufheben (</w:t>
      </w:r>
      <w:r>
        <w:rPr>
          <w:rFonts w:eastAsia="Cambria" w:cs="Cambria"/>
          <w:b w:val="false"/>
          <w:bCs w:val="false"/>
          <w:i/>
          <w:iCs/>
          <w:sz w:val="22"/>
          <w:szCs w:val="22"/>
        </w:rPr>
        <w:t>Denaturalization</w:t>
      </w:r>
      <w:r>
        <w:rPr>
          <w:rFonts w:eastAsia="Cambria" w:cs="Cambria"/>
          <w:b w:val="false"/>
          <w:bCs w:val="false"/>
          <w:i w:val="false"/>
          <w:iCs w:val="false"/>
          <w:sz w:val="22"/>
          <w:szCs w:val="22"/>
        </w:rPr>
        <w:t>, Entzug der Einbürgerung, 8 U.S.C. § 1451), wenn sie rechtswidrig oder durch Betrug erlangt wurde. Die häufigsten Gründe sind falsche Identität und Einwanderungsbetrug; daneben stehen schwere Straftaten wie Terrorismus, Betäubungsmittel- oder Sexualdelikte. Das Justizministerium hat solche Verfahren mit einem Memo vom 11. Juni 2025 zur Priorität erklärt. Nach Zählung von TRAC gab es 2025 acht Klagen, im Mai 2026 fünfzehn und vom 1. bis 12. Juni 2026 achtzehn; seit 2008 sind es insgesamt 166. Die Zahlen sind klein, die Richtung steigt. Wer im Verfahren wahrheitsgemäß angegeben hat, ist von diesen Fällen sehr wahrscheinlich nicht betroffen (Einschätzung, keine Garantie). Jahre im Ausland oder ein Steuerstreit sind für sich genommen kein Grund für den Entzug.</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Aufenthalt gesichert, keine Abwesenheitsrechnerei mehr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US-Steuerpflicht lebenslang, auch aus Deutschland</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Wahlrecht in den USA</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Ausstieg kostet 450 $ Gebühr, Formalitäten und ggf. Exit Tax</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I-90 alle zehn Jahre, keine Reentry Permits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Strengere Prüfung: Civics Test, Nachbarschaftsermittlungen, 8–17,5 Monate Wartezeit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Eltern und Geschwister nachholen (mit Wartezeit)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Geschworenendienst und Selective Service für Männer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 werden automatisch Bürger, Pass für die ganze Familie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Entzug möglich bei Betrug im Verfahren (selten, aber priorisiert)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Deutscher Pass bleibt erhalten (seit 27. Juni 2024)</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Zwei Pässe, zwei Verwaltungen, zwei Fristenkalender</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Beantworte vor dem Antrag drei Fragen. Erstens: Wo willst du in zehn Jahren leben? Bleibst du sicher, überwiegen Wahlrecht und gesicherter Aufenthalt; ist eine Rückkehr denkbar, rechne vorher Steuerpflicht und Exit Tax durch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 Zweitens: Wie oft und wie lange bist du in Deutschland? Mit dem US-Pass entfallen alle Abwesenheitsregeln. Drittens: Ist deine Akte sauber, also Reisedaten, Steuererklärungen, Adressen und mögliche Vorfälle? Wenn nicht, sprich vor dem Antrag mit einem Einwanderungsanwalt.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 xml:space="preserve">Datum </w:t>
            </w:r>
            <w:r>
              <w:rPr>
                <w:rFonts w:eastAsia="Cambria" w:cs="Cambria"/>
                <w:b w:val="false"/>
                <w:bCs w:val="false"/>
                <w:i/>
                <w:iCs/>
                <w:sz w:val="20"/>
                <w:szCs w:val="20"/>
              </w:rPr>
              <w:t>Resident Since</w:t>
            </w:r>
            <w:r>
              <w:rPr>
                <w:rFonts w:eastAsia="Cambria" w:cs="Cambria"/>
                <w:b w:val="false"/>
                <w:bCs w:val="false"/>
                <w:i w:val="false"/>
                <w:iCs w:val="false"/>
                <w:sz w:val="20"/>
                <w:szCs w:val="20"/>
              </w:rPr>
              <w:t xml:space="preserve"> auf der Green Card notieren und den frühesten Antragstermin berechnen (90 Tage vor Ablauf der Frist).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Reiseprotokoll aller Ein- und Ausreisen führen; Abwesenheiten über sechs Monate markieren.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Steuererklärungen der letzten fünf Jahre lückenlos ablegen; nie als Nichteinwanderer erklären.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Festnahmen, Anzeigen oder Verkehrsdelikte vor dem Antrag mit einem Einwanderungsanwalt klären.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Die 128 Fragen des Staatskundetests von uscis.gov/citizenship lernen und Englisch üben.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Leumundsschreiben von US-Bürgern außerhalb der Familie sammeln (Nachbarschaftsermittlung).</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möglicher Rückkehr vorab mit einer Steuerfachperson die Exit-Tax-Werte durchrechnen.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Geburten im Ausland innerhalb eines Jahres beim deutschen Konsulat zur Beurkundung anmelden.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Deutschen und US-Pass sowie die Pässe der Kinder rechtzeitig auf Gültigkeit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der Bundestagswahl den Antrag auf Eintragung ins Wählerverzeichnis stellen (spätestens 21 Tage vorher).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Einbürgerung, N-400, Staatskundetest, Gebühren (</w:t>
      </w:r>
      <w:hyperlink r:id="rId396">
        <w:r>
          <w:rPr>
            <w:rStyle w:val="ListLabel113"/>
            <w:rFonts w:eastAsia="Cambria" w:cs="Cambria"/>
            <w:b w:val="false"/>
            <w:bCs w:val="false"/>
            <w:i w:val="false"/>
            <w:iCs w:val="false"/>
            <w:color w:val="0563C1"/>
            <w:sz w:val="22"/>
            <w:szCs w:val="22"/>
            <w:u w:val="single"/>
          </w:rPr>
          <w:t>uscis.gov/n-400</w:t>
        </w:r>
      </w:hyperlink>
      <w:r>
        <w:rPr>
          <w:rFonts w:eastAsia="Cambria" w:cs="Cambria"/>
          <w:b w:val="false"/>
          <w:bCs w:val="false"/>
          <w:i w:val="false"/>
          <w:iCs w:val="false"/>
          <w:sz w:val="22"/>
          <w:szCs w:val="22"/>
        </w:rPr>
        <w:t xml:space="preserve">, </w:t>
      </w:r>
      <w:hyperlink r:id="rId397">
        <w:r>
          <w:rPr>
            <w:rStyle w:val="ListLabel113"/>
            <w:rFonts w:eastAsia="Cambria" w:cs="Cambria"/>
            <w:b w:val="false"/>
            <w:bCs w:val="false"/>
            <w:i w:val="false"/>
            <w:iCs w:val="false"/>
            <w:color w:val="0563C1"/>
            <w:sz w:val="22"/>
            <w:szCs w:val="22"/>
            <w:u w:val="single"/>
          </w:rPr>
          <w:t>uscis.gov/citizenship</w:t>
        </w:r>
      </w:hyperlink>
      <w:r>
        <w:rPr>
          <w:rFonts w:eastAsia="Cambria" w:cs="Cambria"/>
          <w:b w:val="false"/>
          <w:bCs w:val="false"/>
          <w:i w:val="false"/>
          <w:iCs w:val="false"/>
          <w:sz w:val="22"/>
          <w:szCs w:val="22"/>
        </w:rPr>
        <w:t xml:space="preserve">, </w:t>
      </w:r>
      <w:hyperlink r:id="rId398">
        <w:r>
          <w:rPr>
            <w:rStyle w:val="ListLabel113"/>
            <w:rFonts w:eastAsia="Cambria" w:cs="Cambria"/>
            <w:b w:val="false"/>
            <w:bCs w:val="false"/>
            <w:i w:val="false"/>
            <w:iCs w:val="false"/>
            <w:color w:val="0563C1"/>
            <w:sz w:val="22"/>
            <w:szCs w:val="22"/>
            <w:u w:val="single"/>
          </w:rPr>
          <w:t>uscis.gov/g-1055</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Bearbeitungszeiten (</w:t>
      </w:r>
      <w:hyperlink r:id="rId399">
        <w:r>
          <w:rPr>
            <w:rStyle w:val="ListLabel113"/>
            <w:rFonts w:eastAsia="Cambria" w:cs="Cambria"/>
            <w:b w:val="false"/>
            <w:bCs w:val="false"/>
            <w:i w:val="false"/>
            <w:iCs w:val="false"/>
            <w:color w:val="0563C1"/>
            <w:sz w:val="22"/>
            <w:szCs w:val="22"/>
            <w:u w:val="single"/>
          </w:rPr>
          <w:t>egov.uscis.gov/processing-times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State Department — Verzicht auf die US-Staatsbürgerschaft, Geburt im Ausland (</w:t>
      </w:r>
      <w:hyperlink r:id="rId400">
        <w:r>
          <w:rPr>
            <w:rStyle w:val="ListLabel113"/>
            <w:rFonts w:eastAsia="Cambria" w:cs="Cambria"/>
            <w:b w:val="false"/>
            <w:bCs w:val="false"/>
            <w:i w:val="false"/>
            <w:iCs w:val="false"/>
            <w:color w:val="0563C1"/>
            <w:sz w:val="22"/>
            <w:szCs w:val="22"/>
            <w:u w:val="single"/>
          </w:rPr>
          <w:t>travel.state.gov</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Expatriation Tax (</w:t>
      </w:r>
      <w:hyperlink r:id="rId401">
        <w:r>
          <w:rPr>
            <w:rStyle w:val="ListLabel113"/>
            <w:rFonts w:eastAsia="Cambria" w:cs="Cambria"/>
            <w:b w:val="false"/>
            <w:bCs w:val="false"/>
            <w:i w:val="false"/>
            <w:iCs w:val="false"/>
            <w:color w:val="0563C1"/>
            <w:sz w:val="22"/>
            <w:szCs w:val="22"/>
            <w:u w:val="single"/>
          </w:rPr>
          <w:t>irs.gov/individuals/international-taxpayers/expatriation-tax</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Bundesverwaltungsamt — Mehrstaatigkeit und Beibehaltung (</w:t>
      </w:r>
      <w:hyperlink r:id="rId402">
        <w:r>
          <w:rPr>
            <w:rStyle w:val="ListLabel113"/>
            <w:rFonts w:eastAsia="Cambria" w:cs="Cambria"/>
            <w:b w:val="false"/>
            <w:bCs w:val="false"/>
            <w:i w:val="false"/>
            <w:iCs w:val="false"/>
            <w:color w:val="0563C1"/>
            <w:sz w:val="22"/>
            <w:szCs w:val="22"/>
            <w:u w:val="single"/>
          </w:rPr>
          <w:t>bva.bund.de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Deutsche Auslandsvertretungen — Staatsangehörigkeit, Geburtsbeurkundung, Wahlen (</w:t>
      </w:r>
      <w:hyperlink r:id="rId403">
        <w:r>
          <w:rPr>
            <w:rStyle w:val="ListLabel113"/>
            <w:rFonts w:eastAsia="Cambria" w:cs="Cambria"/>
            <w:b w:val="false"/>
            <w:bCs w:val="false"/>
            <w:i w:val="false"/>
            <w:iCs w:val="false"/>
            <w:color w:val="0563C1"/>
            <w:sz w:val="22"/>
            <w:szCs w:val="22"/>
            <w:u w:val="single"/>
          </w:rPr>
          <w:t>germany.info/us-en</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Bundeswahlleiterin — Wählen aus dem Ausland (</w:t>
      </w:r>
      <w:hyperlink r:id="rId404">
        <w:r>
          <w:rPr>
            <w:rStyle w:val="ListLabel113"/>
            <w:rFonts w:eastAsia="Cambria" w:cs="Cambria"/>
            <w:b w:val="false"/>
            <w:bCs w:val="false"/>
            <w:i w:val="false"/>
            <w:iCs w:val="false"/>
            <w:color w:val="0563C1"/>
            <w:sz w:val="22"/>
            <w:szCs w:val="22"/>
            <w:u w:val="single"/>
          </w:rPr>
          <w:t>bundeswahlleiterin.de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Oberster Gerichtshof — Trump v. Barbara (</w:t>
      </w:r>
      <w:hyperlink r:id="rId405">
        <w:r>
          <w:rPr>
            <w:rStyle w:val="ListLabel113"/>
            <w:rFonts w:eastAsia="Cambria" w:cs="Cambria"/>
            <w:b w:val="false"/>
            <w:bCs w:val="false"/>
            <w:i w:val="false"/>
            <w:iCs w:val="false"/>
            <w:color w:val="0563C1"/>
            <w:sz w:val="22"/>
            <w:szCs w:val="22"/>
            <w:u w:val="single"/>
          </w:rPr>
          <w:t>supremecourt.gov/opinions/25pdf/25-365_4hdj.pdf</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(Schreibdatum 20. September 2026). Schnell ändern sich USCIS-Gebühren und Bearbeitungszeiten, die Vorgaben zu Staatskundetest, Charakterprüfung und Nachbarschaftsermittlungen, die Exit-Tax-Werte (jährlich neu festgesetzt; 2026: 211.000 $ und 910.000 $), die Verzichtsgebühr (450 $ seit 13. April 2026), die Verfahren um die Executive Orders vom 6. August 2026 zur Geburtsstaatsbürgerschaft und der Start von ETIAS. Prüfe vor jedem Schritt die offiziellen Seiten.</w:t>
            </w:r>
          </w:p>
        </w:tc>
      </w:tr>
    </w:tbl>
    <w:p>
      <w:pPr>
        <w:pStyle w:val="Normal"/>
        <w:spacing w:lineRule="exact" w:line="220" w:before="0" w:after="0"/>
        <w:rPr/>
      </w:pPr>
      <w:r>
        <w:rPr/>
      </w:r>
      <w:r>
        <w:br w:type="page"/>
      </w:r>
    </w:p>
    <w:p>
      <w:pPr>
        <w:pStyle w:val="Heading2"/>
        <w:keepNext w:val="true"/>
        <w:spacing w:before="0" w:after="300"/>
        <w:jc w:val="center"/>
        <w:rPr/>
      </w:pPr>
      <w:bookmarkStart w:id="101" w:name="__RefHeading___Toc56529_3769931028"/>
      <w:bookmarkStart w:id="102" w:name="k42"/>
      <w:bookmarkEnd w:id="101"/>
      <w:r>
        <w:rPr>
          <w:rFonts w:eastAsia="Amazon Ember" w:cs="Amazon Ember" w:ascii="Amazon Ember" w:hAnsi="Amazon Ember"/>
          <w:b/>
          <w:bCs/>
          <w:color w:val="0000FF"/>
          <w:sz w:val="36"/>
          <w:szCs w:val="36"/>
        </w:rPr>
        <w:t>Kapitel 42: Plan B: Die Rückkehr nach Deutschland</w:t>
      </w:r>
      <w:bookmarkEnd w:id="102"/>
    </w:p>
    <w:p>
      <w:pPr>
        <w:pStyle w:val="Normal"/>
        <w:keepNext w:val="false"/>
        <w:keepLines w:val="false"/>
        <w:spacing w:lineRule="exact" w:line="288" w:before="0" w:after="140"/>
        <w:jc w:val="left"/>
        <w:rPr/>
      </w:pPr>
      <w:r>
        <w:rPr>
          <w:rFonts w:eastAsia="Cambria" w:cs="Cambria"/>
          <w:b w:val="false"/>
          <w:bCs w:val="false"/>
          <w:i w:val="false"/>
          <w:iCs w:val="false"/>
          <w:sz w:val="22"/>
          <w:szCs w:val="22"/>
        </w:rPr>
        <w:t>Irgendwann am Küchentisch in Phoenix, Seattle oder Detroit fällt der Satz zum ersten Mal offen aus: „Sollen wir zurück?“ Mal ist der Auslöser ein Stellenabbau, mal ein pflegebedürftiger Elternteil in Deutschland, mal einfach das leise Gefühl, dass dieses Leben nie ganz das eigene geworden ist. Wer sich diese Frage stellt, braucht keinen Plan für ein Scheitern, sondern einen Umzugsplan – und der ist an einigen Stellen komplizierter als der erste, weil zwei Steuersysteme, zwei Sozialversicherungen und oft auch zwei Kinder-Lebensläufe zusammenlaufen.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Eine Rückkehr ist normal: Verträge enden, Firmen bauen ab, Familien verändern sich. Sie ist kein Beleg dafür, dass die Auswanderung falsch war.</w:t>
            </w:r>
          </w:p>
          <w:p>
            <w:pPr>
              <w:pStyle w:val="ListParagraph"/>
              <w:numPr>
                <w:ilvl w:val="0"/>
                <w:numId w:val="1"/>
              </w:numPr>
              <w:spacing w:lineRule="exact" w:line="264" w:before="0" w:after="50"/>
              <w:rPr/>
            </w:pPr>
            <w:r>
              <w:rPr>
                <w:rFonts w:eastAsia="Cambria" w:cs="Cambria"/>
                <w:b w:val="false"/>
                <w:bCs w:val="false"/>
                <w:i w:val="false"/>
                <w:iCs w:val="false"/>
                <w:sz w:val="20"/>
                <w:szCs w:val="20"/>
              </w:rPr>
              <w:t>Krankenversicherung, letzte US-Steuererklärung und der Umgang mit der Green Card brauchen drei bis sechs Monate Vorlauf.</w:t>
            </w:r>
          </w:p>
          <w:p>
            <w:pPr>
              <w:pStyle w:val="ListParagraph"/>
              <w:numPr>
                <w:ilvl w:val="0"/>
                <w:numId w:val="1"/>
              </w:numPr>
              <w:spacing w:lineRule="exact" w:line="264" w:before="0" w:after="50"/>
              <w:rPr/>
            </w:pPr>
            <w:r>
              <w:rPr>
                <w:rFonts w:eastAsia="Cambria" w:cs="Cambria"/>
                <w:b w:val="false"/>
                <w:bCs w:val="false"/>
                <w:i w:val="false"/>
                <w:iCs w:val="false"/>
                <w:sz w:val="20"/>
                <w:szCs w:val="20"/>
              </w:rPr>
              <w:t>Wer die Green Card acht Jahre oder länger hatte, muss die Exit Tax prüfen (lassen); bei kürzerer Zeit betrifft sie dich in aller Regel nicht.</w:t>
            </w:r>
          </w:p>
          <w:p>
            <w:pPr>
              <w:pStyle w:val="ListParagraph"/>
              <w:numPr>
                <w:ilvl w:val="0"/>
                <w:numId w:val="1"/>
              </w:numPr>
              <w:spacing w:lineRule="exact" w:line="264" w:before="0" w:after="50"/>
              <w:rPr/>
            </w:pPr>
            <w:r>
              <w:rPr>
                <w:rFonts w:eastAsia="Cambria" w:cs="Cambria"/>
                <w:b w:val="false"/>
                <w:bCs w:val="false"/>
                <w:i w:val="false"/>
                <w:iCs w:val="false"/>
                <w:sz w:val="20"/>
                <w:szCs w:val="20"/>
              </w:rPr>
              <w:t>Krankenversicherung, Wohnungssuche und Bankkonto ohne aktuelle Schufa-Historie sind die am meisten unterschätzten Themen der Rückkehr.</w:t>
            </w:r>
          </w:p>
          <w:p>
            <w:pPr>
              <w:pStyle w:val="ListParagraph"/>
              <w:numPr>
                <w:ilvl w:val="0"/>
                <w:numId w:val="1"/>
              </w:numPr>
              <w:spacing w:lineRule="exact" w:line="264" w:before="0" w:after="50"/>
              <w:rPr/>
            </w:pPr>
            <w:r>
              <w:rPr>
                <w:rFonts w:eastAsia="Cambria" w:cs="Cambria"/>
                <w:b w:val="false"/>
                <w:bCs w:val="false"/>
                <w:i w:val="false"/>
                <w:iCs w:val="false"/>
                <w:sz w:val="20"/>
                <w:szCs w:val="20"/>
              </w:rPr>
              <w:t>Der umgekehrte Kulturschock trifft viele härter als erwartet: Man rechnet nicht damit, sich in der eigenen Heimat fremd zu fühlen.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Warum eine Rückkehr kein Scheitern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Wer zurückkehrt, habe irgendwie versagt. Tatsächlich ist Auswanderung selten eine Einbahnstraße fürs Leben, sie ist eine Entscheidung für eine Lebensphase. Der Arbeitgeber ruft den Sponsor zurück, der Green-Card-Prozess dauert länger als geplant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das Kind kommt ins Teenageralter und soll in Deutschland aufs Gymnasium, die eigenen Eltern werden pflegebedürftig, oder man merkt schlicht nach einigen Jahren, dass einem das amerikanische Leben trotz allem nicht liegt. Nichts davon ist ein Urteil über die Zeit in den USA. Die Buchbibel dieses Ratgebers gilt auch hier: ehrliche Bilanz statt Bewertung. Wer die Rückkehr früh und nüchtern plant, kommt mit weniger Verlust zurück als jemand, der erst in letzter Minute reagiert.</w:t>
      </w:r>
    </w:p>
    <w:p>
      <w:pPr>
        <w:pStyle w:val="Heading3"/>
        <w:keepNext w:val="true"/>
        <w:spacing w:before="280" w:after="100"/>
        <w:jc w:val="center"/>
        <w:rPr/>
      </w:pPr>
      <w:r>
        <w:rPr>
          <w:rFonts w:eastAsia="Amazon Ember" w:cs="Amazon Ember" w:ascii="Amazon Ember" w:hAnsi="Amazon Ember"/>
          <w:b/>
          <w:bCs/>
          <w:color w:val="0000FF"/>
          <w:sz w:val="36"/>
          <w:szCs w:val="36"/>
        </w:rPr>
        <w:t>Die Signale erkennen und die Entscheidung treffen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Typische Auslöser: ein </w:t>
      </w:r>
      <w:r>
        <w:rPr>
          <w:rFonts w:eastAsia="Cambria" w:cs="Cambria"/>
          <w:b w:val="false"/>
          <w:bCs w:val="false"/>
          <w:i/>
          <w:iCs/>
          <w:sz w:val="22"/>
          <w:szCs w:val="22"/>
        </w:rPr>
        <w:t>Layoff</w:t>
      </w:r>
      <w:r>
        <w:rPr>
          <w:rFonts w:eastAsia="Cambria" w:cs="Cambria"/>
          <w:b w:val="false"/>
          <w:bCs w:val="false"/>
          <w:i w:val="false"/>
          <w:iCs w:val="false"/>
          <w:sz w:val="22"/>
          <w:szCs w:val="22"/>
        </w:rPr>
        <w:t xml:space="preserve"> (Stellenabbau) ohne neue Sponsoring-Option binnen der 60-Tage-Frist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 ein H-1B-Verlängerungsantrag, der abgelehnt wird, ein Green-Card-Verfahren, das sich um Jahre verzögert, eine Scheidung oder Trennung, finanzielle Rechnungen, die in den USA nicht mehr aufgehen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 oder familiäre Gründe, die keinen Zahlenbeweis brauchen. Sprich die Entscheidung offen mit Partner und Kindern durch, bevor Fristen dich treiben.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Triff die Grundsatzentscheidung nicht unter dem Druck einer laufenden Frist. Wer erst nach der Kündigung anfängt, Krankenversicherung, Steuern und Green-Card-Status zu klären, zahlt fast immer mehr und hat weniger Auswahl.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Zeitplan: von sechs Monaten bis zur Ankunft</w:t>
      </w:r>
    </w:p>
    <w:tbl>
      <w:tblPr>
        <w:tblW w:w="6480" w:type="dxa"/>
        <w:jc w:val="left"/>
        <w:tblInd w:w="0" w:type="dxa"/>
        <w:tblLayout w:type="fixed"/>
        <w:tblCellMar>
          <w:top w:w="50" w:type="dxa"/>
          <w:left w:w="80" w:type="dxa"/>
          <w:bottom w:w="50" w:type="dxa"/>
          <w:right w:w="80" w:type="dxa"/>
        </w:tblCellMar>
      </w:tblPr>
      <w:tblGrid>
        <w:gridCol w:w="949"/>
        <w:gridCol w:w="2596"/>
        <w:gridCol w:w="2935"/>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Zeitpunkt</w:t>
            </w:r>
          </w:p>
        </w:tc>
        <w:tc>
          <w:tcPr>
            <w:tcW w:w="259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Aufgabe</w:t>
            </w:r>
          </w:p>
        </w:tc>
        <w:tc>
          <w:tcPr>
            <w:tcW w:w="293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Warum</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T–6 Monate</w:t>
            </w:r>
          </w:p>
        </w:tc>
        <w:tc>
          <w:tcPr>
            <w:tcW w:w="25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Entscheidung mit Familie treffen, Zeitpunkt am deutschen Schuljahr ausrichten</w:t>
            </w:r>
          </w:p>
        </w:tc>
        <w:tc>
          <w:tcPr>
            <w:tcW w:w="29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Schulwechsel im August/September ist deutlich leichter als mitten im Halbjahr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T–6 Monate</w:t>
            </w:r>
          </w:p>
        </w:tc>
        <w:tc>
          <w:tcPr>
            <w:tcW w:w="25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GKV-/PKV-Anwartschaft prüfen und ggf. abschließen</w:t>
            </w:r>
          </w:p>
        </w:tc>
        <w:tc>
          <w:tcPr>
            <w:tcW w:w="29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sichert die Rückkehr ohne neue Gesundheitsprüfung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T–5 Monate</w:t>
            </w:r>
          </w:p>
        </w:tc>
        <w:tc>
          <w:tcPr>
            <w:tcW w:w="25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Rentenversicherung informieren, Green-Card-Weg entscheiden (I-407 oder Reentry Permit)</w:t>
            </w:r>
          </w:p>
        </w:tc>
        <w:tc>
          <w:tcPr>
            <w:tcW w:w="29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Vorlauf für Antrag und Biometrie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T–4 Monate</w:t>
            </w:r>
          </w:p>
        </w:tc>
        <w:tc>
          <w:tcPr>
            <w:tcW w:w="25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Haus/Wohnung und Auto in den USA zum Verkauf anbieten</w:t>
            </w:r>
          </w:p>
        </w:tc>
        <w:tc>
          <w:tcPr>
            <w:tcW w:w="29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Verkauf als Resident ist steuerlich meist einfacher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T–3 Monate</w:t>
            </w:r>
          </w:p>
        </w:tc>
        <w:tc>
          <w:tcPr>
            <w:tcW w:w="25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Schule/Kita in Deutschland kontaktieren, Zeugnisse übersetzen lassen</w:t>
            </w:r>
          </w:p>
        </w:tc>
        <w:tc>
          <w:tcPr>
            <w:tcW w:w="29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Einstufung und Platzvergabe brauchen Vorlauf</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T–2 Monate</w:t>
            </w:r>
          </w:p>
        </w:tc>
        <w:tc>
          <w:tcPr>
            <w:tcW w:w="25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Umzugsfirma buchen, Übersiedlungsgut-Liste beginnen (Kapitel </w:t>
            </w:r>
            <w:hyperlink w:anchor="k20">
              <w:r>
                <w:rPr>
                  <w:rStyle w:val="ListLabel112"/>
                  <w:rFonts w:eastAsia="Cambria" w:cs="Cambria"/>
                  <w:b w:val="false"/>
                  <w:bCs w:val="false"/>
                  <w:i w:val="false"/>
                  <w:iCs w:val="false"/>
                  <w:sz w:val="18"/>
                  <w:szCs w:val="18"/>
                </w:rPr>
                <w:t>20</w:t>
              </w:r>
            </w:hyperlink>
            <w:r>
              <w:rPr>
                <w:rFonts w:eastAsia="Cambria" w:cs="Cambria"/>
                <w:b w:val="false"/>
                <w:bCs w:val="false"/>
                <w:i w:val="false"/>
                <w:iCs w:val="false"/>
                <w:sz w:val="18"/>
                <w:szCs w:val="18"/>
              </w:rPr>
              <w:t>)</w:t>
            </w:r>
          </w:p>
        </w:tc>
        <w:tc>
          <w:tcPr>
            <w:tcW w:w="29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Zollfreiheit setzt Nachweise voraus</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T–1 Monat</w:t>
            </w:r>
          </w:p>
        </w:tc>
        <w:tc>
          <w:tcPr>
            <w:tcW w:w="25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US-Konten, Verträge, Mietvertrag kündigen; SCHUFA-Auskunft in Deutschland anfordern</w:t>
            </w:r>
          </w:p>
        </w:tc>
        <w:tc>
          <w:tcPr>
            <w:tcW w:w="29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Fristen laufen unabhängig vom Flugdatum</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Ankunft</w:t>
            </w:r>
          </w:p>
        </w:tc>
        <w:tc>
          <w:tcPr>
            <w:tcW w:w="25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Anmeldung, GKV/PKV aktivieren, Bankkonto reaktivieren, Kinder einschulen</w:t>
            </w:r>
          </w:p>
        </w:tc>
        <w:tc>
          <w:tcPr>
            <w:tcW w:w="29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gesetzliche Fristen beginnen mit dem Einzug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Folgejahr</w:t>
            </w:r>
          </w:p>
        </w:tc>
        <w:tc>
          <w:tcPr>
            <w:tcW w:w="25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Letzte US-Steuererklärung einreichen</w:t>
            </w:r>
          </w:p>
        </w:tc>
        <w:tc>
          <w:tcPr>
            <w:tcW w:w="29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Frist 15. April, mit Verlängerung 15. Oktober</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Krankenversicherung: der Weg zurück in GKV oder PKV</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Ohne Anwartschaft komme man nach Jahren in den USA nicht mehr in die gesetzliche Kasse zurück. Für die meisten Angestellten stimmt das nicht. Wer vor der Auswanderung zuletzt gesetzlich versichert war, seinen Wohnsitz wieder in Deutschland hat und keinen anderen Anspruch auf Absicherung im Krankheitsfall besitzt, wird automatisch wieder pflichtversichert – die </w:t>
      </w:r>
      <w:r>
        <w:rPr>
          <w:rFonts w:eastAsia="Cambria" w:cs="Cambria"/>
          <w:b w:val="false"/>
          <w:bCs w:val="false"/>
          <w:i/>
          <w:iCs/>
          <w:sz w:val="22"/>
          <w:szCs w:val="22"/>
        </w:rPr>
        <w:t>Auffangversicherung</w:t>
      </w:r>
      <w:r>
        <w:rPr>
          <w:rFonts w:eastAsia="Cambria" w:cs="Cambria"/>
          <w:b w:val="false"/>
          <w:bCs w:val="false"/>
          <w:i w:val="false"/>
          <w:iCs w:val="false"/>
          <w:sz w:val="22"/>
          <w:szCs w:val="22"/>
        </w:rPr>
        <w:t xml:space="preserve"> nach § 5 Abs. 1 Nr. 13 SGB V. Eine Anwartschaft brauchst du dafür nicht; die Pflichtmitgliedschaft beginnt am ersten Tag ohne Absicherung im Ausland. Das ist der häufigste Fall für Angestellte, die aus den USA zurückkehren.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Drei Gruppen fallen aus dieser einfachen Regel heraus. </w:t>
      </w:r>
      <w:r>
        <w:rPr>
          <w:rFonts w:eastAsia="Cambria" w:cs="Cambria"/>
          <w:b/>
          <w:bCs/>
          <w:i w:val="false"/>
          <w:iCs w:val="false"/>
          <w:sz w:val="22"/>
          <w:szCs w:val="22"/>
        </w:rPr>
        <w:t>Erstens:</w:t>
      </w:r>
      <w:r>
        <w:rPr>
          <w:rFonts w:eastAsia="Cambria" w:cs="Cambria"/>
          <w:b w:val="false"/>
          <w:bCs w:val="false"/>
          <w:i w:val="false"/>
          <w:iCs w:val="false"/>
          <w:sz w:val="22"/>
          <w:szCs w:val="22"/>
        </w:rPr>
        <w:t xml:space="preserve"> Wer als Angestellter über der Versicherungspflichtgrenze (Jahresarbeitsentgeltgrenze, 2026: 77.400 €/Jahr) verdient, oder wer hauptberuflich selbständig wird, kommt nicht über Nr. 13 in die GKV, sondern höchstens über eine freiwillige Mitgliedschaft (§ 9 Abs. 1 SGB V) – die setzt in der Regel eine Vorversicherungszeit in den letzten Jahren voraus, die reine US-Jahre nicht erfüllen. </w:t>
      </w:r>
      <w:r>
        <w:rPr>
          <w:rFonts w:eastAsia="Cambria" w:cs="Cambria"/>
          <w:b/>
          <w:bCs/>
          <w:i w:val="false"/>
          <w:iCs w:val="false"/>
          <w:sz w:val="22"/>
          <w:szCs w:val="22"/>
        </w:rPr>
        <w:t>Zweitens:</w:t>
      </w:r>
      <w:r>
        <w:rPr>
          <w:rFonts w:eastAsia="Cambria" w:cs="Cambria"/>
          <w:b w:val="false"/>
          <w:bCs w:val="false"/>
          <w:i w:val="false"/>
          <w:iCs w:val="false"/>
          <w:sz w:val="22"/>
          <w:szCs w:val="22"/>
        </w:rPr>
        <w:t xml:space="preserve"> die 55+-Falle. Wer nach dem 55. Geburtstag erstmals wieder versicherungspflichtig würde und in den letzten fünf Jahren nicht gesetzlich versichert war, gilt nach § 6 Abs. 3a SGB V als versicherungsfrei – die GKV-Rückkehr ist dann in der Regel ausgeschlossen. </w:t>
      </w:r>
      <w:r>
        <w:rPr>
          <w:rFonts w:eastAsia="Cambria" w:cs="Cambria"/>
          <w:b/>
          <w:bCs/>
          <w:i w:val="false"/>
          <w:iCs w:val="false"/>
          <w:sz w:val="22"/>
          <w:szCs w:val="22"/>
        </w:rPr>
        <w:t>Drittens:</w:t>
      </w:r>
      <w:r>
        <w:rPr>
          <w:rFonts w:eastAsia="Cambria" w:cs="Cambria"/>
          <w:b w:val="false"/>
          <w:bCs w:val="false"/>
          <w:i w:val="false"/>
          <w:iCs w:val="false"/>
          <w:sz w:val="22"/>
          <w:szCs w:val="22"/>
        </w:rPr>
        <w:t xml:space="preserve"> Wer zuletzt privat versichert war, hat keinen Anspruch auf Nr. 13; mit Wohnsitz in Deutschland besteht aber wieder eine Pflicht zur Krankheitskostenversicherung (§ 193 Abs. 3 VVG), notfalls im </w:t>
      </w:r>
      <w:r>
        <w:rPr>
          <w:rFonts w:eastAsia="Cambria" w:cs="Cambria"/>
          <w:b/>
          <w:bCs/>
          <w:i w:val="false"/>
          <w:iCs w:val="false"/>
          <w:sz w:val="22"/>
          <w:szCs w:val="22"/>
        </w:rPr>
        <w:t>Basistarif</w:t>
      </w:r>
      <w:r>
        <w:rPr>
          <w:rFonts w:eastAsia="Cambria" w:cs="Cambria"/>
          <w:b w:val="false"/>
          <w:bCs w:val="false"/>
          <w:i w:val="false"/>
          <w:iCs w:val="false"/>
          <w:sz w:val="22"/>
          <w:szCs w:val="22"/>
        </w:rPr>
        <w:t xml:space="preserve"> mit Aufnahmezwang und einem Höchstbeitrag von rund 1.017 €/Monat (2026, ohne Pflegeversicherung).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Meldest du dich später als einen Monat nach der Rückkehr bei einer privaten Krankenversicherung an, kostet jeder weitere Monat ohne Vertrag einen zusätzlichen Monatsbeitrag als Zuschlag, ab dem sechsten Monat ein Sechstel je Monat. Wer über der Versicherungspflichtgrenze verdient, selbständig ist oder mit 55 oder älter zurückkehrt, sollte die Krankenversicherung vor dem Abflug in die USA klären, nicht erst bei der Rückkehr.</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Eine Anwartschaftsversicherung, die du vor der Auswanderung bei deiner Kasse abschließt, sichert dir Rückkehr ohne neue Gesundheitsprüfung – bei der PKV üblicherweise für 5–10 % (kleine Anwartschaft) oder 20–45 % (große Anwartschaft, erhält zusätzlich das Eintrittsalter) des vollen Beitrags. Ob und zu welchen Kosten deine gesetzliche Kasse eine Anwartschaft anbietet, ist Kassensache; frag konkret nach.</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US-Steuern beim Verlassen: die letzte Erklärung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das Jahr des Wegzugs stellst du meist eine geteilte Erklärung (</w:t>
      </w:r>
      <w:r>
        <w:rPr>
          <w:rFonts w:eastAsia="Cambria" w:cs="Cambria"/>
          <w:b w:val="false"/>
          <w:bCs w:val="false"/>
          <w:i/>
          <w:iCs/>
          <w:sz w:val="22"/>
          <w:szCs w:val="22"/>
        </w:rPr>
        <w:t>Dual-Status Return</w:t>
      </w:r>
      <w:r>
        <w:rPr>
          <w:rFonts w:eastAsia="Cambria" w:cs="Cambria"/>
          <w:b w:val="false"/>
          <w:bCs w:val="false"/>
          <w:i w:val="false"/>
          <w:iCs w:val="false"/>
          <w:sz w:val="22"/>
          <w:szCs w:val="22"/>
        </w:rPr>
        <w:t>): steuerpflichtig als Resident für den Teil des Jahres, in dem du noch in den USA gemeldet warst, danach als Nichtresident. In diesem Jahr entfällt die Standard Deduction, und FBAR sowie Form 8938 gelten für die Zeit als Resident weiter. Die reguläre Frist ist der 15. April des Folgejahres, mit automatischer Fristverlängerung bis 15. Juni bei Wohnsitz außerhalb der USA und auf Antrag (Form 4868) bis 15. Oktober.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die meisten H-1B- oder L-1-Rückkehrer und für Green-Card-Inhaber mit wenigen Jahren Aufenthalt endet die Steuerpflicht damit. Anders bei einem </w:t>
      </w:r>
      <w:r>
        <w:rPr>
          <w:rFonts w:eastAsia="Cambria" w:cs="Cambria"/>
          <w:b w:val="false"/>
          <w:bCs w:val="false"/>
          <w:i/>
          <w:iCs/>
          <w:sz w:val="22"/>
          <w:szCs w:val="22"/>
        </w:rPr>
        <w:t>Long-term Resident</w:t>
      </w:r>
      <w:r>
        <w:rPr>
          <w:rFonts w:eastAsia="Cambria" w:cs="Cambria"/>
          <w:b w:val="false"/>
          <w:bCs w:val="false"/>
          <w:i w:val="false"/>
          <w:iCs w:val="false"/>
          <w:sz w:val="22"/>
          <w:szCs w:val="22"/>
        </w:rPr>
        <w:t xml:space="preserve"> (Green Card in mindestens acht der letzten fünfzehn Steuerjahre): Wer das erfüllt, muss beim Verlassen prüfen, ob er als </w:t>
      </w:r>
      <w:r>
        <w:rPr>
          <w:rFonts w:eastAsia="Cambria" w:cs="Cambria"/>
          <w:b w:val="false"/>
          <w:bCs w:val="false"/>
          <w:i/>
          <w:iCs/>
          <w:sz w:val="22"/>
          <w:szCs w:val="22"/>
        </w:rPr>
        <w:t>Covered Expatriate</w:t>
      </w:r>
      <w:r>
        <w:rPr>
          <w:rFonts w:eastAsia="Cambria" w:cs="Cambria"/>
          <w:b w:val="false"/>
          <w:bCs w:val="false"/>
          <w:i w:val="false"/>
          <w:iCs w:val="false"/>
          <w:sz w:val="22"/>
          <w:szCs w:val="22"/>
        </w:rPr>
        <w:t xml:space="preserve"> (steuerlich erfasster Aussteiger) gilt – etwa bei einer durchschnittlichen Einkommensteuer der letzten fünf Jahre über 211.000 $, einem Nettovermögen ab 2 Mio. $ oder fehlendem Nachweis der Steuertreue (Form 8854). Die Mechanik der Exit Tax – fiktiver Verkauf des Vermögens, Freibetrag 910.000 $ (2026) – steht ausführlich in Kapitel </w:t>
      </w:r>
      <w:hyperlink w:anchor="k41">
        <w:r>
          <w:rPr>
            <w:rStyle w:val="ListLabel115"/>
            <w:rFonts w:eastAsia="Cambria" w:cs="Cambria"/>
            <w:b w:val="false"/>
            <w:bCs w:val="false"/>
            <w:i w:val="false"/>
            <w:iCs w:val="false"/>
            <w:sz w:val="22"/>
            <w:szCs w:val="22"/>
          </w:rPr>
          <w:t>41</w:t>
        </w:r>
      </w:hyperlink>
      <w:r>
        <w:rPr>
          <w:rFonts w:eastAsia="Cambria" w:cs="Cambria"/>
          <w:b w:val="false"/>
          <w:bCs w:val="false"/>
          <w:i w:val="false"/>
          <w:iCs w:val="false"/>
          <w:sz w:val="22"/>
          <w:szCs w:val="22"/>
        </w:rPr>
        <w:t>; sie betrifft nur diese Langzeit-Fälle, nicht die Mehrheit der Rückkehrer.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Auf der deutschen Seite entfällt eine bereits ausgelöste Wegzugsteuer für Unternehmensanteile (§ 6 AStG, betrifft Gründer und Gesellschafter mit mindestens 1 % Beteiligung) rückwirkend, wenn du innerhalb von sieben Jahren nach dem Wegzug wieder unbeschränkt steuerpflichtig in Deutschland wirst und die Anteile in der Zwischenzeit weder verkauft noch übertragen hast; eine Verlängerung um bis zu fünf weitere Jahre ist bei glaubhafter Rückkehrabsicht möglich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 Wer als deutscher Staatsangehöriger zurückkehrt, ist ohnehin bis zu fünf Jahre nach dem ursprünglichen Wegzug weiter unbeschränkt erbschaftsteuerpflichtig gewesen (§ 2 ErbStG) – mit der Rückkehr stellt sich diese Frage ab sofort nicht mehr.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Das ist keine Rechts- oder Steuerberatung. Ob die Exit Tax greift, wie die letzte US-Erklärung aussieht und wie 401(k) oder Immobilienverkauf zu behandeln sind, hängt vom Einzelfall ab. Kläre das vor der Ausreise mit einer auf grenzüberschreitende Fälle spezialisierten Steuerfachperson (</w:t>
            </w:r>
            <w:r>
              <w:rPr>
                <w:rFonts w:eastAsia="Cambria" w:cs="Cambria"/>
                <w:b w:val="false"/>
                <w:bCs w:val="false"/>
                <w:i/>
                <w:iCs/>
                <w:sz w:val="20"/>
                <w:szCs w:val="20"/>
              </w:rPr>
              <w:t>Certified Public Accountant</w:t>
            </w:r>
            <w:r>
              <w:rPr>
                <w:rFonts w:eastAsia="Cambria" w:cs="Cambria"/>
                <w:b w:val="false"/>
                <w:bCs w:val="false"/>
                <w:i w:val="false"/>
                <w:iCs w:val="false"/>
                <w:sz w:val="20"/>
                <w:szCs w:val="20"/>
              </w:rPr>
              <w:t xml:space="preserve"> oder </w:t>
            </w:r>
            <w:r>
              <w:rPr>
                <w:rFonts w:eastAsia="Cambria" w:cs="Cambria"/>
                <w:b w:val="false"/>
                <w:bCs w:val="false"/>
                <w:i/>
                <w:iCs/>
                <w:sz w:val="20"/>
                <w:szCs w:val="20"/>
              </w:rPr>
              <w:t>Enrolled Agent</w:t>
            </w:r>
            <w:r>
              <w:rPr>
                <w:rFonts w:eastAsia="Cambria" w:cs="Cambria"/>
                <w:b w:val="false"/>
                <w:bCs w:val="false"/>
                <w:i w:val="false"/>
                <w:iCs w:val="false"/>
                <w:sz w:val="20"/>
                <w:szCs w:val="20"/>
              </w:rPr>
              <w:t>) und, bei der Green-Card-Frage, mit einem Einwanderungsanwalt.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Green Card aufgeben oder Wiedereinreisegenehmigung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Du musst dich vor der Ausreise entscheiden, wie du mit der Green Card umgehst. </w:t>
      </w:r>
      <w:r>
        <w:rPr>
          <w:rFonts w:eastAsia="Cambria" w:cs="Cambria"/>
          <w:b/>
          <w:bCs/>
          <w:i w:val="false"/>
          <w:iCs w:val="false"/>
          <w:sz w:val="22"/>
          <w:szCs w:val="22"/>
        </w:rPr>
        <w:t>Endgültig aufgeben</w:t>
      </w:r>
      <w:r>
        <w:rPr>
          <w:rFonts w:eastAsia="Cambria" w:cs="Cambria"/>
          <w:b w:val="false"/>
          <w:bCs w:val="false"/>
          <w:i w:val="false"/>
          <w:iCs w:val="false"/>
          <w:sz w:val="22"/>
          <w:szCs w:val="22"/>
        </w:rPr>
        <w:t xml:space="preserve"> kannst du sie über Form I-407, kostenlos und freiwillig; damit endet die Aufenthaltsberechtigung und, steuerlich, die Behandlung als US-Resident. </w:t>
      </w:r>
      <w:r>
        <w:rPr>
          <w:rFonts w:eastAsia="Cambria" w:cs="Cambria"/>
          <w:b/>
          <w:bCs/>
          <w:i w:val="false"/>
          <w:iCs w:val="false"/>
          <w:sz w:val="22"/>
          <w:szCs w:val="22"/>
        </w:rPr>
        <w:t>Offenhalten</w:t>
      </w:r>
      <w:r>
        <w:rPr>
          <w:rFonts w:eastAsia="Cambria" w:cs="Cambria"/>
          <w:b w:val="false"/>
          <w:bCs w:val="false"/>
          <w:i w:val="false"/>
          <w:iCs w:val="false"/>
          <w:sz w:val="22"/>
          <w:szCs w:val="22"/>
        </w:rPr>
        <w:t xml:space="preserve"> kannst du die Option über eine Wiedereinreisegenehmigung (</w:t>
      </w:r>
      <w:r>
        <w:rPr>
          <w:rFonts w:eastAsia="Cambria" w:cs="Cambria"/>
          <w:b w:val="false"/>
          <w:bCs w:val="false"/>
          <w:i/>
          <w:iCs/>
          <w:sz w:val="22"/>
          <w:szCs w:val="22"/>
        </w:rPr>
        <w:t>Reentry Permit</w:t>
      </w:r>
      <w:r>
        <w:rPr>
          <w:rFonts w:eastAsia="Cambria" w:cs="Cambria"/>
          <w:b w:val="false"/>
          <w:bCs w:val="false"/>
          <w:i w:val="false"/>
          <w:iCs w:val="false"/>
          <w:sz w:val="22"/>
          <w:szCs w:val="22"/>
        </w:rPr>
        <w:t>, Form I-131, 630 $, gültig bis zu zwei Jahre); sie musst du in den USA mit Biometrie beantragen, bevor du abreist. Der Haken: Solange du die Green Card behältst, bleibst du weltweit US-steuerpflichtig und meldepflichtig (FBAR, Form 8938), auch wenn du in Deutschland lebst und arbeitest – die Wiedereinreisegenehmigung schützt nur vor dem Vorwurf, den Wohnsitz endgültig verlegt zu haben, nicht vor der Steuerpflicht.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Unterschreibe ein I-407 nie unter Druck, etwa bei der Einreise nach einer langen Abwesenheit am Flughafenschalter. Du kannst stattdessen auf einem Verfahren vor einem Einwanderungsrichter bestehen; nur der kann die Aufgabe der Green Card förmlich feststellen. Die Rechte und Pflichten als Green-Card-Inhaber und der Vergleich zur Einbürgerung stehen in Kapitel </w:t>
            </w:r>
            <w:hyperlink w:anchor="k41">
              <w:r>
                <w:rPr>
                  <w:rStyle w:val="ListLabel114"/>
                  <w:rFonts w:eastAsia="Cambria" w:cs="Cambria"/>
                  <w:b w:val="false"/>
                  <w:bCs w:val="false"/>
                  <w:i w:val="false"/>
                  <w:iCs w:val="false"/>
                  <w:sz w:val="20"/>
                  <w:szCs w:val="20"/>
                </w:rPr>
                <w:t>41</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401(k), IRA und Depots: mitnehmen oder auflösen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401(k)- oder IRA-Konto musst du wegen der Auswanderung nicht auflösen; es bleibt bestehen und wächst steuerbegünstigt weiter. Eine vorzeitige Auszahlung vor 59½ Jahren löst zusätzlich zur regulären Einkommensteuer eine Strafsteuer von rund 10 % aus – ein sofortiger Komplettausstieg ist damit fast immer die teuerste Option. Sinnvoller ist meist, das Geld bis zum Ruhestand liegen zu lassen oder ein 401(k) in eine IRA zu übertragen, die sich aus dem Ausland einfacher verwalten lässt. Sobald du keinen US-Steuerresidenzstatus mehr hast, sieht das Doppelbesteuerungsabkommen private Renten und Auszahlungen aus Altersvorsorgeplänen (Art. 18 Abs. 1–2) als nur im Wohnsitzstaat – also in Deutschland – besteuerbar vor; das befreit dich in der Praxis nicht automatisch von der US-Vorabsteuer und braucht die richtigen Formulare gegenüber der depotführenden Bank. Kläre die Auszahlungsstrategie und ihre deutsche Besteuerung vor dem Abflug mit einer grenzüberschreitend erfahrenen Steuerfachperson (Kapitel </w:t>
      </w:r>
      <w:hyperlink w:anchor="k39">
        <w:r>
          <w:rPr>
            <w:rStyle w:val="ListLabel115"/>
            <w:rFonts w:eastAsia="Cambria" w:cs="Cambria"/>
            <w:b w:val="false"/>
            <w:bCs w:val="false"/>
            <w:i w:val="false"/>
            <w:iCs w:val="false"/>
            <w:sz w:val="22"/>
            <w:szCs w:val="22"/>
          </w:rPr>
          <w:t>39</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Haus, Auto und der Umzug zurück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Eigenheim oder Auto in den USA verkaufst du am einfachsten, solange du noch als Resident giltst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Verkaufst du erst nach der Ausreise als Nichtresident, behält die Titelgesellschaft beim Verkauf nach US-Steuerrecht (FIRPTA) einen Teil des Verkaufspreises als Vorauszahlung auf die Steuer ein – regulär 15 % des Kaufpreises, bei selbstgenutzten Immobilien bis 1 Mio. $ ermäßigt auf 10 %, bis 300.000 $ oft ganz befreit; die tatsächliche Steuer errechnet erst die Erklärung, zu viel Einbehaltenes kommt zurück. Ein Auto lässt sich ohne US-Adresse kaum versichern oder ummelden; der Verkauf vor dem Abflug ist fast immer die praktikablere Lösung als der teure und wegen abweichender Normen aufwendige Transport nach Deutschland.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Dein Umzugsgut kannst du als Übersiedlungsgut (der Zollbegriff für das Umzugsgut von Rückkehrern) zollfrei nach Deutschland einführen, wenn du mindestens zwölf Monate deinen gewöhnlichen Aufenthalt im Ausland hattest und die Gegenstände mindestens sechs Monate in deinem Besitz und Gebrauch waren; neue, unbenutzte Waren zählen nicht dazu. Die Befreiung beantragst du formlos beim zuständigen Hauptzollamt, vor oder bei der Einfuhr; innerhalb von zwölf Monaten nach dem Umzug kannst du weitere Sachen nachführen, darfst die zollfrei eingeführten Gegenstände in dieser Zeit aber nicht verkaufen, verleihen oder vermieten. Logistik und Kosten des Transports stehen in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die Einreise deines Haustiers nach den Regeln der EU in Kapitel </w:t>
      </w:r>
      <w:hyperlink w:anchor="k22">
        <w:r>
          <w:rPr>
            <w:rStyle w:val="ListLabel115"/>
            <w:rFonts w:eastAsia="Cambria" w:cs="Cambria"/>
            <w:b w:val="false"/>
            <w:bCs w:val="false"/>
            <w:i w:val="false"/>
            <w:iCs w:val="false"/>
            <w:sz w:val="22"/>
            <w:szCs w:val="22"/>
          </w:rPr>
          <w:t>22</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Kinder zurück im deutschen Schulsystem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Schulpflicht gilt für jedes Kind mit Wohnsitz in Deutschland unabhängig von der Staatsangehörigkeit, beginnt je nach Bundesland mit einem Stichtag um den 30. Juni oder 30. September und dauert neun bis zehn Jahre Vollzeit; Hausunterricht ist – anders als in vielen US-Bundesstaaten – grundsätzlich nicht erlaubt. Die Schule stuft nach Lebensalter und Zeugnissen ein; die Grade-Klasse-Tabelle aus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 xml:space="preserve"> funktioniert auch rückwärts. Jüngere Kinder wechseln meist unkompliziert, oft mit etwas Nachholbedarf im geschriebenen Deutsch nach Jahren in einer englischsprachigen Schule. Teenager in der Oberstufe haben es schwerer: Lücken in der Kursfolge, und ein reines </w:t>
      </w:r>
      <w:r>
        <w:rPr>
          <w:rFonts w:eastAsia="Cambria" w:cs="Cambria"/>
          <w:b w:val="false"/>
          <w:bCs w:val="false"/>
          <w:i/>
          <w:iCs/>
          <w:sz w:val="22"/>
          <w:szCs w:val="22"/>
        </w:rPr>
        <w:t>High School Diploma</w:t>
      </w:r>
      <w:r>
        <w:rPr>
          <w:rFonts w:eastAsia="Cambria" w:cs="Cambria"/>
          <w:b w:val="false"/>
          <w:bCs w:val="false"/>
          <w:i w:val="false"/>
          <w:iCs w:val="false"/>
          <w:sz w:val="22"/>
          <w:szCs w:val="22"/>
        </w:rPr>
        <w:t xml:space="preserve"> (der amerikanische Schulabschluss) reicht für die direkte Zulassung an einer deutschen Hochschule häufig nicht aus. Wege dorthin sind ein Studienkolleg (zwei Semester plus Feststellungsprüfung), die Anerkennung von ein bis zwei Jahren US-College oder eine Einzelfallbewertung durch die Zentralstelle für ausländisches Bildungswesen (anabin/ZAB).</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Plane den Umzug, wenn möglich, auf den Beginn des deutschen Schuljahres im August oder September. Ein Wechsel mitten im Halbjahr kostet Kinder mehr als jede andere Einzelmaßnahme in diesem Kapitel.</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Kindergeld (259 €/Kind/Monat) lebt mit dem deutschen Wohnsitz automatisch wieder auf; beantrage es neu, sobald du angemeldet bist. Sprachförderung für Kinder, die stärker Englisch als Deutsch geprägt sind, und der Umgang mit zwei Sprachen allgemein stehen in Kapitel </w:t>
      </w:r>
      <w:hyperlink w:anchor="k37">
        <w:r>
          <w:rPr>
            <w:rStyle w:val="ListLabel115"/>
            <w:rFonts w:eastAsia="Cambria" w:cs="Cambria"/>
            <w:b w:val="false"/>
            <w:bCs w:val="false"/>
            <w:i w:val="false"/>
            <w:iCs w:val="false"/>
            <w:sz w:val="22"/>
            <w:szCs w:val="22"/>
          </w:rPr>
          <w:t>37</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Rentenansprüche: was bleibt und was zusammengerechnet wird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Deutsche Rentenanwartschaften bleiben durch die Jahre im Ausland unberührt; jedes Land berechnet seine Rente weiterhin nur aus den eigenen Beitragszeiten, eine gemeinsame Rente gibt es nicht. Das deutsch-amerikanische Sozialversicherungsabkommen (seit 1. Dezember 1979) deckt ausschließlich die Rentenversicherung ab und rechnet deutsche und US-Zeiten für die Mindestversicherungszeit zusammen – in Deutschland fünf Jahre. Freiwillige Beiträge zur deutschen Rentenversicherung sind für Deutsche jederzeit möglich, auch rückwirkend bis zum 31. März des Folgejahres, und schließen Lücken oder erhalten den Schutz bei Erwerbsminderung. Melde der Deutschen Rentenversicherung deine neue Anschrift und Rückkehr einige Monate vorher; zum Rentenbeginn stellst du getrennte Anträge bei der DRV und der amerikanischen Social Security Administration. Beide Renten werden weltweit gezahlt – die US-Rente erreicht dich also auch in Deutschland ungekürzt für reine US-Zeiten.</w:t>
      </w:r>
    </w:p>
    <w:p>
      <w:pPr>
        <w:pStyle w:val="Heading3"/>
        <w:keepNext w:val="true"/>
        <w:spacing w:before="280" w:after="100"/>
        <w:jc w:val="center"/>
        <w:rPr/>
      </w:pPr>
      <w:r>
        <w:rPr>
          <w:rFonts w:eastAsia="Amazon Ember" w:cs="Amazon Ember" w:ascii="Amazon Ember" w:hAnsi="Amazon Ember"/>
          <w:b/>
          <w:bCs/>
          <w:color w:val="0000FF"/>
          <w:sz w:val="36"/>
          <w:szCs w:val="36"/>
        </w:rPr>
        <w:t>Wohnung und Bank ohne Schufa-Historie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Jahren im Ausland ist deine Schufa-Akte oft dünn oder veraltet – für Vermieter wirkt das mitunter genauso misstrauisch wie ein negativer Eintrag: Deutschland vergisst nicht gern, aber es vergisst, wer lange nicht da war. Verlangt werden meist eine aktuelle Schufa-Bonitätsauskunft, die letzten drei Gehaltsabrechnungen und der Personalausweis. Fordere deine eigene Schufa-Auskunft schon vor der Rückkehr online an, biete Nachweise über Ersparnisse oder den neuen Arbeitsvertrag an, prüfe eine Bürgschaft oder eine höhere Kaution, und überbrücke die Suche notfalls mit einer möblierten Zwischenmiete. Beim Bankkonto ist es einfacher, wenn du dein altes deutsches Konto vor der Auswanderung behalten hast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 Du musst es nur reaktivieren, das TAN-Verfahren auf die App statt auf eine SMS an deine alte deutsche Nummer umstellen und die Adresse aktualisieren. Wurde das Konto geschlossen, hast du nach dem Zahlungskontengesetz Anspruch auf ein einfaches Basiskonto, unabhängig von der Schufa-Historie – allerdings mit eingeschränktem Leistungsumfang.</w:t>
      </w:r>
    </w:p>
    <w:p>
      <w:pPr>
        <w:pStyle w:val="Heading3"/>
        <w:keepNext w:val="true"/>
        <w:spacing w:before="280" w:after="100"/>
        <w:jc w:val="center"/>
        <w:rPr/>
      </w:pPr>
      <w:r>
        <w:rPr>
          <w:rFonts w:eastAsia="Amazon Ember" w:cs="Amazon Ember" w:ascii="Amazon Ember" w:hAnsi="Amazon Ember"/>
          <w:b/>
          <w:bCs/>
          <w:color w:val="0000FF"/>
          <w:sz w:val="36"/>
          <w:szCs w:val="36"/>
        </w:rPr>
        <w:t>Der umgekehrte Kulturschock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Viele unterschätzen, wie fremd sich die eigene Heimat anfühlen kann. Freunde sind weitergezogen, Ämter arbeiten anders als erinnert, manches, was in den USA selbstverständlich war – späte Öffnungszeiten, große Wohnungen, ein bestimmter Umgangston bei der Arbeit –, fehlt plötzlich. Sonntagabends steht man vor dem verschlossenen Supermarkt und braucht einen Moment, um sich zu erinnern, dass das hier ganz normal ist. Kinder, die einen Großteil ihrer bewussten Kindheit in den USA verbracht haben, empfinden Deutschland womöglich fremder als sie einst die USA empfanden. Die Phasen ähneln dem ursprünglichen Kulturschock, treffen viele aber unvorbereiteter, weil niemand erwartet, sich zu Hause anpassen zu müssen. Mentale Gesundheit, Heimweh und der Umgang mit Kulturschock allgemein stehen ausführlich in Kapitel </w:t>
      </w:r>
      <w:hyperlink w:anchor="k33">
        <w:r>
          <w:rPr>
            <w:rStyle w:val="ListLabel115"/>
            <w:rFonts w:eastAsia="Cambria" w:cs="Cambria"/>
            <w:b w:val="false"/>
            <w:bCs w:val="false"/>
            <w:i w:val="false"/>
            <w:iCs w:val="false"/>
            <w:sz w:val="22"/>
            <w:szCs w:val="22"/>
          </w:rPr>
          <w:t>33</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Pendeln oder zwei Wohnsitze?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Manche Familien versuchen eine Übergangslösung: Ein Elternteil arbeitet noch einige Monate in den USA weiter, während der Rest der Familie schon in Deutschland ist, oder man behält für eine Weile beide Wohnungen. Das kann rund um einen Schuljahreswechsel sinnvoll sein, hat aber eine steuerliche Falle: Wer in Deutschland eine Wohnung behält, „die er beibehalten und benutzen wird“, ist damit wieder unbeschränkt steuerpflichtig in Deutschland (§ 8 AO) – unabhängig davon, wo der Lebensmittelpunkt gerade liegt (die Zweitwohnsitz-Falle, im Detail in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 Kranken- und Sozialversicherung verheddern sich bei zwei Wohnsitzen ähnlich. In der Praxis funktioniert ein Doppelmodell meist nur für wenige Monate als bewusste Brücke, nicht als Dauerlösung; kläre die Steuerlage in beiden Ländern schriftlich, bevor du sie beginnst.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Brandt (fiktives Beispiel) lebt seit sechs Jahren im Großraum Detroit, als Markus’ deutsche Muttergesellschaft ihm eine Position bei Stuttgart anbietet. Anna hat die Green Card, Markus ist noch im Prozess; sie entscheiden sich, seine Green Card über I-407 aufzugeben, statt eine Wiedereinreisegenehmigung zu beantragen. Lena (inzwischen 15) reagiert zunächst wütend auf den Abschied von ihren Freundinnen – „Ich habe hier mein ganzes Leben“, sagt sie beim Abendessen –, findet sich aber leichter zurecht, als die Familie befürchtet hatte; für die Oberstufe klärt die Schule die Einstufung anhand ihrer US-Zeugnisse. Jonas (11) wechselt unkompliziert aufs Gymnasium. Weil Anna vor der Ausreise eine kleine PKV-Anwartschaft abgeschlossen hatte, sind beide ab dem Einzugstag wieder abgesichert. Das Haus in Michigan verkaufen sie noch vor dem Wegzug.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Vertraute Sprache, Familie und Freunde wieder erreichbar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Gehalt und Karrierepfad lassen sich selten 1:1 übertragen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Gesetzliche Krankenversicherung und Kündigungsschutz wieder verfügbar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GKV-Rückkehr kann an Versicherungspflichtgrenze oder 55+-Regel scheitern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 Aufgabe der Green Card entfällt die jährliche US-Steuererklärung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Exit Tax bei langer Green-Card-Zeit möglich</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 wachsen mit deutschem Schulabschluss und beiden Sprachen auf</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Umgekehrter Kulturschock, Wohnungssuche ohne aktuelle Schufa</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Rentenanwartschaften in beiden Ländern bleiben erhalten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Verkauf von Haus und Auto in den USA unter Zeitdruck</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Beginne mit den zwei Entscheidungen, die alles andere prägen: Wie gehst du mit der Green Card um, und willst du die Tür in die USA offenhalten oder schließen? Danach folgt der Rest fast von selbst – Krankenversicherung, letzte Steuererklärung, Schule, Wohnung. Wer sechs Monate Vorlauf hat, kommt mit deutlich weniger Reibung zurück als wer erst nach der Kündigung anfängt zu planen.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Entscheidung mit der Familie treffen, Zeitpunkt am deutschen Schuljahr ausrichten.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GKV-/PKV-Anwartschaft mindestens sechs Monate vor der Rückkehr klären.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Deutsche Rentenversicherung über die Rückkehr informieren, freiwillige Beiträge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Entscheidung Green Card treffen: Form I-407 (endgültig) oder Reentry Permit (Option offenhalten).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Letzte US-Steuererklärung mit einer grenzüberschreitend erfahrenen Steuerfachperson planen; bei Green Card ab acht Jahren die Exit Tax prüfen lassen.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Strategie für 401(k)/IRA festlegen: liegen lassen, übertragen oder auszahlen.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Haus/Wohnung und Auto in den USA rechtzeitig verkaufen oder Vermietung klären.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Übersiedlungsgut-Liste für den Zoll vorbereiten, Besitz und Nutzung von mindestens sechs Monaten dokumentieren.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Schule oder Kita in Deutschland kontaktieren, Zeugnisse übersetzen lassen, Einstufung klären.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 Schufa-Bonitätsauskunft frühzeitig anfordern, deutsches Bankkonto reaktivieren.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Anmeldung beim Einwohnermeldeamt binnen zwei Wochen nach dem Einzug erledigen.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Kindergeld neu beantragen, sobald du gemeldet bist.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Green Card aufgeben, Form I-407 (</w:t>
      </w:r>
      <w:hyperlink r:id="rId406">
        <w:r>
          <w:rPr>
            <w:rStyle w:val="ListLabel113"/>
            <w:rFonts w:eastAsia="Cambria" w:cs="Cambria"/>
            <w:b w:val="false"/>
            <w:bCs w:val="false"/>
            <w:i w:val="false"/>
            <w:iCs w:val="false"/>
            <w:color w:val="0563C1"/>
            <w:sz w:val="22"/>
            <w:szCs w:val="22"/>
            <w:u w:val="single"/>
          </w:rPr>
          <w:t>uscis.gov/green-card</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USCIS – Wiedereinreisegenehmigung, Form I-131 (</w:t>
      </w:r>
      <w:hyperlink r:id="rId407">
        <w:r>
          <w:rPr>
            <w:rStyle w:val="ListLabel113"/>
            <w:rFonts w:eastAsia="Cambria" w:cs="Cambria"/>
            <w:b w:val="false"/>
            <w:bCs w:val="false"/>
            <w:i w:val="false"/>
            <w:iCs w:val="false"/>
            <w:color w:val="0563C1"/>
            <w:sz w:val="22"/>
            <w:szCs w:val="22"/>
            <w:u w:val="single"/>
          </w:rPr>
          <w:t>uscis.gov/i-131</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Expatriation Tax (</w:t>
      </w:r>
      <w:hyperlink r:id="rId408">
        <w:r>
          <w:rPr>
            <w:rStyle w:val="ListLabel113"/>
            <w:rFonts w:eastAsia="Cambria" w:cs="Cambria"/>
            <w:b w:val="false"/>
            <w:bCs w:val="false"/>
            <w:i w:val="false"/>
            <w:iCs w:val="false"/>
            <w:color w:val="0563C1"/>
            <w:sz w:val="22"/>
            <w:szCs w:val="22"/>
            <w:u w:val="single"/>
          </w:rPr>
          <w:t>irs.gov/individuals/international-taxpayers/expatriation-tax</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IRS – FIRPTA Withholding (</w:t>
      </w:r>
      <w:hyperlink r:id="rId409">
        <w:r>
          <w:rPr>
            <w:rStyle w:val="ListLabel113"/>
            <w:rFonts w:eastAsia="Cambria" w:cs="Cambria"/>
            <w:b w:val="false"/>
            <w:bCs w:val="false"/>
            <w:i w:val="false"/>
            <w:iCs w:val="false"/>
            <w:color w:val="0563C1"/>
            <w:sz w:val="22"/>
            <w:szCs w:val="22"/>
            <w:u w:val="single"/>
          </w:rPr>
          <w:t>irs.gov/individuals/international-taxpayers/firpta-withholding</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Gesetze im Internet – SGB V, §§ 5, 6, 9 (</w:t>
      </w:r>
      <w:hyperlink r:id="rId410">
        <w:r>
          <w:rPr>
            <w:rStyle w:val="ListLabel113"/>
            <w:rFonts w:eastAsia="Cambria" w:cs="Cambria"/>
            <w:b w:val="false"/>
            <w:bCs w:val="false"/>
            <w:i w:val="false"/>
            <w:iCs w:val="false"/>
            <w:color w:val="0563C1"/>
            <w:sz w:val="22"/>
            <w:szCs w:val="22"/>
            <w:u w:val="single"/>
          </w:rPr>
          <w:t>gesetze-im-internet.de/sgb_5</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Deutsche Rentenversicherung – Arbeit und Rente in Deutschland und den USA (</w:t>
      </w:r>
      <w:hyperlink r:id="rId411">
        <w:r>
          <w:rPr>
            <w:rStyle w:val="ListLabel113"/>
            <w:rFonts w:eastAsia="Cambria" w:cs="Cambria"/>
            <w:b w:val="false"/>
            <w:bCs w:val="false"/>
            <w:i w:val="false"/>
            <w:iCs w:val="false"/>
            <w:color w:val="0563C1"/>
            <w:sz w:val="22"/>
            <w:szCs w:val="22"/>
            <w:u w:val="single"/>
          </w:rPr>
          <w:t>deutsche-rentenversicherung.de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Zoll online – Übersiedlungsgut (</w:t>
      </w:r>
      <w:hyperlink r:id="rId412">
        <w:r>
          <w:rPr>
            <w:rStyle w:val="ListLabel113"/>
            <w:rFonts w:eastAsia="Cambria" w:cs="Cambria"/>
            <w:b w:val="false"/>
            <w:bCs w:val="false"/>
            <w:i w:val="false"/>
            <w:iCs w:val="false"/>
            <w:color w:val="0563C1"/>
            <w:sz w:val="22"/>
            <w:szCs w:val="22"/>
            <w:u w:val="single"/>
          </w:rPr>
          <w:t>zoll.de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DAAD New York – Anerkennung US-amerikanischer Abschlüsse (</w:t>
      </w:r>
      <w:hyperlink r:id="rId413">
        <w:r>
          <w:rPr>
            <w:rStyle w:val="ListLabel113"/>
            <w:rFonts w:eastAsia="Cambria" w:cs="Cambria"/>
            <w:b w:val="false"/>
            <w:bCs w:val="false"/>
            <w:i w:val="false"/>
            <w:iCs w:val="false"/>
            <w:color w:val="0563C1"/>
            <w:sz w:val="22"/>
            <w:szCs w:val="22"/>
            <w:u w:val="single"/>
          </w:rPr>
          <w:t>daad.org</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Schnell ändern sich die Versicherungspflichtgrenze und die GKV-Beitragssätze (jährlich neu), die Exit-Tax-Schwellenwerte (211.000 $ und 910.000 $ für 2026, jährlich angepasst), die FIRPTA-Sätze und die Gebühren für I-407 und I-131. Prüfe vor jedem Schritt die offiziellen Seiten und sprich frühzeitig mit einer Steuerfachperson in beiden Ländern.</w:t>
            </w:r>
          </w:p>
        </w:tc>
      </w:tr>
    </w:tbl>
    <w:p>
      <w:pPr>
        <w:sectPr>
          <w:footerReference w:type="even" r:id="rId414"/>
          <w:footerReference w:type="default" r:id="rId415"/>
          <w:footerReference w:type="first" r:id="rId416"/>
          <w:type w:val="nextPage"/>
          <w:pgSz w:w="8640" w:h="12983"/>
          <w:pgMar w:left="1080" w:right="1080" w:gutter="0" w:header="0" w:top="1080" w:footer="708" w:bottom="1100"/>
          <w:pgNumType w:fmt="decimal"/>
          <w:formProt w:val="false"/>
          <w:textDirection w:val="lrTb"/>
          <w:docGrid w:type="default" w:linePitch="360" w:charSpace="4096"/>
        </w:sectPr>
        <w:pStyle w:val="Normal"/>
        <w:spacing w:lineRule="exact" w:line="220" w:before="0" w:after="0"/>
        <w:rPr/>
      </w:pPr>
      <w:r>
        <w:rPr/>
      </w:r>
    </w:p>
    <w:p>
      <w:pPr>
        <w:pStyle w:val="Heading1"/>
        <w:spacing w:before="0" w:after="360"/>
        <w:jc w:val="center"/>
        <w:rPr/>
      </w:pPr>
      <w:bookmarkStart w:id="103" w:name="__RefHeading___Toc56531_3769931028"/>
      <w:bookmarkEnd w:id="103"/>
      <w:r>
        <w:rPr>
          <w:rFonts w:eastAsia="Amazon Ember" w:cs="Amazon Ember" w:ascii="Amazon Ember" w:hAnsi="Amazon Ember"/>
          <w:b/>
          <w:bCs/>
          <w:color w:val="0000FF"/>
        </w:rPr>
        <w:t>TEIL AUSTRALIEN — Fern, aber gut geregelt</w:t>
      </w:r>
    </w:p>
    <w:p>
      <w:pPr>
        <w:sectPr>
          <w:footerReference w:type="even" r:id="rId417"/>
          <w:footerReference w:type="default" r:id="rId418"/>
          <w:footerReference w:type="first" r:id="rId419"/>
          <w:type w:val="nextPage"/>
          <w:pgSz w:w="8640" w:h="12983"/>
          <w:pgMar w:left="1080" w:right="1080" w:gutter="0" w:header="0" w:top="1080" w:footer="708" w:bottom="1100"/>
          <w:pgNumType w:fmt="decimal"/>
          <w:formProt w:val="false"/>
          <w:vAlign w:val="center"/>
          <w:textDirection w:val="lrTb"/>
          <w:docGrid w:type="default" w:linePitch="360" w:charSpace="4096"/>
        </w:sectPr>
        <w:pStyle w:val="Normal"/>
        <w:spacing w:lineRule="exact" w:line="300" w:before="0" w:after="160"/>
        <w:ind w:left="400" w:right="400"/>
        <w:jc w:val="center"/>
        <w:rPr/>
      </w:pPr>
      <w:r>
        <w:rPr>
          <w:rFonts w:eastAsia="Cambria" w:cs="Cambria"/>
          <w:b w:val="false"/>
          <w:bCs w:val="false"/>
          <w:i/>
          <w:iCs/>
          <w:sz w:val="24"/>
          <w:szCs w:val="24"/>
        </w:rPr>
        <w:t>Australien lockt mit Sonne, einer klar strukturierten Einwanderungslogik und einer Sprache, die du schon kannst – und stellt dich zugleich vor die größte Distanz zu Deutschland unter allen vier Ländern dieses Buches. Dieser Teil begleitet Familie Reinhardt und Nina Voss durch Einwanderungswege, Alltag und die Frage, ob 16.000 Kilometer für dich zu weit sind oder genau richtig.</w:t>
      </w:r>
      <w:r>
        <w:br w:type="page"/>
      </w:r>
    </w:p>
    <w:p>
      <w:pPr>
        <w:pStyle w:val="Heading2"/>
        <w:keepNext w:val="true"/>
        <w:spacing w:before="0" w:after="300"/>
        <w:jc w:val="center"/>
        <w:rPr/>
      </w:pPr>
      <w:bookmarkStart w:id="104" w:name="__RefHeading___Toc56533_3769931028"/>
      <w:bookmarkStart w:id="105" w:name="tau01"/>
      <w:bookmarkEnd w:id="104"/>
      <w:r>
        <w:rPr>
          <w:rFonts w:eastAsia="Amazon Ember" w:cs="Amazon Ember" w:ascii="Amazon Ember" w:hAnsi="Amazon Ember"/>
          <w:b/>
          <w:bCs/>
          <w:color w:val="0000FF"/>
          <w:sz w:val="36"/>
          <w:szCs w:val="36"/>
        </w:rPr>
        <w:t>Australien: Die ehrliche Bilanz</w:t>
      </w:r>
      <w:bookmarkEnd w:id="105"/>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Auf dem Küchentisch der Reinhardts in Köln liegt ein Ausdruck der SkillSelect-Punktetabelle, daneben die Kontoauszüge der letzten sechs Monate. Thomas, 41, Bauingenieur, hat seinen Punktestand ausgerechnet: 85 Punkte, komfortabel über dem gesetzlichen Minimum. Sandra, 39, Krankenpflegerin, hat parallel recherchiert, was ein Umzug nach Melbourne für die Steuerlast bedeutet – und ist auf eine Zahl gestoßen, die sie zweimal nachrechnen ließ: Der Anteil, den Steuern und Abgaben vom Einkommen wegnehmen, liegt in Australien spürbar niedriger als in Deutschland. Bevor daraus eine Entscheidung wird, verdient diese Zahl einen zweiten, nüchternen Blick – zusammen mit allem, was sie nicht zeigt. Genau den liefert dieses Kapitel.</w:t>
      </w:r>
    </w:p>
    <w:tbl>
      <w:tblPr>
        <w:tblW w:w="6480" w:type="dxa"/>
        <w:jc w:val="left"/>
        <w:tblInd w:w="0" w:type="dxa"/>
        <w:tblLayout w:type="fixed"/>
        <w:tblCellMar>
          <w:top w:w="110" w:type="dxa"/>
          <w:left w:w="200" w:type="dxa"/>
          <w:bottom w:w="80" w:type="dxa"/>
          <w:right w:w="160" w:type="dxa"/>
        </w:tblCellMar>
      </w:tblPr>
      <w:tblGrid>
        <w:gridCol w:w="6480"/>
      </w:tblGrid>
      <w:tr>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Der OECD-Steuerkeil zeigt: Auf einen Durchschnittsverdiener entfallen in Australien rund 29,6 % der Arbeitskosten an Steuern und Abgaben, in Deutschland rund 49,3 % – ein struktureller Vorteil, der aber geringere Sozialleistungen mit einpreist.</w:t>
            </w:r>
          </w:p>
          <w:p>
            <w:pPr>
              <w:pStyle w:val="ListParagraph"/>
              <w:numPr>
                <w:ilvl w:val="0"/>
                <w:numId w:val="1"/>
              </w:numPr>
              <w:spacing w:lineRule="exact" w:line="264" w:before="0" w:after="50"/>
              <w:rPr/>
            </w:pPr>
            <w:r>
              <w:rPr>
                <w:rFonts w:eastAsia="Cambria" w:cs="Cambria"/>
                <w:b w:val="false"/>
                <w:bCs w:val="false"/>
                <w:i w:val="false"/>
                <w:iCs w:val="false"/>
                <w:sz w:val="20"/>
                <w:szCs w:val="20"/>
              </w:rPr>
              <w:t>Medicare deckt die öffentliche Grundversorgung, aber Deutschland gehört nicht zu den elf Ländern mit einem Gegenseitigkeitsabkommen für Gesundheitsversorgung: Bis zum Daueraufenthaltstitel brauchst du private Zusatzversicherung.</w:t>
            </w:r>
          </w:p>
          <w:p>
            <w:pPr>
              <w:pStyle w:val="ListParagraph"/>
              <w:numPr>
                <w:ilvl w:val="0"/>
                <w:numId w:val="1"/>
              </w:numPr>
              <w:spacing w:lineRule="exact" w:line="264" w:before="0" w:after="50"/>
              <w:rPr/>
            </w:pPr>
            <w:r>
              <w:rPr>
                <w:rFonts w:eastAsia="Cambria" w:cs="Cambria"/>
                <w:b w:val="false"/>
                <w:bCs w:val="false"/>
                <w:i w:val="false"/>
                <w:iCs w:val="false"/>
                <w:sz w:val="20"/>
                <w:szCs w:val="20"/>
              </w:rPr>
              <w:t>Melbourne und Sydney liegen bei den Lebenshaltungskosten in ähnlichen Regionen wie München, mit spürbaren Unterschieden bei Miete und Gesundheitskosten.</w:t>
            </w:r>
          </w:p>
          <w:p>
            <w:pPr>
              <w:pStyle w:val="ListParagraph"/>
              <w:numPr>
                <w:ilvl w:val="0"/>
                <w:numId w:val="1"/>
              </w:numPr>
              <w:spacing w:lineRule="exact" w:line="264" w:before="0" w:after="50"/>
              <w:rPr/>
            </w:pPr>
            <w:r>
              <w:rPr>
                <w:rFonts w:eastAsia="Cambria" w:cs="Cambria"/>
                <w:b w:val="false"/>
                <w:bCs w:val="false"/>
                <w:i w:val="false"/>
                <w:iCs w:val="false"/>
                <w:sz w:val="20"/>
                <w:szCs w:val="20"/>
              </w:rPr>
              <w:t>Superannuation ersetzt die gesetzliche Rente nur teilweise: 12 % vom Arbeitgeber, aber wer als befristeter Visuminhaber wieder auswandert, zahlt beim Auszahlen bis zu 65 % Steuern auf das Ersparte.</w:t>
            </w:r>
          </w:p>
          <w:p>
            <w:pPr>
              <w:pStyle w:val="ListParagraph"/>
              <w:numPr>
                <w:ilvl w:val="0"/>
                <w:numId w:val="1"/>
              </w:numPr>
              <w:spacing w:lineRule="exact" w:line="264" w:before="0" w:after="50"/>
              <w:rPr/>
            </w:pPr>
            <w:r>
              <w:rPr>
                <w:rFonts w:eastAsia="Cambria" w:cs="Cambria"/>
                <w:b w:val="false"/>
                <w:bCs w:val="false"/>
                <w:i w:val="false"/>
                <w:iCs w:val="false"/>
                <w:sz w:val="20"/>
                <w:szCs w:val="20"/>
              </w:rPr>
              <w:t>Schon der Antrag kostet: Ein Skilled-Visum schlägt allein an Behördengebühren mit rund 6.135 AUD pro Hauptantragsteller zu Buche, dazu kommen Tests, Gutachten und oft ein Migrationsberater.</w:t>
            </w:r>
          </w:p>
          <w:p>
            <w:pPr>
              <w:pStyle w:val="ListParagraph"/>
              <w:numPr>
                <w:ilvl w:val="0"/>
                <w:numId w:val="1"/>
              </w:numPr>
              <w:spacing w:lineRule="exact" w:line="264" w:before="0" w:after="50"/>
              <w:rPr/>
            </w:pPr>
            <w:r>
              <w:rPr>
                <w:rFonts w:eastAsia="Cambria" w:cs="Cambria"/>
                <w:b w:val="false"/>
                <w:bCs w:val="false"/>
                <w:i w:val="false"/>
                <w:iCs w:val="false"/>
                <w:sz w:val="20"/>
                <w:szCs w:val="20"/>
              </w:rPr>
              <w:t>Am stärksten vermissen Auswanderer die Nähe zur Familie: Zwischen Deutschland und Australien gibt es keinen Direktflug und fast 20 Stunden Reisezeit.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Gehalt, Steuern und was am Ende übrig bleibt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erste Zahl, die die meisten vergleichen, ist das Bruttogehalt – und die ist fast immer beeindruckend höher als in Deutschland. Die zweite Zahl, die eigentlich zählt, ist das, was nach Steuern und Abgaben übrig bleibt, und hier lohnt der Blick auf den OECD-Steuerkeil (</w:t>
      </w:r>
      <w:r>
        <w:rPr>
          <w:rFonts w:eastAsia="Cambria" w:cs="Cambria"/>
          <w:b w:val="false"/>
          <w:bCs w:val="false"/>
          <w:i/>
          <w:iCs/>
          <w:sz w:val="22"/>
          <w:szCs w:val="22"/>
        </w:rPr>
        <w:t>Tax Wedge</w:t>
      </w:r>
      <w:r>
        <w:rPr>
          <w:rFonts w:eastAsia="Cambria" w:cs="Cambria"/>
          <w:b w:val="false"/>
          <w:bCs w:val="false"/>
          <w:i w:val="false"/>
          <w:iCs w:val="false"/>
          <w:sz w:val="22"/>
          <w:szCs w:val="22"/>
        </w:rPr>
        <w:t>, das Verhältnis aus Einkommensteuer plus Arbeitnehmer- und Arbeitgeberabgaben abzüglich Familienleistungen zu den gesamten Arbeitskosten). Für einen kinderlosen Durchschnittsverdiener lag er 2024 in Australien bei 29,6 %, in Deutschland bei 49,3 % (2025) – nach Belgien der zweithöchste Wert unter 38 OECD-Ländern. Der Unterschied ist real, hat aber einen Preis: Deutschland zahlt dafür eine Krankenversicherung ohne Selbstbehalt, eine Pflegeversicherung und eine umlagefinanzierte Rente, die es in Australien so nicht gibt (mehr dazu weiter unten bei der Superannuation).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Konkret gilt für Steueransässige (</w:t>
      </w:r>
      <w:r>
        <w:rPr>
          <w:rFonts w:eastAsia="Cambria" w:cs="Cambria"/>
          <w:b w:val="false"/>
          <w:bCs w:val="false"/>
          <w:i/>
          <w:iCs/>
          <w:sz w:val="22"/>
          <w:szCs w:val="22"/>
        </w:rPr>
        <w:t>Residents</w:t>
      </w:r>
      <w:r>
        <w:rPr>
          <w:rFonts w:eastAsia="Cambria" w:cs="Cambria"/>
          <w:b w:val="false"/>
          <w:bCs w:val="false"/>
          <w:i w:val="false"/>
          <w:iCs w:val="false"/>
          <w:sz w:val="22"/>
          <w:szCs w:val="22"/>
        </w:rPr>
        <w:t xml:space="preserve">) im australischen Finanzjahr 2026–27 (1. Juli 2026 bis 30. Juni 2027) ein Stufentarif: 0 % bis 18.200 AUD, 15 % von 18.201 bis 45.000 AUD, 30 % von 45.001 bis 135.000 AUD, 37 % von 135.001 bis 190.000 AUD und 45 % darüber. Der </w:t>
      </w:r>
      <w:r>
        <w:rPr>
          <w:rFonts w:eastAsia="Cambria" w:cs="Cambria"/>
          <w:b w:val="false"/>
          <w:bCs w:val="false"/>
          <w:i/>
          <w:iCs/>
          <w:sz w:val="22"/>
          <w:szCs w:val="22"/>
        </w:rPr>
        <w:t>Low Income Tax Offset</w:t>
      </w:r>
      <w:r>
        <w:rPr>
          <w:rFonts w:eastAsia="Cambria" w:cs="Cambria"/>
          <w:b w:val="false"/>
          <w:bCs w:val="false"/>
          <w:i w:val="false"/>
          <w:iCs w:val="false"/>
          <w:sz w:val="22"/>
          <w:szCs w:val="22"/>
        </w:rPr>
        <w:t xml:space="preserve"> (LITO, eine Steuergutschrift für niedrige Einkommen von bis zu 700 AUD) hebt die faktische Steuerfreigrenze für die meisten auf rund 22.867 AUD. Dazu kommt die </w:t>
      </w:r>
      <w:r>
        <w:rPr>
          <w:rFonts w:eastAsia="Cambria" w:cs="Cambria"/>
          <w:b w:val="false"/>
          <w:bCs w:val="false"/>
          <w:i/>
          <w:iCs/>
          <w:sz w:val="22"/>
          <w:szCs w:val="22"/>
        </w:rPr>
        <w:t>Medicare Levy</w:t>
      </w:r>
      <w:r>
        <w:rPr>
          <w:rFonts w:eastAsia="Cambria" w:cs="Cambria"/>
          <w:b w:val="false"/>
          <w:bCs w:val="false"/>
          <w:i w:val="false"/>
          <w:iCs w:val="false"/>
          <w:sz w:val="22"/>
          <w:szCs w:val="22"/>
        </w:rPr>
        <w:t xml:space="preserve"> von pauschal 2,0 % des zu versteuernden Einkommens, die den öffentlichen Gesundheitsdienst mitfinanziert.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 Sätze gelten nur, sobald du steuerlich als „Resident“ giltst. Wer diesen Status noch nicht hat – etwa in den ersten Monaten nach der Einreise oder mit einem befristeten Visum ohne gefestigten Wohnsitz –, zahlt als „Foreign Resident“ ohne jeden Steuerfreibetrag: 30 % ab dem ersten Dollar bis 135.000 AUD, danach dieselben oberen Stufen. Wer zusätzlich ohne vorgelegte Steuernummer (</w:t>
            </w:r>
            <w:r>
              <w:rPr>
                <w:rFonts w:eastAsia="Cambria" w:cs="Cambria"/>
                <w:b w:val="false"/>
                <w:bCs w:val="false"/>
                <w:i/>
                <w:iCs/>
                <w:sz w:val="20"/>
                <w:szCs w:val="20"/>
              </w:rPr>
              <w:t>Tax File Number</w:t>
            </w:r>
            <w:r>
              <w:rPr>
                <w:rFonts w:eastAsia="Cambria" w:cs="Cambria"/>
                <w:b w:val="false"/>
                <w:bCs w:val="false"/>
                <w:i w:val="false"/>
                <w:iCs w:val="false"/>
                <w:sz w:val="20"/>
                <w:szCs w:val="20"/>
              </w:rPr>
              <w:t>, TFN) arbeitet, riskiert eine Vorsteuer von 47 % auf den gesamten Lohn – zu viel gezahlte Beträge kommen erst mit der nächsten Steuererklärung zurück.</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Besserverdiener sollten außerdem die </w:t>
      </w:r>
      <w:r>
        <w:rPr>
          <w:rFonts w:eastAsia="Cambria" w:cs="Cambria"/>
          <w:b w:val="false"/>
          <w:bCs w:val="false"/>
          <w:i/>
          <w:iCs/>
          <w:sz w:val="22"/>
          <w:szCs w:val="22"/>
        </w:rPr>
        <w:t>Medicare Levy Surcharge</w:t>
      </w:r>
      <w:r>
        <w:rPr>
          <w:rFonts w:eastAsia="Cambria" w:cs="Cambria"/>
          <w:b w:val="false"/>
          <w:bCs w:val="false"/>
          <w:i w:val="false"/>
          <w:iCs w:val="false"/>
          <w:sz w:val="22"/>
          <w:szCs w:val="22"/>
        </w:rPr>
        <w:t xml:space="preserve"> (MLS, ein Zuschlag für Besserverdiener ohne private Krankenhausversicherung) im Blick behalten: Wer ohne private Absicherung mehr als 105.000 AUD (Singles) beziehungsweise 210.000 AUD (Familien) verdient, zahlt obendrauf 1,0 bis 1,5 % Aufschlag. Da die meisten befristeten Visa ohnehin eine private Zusatzversicherung verlangen (siehe unten), betrifft das vor allem Personen mit unbefristetem Aufenthaltstitel, die bewusst auf eine private Versicherung verzichten.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Beantrage die Steuernummer (TFN), sobald du in Australien angekommen bist – sie ist kostenlos, aber ohne sie behält jeder Arbeitgeber pauschal 47 % vom Lohn ein. Gerade in den ersten, schon teuren Wochen macht das einen spürbaren Unterschied für die Liquidität.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Lebenshaltungskosten: Sydney und Melbourne im Vergleich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dem Numbeo-Kostenindex (Mitte 2026, New York = 100, nutzergenerierte Vergleichsdaten, keine amtliche Statistik) liegt Sydney bei 75,1 Punkten (Miete 65,6), Melbourne bei 70,8 (Miete 56,9) – zum Vergleich München 76,1 (Miete 62,4) und Berlin 70,0 (Miete 54,9). Im Länderdurchschnitt liegt Australien insgesamt bei 71,4 (Miete 53,9), Deutschland bei 68,0 (Miete 47,0). Kurz gesagt: Wer aus München oder Hamburg kommt, erlebt in Sydney oder Melbourne keinen Kaufkraftschock – die Städte liegen in einer ähnlichen Liga, mit tendenziell etwas höheren Mieten in Australien.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Diese Zahlen sagen nichts über die Verteilung innerhalb der Stadt: Ein Vorort mit gutem Schulbezirk in Melbourne kann ebenso über dem Durchschnitt liegen wie ein Szeneviertel in Sydney. Wer beim Gehaltsvergleich nur die Bruttolohnzahl neben die deutsche Zahl aus der Gehaltsabrechnung legt, unterschätzt regelmäßig, wie viel von der besseren Steuerquote die Miete in begehrten Stadtteilen wieder auffrisst.</w:t>
      </w:r>
    </w:p>
    <w:p>
      <w:pPr>
        <w:pStyle w:val="Heading3"/>
        <w:keepNext w:val="true"/>
        <w:spacing w:before="280" w:after="100"/>
        <w:jc w:val="center"/>
        <w:rPr/>
      </w:pPr>
      <w:r>
        <w:rPr>
          <w:rFonts w:eastAsia="Amazon Ember" w:cs="Amazon Ember" w:ascii="Amazon Ember" w:hAnsi="Amazon Ember"/>
          <w:b/>
          <w:bCs/>
          <w:color w:val="0000FF"/>
          <w:sz w:val="36"/>
          <w:szCs w:val="36"/>
        </w:rPr>
        <w:t>Gesundheit: Medicare, die Lücke und private Vorsorge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Wer aus einem EU-Land kommt, hat automatisch Zugang zum australischen Gesundheitssystem, ähnlich wie innerhalb der EU über die Europäische Krankenversicherungskarte. Tatsächlich unterhält Australien </w:t>
      </w:r>
      <w:r>
        <w:rPr>
          <w:rFonts w:eastAsia="Cambria" w:cs="Cambria"/>
          <w:b w:val="false"/>
          <w:bCs w:val="false"/>
          <w:i/>
          <w:iCs/>
          <w:sz w:val="22"/>
          <w:szCs w:val="22"/>
        </w:rPr>
        <w:t>Reciprocal Health Care Agreements</w:t>
      </w:r>
      <w:r>
        <w:rPr>
          <w:rFonts w:eastAsia="Cambria" w:cs="Cambria"/>
          <w:b w:val="false"/>
          <w:bCs w:val="false"/>
          <w:i w:val="false"/>
          <w:iCs w:val="false"/>
          <w:sz w:val="22"/>
          <w:szCs w:val="22"/>
        </w:rPr>
        <w:t xml:space="preserve"> (Gegenseitigkeitsabkommen für Gesundheitsversorgung) mit nur elf Ländern – darunter Großbritannien, Irland, die Niederlande, Belgien und Italien. Deutschland gehört nicht dazu. Wer mit einem befristeten Visum einreist – Working Holiday, Studium, arbeitgebergesponsertes Arbeitsvisum –, hat deshalb keinen Zugang zu Medicare und muss sich privat absichern, bis ein Daueraufenthaltstitel vorliegt.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die meisten befristeten Visa ist eine private Zusatzversicherung ohnehin Pflicht: </w:t>
      </w:r>
      <w:r>
        <w:rPr>
          <w:rFonts w:eastAsia="Cambria" w:cs="Cambria"/>
          <w:b w:val="false"/>
          <w:bCs w:val="false"/>
          <w:i/>
          <w:iCs/>
          <w:sz w:val="22"/>
          <w:szCs w:val="22"/>
        </w:rPr>
        <w:t>Overseas Visitor Health Cover</w:t>
      </w:r>
      <w:r>
        <w:rPr>
          <w:rFonts w:eastAsia="Cambria" w:cs="Cambria"/>
          <w:b w:val="false"/>
          <w:bCs w:val="false"/>
          <w:i w:val="false"/>
          <w:iCs w:val="false"/>
          <w:sz w:val="22"/>
          <w:szCs w:val="22"/>
        </w:rPr>
        <w:t xml:space="preserve"> (OVHC) für Arbeits- und andere befristete Visa kostet je nach Anbieter und Deckungsumfang etwa 80 bis 150 AUD im Monat für eine Einzelperson, </w:t>
      </w:r>
      <w:r>
        <w:rPr>
          <w:rFonts w:eastAsia="Cambria" w:cs="Cambria"/>
          <w:b w:val="false"/>
          <w:bCs w:val="false"/>
          <w:i/>
          <w:iCs/>
          <w:sz w:val="22"/>
          <w:szCs w:val="22"/>
        </w:rPr>
        <w:t>Overseas Student Health Cover</w:t>
      </w:r>
      <w:r>
        <w:rPr>
          <w:rFonts w:eastAsia="Cambria" w:cs="Cambria"/>
          <w:b w:val="false"/>
          <w:bCs w:val="false"/>
          <w:i w:val="false"/>
          <w:iCs w:val="false"/>
          <w:sz w:val="22"/>
          <w:szCs w:val="22"/>
        </w:rPr>
        <w:t xml:space="preserve"> (OSHC) für das Studienvisum etwa 500 bis 700 AUD im Jahr. Wer dagegen direkt mit einem permanenten Visum wie dem Skilled Independent (189) einreist, ist von Ankunft an </w:t>
      </w:r>
      <w:r>
        <w:rPr>
          <w:rFonts w:eastAsia="Cambria" w:cs="Cambria"/>
          <w:b w:val="false"/>
          <w:bCs w:val="false"/>
          <w:i/>
          <w:iCs/>
          <w:sz w:val="22"/>
          <w:szCs w:val="22"/>
        </w:rPr>
        <w:t>Permanent Resident</w:t>
      </w:r>
      <w:r>
        <w:rPr>
          <w:rFonts w:eastAsia="Cambria" w:cs="Cambria"/>
          <w:b w:val="false"/>
          <w:bCs w:val="false"/>
          <w:i w:val="false"/>
          <w:iCs w:val="false"/>
          <w:sz w:val="22"/>
          <w:szCs w:val="22"/>
        </w:rPr>
        <w:t xml:space="preserve"> und damit sofort Medicare-berechtigt – ein Unterschied, der bei der Wahl des Einwanderungswegs mitentscheiden sollte (mehr dazu im </w:t>
      </w:r>
      <w:hyperlink w:anchor="tau02">
        <w:r>
          <w:rPr>
            <w:rStyle w:val="ListLabel113"/>
            <w:rFonts w:eastAsia="Cambria" w:cs="Cambria"/>
            <w:b w:val="false"/>
            <w:bCs w:val="false"/>
            <w:i w:val="false"/>
            <w:iCs w:val="false"/>
            <w:color w:val="0563C1"/>
            <w:sz w:val="22"/>
            <w:szCs w:val="22"/>
            <w:u w:val="single"/>
          </w:rPr>
          <w:t>Kapitel zu den Einwanderungswegen in diesem Teil</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Australiens Gesundheitssystem liegt dem deutschen näher als das der USA: Medicare deckt die Grundversorgung, eine private Zusatzversicherung ist für viele Bereiche üblich. Der entscheidende Unterschied für Deutsche ist nicht das System selbst, sondern die Lücke, bis der eigene Aufenthaltstitel überhaupt Zugang dazu gewährt.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Superannuation statt gesetzlicher Rente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Australien kennt keine umlagefinanzierte gesetzliche Rentenversicherung nach deutschem Vorbild. Stattdessen zahlt der Arbeitgeber verpflichtend in einen individuellen Altersvorsorgefonds ein, die </w:t>
      </w:r>
      <w:r>
        <w:rPr>
          <w:rFonts w:eastAsia="Cambria" w:cs="Cambria"/>
          <w:b w:val="false"/>
          <w:bCs w:val="false"/>
          <w:i/>
          <w:iCs/>
          <w:sz w:val="22"/>
          <w:szCs w:val="22"/>
        </w:rPr>
        <w:t>Superannuation</w:t>
      </w:r>
      <w:r>
        <w:rPr>
          <w:rFonts w:eastAsia="Cambria" w:cs="Cambria"/>
          <w:b w:val="false"/>
          <w:bCs w:val="false"/>
          <w:i w:val="false"/>
          <w:iCs w:val="false"/>
          <w:sz w:val="22"/>
          <w:szCs w:val="22"/>
        </w:rPr>
        <w:t>: seit dem 1. Juli 2025 sind das 12,0 % des regulären Arbeitsentgelts, die letzte gesetzlich vorgesehene Erhöhungsstufe. Ab dem 1. Juli 2026 gilt zusätzlich „Payday Super“: Der Arbeitgeber muss den Beitrag zeitgleich mit dem Gehalt überweisen statt, wie bisher üblich, gesammelt pro Quartal. Regulären Zugriff auf das Guthaben gibt es erst ab 60 Jahren.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Wer Australien als befristeter Visuminhaber – etwa nach einem Working-Holiday-Aufenthalt – dauerhaft wieder verlässt, kann sich das angesparte Superannuation-Guthaben als </w:t>
            </w:r>
            <w:r>
              <w:rPr>
                <w:rFonts w:eastAsia="Cambria" w:cs="Cambria"/>
                <w:b w:val="false"/>
                <w:bCs w:val="false"/>
                <w:i/>
                <w:iCs/>
                <w:sz w:val="20"/>
                <w:szCs w:val="20"/>
              </w:rPr>
              <w:t>Departing Australia Superannuation Payment</w:t>
            </w:r>
            <w:r>
              <w:rPr>
                <w:rFonts w:eastAsia="Cambria" w:cs="Cambria"/>
                <w:b w:val="false"/>
                <w:bCs w:val="false"/>
                <w:i w:val="false"/>
                <w:iCs w:val="false"/>
                <w:sz w:val="20"/>
                <w:szCs w:val="20"/>
              </w:rPr>
              <w:t xml:space="preserve"> (DASP) auszahlen lassen. Der Steuerabzug darauf ist happig: 65 % für alle, deren Guthaben auch nur teilweise aus einer Working-Holiday-Beschäftigung stammt, 35 % für die meisten anderen befristeten Aufenthaltstitel. Von zwölf eingezahlten Prozent bleibt danach oft nur noch gut ein Drittel übrig – eine Zahl, die in kaum einem Auswanderer-Forum in der gebotenen Deutlichkeit steht.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alle, die dauerhaft bleiben, ist die Rechnung freundlicher: Das Guthaben wächst weiter, ist bei Berufs- und Arbeitgeberwechseln portabel und lässt sich mit freiwilligen Zuzahlungen aufstocken. Verglichen mit der deutschen Rente ist Superannuation stärker kapitalgedeckt und individueller – wer sich für Australien entscheidet, tauscht ein Stück kollektiver Absicherung gegen ein eigenes, aber auch stärker marktabhängiges Polster.</w:t>
      </w:r>
    </w:p>
    <w:p>
      <w:pPr>
        <w:pStyle w:val="Heading3"/>
        <w:keepNext w:val="true"/>
        <w:spacing w:before="280" w:after="100"/>
        <w:jc w:val="center"/>
        <w:rPr/>
      </w:pPr>
      <w:r>
        <w:rPr>
          <w:rFonts w:eastAsia="Amazon Ember" w:cs="Amazon Ember" w:ascii="Amazon Ember" w:hAnsi="Amazon Ember"/>
          <w:b/>
          <w:bCs/>
          <w:color w:val="0000FF"/>
          <w:sz w:val="36"/>
          <w:szCs w:val="36"/>
        </w:rPr>
        <w:t>Was der Umzug selbst kostet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Schon vor dem ersten Gehaltseingang verlangt Australien Vorleistungen. Ein Skilled-Visum (Subclass 189, 190 oder 491) kostet an reiner Antragsgebühr rund 6.135 AUD für den Hauptantragsteller, ein arbeitgebergesponsertes Skills-in-Demand-Visum (482) rund 4.015 AUD. Dazu kommen für jedes Visum eine Gesundheitsuntersuchung (rund 150 bis 400 AUD pro Person), Führungszeugnisse aus jedem Land mit mehr als zwölf Monaten Aufenthalt seit dem 16. Geburtstag, oft ein kostenpflichtiger Sprachtest und, je nach Beruf, eine Kompetenzbewertung durch eine anerkannte Fachstelle (</w:t>
      </w:r>
      <w:r>
        <w:rPr>
          <w:rFonts w:eastAsia="Cambria" w:cs="Cambria"/>
          <w:b w:val="false"/>
          <w:bCs w:val="false"/>
          <w:i/>
          <w:iCs/>
          <w:sz w:val="22"/>
          <w:szCs w:val="22"/>
        </w:rPr>
        <w:t>Skills Assessment</w:t>
      </w:r>
      <w:r>
        <w:rPr>
          <w:rFonts w:eastAsia="Cambria" w:cs="Cambria"/>
          <w:b w:val="false"/>
          <w:bCs w:val="false"/>
          <w:i w:val="false"/>
          <w:iCs w:val="false"/>
          <w:sz w:val="22"/>
          <w:szCs w:val="22"/>
        </w:rPr>
        <w:t xml:space="preserve">, etwa Engineers Australia oder den Australian Computer Society) – deren Gebühren und Fristen von Berufsverband zu Berufsverband stark schwanken. Für eine vierköpfige Familie kommen so leicht mehrere Zehntausend AUD zusammen, bevor überhaupt ein Flug gebucht ist. Details zu den einzelnen Wegen, ihren Fristen und Kosten stehen im </w:t>
      </w:r>
      <w:hyperlink w:anchor="tau02">
        <w:r>
          <w:rPr>
            <w:rStyle w:val="ListLabel113"/>
            <w:rFonts w:eastAsia="Cambria" w:cs="Cambria"/>
            <w:b w:val="false"/>
            <w:bCs w:val="false"/>
            <w:i w:val="false"/>
            <w:iCs w:val="false"/>
            <w:color w:val="0563C1"/>
            <w:sz w:val="22"/>
            <w:szCs w:val="22"/>
            <w:u w:val="single"/>
          </w:rPr>
          <w:t>nächsten Kapitel dieses Teils</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Reinhardt (fiktiv) rechnete vor der Entscheidung zweimal nach. Thomas’ Punktestand von 85 lag komfortabel über dem gesetzlichen Minimum von 65 – realistisch für einen Bauingenieur mit einigen Jahren Berufserfahrung und solidem Englisch. An Antragsgebühren, Gesundheitschecks und Führungszeugnissen für die ganze Familie kamen dennoch über 10.000 AUD zusammen, bevor die erste Gehaltsabrechnung in Melbourne überhaupt existierte. Auf der Habenseite stand: Als Inhaber eines permanenten Visums waren Thomas, Sandra, Emil und Clara ab dem Tag der Einreise bei Medicare angemeldet – die monatelange Versicherungslücke, die viele befristete Visa-Inhaber überbrücken müssen, blieb ihnen erspart.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sich nicht in AUD messen lässt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reine Zahlenbilanz übersieht den größten Posten: die Entfernung. Zwischen Frankfurt und Sydney gibt es keinen Direktflug; mit mindestens einem Zwischenstopp dauert die Reise knapp 20 Stunden über gut 16.000 Kilometer Luftlinie. Dazu kommt eine Zeitverschiebung von 8 bis 9 Stunden – Sydney und Melbourne liegen zeitlich vor Deutschland, nicht dahinter –, sodass ein spontaner Sonntagsanruf bei den Eltern schnell zur Kalenderfrage wird. In Australien lebten 2021 rund 107.940 in Deutschland geborene Personen, eine überschaubare, über den Kontinent verteilte Community. Wer stark auf schnelle, spontane Familienbesuche angewiesen ist, sollte diesen Punkt genauso ernst nehmen wie die Steuertabelle.</w:t>
      </w:r>
    </w:p>
    <w:p>
      <w:pPr>
        <w:pStyle w:val="Heading3"/>
        <w:keepNext w:val="true"/>
        <w:spacing w:before="280" w:after="100"/>
        <w:jc w:val="center"/>
        <w:rPr/>
      </w:pPr>
      <w:r>
        <w:rPr>
          <w:rFonts w:eastAsia="Amazon Ember" w:cs="Amazon Ember" w:ascii="Amazon Ember" w:hAnsi="Amazon Ember"/>
          <w:b/>
          <w:bCs/>
          <w:color w:val="0000FF"/>
          <w:sz w:val="36"/>
          <w:szCs w:val="36"/>
        </w:rPr>
        <w:t>Wer profitiert, wer nicht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stärksten profitiert von der australischen Rechnung, wer ohnehin in einem Mangelberuf mit gutem Punktestand arbeitet und ein permanentes, planbares Ergebnis einer Zwischenstation vorzieht. Auch alleinstehende jüngere Fachkräfte, die erst einmal reinschnuppern wollen, kommen gut weg – nicht trotz, sondern gerade wegen der Working-Holiday-Option, die einen risikoarmen ersten Schritt erlaubt, bevor die große Entscheidung ansteht.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Nina Voss (fiktiv), 27, aus Hamburg, kam mit einem Working-Holiday-Visum (für deutsche Staatsangehörige Subclass 417) nach Sydney – ohne Punktetest, ohne Arbeitgeber, ohne Skills Assessment. Die Ernüchterung kam mit der ersten Gehaltsabrechnung: Als Inhaberin eines Working-Holiday-Visums zahlte sie von Anfang an 15 % Steuern auf jeden verdienten Dollar, ganz ohne Steuerfreibetrag – ein Detail, das in den einschlägigen Reiseblogs gern unterschlagen wird. Erst als sie über einen Arbeitgeber ein Skilled-Visum in Aussicht hatte, änderte sich die Rechnung spürbar: geringere Steuerlast, aber auch die Bindung an einen Sponsor.</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Kritischer wird die Bilanz für alle, die pflegebedürftige Eltern in Deutschland haben, planbare medizinische Betreuung für eine chronische Erkrankung brauchen oder finanziell wenig Puffer für die Vorlaufkosten mitbringen. Auch wer über 45 ist, sollte genau hinschauen: Der punktebasierte Weg (189/190/491) ist ab diesem Alter grundsätzlich verschlossen, sodass nur noch der Arbeitgeberweg bleibt (mehr dazu im nächsten Kapitel).</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Niedrigerer Steuerkeil als in Deutschland (rund 29,6 % vs. 49,3 %)</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Vorabkosten von mehreren Tausend AUD schon vor dem ersten Gehalt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Melbourne und Sydney bei Lebenshaltungskosten nahe an München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Miete und Gesundheitskosten regional sehr unterschiedlich</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Medicare sofort bei permanentem Visum, gute Grundversorgung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Gegenseitigkeitsabkommen: private Zusatzversicherung bis zur PR nötig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Superannuation wächst arbeitgeberfinanziert und portabel mit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 vorzeitiger Ausreise bis zu 65 % Steuer auf das Ersparte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Planbares Punktesystem statt Losverfahren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45 Jahren kein punktebasierter Weg mehr möglich</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Einbahnstraße: Working Holiday als risikoarmer erster Schritt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 Stunden Reisezeit und keine Direktflüge nach Deutschland</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Rechne, bevor du dich entscheidest, mit deinen eigenen Zahlen: Trage dein voraussichtliches Bruttogehalt in die Steuerstaffel oben ein, ziehe Medicare Levy und, falls nötig, private Krankenversicherung ab, und vergleiche das Ergebnis mit deiner heutigen deutschen Gehaltsabrechnung – nicht mit dem Bruttogehalt. Kläre parallel, ob dein Beruf überhaupt für den Punktetest infrage kommt und wie viele Punkte realistisch erreichbar sind; das </w:t>
      </w:r>
      <w:hyperlink w:anchor="tau02">
        <w:r>
          <w:rPr>
            <w:rStyle w:val="ListLabel113"/>
            <w:rFonts w:eastAsia="Cambria" w:cs="Cambria"/>
            <w:b w:val="false"/>
            <w:bCs w:val="false"/>
            <w:i w:val="false"/>
            <w:iCs w:val="false"/>
            <w:color w:val="0563C1"/>
            <w:sz w:val="22"/>
            <w:szCs w:val="22"/>
            <w:u w:val="single"/>
          </w:rPr>
          <w:t>nächste Kapitel dieses Teils</w:t>
        </w:r>
      </w:hyperlink>
      <w:r>
        <w:rPr>
          <w:rFonts w:eastAsia="Cambria" w:cs="Cambria"/>
          <w:b w:val="false"/>
          <w:bCs w:val="false"/>
          <w:i w:val="false"/>
          <w:iCs w:val="false"/>
          <w:sz w:val="22"/>
          <w:szCs w:val="22"/>
        </w:rPr>
        <w:t xml:space="preserve"> zeigt die einzelnen Wege im Detail. Und plane die Vorlaufkosten – Antrag, Gesundheitscheck, Skills Assessment, Führungszeugnisse – als eigenen Posten ein, getrennt vom eigentlichen Umzugsbudget.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Eigenes Bruttogehalt in die australische Steuerstaffel eingetragen und mit der deutschen Nettoabrechnung verglichen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Geprüft, ob der Beruf für einen Punktetest-Weg (189/190/491) infrage kommt oder ob nur der Arbeitgeberweg bleibt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Kosten für Antrag, Gesundheitsuntersuchung, Skills Assessment und Führungszeugnisse überschlägig zusammengerechnet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Geklärt, ob und wie lange eine private Zusatzversicherung bis zum Medicare-Zugang nötig ist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Lebenshaltungskosten am konkreten Zielort, nicht nur den Landesdurchschnitt, recherchiert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Überlegt, wie die Superannuation im Fall einer späteren Rückkehr nach Deutschland zu bewerten ist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Home Affairs — Visa-Gebühren und Bearbeitungszeiten (</w:t>
      </w:r>
      <w:hyperlink r:id="rId420">
        <w:r>
          <w:rPr>
            <w:rStyle w:val="ListLabel113"/>
            <w:rFonts w:eastAsia="Cambria" w:cs="Cambria"/>
            <w:b w:val="false"/>
            <w:bCs w:val="false"/>
            <w:i w:val="false"/>
            <w:iCs w:val="false"/>
            <w:color w:val="0563C1"/>
            <w:sz w:val="22"/>
            <w:szCs w:val="22"/>
            <w:u w:val="single"/>
          </w:rPr>
          <w:t>immi.homeaffairs.gov.au</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Australian Taxation Office — Einkommensteuersätze und Medicare Levy (</w:t>
      </w:r>
      <w:hyperlink r:id="rId421">
        <w:r>
          <w:rPr>
            <w:rStyle w:val="ListLabel113"/>
            <w:rFonts w:eastAsia="Cambria" w:cs="Cambria"/>
            <w:b w:val="false"/>
            <w:bCs w:val="false"/>
            <w:i w:val="false"/>
            <w:iCs w:val="false"/>
            <w:color w:val="0563C1"/>
            <w:sz w:val="22"/>
            <w:szCs w:val="22"/>
            <w:u w:val="single"/>
          </w:rPr>
          <w:t>ato.gov.au</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Services Australia — Medicare und Reciprocal Health Care Agreements (</w:t>
      </w:r>
      <w:hyperlink r:id="rId422">
        <w:r>
          <w:rPr>
            <w:rStyle w:val="ListLabel113"/>
            <w:rFonts w:eastAsia="Cambria" w:cs="Cambria"/>
            <w:b w:val="false"/>
            <w:bCs w:val="false"/>
            <w:i w:val="false"/>
            <w:iCs w:val="false"/>
            <w:color w:val="0563C1"/>
            <w:sz w:val="22"/>
            <w:szCs w:val="22"/>
            <w:u w:val="single"/>
          </w:rPr>
          <w:t>servicesaustralia.gov.au</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Australian Taxation Office — Superannuation und Departing Australia Superannuation Payment (</w:t>
      </w:r>
      <w:hyperlink r:id="rId423">
        <w:r>
          <w:rPr>
            <w:rStyle w:val="ListLabel113"/>
            <w:rFonts w:eastAsia="Cambria" w:cs="Cambria"/>
            <w:b w:val="false"/>
            <w:bCs w:val="false"/>
            <w:i w:val="false"/>
            <w:iCs w:val="false"/>
            <w:color w:val="0563C1"/>
            <w:sz w:val="22"/>
            <w:szCs w:val="22"/>
            <w:u w:val="single"/>
          </w:rPr>
          <w:t>ato.gov.au</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OECD — Taxing Wages, Steuerkeil-Vergleich (</w:t>
      </w:r>
      <w:hyperlink r:id="rId424">
        <w:r>
          <w:rPr>
            <w:rStyle w:val="ListLabel113"/>
            <w:rFonts w:eastAsia="Cambria" w:cs="Cambria"/>
            <w:b w:val="false"/>
            <w:bCs w:val="false"/>
            <w:i w:val="false"/>
            <w:iCs w:val="false"/>
            <w:color w:val="0563C1"/>
            <w:sz w:val="22"/>
            <w:szCs w:val="22"/>
            <w:u w:val="single"/>
          </w:rPr>
          <w:t>oecd.org</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Numbeo — Lebenshaltungskosten im Städtevergleich (</w:t>
      </w:r>
      <w:hyperlink r:id="rId425">
        <w:r>
          <w:rPr>
            <w:rStyle w:val="ListLabel113"/>
            <w:rFonts w:eastAsia="Cambria" w:cs="Cambria"/>
            <w:b w:val="false"/>
            <w:bCs w:val="false"/>
            <w:i w:val="false"/>
            <w:iCs w:val="false"/>
            <w:color w:val="0563C1"/>
            <w:sz w:val="22"/>
            <w:szCs w:val="22"/>
            <w:u w:val="single"/>
          </w:rPr>
          <w:t>numbeo.com</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Visagebühren wurden zum 1. Juli 2026 um rund 25 % angehoben, Steuerstufen und Freibeträge werden jährlich angepasst, und die Working-Holiday-Regeln ändern sich 2026 mehrfach (Altersgrenze, Losverfahren für das zweite Jahr). Prüfe vor jeder Entscheidung die aktuellen Werte auf immi.homeaffairs.gov.au und ato.gov.au.</w:t>
            </w:r>
          </w:p>
        </w:tc>
      </w:tr>
    </w:tbl>
    <w:p>
      <w:pPr>
        <w:pStyle w:val="Normal"/>
        <w:spacing w:lineRule="exact" w:line="220" w:before="0" w:after="0"/>
        <w:rPr/>
      </w:pPr>
      <w:r>
        <w:rPr/>
      </w:r>
      <w:r>
        <w:br w:type="page"/>
      </w:r>
    </w:p>
    <w:p>
      <w:pPr>
        <w:pStyle w:val="Heading2"/>
        <w:keepNext w:val="true"/>
        <w:spacing w:before="0" w:after="300"/>
        <w:jc w:val="center"/>
        <w:rPr/>
      </w:pPr>
      <w:bookmarkStart w:id="106" w:name="__RefHeading___Toc56535_3769931028"/>
      <w:bookmarkStart w:id="107" w:name="tau02"/>
      <w:bookmarkEnd w:id="106"/>
      <w:r>
        <w:rPr>
          <w:rFonts w:eastAsia="Amazon Ember" w:cs="Amazon Ember" w:ascii="Amazon Ember" w:hAnsi="Amazon Ember"/>
          <w:b/>
          <w:bCs/>
          <w:color w:val="0000FF"/>
          <w:sz w:val="36"/>
          <w:szCs w:val="36"/>
        </w:rPr>
        <w:t>Australien: Wege der Einwanderung</w:t>
      </w:r>
      <w:bookmarkEnd w:id="107"/>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zum ersten Mal die Visa-Übersicht des australischen Department of Home Affairs aufruft, findet dort keine einzelne Eingangstür, sondern ein ganzes Haus mit Nebeneingängen: Subclass 189, 190, 491, 482, 186, 417, 500 – jede Nummer mit eigenen Voraussetzungen, eigenen Fristen, eigenem Preis. Thomas und Sandra Reinhardt aus Köln fanden ihren Weg über den Punktetest; Nina Voss aus Hamburg kam zunächst mit einem Jahr Arbeits- und Reiseerlaubnis ins Land, ganz ohne Punkte. Beide leben heute in Australien – aber durch verschiedene Türen. Dieses Kapitel ordnet die wichtigsten Wege für Deutsche, bevor die folgenden Kapitel dieses Teils sie im Detail vertiefen.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Australien öffnet sich für Deutsche vor allem über zwei Prinzipien: das Punktesystem (unabhängig oder mit Nominierung) und das Arbeitgeber-Sponsoring. Familien-, Investoren- und Ruhestandswege spielen zahlenmäßig eine kleinere Rolle und stehen im </w:t>
            </w:r>
            <w:hyperlink w:anchor="tau03">
              <w:r>
                <w:rPr>
                  <w:rStyle w:val="ListLabel116"/>
                  <w:rFonts w:eastAsia="Cambria" w:cs="Cambria"/>
                  <w:b w:val="false"/>
                  <w:bCs w:val="false"/>
                  <w:i w:val="false"/>
                  <w:iCs w:val="false"/>
                  <w:color w:val="0563C1"/>
                  <w:sz w:val="20"/>
                  <w:szCs w:val="20"/>
                  <w:u w:val="single"/>
                </w:rPr>
                <w:t>nächsten Kapitel dieses Teils</w:t>
              </w:r>
            </w:hyperlink>
            <w:r>
              <w:rPr>
                <w:rFonts w:eastAsia="Cambria" w:cs="Cambria"/>
                <w:b w:val="false"/>
                <w:bCs w:val="false"/>
                <w:i w:val="false"/>
                <w:iCs w:val="false"/>
                <w:sz w:val="20"/>
                <w:szCs w:val="20"/>
              </w:rPr>
              <w:t>.</w:t>
            </w:r>
          </w:p>
          <w:p>
            <w:pPr>
              <w:pStyle w:val="ListParagraph"/>
              <w:numPr>
                <w:ilvl w:val="0"/>
                <w:numId w:val="1"/>
              </w:numPr>
              <w:spacing w:lineRule="exact" w:line="264" w:before="0" w:after="50"/>
              <w:rPr/>
            </w:pPr>
            <w:r>
              <w:rPr>
                <w:rFonts w:eastAsia="Cambria" w:cs="Cambria"/>
                <w:b w:val="false"/>
                <w:bCs w:val="false"/>
                <w:i w:val="false"/>
                <w:iCs w:val="false"/>
                <w:sz w:val="20"/>
                <w:szCs w:val="20"/>
              </w:rPr>
              <w:t>Drei punktebasierte Visa greifen auf dieselbe Logik zurück: Subclass 189 (unabhängig, dauerhaft), 190 (mit Bundesstaat-Nominierung, dauerhaft) und 491 (mit Regional-Bindung, zunächst befristet).</w:t>
            </w:r>
          </w:p>
          <w:p>
            <w:pPr>
              <w:pStyle w:val="ListParagraph"/>
              <w:numPr>
                <w:ilvl w:val="0"/>
                <w:numId w:val="1"/>
              </w:numPr>
              <w:spacing w:lineRule="exact" w:line="264" w:before="0" w:after="50"/>
              <w:rPr/>
            </w:pPr>
            <w:r>
              <w:rPr>
                <w:rFonts w:eastAsia="Cambria" w:cs="Cambria"/>
                <w:b w:val="false"/>
                <w:bCs w:val="false"/>
                <w:i w:val="false"/>
                <w:iCs w:val="false"/>
                <w:sz w:val="20"/>
                <w:szCs w:val="20"/>
              </w:rPr>
              <w:t>Arbeitgeber-Sponsoring (Subclass 482, mit Weiterweg über 186) braucht keinen einzigen Punkt – dafür einen Job und ein Unternehmen, das dich sponsert.</w:t>
            </w:r>
          </w:p>
          <w:p>
            <w:pPr>
              <w:pStyle w:val="ListParagraph"/>
              <w:numPr>
                <w:ilvl w:val="0"/>
                <w:numId w:val="1"/>
              </w:numPr>
              <w:spacing w:lineRule="exact" w:line="264" w:before="0" w:after="50"/>
              <w:rPr/>
            </w:pPr>
            <w:r>
              <w:rPr>
                <w:rFonts w:eastAsia="Cambria" w:cs="Cambria"/>
                <w:b w:val="false"/>
                <w:bCs w:val="false"/>
                <w:i w:val="false"/>
                <w:iCs w:val="false"/>
                <w:sz w:val="20"/>
                <w:szCs w:val="20"/>
              </w:rPr>
              <w:t>Working Holiday (417) und Studienvisum (500) sind selbst keine Daueraufenthaltswege, aber für viele der Seiteneingang, über den sich die anderen Türen erst öffnen.</w:t>
            </w:r>
          </w:p>
          <w:p>
            <w:pPr>
              <w:pStyle w:val="ListParagraph"/>
              <w:numPr>
                <w:ilvl w:val="0"/>
                <w:numId w:val="1"/>
              </w:numPr>
              <w:spacing w:lineRule="exact" w:line="264" w:before="0" w:after="50"/>
              <w:rPr/>
            </w:pPr>
            <w:r>
              <w:rPr>
                <w:rFonts w:eastAsia="Cambria" w:cs="Cambria"/>
                <w:b w:val="false"/>
                <w:bCs w:val="false"/>
                <w:i w:val="false"/>
                <w:iCs w:val="false"/>
                <w:sz w:val="20"/>
                <w:szCs w:val="20"/>
              </w:rPr>
              <w:t>Ab 45 Jahren ist der Punktetest komplett verschlossen; für diese Altersgruppe bleibt praktisch nur das Arbeitgeber-Sponsoring.</w:t>
            </w:r>
          </w:p>
          <w:p>
            <w:pPr>
              <w:pStyle w:val="ListParagraph"/>
              <w:numPr>
                <w:ilvl w:val="0"/>
                <w:numId w:val="1"/>
              </w:numPr>
              <w:spacing w:lineRule="exact" w:line="264" w:before="0" w:after="50"/>
              <w:rPr/>
            </w:pPr>
            <w:r>
              <w:rPr>
                <w:rFonts w:eastAsia="Cambria" w:cs="Cambria"/>
                <w:b w:val="false"/>
                <w:bCs w:val="false"/>
                <w:i w:val="false"/>
                <w:iCs w:val="false"/>
                <w:sz w:val="20"/>
                <w:szCs w:val="20"/>
              </w:rPr>
              <w:t>Welcher Weg passt, hängt weniger vom Wunschort ab als von Alter, Beruf, Englischniveau und der Frage, ob bereits ein Jobangebot vorliegt.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Grundprinzip: der Beruf entscheidet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Australiens Einwanderungsprogramm für 2026–27 sieht 185.000 permanente Plätze vor. Der weitaus größte Teil, 132.240 Plätze, entfällt auf den </w:t>
      </w:r>
      <w:r>
        <w:rPr>
          <w:rFonts w:eastAsia="Cambria" w:cs="Cambria"/>
          <w:b w:val="false"/>
          <w:bCs w:val="false"/>
          <w:i/>
          <w:iCs/>
          <w:sz w:val="22"/>
          <w:szCs w:val="22"/>
        </w:rPr>
        <w:t>Skill Stream</w:t>
      </w:r>
      <w:r>
        <w:rPr>
          <w:rFonts w:eastAsia="Cambria" w:cs="Cambria"/>
          <w:b w:val="false"/>
          <w:bCs w:val="false"/>
          <w:i w:val="false"/>
          <w:iCs w:val="false"/>
          <w:sz w:val="22"/>
          <w:szCs w:val="22"/>
        </w:rPr>
        <w:t xml:space="preserve"> (den Fachkräfte-Strom), nur 52.460 auf den </w:t>
      </w:r>
      <w:r>
        <w:rPr>
          <w:rFonts w:eastAsia="Cambria" w:cs="Cambria"/>
          <w:b w:val="false"/>
          <w:bCs w:val="false"/>
          <w:i/>
          <w:iCs/>
          <w:sz w:val="22"/>
          <w:szCs w:val="22"/>
        </w:rPr>
        <w:t>Family Stream</w:t>
      </w:r>
      <w:r>
        <w:rPr>
          <w:rFonts w:eastAsia="Cambria" w:cs="Cambria"/>
          <w:b w:val="false"/>
          <w:bCs w:val="false"/>
          <w:i w:val="false"/>
          <w:iCs w:val="false"/>
          <w:sz w:val="22"/>
          <w:szCs w:val="22"/>
        </w:rPr>
        <w:t xml:space="preserve"> (den Familiennachzug) und 300 auf Sonderfälle. Wer diese Zahlen zum ersten Mal sieht, versteht auf einen Blick, wie das System tickt: Australien sucht in erster Linie Arbeitskräfte, keine Rentner und keine Erbschaften. Wer arbeiten kann und will, hat mehr Türen zur Auswahl als jede andere Gruppe.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Innerhalb des Skill Stream führen zwei Prinzipien zum Ziel. Beim </w:t>
      </w:r>
      <w:r>
        <w:rPr>
          <w:rFonts w:eastAsia="Cambria" w:cs="Cambria"/>
          <w:b/>
          <w:bCs/>
          <w:i w:val="false"/>
          <w:iCs w:val="false"/>
          <w:sz w:val="22"/>
          <w:szCs w:val="22"/>
        </w:rPr>
        <w:t>Punktesystem</w:t>
      </w:r>
      <w:r>
        <w:rPr>
          <w:rFonts w:eastAsia="Cambria" w:cs="Cambria"/>
          <w:b w:val="false"/>
          <w:bCs w:val="false"/>
          <w:i w:val="false"/>
          <w:iCs w:val="false"/>
          <w:sz w:val="22"/>
          <w:szCs w:val="22"/>
        </w:rPr>
        <w:t xml:space="preserve"> (</w:t>
      </w:r>
      <w:r>
        <w:rPr>
          <w:rFonts w:eastAsia="Cambria" w:cs="Cambria"/>
          <w:b w:val="false"/>
          <w:bCs w:val="false"/>
          <w:i/>
          <w:iCs/>
          <w:sz w:val="22"/>
          <w:szCs w:val="22"/>
        </w:rPr>
        <w:t>General Skilled Migration</w:t>
      </w:r>
      <w:r>
        <w:rPr>
          <w:rFonts w:eastAsia="Cambria" w:cs="Cambria"/>
          <w:b w:val="false"/>
          <w:bCs w:val="false"/>
          <w:i w:val="false"/>
          <w:iCs w:val="false"/>
          <w:sz w:val="22"/>
          <w:szCs w:val="22"/>
        </w:rPr>
        <w:t>, GSM, die allgemeine Facharbeitereinwanderung) bewirbst du dich selbst, ohne dass vorher ein Arbeitgeber zusagen muss – du brauchst nur einen Beruf auf der passenden Liste, eine bestandene fachliche Qualifikationsprüfung (</w:t>
      </w:r>
      <w:r>
        <w:rPr>
          <w:rFonts w:eastAsia="Cambria" w:cs="Cambria"/>
          <w:b w:val="false"/>
          <w:bCs w:val="false"/>
          <w:i/>
          <w:iCs/>
          <w:sz w:val="22"/>
          <w:szCs w:val="22"/>
        </w:rPr>
        <w:t>Skills Assessment</w:t>
      </w:r>
      <w:r>
        <w:rPr>
          <w:rFonts w:eastAsia="Cambria" w:cs="Cambria"/>
          <w:b w:val="false"/>
          <w:bCs w:val="false"/>
          <w:i w:val="false"/>
          <w:iCs w:val="false"/>
          <w:sz w:val="22"/>
          <w:szCs w:val="22"/>
        </w:rPr>
        <w:t xml:space="preserve">) und genug Punkte. Beim </w:t>
      </w:r>
      <w:r>
        <w:rPr>
          <w:rFonts w:eastAsia="Cambria" w:cs="Cambria"/>
          <w:b/>
          <w:bCs/>
          <w:i w:val="false"/>
          <w:iCs w:val="false"/>
          <w:sz w:val="22"/>
          <w:szCs w:val="22"/>
        </w:rPr>
        <w:t>Arbeitgeber-Sponsoring</w:t>
      </w:r>
      <w:r>
        <w:rPr>
          <w:rFonts w:eastAsia="Cambria" w:cs="Cambria"/>
          <w:b w:val="false"/>
          <w:bCs w:val="false"/>
          <w:i w:val="false"/>
          <w:iCs w:val="false"/>
          <w:sz w:val="22"/>
          <w:szCs w:val="22"/>
        </w:rPr>
        <w:t xml:space="preserve"> übernimmt ein zugelassenes australisches Unternehmen die Verantwortung für dich, ähnlich wie ein Betrieb in Deutschland eine Blaue Karte EU beantragt. Für Deutsche ohne bereits vorhandenes Jobangebot ist der Punktetest meist den ersten Blick wert; wer schon ein Angebot in der Tasche hat, kann direkt zum Arbeitgeberweg springen.</w:t>
      </w:r>
    </w:p>
    <w:p>
      <w:pPr>
        <w:pStyle w:val="Heading3"/>
        <w:keepNext w:val="true"/>
        <w:spacing w:before="280" w:after="100"/>
        <w:jc w:val="center"/>
        <w:rPr/>
      </w:pPr>
      <w:r>
        <w:rPr>
          <w:rFonts w:eastAsia="Amazon Ember" w:cs="Amazon Ember" w:ascii="Amazon Ember" w:hAnsi="Amazon Ember"/>
          <w:b/>
          <w:bCs/>
          <w:color w:val="0000FF"/>
          <w:sz w:val="36"/>
          <w:szCs w:val="36"/>
        </w:rPr>
        <w:t>Die drei punktebasierten Wege: 189, 190, 491</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Alle drei laufen über dieselbe Plattform, </w:t>
      </w:r>
      <w:r>
        <w:rPr>
          <w:rFonts w:eastAsia="Cambria" w:cs="Cambria"/>
          <w:b w:val="false"/>
          <w:bCs w:val="false"/>
          <w:i/>
          <w:iCs/>
          <w:sz w:val="22"/>
          <w:szCs w:val="22"/>
        </w:rPr>
        <w:t>SkillSelect</w:t>
      </w:r>
      <w:r>
        <w:rPr>
          <w:rFonts w:eastAsia="Cambria" w:cs="Cambria"/>
          <w:b w:val="false"/>
          <w:bCs w:val="false"/>
          <w:i w:val="false"/>
          <w:iCs w:val="false"/>
          <w:sz w:val="22"/>
          <w:szCs w:val="22"/>
        </w:rPr>
        <w:t>, und dieselbe Punktetabelle – unterscheiden sich aber erheblich in Bindung und Freiheit:</w:t>
      </w:r>
    </w:p>
    <w:p>
      <w:pPr>
        <w:pStyle w:val="ListParagraph"/>
        <w:numPr>
          <w:ilvl w:val="0"/>
          <w:numId w:val="1"/>
        </w:numPr>
        <w:spacing w:lineRule="exact" w:line="288" w:before="0" w:after="60"/>
        <w:rPr/>
      </w:pPr>
      <w:r>
        <w:rPr>
          <w:rFonts w:eastAsia="Cambria" w:cs="Cambria"/>
          <w:b/>
          <w:bCs/>
          <w:i w:val="false"/>
          <w:iCs w:val="false"/>
          <w:sz w:val="22"/>
          <w:szCs w:val="22"/>
        </w:rPr>
        <w:t>Subclass 189 (Skilled Independent)</w:t>
      </w:r>
      <w:r>
        <w:rPr>
          <w:rFonts w:eastAsia="Cambria" w:cs="Cambria"/>
          <w:b w:val="false"/>
          <w:bCs w:val="false"/>
          <w:i w:val="false"/>
          <w:iCs w:val="false"/>
          <w:sz w:val="22"/>
          <w:szCs w:val="22"/>
        </w:rPr>
        <w:t xml:space="preserve"> ist der Weg ganz ohne Sponsor: kein Arbeitgeber, kein Bundesstaat, freie Wohnortwahl in ganz Australien, dauerhafter Aufenthaltstitel von Anfang an. Genau deshalb ist er auch der am härtesten umkämpfte: Die Cut-off-Werte liegen bei gefragten Berufen oft bei 80 bis 95 Punkten oder mehr.</w:t>
      </w:r>
    </w:p>
    <w:p>
      <w:pPr>
        <w:pStyle w:val="ListParagraph"/>
        <w:numPr>
          <w:ilvl w:val="0"/>
          <w:numId w:val="1"/>
        </w:numPr>
        <w:spacing w:lineRule="exact" w:line="288" w:before="0" w:after="60"/>
        <w:rPr/>
      </w:pPr>
      <w:r>
        <w:rPr>
          <w:rFonts w:eastAsia="Cambria" w:cs="Cambria"/>
          <w:b/>
          <w:bCs/>
          <w:i w:val="false"/>
          <w:iCs w:val="false"/>
          <w:sz w:val="22"/>
          <w:szCs w:val="22"/>
        </w:rPr>
        <w:t>Subclass 190 (Skilled Nominated)</w:t>
      </w:r>
      <w:r>
        <w:rPr>
          <w:rFonts w:eastAsia="Cambria" w:cs="Cambria"/>
          <w:b w:val="false"/>
          <w:bCs w:val="false"/>
          <w:i w:val="false"/>
          <w:iCs w:val="false"/>
          <w:sz w:val="22"/>
          <w:szCs w:val="22"/>
        </w:rPr>
        <w:t xml:space="preserve"> entspricht 189, verlangt aber zusätzlich eine Nominierung durch einen Bundesstaat oder ein Territorium. Die bringt 5 Bonuspunkte und senkt oft den nötigen Cut-off – dafür verpflichtest du dich meist, mindestens zwei Jahre im nominierenden Bundesstaat zu leben.</w:t>
      </w:r>
    </w:p>
    <w:p>
      <w:pPr>
        <w:pStyle w:val="ListParagraph"/>
        <w:numPr>
          <w:ilvl w:val="0"/>
          <w:numId w:val="1"/>
        </w:numPr>
        <w:spacing w:lineRule="exact" w:line="288" w:before="0" w:after="60"/>
        <w:rPr/>
      </w:pPr>
      <w:r>
        <w:rPr>
          <w:rFonts w:eastAsia="Cambria" w:cs="Cambria"/>
          <w:b/>
          <w:bCs/>
          <w:i w:val="false"/>
          <w:iCs w:val="false"/>
          <w:sz w:val="22"/>
          <w:szCs w:val="22"/>
        </w:rPr>
        <w:t>Subclass 491 (Skilled Work Regional)</w:t>
      </w:r>
      <w:r>
        <w:rPr>
          <w:rFonts w:eastAsia="Cambria" w:cs="Cambria"/>
          <w:b w:val="false"/>
          <w:bCs w:val="false"/>
          <w:i w:val="false"/>
          <w:iCs w:val="false"/>
          <w:sz w:val="22"/>
          <w:szCs w:val="22"/>
        </w:rPr>
        <w:t xml:space="preserve"> ist zunächst kein Daueraufenthaltsvisum, sondern ein fünf Jahre gültiges Übergangsvisum mit dem höchsten Punktebonus im ganzen System: 15 Punkte. Voraussetzung ist eine Nominierung durch einen Bundesstaat oder ein Territorium oder ein Sponsoring durch Verwandte in einer Regional-Area (ländlichere Gebiete außerhalb der großen Metropolregionen). Nach drei Jahren Aufenthalt und Arbeit dort öffnet sich der Weg zur Daueraufenthaltserlaubnis über Subclass 191. Die Nominierungsplätze sind allerdings knapp: 2025–26 standen bundesweit nur 7.500 zur Verfügung, merklich weniger als im Vorjahr.</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Wie sich die Punktzahl für jeden dieser drei Wege im Einzelnen berechnet und wie das Bewerbungsverfahren über SkillSelect abläuft, zeigt das </w:t>
      </w:r>
      <w:hyperlink w:anchor="tau03">
        <w:r>
          <w:rPr>
            <w:rStyle w:val="ListLabel113"/>
            <w:rFonts w:eastAsia="Cambria" w:cs="Cambria"/>
            <w:b w:val="false"/>
            <w:bCs w:val="false"/>
            <w:i w:val="false"/>
            <w:iCs w:val="false"/>
            <w:color w:val="0563C1"/>
            <w:sz w:val="22"/>
            <w:szCs w:val="22"/>
            <w:u w:val="single"/>
          </w:rPr>
          <w:t>nächste Kapitel dieses Teils</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Reinhardt (fiktiv) prüfte vor der Entscheidung alle drei punktebasierten Wege parallel. Thomas, Bauingenieur, erreichte mit seinem Punktestand komfortabel die Schwelle für Subclass 189 – den unabhängigen Weg ohne Wohnsitzauflage. Eine Nominierung durch Victoria (Subclass 190) hätte zwar zusätzliche Punkte gebracht, aber auch die Pflicht, zwei Jahre am zugewiesenen Ort zu bleiben; Subclass 491 schied aus, weil die Familie gezielt eine Großstadt wollte, keine Regional-Area. Am Ende war 189 nicht nur der punktemäßig erreichbare, sondern auch der Weg mit den wenigsten Auflagen – eine Kombination, die längst nicht jedem Bewerber offensteht.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Punktetest-Grundprinzip in Kürze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Punktetest bewertet nicht deinen Charakter, sondern vier zählbare Größen: Alter, Englischniveau, Bildungsabschluss und Berufserfahrung, dazu Zusatzpunkte etwa für eine Nominierung oder einen australischen Studienabschluss. Die gesetzliche Mindestpunktzahl liegt bei 65 – wer weniger erreicht, kann sich gar nicht erst bewerben. Praktisch reicht das Minimum aber selten: Bei gefragten Berufen wie Softwareentwicklung oder Buchhaltung lagen die Cut-offs in den SkillSelect-Runden 2026 meist zwischen 80 und 100 Punkten.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Zwei Faktoren wiegen besonders schwer. Das Alter bringt in der Spanne von 25 bis 32 Jahren die volle Punktzahl; ab 45 Jahren ist der Punktetest-Weg komplett verschlossen, unabhängig von Abschluss oder Erfahrung. Und das Englischniveau: Ein sehr gutes Testergebnis (</w:t>
      </w:r>
      <w:r>
        <w:rPr>
          <w:rFonts w:eastAsia="Cambria" w:cs="Cambria"/>
          <w:b w:val="false"/>
          <w:bCs w:val="false"/>
          <w:i/>
          <w:iCs/>
          <w:sz w:val="22"/>
          <w:szCs w:val="22"/>
        </w:rPr>
        <w:t>Superior</w:t>
      </w:r>
      <w:r>
        <w:rPr>
          <w:rFonts w:eastAsia="Cambria" w:cs="Cambria"/>
          <w:b w:val="false"/>
          <w:bCs w:val="false"/>
          <w:i w:val="false"/>
          <w:iCs w:val="false"/>
          <w:sz w:val="22"/>
          <w:szCs w:val="22"/>
        </w:rPr>
        <w:t>, vergleichbar IELTS 8 in jeder Kategorie) bringt doppelt so viele Punkte wie ein gutes (</w:t>
      </w:r>
      <w:r>
        <w:rPr>
          <w:rFonts w:eastAsia="Cambria" w:cs="Cambria"/>
          <w:b w:val="false"/>
          <w:bCs w:val="false"/>
          <w:i/>
          <w:iCs/>
          <w:sz w:val="22"/>
          <w:szCs w:val="22"/>
        </w:rPr>
        <w:t>Proficient</w:t>
      </w:r>
      <w:r>
        <w:rPr>
          <w:rFonts w:eastAsia="Cambria" w:cs="Cambria"/>
          <w:b w:val="false"/>
          <w:bCs w:val="false"/>
          <w:i w:val="false"/>
          <w:iCs w:val="false"/>
          <w:sz w:val="22"/>
          <w:szCs w:val="22"/>
        </w:rPr>
        <w:t>, IELTS 7) – oft mehr, als ein weiteres Berufsjahr einbringt. Wer seine Punktzahl grob überschlagen will, sollte deshalb zuerst hier ansetzen, nicht beim Studienabschluss.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Der Punktetest ist kein Ja-Nein-Filter, sondern eine laufende Rangliste. 65 Punkte öffnen die Tür zum Wartesaal, nicht zur Einladung. Die genaue Tabelle und eine realistische Selbsteinschätzung zeigt das </w:t>
            </w:r>
            <w:hyperlink w:anchor="tau03">
              <w:r>
                <w:rPr>
                  <w:rStyle w:val="ListLabel116"/>
                  <w:rFonts w:eastAsia="Cambria" w:cs="Cambria"/>
                  <w:b w:val="false"/>
                  <w:bCs w:val="false"/>
                  <w:i w:val="false"/>
                  <w:iCs w:val="false"/>
                  <w:color w:val="0563C1"/>
                  <w:sz w:val="20"/>
                  <w:szCs w:val="20"/>
                  <w:u w:val="single"/>
                </w:rPr>
                <w:t>nächste Kapitel dieses Teils</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Arbeitgeber-Sponsoring: 482 und 186</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einen australischen Arbeitgeber findet, der zum Sponsor wird, umgeht den Punktetest vollständig. Subclass 482 (</w:t>
      </w:r>
      <w:r>
        <w:rPr>
          <w:rFonts w:eastAsia="Cambria" w:cs="Cambria"/>
          <w:b w:val="false"/>
          <w:bCs w:val="false"/>
          <w:i/>
          <w:iCs/>
          <w:sz w:val="22"/>
          <w:szCs w:val="22"/>
        </w:rPr>
        <w:t>Skills in Demand</w:t>
      </w:r>
      <w:r>
        <w:rPr>
          <w:rFonts w:eastAsia="Cambria" w:cs="Cambria"/>
          <w:b w:val="false"/>
          <w:bCs w:val="false"/>
          <w:i w:val="false"/>
          <w:iCs w:val="false"/>
          <w:sz w:val="22"/>
          <w:szCs w:val="22"/>
        </w:rPr>
        <w:t xml:space="preserve">, kurz SID) ist das befristete Arbeitsvisum dafür, gültig bis zu vier Jahre, mit einer Mindestlohnschwelle: Im Hauptstrom </w:t>
      </w:r>
      <w:r>
        <w:rPr>
          <w:rFonts w:eastAsia="Cambria" w:cs="Cambria"/>
          <w:b w:val="false"/>
          <w:bCs w:val="false"/>
          <w:i/>
          <w:iCs/>
          <w:sz w:val="22"/>
          <w:szCs w:val="22"/>
        </w:rPr>
        <w:t>Core Skills</w:t>
      </w:r>
      <w:r>
        <w:rPr>
          <w:rFonts w:eastAsia="Cambria" w:cs="Cambria"/>
          <w:b w:val="false"/>
          <w:bCs w:val="false"/>
          <w:i w:val="false"/>
          <w:iCs w:val="false"/>
          <w:sz w:val="22"/>
          <w:szCs w:val="22"/>
        </w:rPr>
        <w:t xml:space="preserve"> muss das Gehalt ab 1. Juli 2026 mindestens 79.423 AUD im Jahr erreichen oder den marktüblichen Lohn für die Position, je nachdem, welcher Wert höher ist. Die Antragsgebühr liegt bei 4.015 AUD für die Hauptperson; dazu kommt eine jährliche Abgabe des Arbeitgebers (die </w:t>
      </w:r>
      <w:r>
        <w:rPr>
          <w:rFonts w:eastAsia="Cambria" w:cs="Cambria"/>
          <w:b w:val="false"/>
          <w:bCs w:val="false"/>
          <w:i/>
          <w:iCs/>
          <w:sz w:val="22"/>
          <w:szCs w:val="22"/>
        </w:rPr>
        <w:t>Skilling Australians Fund</w:t>
      </w:r>
      <w:r>
        <w:rPr>
          <w:rFonts w:eastAsia="Cambria" w:cs="Cambria"/>
          <w:b w:val="false"/>
          <w:bCs w:val="false"/>
          <w:i w:val="false"/>
          <w:iCs w:val="false"/>
          <w:sz w:val="22"/>
          <w:szCs w:val="22"/>
        </w:rPr>
        <w:t>-Levy, eine Ausbildungsabgabe für australische Arbeitskräfte), die dieser nicht auf dich abwälzen darf.</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zwei Jahren beim selben Arbeitgeber im Subclass 482 öffnet sich der Weg zur Daueraufenthaltserlaubnis über Subclass 186 (</w:t>
      </w:r>
      <w:r>
        <w:rPr>
          <w:rFonts w:eastAsia="Cambria" w:cs="Cambria"/>
          <w:b w:val="false"/>
          <w:bCs w:val="false"/>
          <w:i/>
          <w:iCs/>
          <w:sz w:val="22"/>
          <w:szCs w:val="22"/>
        </w:rPr>
        <w:t>Employer Nomination Scheme</w:t>
      </w:r>
      <w:r>
        <w:rPr>
          <w:rFonts w:eastAsia="Cambria" w:cs="Cambria"/>
          <w:b w:val="false"/>
          <w:bCs w:val="false"/>
          <w:i w:val="false"/>
          <w:iCs w:val="false"/>
          <w:sz w:val="22"/>
          <w:szCs w:val="22"/>
        </w:rPr>
        <w:t xml:space="preserve">, ENS). Dieser Übergang heißt </w:t>
      </w:r>
      <w:r>
        <w:rPr>
          <w:rFonts w:eastAsia="Cambria" w:cs="Cambria"/>
          <w:b w:val="false"/>
          <w:bCs w:val="false"/>
          <w:i/>
          <w:iCs/>
          <w:sz w:val="22"/>
          <w:szCs w:val="22"/>
        </w:rPr>
        <w:t>Temporary Residence Transition</w:t>
      </w:r>
      <w:r>
        <w:rPr>
          <w:rFonts w:eastAsia="Cambria" w:cs="Cambria"/>
          <w:b w:val="false"/>
          <w:bCs w:val="false"/>
          <w:i w:val="false"/>
          <w:iCs w:val="false"/>
          <w:sz w:val="22"/>
          <w:szCs w:val="22"/>
        </w:rPr>
        <w:t>; daneben gibt es einen Direktweg ohne vorherigen 482 sowie einen dritten Strom für branchenspezifische Arbeitsmarktabkommen. Der große Vorteil des gesamten Arbeitgeberwegs: kein Punktetest, keine Altersgrenze wie beim Punktesystem. Der Preis dafür ist die Bindung – du arbeitest für den Betrieb, der dich sponsert, nicht für einen frei gewählten Arbeitgeber. Wer über 45 ist oder aus anderen Gründen für den Punktetest nicht infrage kommt, hat mit dem Arbeitgeberweg trotzdem eine ernstzunehmende Option, sofern der eigene Beruf gefragt genug ist.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erklärt Regeln und Praxis, ersetzt aber keine Beratung durch eine registrierte Migrationsagentin, einen Migrationsagenten oder eine Anwältin beziehungsweise einen Anwalt für australisches Einwanderungsrecht.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Berufslisten und Skills Assessment: der eigentliche Flaschenhals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Fast jeder Weg in diesem Kapitel – ob Punktetest oder Arbeitgeber-Sponsoring – steht und fällt mit derselben Frage: Steht dein Beruf auf der richtigen Liste, und erkennt eine zuständige Fachstelle deine Qualifikation an? Seit dem 1. Juli 2025 gilt für Subclass 482 (Core-Skills-Strom) und den Direktweg von Subclass 186 die </w:t>
      </w:r>
      <w:r>
        <w:rPr>
          <w:rFonts w:eastAsia="Cambria" w:cs="Cambria"/>
          <w:b w:val="false"/>
          <w:bCs w:val="false"/>
          <w:i/>
          <w:iCs/>
          <w:sz w:val="22"/>
          <w:szCs w:val="22"/>
        </w:rPr>
        <w:t>Core Skills Occupation List</w:t>
      </w:r>
      <w:r>
        <w:rPr>
          <w:rFonts w:eastAsia="Cambria" w:cs="Cambria"/>
          <w:b w:val="false"/>
          <w:bCs w:val="false"/>
          <w:i w:val="false"/>
          <w:iCs w:val="false"/>
          <w:sz w:val="22"/>
          <w:szCs w:val="22"/>
        </w:rPr>
        <w:t xml:space="preserve"> (CSOL, eine neue, 456 Berufe umfassende Liste). Für die punktebasierten Visa 189, 190 und 491 berufen sich mehrere Migrationskanzleien übereinstimmend auf die älteren Listen (MLTSSL und Varianten) – eine unabhängige Bestätigung direkt bei Home Affairs war zum Verfassungszeitpunkt dieses Kapitels nicht zu bekommen. Bürokratie liebt offenbar neue Abkürzungen, auch dort, wo niemand ganz genau sagen kann, wo die alten noch gelten.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Wichtiger als jede Listen-Feinheit ist die praktische Konsequenz: Die fachliche Qualifikationsprüfung (</w:t>
      </w:r>
      <w:r>
        <w:rPr>
          <w:rFonts w:eastAsia="Cambria" w:cs="Cambria"/>
          <w:b w:val="false"/>
          <w:bCs w:val="false"/>
          <w:i/>
          <w:iCs/>
          <w:sz w:val="22"/>
          <w:szCs w:val="22"/>
        </w:rPr>
        <w:t>Skills Assessment</w:t>
      </w:r>
      <w:r>
        <w:rPr>
          <w:rFonts w:eastAsia="Cambria" w:cs="Cambria"/>
          <w:b w:val="false"/>
          <w:bCs w:val="false"/>
          <w:i w:val="false"/>
          <w:iCs w:val="false"/>
          <w:sz w:val="22"/>
          <w:szCs w:val="22"/>
        </w:rPr>
        <w:t>) durch die zuständige Berufsorganisation – etwa Engineers Australia für Ingenieurberufe, den Australian Computer Society für IT, VETASSESS für viele weitere Berufe oder ANMAC für Pflegeberufe – dauert oft Monate und ist damit für die meisten Bewerber der eigentliche Engpass, nicht das anschließende Visumverfahren. Wer sie erst beginnt, wenn Punktzahl oder Jobangebot schon feststehen, verliert wertvolle Zeit.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Beantrage das Skills Assessment parallel zum Sprachtest, sobald du dich ernsthaft mit Australien befasst – unabhängig davon, für welchen der Wege in diesem Kapitel du dich am Ende entscheidest. Die Gebühr ist überschaubar gegenüber der Zeit, die eine verspätete Antragstellung kostet.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Working Holiday: der Seiteneingang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w:t>
      </w:r>
      <w:r>
        <w:rPr>
          <w:rFonts w:eastAsia="Cambria" w:cs="Cambria"/>
          <w:b w:val="false"/>
          <w:bCs w:val="false"/>
          <w:i/>
          <w:iCs/>
          <w:sz w:val="22"/>
          <w:szCs w:val="22"/>
        </w:rPr>
        <w:t>Working-Holiday-Visum</w:t>
      </w:r>
      <w:r>
        <w:rPr>
          <w:rFonts w:eastAsia="Cambria" w:cs="Cambria"/>
          <w:b w:val="false"/>
          <w:bCs w:val="false"/>
          <w:i w:val="false"/>
          <w:iCs w:val="false"/>
          <w:sz w:val="22"/>
          <w:szCs w:val="22"/>
        </w:rPr>
        <w:t xml:space="preserve"> (die befristete Arbeits- und Reiseerlaubnis für junge Erwachsene) ist für sich genommen kein Weg zum Daueraufenthalt – aber für viele Deutsche der günstigste Einstieg, um das Land, den Arbeitsmarkt und den eigenen Berufswert überhaupt erst kennenzulernen. Für deutsche Staatsangehörige ist ausschließlich Subclass 417 einschlägig, nicht die oft genannte 462, die für andere Nationalitäten mit eigenen Auflagen gilt. Seit 1. Juli 2026 reicht die Altersgrenze von 18 bis 35 Jahre (vorher bis 30), das Erstvisum gilt 12 Monate. Eine Verlängerung um ein weiteres Jahr setzt 88 Tage bestimmte Tätigkeiten voraus (</w:t>
      </w:r>
      <w:r>
        <w:rPr>
          <w:rFonts w:eastAsia="Cambria" w:cs="Cambria"/>
          <w:b w:val="false"/>
          <w:bCs w:val="false"/>
          <w:i/>
          <w:iCs/>
          <w:sz w:val="22"/>
          <w:szCs w:val="22"/>
        </w:rPr>
        <w:t>specified work</w:t>
      </w:r>
      <w:r>
        <w:rPr>
          <w:rFonts w:eastAsia="Cambria" w:cs="Cambria"/>
          <w:b w:val="false"/>
          <w:bCs w:val="false"/>
          <w:i w:val="false"/>
          <w:iCs w:val="false"/>
          <w:sz w:val="22"/>
          <w:szCs w:val="22"/>
        </w:rPr>
        <w:t>, etwa in Landwirtschaft oder Bergbau in festgelegten Gebieten) – seit einer Ankündigung vom September 2026 berechtigt das allerdings nur noch zur Teilnahme an einem Losverfahren, garantiert das zweite Jahr also nicht mehr automatisch. Die Gebühr liegt bei 840 AUD für den Erstantrag, 1.000 AUD für jeden weiteren.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eigentliche Wert dieses Visums liegt selten im Visum selbst, sondern in dem, was währenddessen passiert: ein Netzwerk, ein Probejob, im besten Fall ein Arbeitgeber, der bereit ist, anschließend zu sponsern. Wer das Working-Holiday-Jahr nur als verlängerten Urlaub versteht, verschenkt genau diese Chance.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Nina Voss (fiktiv), 27, aus Hamburg, alleinstehend, reiste mit dem Working-Holiday-Visum nach Sydney, ohne Punktetest, ohne Skills Assessment, ohne festen Plan über das erste Jahr hinaus. Erst als eine Agentur ihr nach anderthalb Jahren ein Sponsoring über Subclass 482 anbot, änderte sich ihr Status grundlegend – vom befristeten Reisevisum zum planbaren Arbeitsweg mit Aussicht auf Subclass 186. Für eine Alleinstehende ohne Kind vor Ort blieb ohnehin nur der berufliche Weg; Familien- und Ruhestandswege, wie sie das </w:t>
            </w:r>
            <w:hyperlink w:anchor="tau03">
              <w:r>
                <w:rPr>
                  <w:rStyle w:val="ListLabel116"/>
                  <w:rFonts w:eastAsia="Cambria" w:cs="Cambria"/>
                  <w:b w:val="false"/>
                  <w:bCs w:val="false"/>
                  <w:i w:val="false"/>
                  <w:iCs w:val="false"/>
                  <w:color w:val="0563C1"/>
                  <w:sz w:val="20"/>
                  <w:szCs w:val="20"/>
                  <w:u w:val="single"/>
                </w:rPr>
                <w:t>nächste Kapitel dieses Teils</w:t>
              </w:r>
            </w:hyperlink>
            <w:r>
              <w:rPr>
                <w:rFonts w:eastAsia="Cambria" w:cs="Cambria"/>
                <w:b w:val="false"/>
                <w:bCs w:val="false"/>
                <w:i w:val="false"/>
                <w:iCs w:val="false"/>
                <w:sz w:val="20"/>
                <w:szCs w:val="20"/>
              </w:rPr>
              <w:t xml:space="preserve"> beschreibt, setzen ganz andere Voraussetzungen voraus.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Studium: der langsame, aber planbare Weg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Studienvisum (Subclass 500) führt nicht direkt zum Daueraufenthalt, öffnet aber zwei Türen zugleich: einen anerkannten australischen Abschluss, der im Punktetest zusätzliche Punkte bringt, und oft den ersten Kontakt zu einem künftigen Arbeitgeber während eines Praktikums oder Werkstudentenjobs. Voraussetzung ist unter anderem der </w:t>
      </w:r>
      <w:r>
        <w:rPr>
          <w:rFonts w:eastAsia="Cambria" w:cs="Cambria"/>
          <w:b w:val="false"/>
          <w:bCs w:val="false"/>
          <w:i/>
          <w:iCs/>
          <w:sz w:val="22"/>
          <w:szCs w:val="22"/>
        </w:rPr>
        <w:t>Genuine-Student</w:t>
      </w:r>
      <w:r>
        <w:rPr>
          <w:rFonts w:eastAsia="Cambria" w:cs="Cambria"/>
          <w:b w:val="false"/>
          <w:bCs w:val="false"/>
          <w:i w:val="false"/>
          <w:iCs w:val="false"/>
          <w:sz w:val="22"/>
          <w:szCs w:val="22"/>
        </w:rPr>
        <w:t>-Nachweis (die Erklärung, dass ein echtes Studieninteresse und keine verdeckte Einwanderungsabsicht vorliegt), eine gültige Studienplatzbestätigung, ein Sprachnachweis und der Nachweis ausreichender finanzieller Mittel: mindestens 29.710 AUD im Jahr für die Hauptperson, dazu 10.394 AUD für mitreisende Partner und 4.449 AUD je Kind. Die Antragsgebühr liegt seit 1. Juli 2026 bei 2.500 AUD, ein Viertel mehr als zuvor.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wen lohnt sich dieser Umweg? Vor allem für jüngere Deutsche, die entweder noch keinen ausreichenden Punktestand erreichen oder einen international weniger bekannten Abschluss mit einer australischen Zusatzqualifikation aufwerten wollen. Wer bereits über ausreichend Berufserfahrung und einen anerkannten Abschluss verfügt, macht mit diesem Weg meist einen unnötigen Umweg.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dem Abschluss steht für viele ein weiterer Zwischenschritt an: das Temporary Graduate Visa (Subclass 485), das befristetes Arbeiten in Australien erlaubt und Zeit verschafft, entweder eine Skills Assessment und den Punktetest anzugehen oder einen sponsernden Arbeitgeber zu finden. Die genauen Voraussetzungen dieses Zwischenschritts sind hier nicht vertieft; wer über ein Studium einwandern will, sollte ihn aber von Anfang an in die eigene Zeitplanung einrechnen, nicht erst kurz vor Studienabschluss.</w:t>
      </w:r>
    </w:p>
    <w:p>
      <w:pPr>
        <w:pStyle w:val="Heading3"/>
        <w:keepNext w:val="true"/>
        <w:spacing w:before="280" w:after="100"/>
        <w:jc w:val="center"/>
        <w:rPr/>
      </w:pPr>
      <w:r>
        <w:rPr>
          <w:rFonts w:eastAsia="Amazon Ember" w:cs="Amazon Ember" w:ascii="Amazon Ember" w:hAnsi="Amazon Ember"/>
          <w:b/>
          <w:bCs/>
          <w:color w:val="0000FF"/>
          <w:sz w:val="36"/>
          <w:szCs w:val="36"/>
        </w:rPr>
        <w:t>Typische Fehler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die Wege in diesem Kapitel zum ersten Mal vergleicht, tappt erfahrungsgemäß in immer dieselben Fallen:</w:t>
      </w:r>
    </w:p>
    <w:p>
      <w:pPr>
        <w:pStyle w:val="ListParagraph"/>
        <w:numPr>
          <w:ilvl w:val="0"/>
          <w:numId w:val="1"/>
        </w:numPr>
        <w:spacing w:lineRule="exact" w:line="288" w:before="0" w:after="60"/>
        <w:rPr/>
      </w:pPr>
      <w:r>
        <w:rPr>
          <w:rFonts w:eastAsia="Cambria" w:cs="Cambria"/>
          <w:b w:val="false"/>
          <w:bCs w:val="false"/>
          <w:i w:val="false"/>
          <w:iCs w:val="false"/>
          <w:sz w:val="22"/>
          <w:szCs w:val="22"/>
        </w:rPr>
        <w:t>Verbreiteter Irrtum: Ein deutscher Hochschulabschluss werde automatisch anerkannt, ähnlich wie innerhalb der EU. Tatsächlich verlangt fast jeder berufliche Weg eine eigene, oft kostenpflichtige Skills Assessment durch eine australische Fachstelle – ein deutsches Diplom ist dafür der Ausgangspunkt, nicht der Nachweis selbst.</w:t>
      </w:r>
    </w:p>
    <w:p>
      <w:pPr>
        <w:pStyle w:val="ListParagraph"/>
        <w:numPr>
          <w:ilvl w:val="0"/>
          <w:numId w:val="1"/>
        </w:numPr>
        <w:spacing w:lineRule="exact" w:line="288" w:before="0" w:after="60"/>
        <w:rPr/>
      </w:pPr>
      <w:r>
        <w:rPr>
          <w:rFonts w:eastAsia="Cambria" w:cs="Cambria"/>
          <w:b w:val="false"/>
          <w:bCs w:val="false"/>
          <w:i w:val="false"/>
          <w:iCs w:val="false"/>
          <w:sz w:val="22"/>
          <w:szCs w:val="22"/>
        </w:rPr>
        <w:t>Die gesetzliche Mindestpunktzahl von 65 wird mit einer realistischen Erfolgschance verwechselt; in Wahrheit liegen die Cut-offs bei gefragten Berufen deutlich darüber.</w:t>
      </w:r>
    </w:p>
    <w:p>
      <w:pPr>
        <w:pStyle w:val="ListParagraph"/>
        <w:numPr>
          <w:ilvl w:val="0"/>
          <w:numId w:val="1"/>
        </w:numPr>
        <w:spacing w:lineRule="exact" w:line="288" w:before="0" w:after="60"/>
        <w:rPr/>
      </w:pPr>
      <w:r>
        <w:rPr>
          <w:rFonts w:eastAsia="Cambria" w:cs="Cambria"/>
          <w:b w:val="false"/>
          <w:bCs w:val="false"/>
          <w:i w:val="false"/>
          <w:iCs w:val="false"/>
          <w:sz w:val="22"/>
          <w:szCs w:val="22"/>
        </w:rPr>
        <w:t>Die Altersgrenze von 45 Jahren für den Punktetest wird erst spät im Prozess entdeckt, oft nachdem schon Zeit und Geld in eine Skills Assessment geflossen sind.</w:t>
      </w:r>
    </w:p>
    <w:p>
      <w:pPr>
        <w:pStyle w:val="ListParagraph"/>
        <w:numPr>
          <w:ilvl w:val="0"/>
          <w:numId w:val="1"/>
        </w:numPr>
        <w:spacing w:lineRule="exact" w:line="288" w:before="0" w:after="60"/>
        <w:rPr/>
      </w:pPr>
      <w:r>
        <w:rPr>
          <w:rFonts w:eastAsia="Cambria" w:cs="Cambria"/>
          <w:b w:val="false"/>
          <w:bCs w:val="false"/>
          <w:i w:val="false"/>
          <w:iCs w:val="false"/>
          <w:sz w:val="22"/>
          <w:szCs w:val="22"/>
        </w:rPr>
        <w:t>Working Holiday und Studium werden als eigenständige Einwanderungswege missverstanden, obwohl sie das Gesetz nur als befristete, nicht dauerhafte Aufenthaltstitel vorsieht.</w:t>
      </w:r>
    </w:p>
    <w:p>
      <w:pPr>
        <w:pStyle w:val="ListParagraph"/>
        <w:numPr>
          <w:ilvl w:val="0"/>
          <w:numId w:val="1"/>
        </w:numPr>
        <w:spacing w:lineRule="exact" w:line="288" w:before="0" w:after="60"/>
        <w:rPr/>
      </w:pPr>
      <w:r>
        <w:rPr>
          <w:rFonts w:eastAsia="Cambria" w:cs="Cambria"/>
          <w:b w:val="false"/>
          <w:bCs w:val="false"/>
          <w:i w:val="false"/>
          <w:iCs w:val="false"/>
          <w:sz w:val="22"/>
          <w:szCs w:val="22"/>
        </w:rPr>
        <w:t>Die Bearbeitungszeit wird unterschätzt, weil Online-Rechner nur die Behördenbearbeitung zeigen, nicht die Monate für Sprachtest, Skills Assessment und Dokumentenbeschaffung davor.</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Welcher Weg passt zu wem?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eigentliche Entscheidung ist selten eine reine Kopfrechnung. Wer eine Familie mit Kindern mitnimmt, gewichtet Stabilität und Planbarkeit oft höher als Geschwindigkeit und wählt lieber den etwas langsameren, aber sichereren Punktetest-Weg. Wer alleinstehend ist und Flexibilität schätzt, kann sich einen risikoreicheren Umweg über Working Holiday oder Studium eher leisten. Und wer bereits Mitte 40 ist, hat schlicht weniger Wege zur Auswahl als jemand Ende 20 – eine Realität, die sich nicht wegdiskutieren lässt, aber immerhin klar benennen lässt. Die folgende Übersicht ersetzt keine individuelle Rechnung, zeigt aber, wo die meisten Deutschen typischerweise landen:</w:t>
      </w:r>
    </w:p>
    <w:tbl>
      <w:tblPr>
        <w:tblW w:w="6480" w:type="dxa"/>
        <w:jc w:val="left"/>
        <w:tblInd w:w="0" w:type="dxa"/>
        <w:tblLayout w:type="fixed"/>
        <w:tblCellMar>
          <w:top w:w="50" w:type="dxa"/>
          <w:left w:w="80" w:type="dxa"/>
          <w:bottom w:w="50" w:type="dxa"/>
          <w:right w:w="80" w:type="dxa"/>
        </w:tblCellMar>
      </w:tblPr>
      <w:tblGrid>
        <w:gridCol w:w="3361"/>
        <w:gridCol w:w="3118"/>
      </w:tblGrid>
      <w:tr>
        <w:trPr>
          <w:tblHeader w:val="true"/>
          <w:cantSplit w:val="true"/>
        </w:trPr>
        <w:tc>
          <w:tcPr>
            <w:tcW w:w="336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Ausgangslage</w:t>
            </w:r>
          </w:p>
        </w:tc>
        <w:tc>
          <w:tcPr>
            <w:tcW w:w="311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Meist passender Weg</w:t>
            </w:r>
          </w:p>
        </w:tc>
      </w:tr>
      <w:tr>
        <w:trPr>
          <w:cantSplit w:val="true"/>
        </w:trPr>
        <w:tc>
          <w:tcPr>
            <w:tcW w:w="33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 bis 39 Jahre, Mangelberuf, guter Punktestand erwartbar</w:t>
            </w:r>
          </w:p>
        </w:tc>
        <w:tc>
          <w:tcPr>
            <w:tcW w:w="31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Subclass 189 (unabhängig)</w:t>
            </w:r>
          </w:p>
        </w:tc>
      </w:tr>
      <w:tr>
        <w:trPr>
          <w:cantSplit w:val="true"/>
        </w:trPr>
        <w:tc>
          <w:tcPr>
            <w:tcW w:w="33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Punktzahl knapp unter dem Cut-off, Bereitschaft zu zwei Jahren Bindung</w:t>
            </w:r>
          </w:p>
        </w:tc>
        <w:tc>
          <w:tcPr>
            <w:tcW w:w="31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Subclass 190 (mit Bundesstaat)</w:t>
            </w:r>
          </w:p>
        </w:tc>
      </w:tr>
      <w:tr>
        <w:trPr>
          <w:cantSplit w:val="true"/>
        </w:trPr>
        <w:tc>
          <w:tcPr>
            <w:tcW w:w="33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Bereitschaft, außerhalb der Großstädte zu leben</w:t>
            </w:r>
          </w:p>
        </w:tc>
        <w:tc>
          <w:tcPr>
            <w:tcW w:w="31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Subclass 491 (regional, Vorstufe zu 191)</w:t>
            </w:r>
          </w:p>
        </w:tc>
      </w:tr>
      <w:tr>
        <w:trPr>
          <w:cantSplit w:val="true"/>
        </w:trPr>
        <w:tc>
          <w:tcPr>
            <w:tcW w:w="33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Jobangebot eines australischen Arbeitgebers liegt vor</w:t>
            </w:r>
          </w:p>
        </w:tc>
        <w:tc>
          <w:tcPr>
            <w:tcW w:w="31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Subclass 482, später ggf. 186</w:t>
            </w:r>
          </w:p>
        </w:tc>
      </w:tr>
      <w:tr>
        <w:trPr>
          <w:cantSplit w:val="true"/>
        </w:trPr>
        <w:tc>
          <w:tcPr>
            <w:tcW w:w="33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45 Jahren oder punktebasiert nicht ausreichend</w:t>
            </w:r>
          </w:p>
        </w:tc>
        <w:tc>
          <w:tcPr>
            <w:tcW w:w="31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noch Arbeitgeber-Sponsoring (482/186)</w:t>
            </w:r>
          </w:p>
        </w:tc>
      </w:tr>
      <w:tr>
        <w:trPr>
          <w:cantSplit w:val="true"/>
        </w:trPr>
        <w:tc>
          <w:tcPr>
            <w:tcW w:w="33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 bis 35 Jahre, noch unentschlossen, will erst reinschnuppern</w:t>
            </w:r>
          </w:p>
        </w:tc>
        <w:tc>
          <w:tcPr>
            <w:tcW w:w="31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Working Holiday (417)</w:t>
            </w:r>
          </w:p>
        </w:tc>
      </w:tr>
      <w:tr>
        <w:trPr>
          <w:cantSplit w:val="true"/>
        </w:trPr>
        <w:tc>
          <w:tcPr>
            <w:tcW w:w="33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Punktzahl oder Abschluss reichen noch nicht</w:t>
            </w:r>
          </w:p>
        </w:tc>
        <w:tc>
          <w:tcPr>
            <w:tcW w:w="31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Studienvisum (500) als Zwischenschritt</w:t>
            </w:r>
          </w:p>
        </w:tc>
      </w:tr>
      <w:tr>
        <w:trPr>
          <w:cantSplit w:val="true"/>
        </w:trPr>
        <w:tc>
          <w:tcPr>
            <w:tcW w:w="33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eigener gefragter Beruf, aber Kind mit Aufenthaltstitel in Australien</w:t>
            </w:r>
          </w:p>
        </w:tc>
        <w:tc>
          <w:tcPr>
            <w:tcW w:w="31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siehe </w:t>
            </w:r>
            <w:hyperlink w:anchor="tau04">
              <w:r>
                <w:rPr>
                  <w:rStyle w:val="ListLabel117"/>
                  <w:rFonts w:eastAsia="Cambria" w:cs="Cambria"/>
                  <w:b w:val="false"/>
                  <w:bCs w:val="false"/>
                  <w:i w:val="false"/>
                  <w:iCs w:val="false"/>
                  <w:color w:val="0563C1"/>
                  <w:sz w:val="18"/>
                  <w:szCs w:val="18"/>
                  <w:u w:val="single"/>
                </w:rPr>
                <w:t>Kapitel zu Familie, Investor und Ruhestand in diesem Teil</w:t>
              </w:r>
            </w:hyperlink>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 Zuordnung ist eine grobe Orientierung, keine Garantie. Berufslisten, Cut-off-Werte und Lohnschwellen ändern sich mehrfach im Jahr, und manche Kategorien sind Gegenstand widersprüchlicher Sekundärquellen – etwa die genaue Zuordnung der Berufslisten je Visum. Prüfe jede Zahl vor einer Kündigung in Deutschland direkt bei Home Affairs.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Mehrere parallele Wege erhöhen die Gesamtchance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Für fast jeden Weg ist ein Beruf auf einer Liste Voraussetzung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Punktetest ist transparent und selbst überschlagbar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Berufslisten und Cut-offs ändern sich mehrfach im Jahr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Arbeitgeber-Sponsoring umgeht den Punktetest komplett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Subclass 482 bindet dich für Jahre an einen einzelnen Betrieb</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Working Holiday erlaubt einen risikoarmen ersten Schritt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Working Holiday ist selbst kein Daueraufenthaltsweg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Studium eröffnet zusätzliche Punkte und Kontakte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Studienvisum ist die teuerste Variante ohne Jobgarantie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Family Stream bietet einen Weg unabhängig vom eigenen Beruf</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Für Familienwege gelten oft jahrzehntelange Wartezeiten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Beginne mit einer ehrlichen Bestandsaufnahme: Alter, Beruf, Englischniveau, vorhandenes oder fehlendes Jobangebot. Prüfe, ob dein Beruf überhaupt auf einer der einschlägigen Listen steht – ohne das ist keiner der beruflichen Wege gangbar. Erst danach lohnt sich die Detailarbeit an Punktzahl oder Arbeitgebersuche, die die folgenden Kapitel dieses Teils zeigen. Wer sich nach dieser ersten Einordnung zwischen zwei Wegen nicht entscheiden kann, verliert selten Zeit, wenn er beide parallel vorbereitet: Ein begonnenes Skills Assessment verfällt nicht, nur weil am Ende doch der Arbeitgeberweg den Ausschlag gibt.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Beruf mit den aktuell gültigen Berufslisten abgeglichen (je nach Visum unterschiedlich)</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Eigenes Alter in die Punktetabelle eingeordnet und geprüft, ob der Punktetest-Weg überhaupt offensteht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Englischniveau realistisch eingeschätzt, ggf. Testtermin für IELTS oder einen gleichwertigen Test gebucht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Geprüft, ob ein Jobangebot eines australischen Arbeitgebers realistisch erreichbar ist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Working Holiday als möglichen ersten Schritt erwogen, falls unter 35 und noch unentschlossen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Studienvisum als Zwischenschritt geprüft, falls Punktzahl oder Abschluss noch nicht reichen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hyperlink w:anchor="tau04">
              <w:r>
                <w:rPr>
                  <w:rStyle w:val="ListLabel116"/>
                  <w:rFonts w:eastAsia="Cambria" w:cs="Cambria"/>
                  <w:b w:val="false"/>
                  <w:bCs w:val="false"/>
                  <w:i w:val="false"/>
                  <w:iCs w:val="false"/>
                  <w:color w:val="0563C1"/>
                  <w:sz w:val="20"/>
                  <w:szCs w:val="20"/>
                  <w:u w:val="single"/>
                </w:rPr>
                <w:t>Kapitel zu Familie, Investor und Ruhestand in diesem Teil</w:t>
              </w:r>
            </w:hyperlink>
            <w:r>
              <w:rPr>
                <w:rFonts w:eastAsia="Cambria" w:cs="Cambria"/>
                <w:b w:val="false"/>
                <w:bCs w:val="false"/>
                <w:i w:val="false"/>
                <w:iCs w:val="false"/>
                <w:sz w:val="20"/>
                <w:szCs w:val="20"/>
              </w:rPr>
              <w:t xml:space="preserve"> gelesen, falls kein eigener gefragter Beruf vorliegt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Aktuelle Gebühren, Cut-offs und Bearbeitungszeiten direkt bei Home Affairs geprüft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Home Affairs — Übersicht aller Visa-Optionen (</w:t>
      </w:r>
      <w:hyperlink r:id="rId426">
        <w:r>
          <w:rPr>
            <w:rStyle w:val="ListLabel113"/>
            <w:rFonts w:eastAsia="Cambria" w:cs="Cambria"/>
            <w:b w:val="false"/>
            <w:bCs w:val="false"/>
            <w:i w:val="false"/>
            <w:iCs w:val="false"/>
            <w:color w:val="0563C1"/>
            <w:sz w:val="22"/>
            <w:szCs w:val="22"/>
            <w:u w:val="single"/>
          </w:rPr>
          <w:t>immi.homeaffairs.gov.au</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Home Affairs — SkillSelect und Einladungsrunden (</w:t>
      </w:r>
      <w:hyperlink r:id="rId427">
        <w:r>
          <w:rPr>
            <w:rStyle w:val="ListLabel113"/>
            <w:rFonts w:eastAsia="Cambria" w:cs="Cambria"/>
            <w:b w:val="false"/>
            <w:bCs w:val="false"/>
            <w:i w:val="false"/>
            <w:iCs w:val="false"/>
            <w:color w:val="0563C1"/>
            <w:sz w:val="22"/>
            <w:szCs w:val="22"/>
            <w:u w:val="single"/>
          </w:rPr>
          <w:t>immi.homeaffairs.gov.au/visas/working-in-australia/skillselect</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Home Affairs — Working Holiday Visa, Subclass 417 (</w:t>
      </w:r>
      <w:hyperlink r:id="rId428">
        <w:r>
          <w:rPr>
            <w:rStyle w:val="ListLabel113"/>
            <w:rFonts w:eastAsia="Cambria" w:cs="Cambria"/>
            <w:b w:val="false"/>
            <w:bCs w:val="false"/>
            <w:i w:val="false"/>
            <w:iCs w:val="false"/>
            <w:color w:val="0563C1"/>
            <w:sz w:val="22"/>
            <w:szCs w:val="22"/>
            <w:u w:val="single"/>
          </w:rPr>
          <w:t>immi.homeaffairs.gov.au</w:t>
        </w:r>
      </w:hyperlink>
      <w:r>
        <w:rPr>
          <w:rFonts w:eastAsia="Cambria" w:cs="Cambria"/>
          <w:b w:val="false"/>
          <w:bCs w:val="false"/>
          <w:i w:val="false"/>
          <w:iCs w:val="false"/>
          <w:sz w:val="22"/>
          <w:szCs w:val="22"/>
        </w:rPr>
        <w:t>, Suche: work-holiday-417)</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Home Affairs — Student Visa, Subclass 500 (</w:t>
      </w:r>
      <w:hyperlink r:id="rId429">
        <w:r>
          <w:rPr>
            <w:rStyle w:val="ListLabel113"/>
            <w:rFonts w:eastAsia="Cambria" w:cs="Cambria"/>
            <w:b w:val="false"/>
            <w:bCs w:val="false"/>
            <w:i w:val="false"/>
            <w:iCs w:val="false"/>
            <w:color w:val="0563C1"/>
            <w:sz w:val="22"/>
            <w:szCs w:val="22"/>
            <w:u w:val="single"/>
          </w:rPr>
          <w:t>immi.homeaffairs.gov.au</w:t>
        </w:r>
      </w:hyperlink>
      <w:r>
        <w:rPr>
          <w:rFonts w:eastAsia="Cambria" w:cs="Cambria"/>
          <w:b w:val="false"/>
          <w:bCs w:val="false"/>
          <w:i w:val="false"/>
          <w:iCs w:val="false"/>
          <w:sz w:val="22"/>
          <w:szCs w:val="22"/>
        </w:rPr>
        <w:t>, Suche: student-visa-500)</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Home Affairs — Gebühren und Bearbeitungszeiten (</w:t>
      </w:r>
      <w:hyperlink r:id="rId430">
        <w:r>
          <w:rPr>
            <w:rStyle w:val="ListLabel113"/>
            <w:rFonts w:eastAsia="Cambria" w:cs="Cambria"/>
            <w:b w:val="false"/>
            <w:bCs w:val="false"/>
            <w:i w:val="false"/>
            <w:iCs w:val="false"/>
            <w:color w:val="0563C1"/>
            <w:sz w:val="22"/>
            <w:szCs w:val="22"/>
            <w:u w:val="single"/>
          </w:rPr>
          <w:t>immi.homeaffairs.gov.au/visas/getting-a-visa/fees-and-charges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Home Affairs — Migration Program, Planungsniveau 2026–27 (</w:t>
      </w:r>
      <w:hyperlink r:id="rId431">
        <w:r>
          <w:rPr>
            <w:rStyle w:val="ListLabel113"/>
            <w:rFonts w:eastAsia="Cambria" w:cs="Cambria"/>
            <w:b w:val="false"/>
            <w:bCs w:val="false"/>
            <w:i w:val="false"/>
            <w:iCs w:val="false"/>
            <w:color w:val="0563C1"/>
            <w:sz w:val="22"/>
            <w:szCs w:val="22"/>
            <w:u w:val="single"/>
          </w:rPr>
          <w:t>immi.homeaffairs.gov.au</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schnell: die Cut-off-Werte jeder SkillSelect-Runde, die Berufslisten, die Lohnschwellen für Subclass 482, die Working-Holiday-Regeln (Altersgrenze, Losverfahren für das zweite Jahr seit September 2026) und alle genannten Gebühren. Prüfe vor jeder Entscheidung die aktuellen Werte direkt auf immi.homeaffairs.gov.au.</w:t>
            </w:r>
          </w:p>
        </w:tc>
      </w:tr>
    </w:tbl>
    <w:p>
      <w:pPr>
        <w:pStyle w:val="Normal"/>
        <w:spacing w:lineRule="exact" w:line="220" w:before="0" w:after="0"/>
        <w:rPr/>
      </w:pPr>
      <w:r>
        <w:rPr/>
      </w:r>
      <w:r>
        <w:br w:type="page"/>
      </w:r>
    </w:p>
    <w:p>
      <w:pPr>
        <w:pStyle w:val="Heading2"/>
        <w:keepNext w:val="true"/>
        <w:spacing w:before="0" w:after="300"/>
        <w:jc w:val="center"/>
        <w:rPr/>
      </w:pPr>
      <w:bookmarkStart w:id="108" w:name="__RefHeading___Toc56537_3769931028"/>
      <w:bookmarkStart w:id="109" w:name="tau03"/>
      <w:bookmarkEnd w:id="108"/>
      <w:r>
        <w:rPr>
          <w:rFonts w:eastAsia="Amazon Ember" w:cs="Amazon Ember" w:ascii="Amazon Ember" w:hAnsi="Amazon Ember"/>
          <w:b/>
          <w:bCs/>
          <w:color w:val="0000FF"/>
          <w:sz w:val="36"/>
          <w:szCs w:val="36"/>
        </w:rPr>
        <w:t>Australien: Der Arbeitsweg im Detail</w:t>
      </w:r>
      <w:bookmarkEnd w:id="109"/>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Thomas Reinhardt sitzt am Küchentisch in Köln, vor sich die Punktetabelle des australischen Department of Home Affairs, und addiert: Alter, Englischtest, Studienabschluss, Berufsjahre. Am Ende steht eine Zahl über der gesetzlichen Mindestpunktzahl – und trotzdem fühlt sie sich nicht wie eine Zusage an. Wer sich durch das australische Einwanderungssystem rechnet, lernt schnell die erste Lektion: 65 Punkte sind die Eintrittskarte zum Wartesaal, nicht die Einladung selbst. Dieses Kapitel zeigt, wie der Punktetest wirklich funktioniert, wie das Verfahren </w:t>
      </w:r>
      <w:r>
        <w:rPr>
          <w:rFonts w:eastAsia="Cambria" w:cs="Cambria"/>
          <w:b w:val="false"/>
          <w:bCs w:val="false"/>
          <w:i/>
          <w:iCs/>
          <w:sz w:val="22"/>
          <w:szCs w:val="22"/>
        </w:rPr>
        <w:t>SkillSelect</w:t>
      </w:r>
      <w:r>
        <w:rPr>
          <w:rFonts w:eastAsia="Cambria" w:cs="Cambria"/>
          <w:b w:val="false"/>
          <w:bCs w:val="false"/>
          <w:i w:val="false"/>
          <w:iCs w:val="false"/>
          <w:sz w:val="22"/>
          <w:szCs w:val="22"/>
        </w:rPr>
        <w:t xml:space="preserve"> Bewerbungen sortiert, wann ein Arbeitgeber die Abkürzung ist – und was für deutsche Fachkräfte 2026 realistisch ist.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Drei Wege führen über den Beruf nach Australien: der unabhängige Punktetest (Subclass 189), der Punktetest mit Nominierung durch einen Bundesstaat (Subclass 190) und das Arbeitgeber-Sponsoring (Subclass 482, mit Weiterweg zur Daueraufenthaltserlaubnis über Subclass 186).</w:t>
            </w:r>
          </w:p>
          <w:p>
            <w:pPr>
              <w:pStyle w:val="ListParagraph"/>
              <w:numPr>
                <w:ilvl w:val="0"/>
                <w:numId w:val="1"/>
              </w:numPr>
              <w:spacing w:lineRule="exact" w:line="264" w:before="0" w:after="50"/>
              <w:rPr/>
            </w:pPr>
            <w:r>
              <w:rPr>
                <w:rFonts w:eastAsia="Cambria" w:cs="Cambria"/>
                <w:b w:val="false"/>
                <w:bCs w:val="false"/>
                <w:i w:val="false"/>
                <w:iCs w:val="false"/>
                <w:sz w:val="20"/>
                <w:szCs w:val="20"/>
              </w:rPr>
              <w:t>Die gesetzliche Mindestpunktzahl liegt bei 65. Eingeladen werden bei gefragten Berufen praktisch aber meist erst Bewerber mit 80 bis 95 oder mehr Punkten.</w:t>
            </w:r>
          </w:p>
          <w:p>
            <w:pPr>
              <w:pStyle w:val="ListParagraph"/>
              <w:numPr>
                <w:ilvl w:val="0"/>
                <w:numId w:val="1"/>
              </w:numPr>
              <w:spacing w:lineRule="exact" w:line="264" w:before="0" w:after="50"/>
              <w:rPr/>
            </w:pPr>
            <w:r>
              <w:rPr>
                <w:rFonts w:eastAsia="Cambria" w:cs="Cambria"/>
                <w:b w:val="false"/>
                <w:bCs w:val="false"/>
                <w:i w:val="false"/>
                <w:iCs w:val="false"/>
                <w:sz w:val="20"/>
                <w:szCs w:val="20"/>
              </w:rPr>
              <w:t>Alter, Englischniveau, Berufserfahrung und Bildungsabschluss bestimmen die Punktzahl. Ab 45 Jahren ist der Punktetest-Weg komplett verschlossen.</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Das Verfahren läuft über die Plattform </w:t>
            </w:r>
            <w:r>
              <w:rPr>
                <w:rFonts w:eastAsia="Cambria" w:cs="Cambria"/>
                <w:b w:val="false"/>
                <w:bCs w:val="false"/>
                <w:i/>
                <w:iCs/>
                <w:sz w:val="20"/>
                <w:szCs w:val="20"/>
              </w:rPr>
              <w:t>SkillSelect</w:t>
            </w:r>
            <w:r>
              <w:rPr>
                <w:rFonts w:eastAsia="Cambria" w:cs="Cambria"/>
                <w:b w:val="false"/>
                <w:bCs w:val="false"/>
                <w:i w:val="false"/>
                <w:iCs w:val="false"/>
                <w:sz w:val="20"/>
                <w:szCs w:val="20"/>
              </w:rPr>
              <w:t>: erst eine Interessenbekundung einreichen, dann warten, dann – vielleicht – eingeladen werden. Erst danach folgt der eigentliche Antrag.</w:t>
            </w:r>
          </w:p>
          <w:p>
            <w:pPr>
              <w:pStyle w:val="ListParagraph"/>
              <w:numPr>
                <w:ilvl w:val="0"/>
                <w:numId w:val="1"/>
              </w:numPr>
              <w:spacing w:lineRule="exact" w:line="264" w:before="0" w:after="50"/>
              <w:rPr/>
            </w:pPr>
            <w:r>
              <w:rPr>
                <w:rFonts w:eastAsia="Cambria" w:cs="Cambria"/>
                <w:b w:val="false"/>
                <w:bCs w:val="false"/>
                <w:i w:val="false"/>
                <w:iCs w:val="false"/>
                <w:sz w:val="20"/>
                <w:szCs w:val="20"/>
              </w:rPr>
              <w:t>Ohne Arbeitgeber bleibt Subclass 482 verschlossen; mit Arbeitgeber entfällt der Punktetest komplett, dafür bindet dich der Job für mehrere Jahre.</w:t>
            </w:r>
          </w:p>
          <w:p>
            <w:pPr>
              <w:pStyle w:val="ListParagraph"/>
              <w:numPr>
                <w:ilvl w:val="0"/>
                <w:numId w:val="1"/>
              </w:numPr>
              <w:spacing w:lineRule="exact" w:line="264" w:before="0" w:after="50"/>
              <w:rPr/>
            </w:pPr>
            <w:r>
              <w:rPr>
                <w:rFonts w:eastAsia="Cambria" w:cs="Cambria"/>
                <w:b w:val="false"/>
                <w:bCs w:val="false"/>
                <w:i w:val="false"/>
                <w:iCs w:val="false"/>
                <w:sz w:val="20"/>
                <w:szCs w:val="20"/>
              </w:rPr>
              <w:t>Welche Berufsliste für welches Visum gilt, ist nicht in jeder Quelle eindeutig. Prüfe das vor jeder Kündigung in Deutschland direkt bei Home Affairs oder deiner Bewertungsstelle.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Drei Wege, ein Ziel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australische Einwanderungsprogramm für 2026–27 sieht insgesamt 185.000 permanente Plätze vor, gut 132.000 davon im </w:t>
      </w:r>
      <w:r>
        <w:rPr>
          <w:rFonts w:eastAsia="Cambria" w:cs="Cambria"/>
          <w:b w:val="false"/>
          <w:bCs w:val="false"/>
          <w:i/>
          <w:iCs/>
          <w:sz w:val="22"/>
          <w:szCs w:val="22"/>
        </w:rPr>
        <w:t>Skill Stream</w:t>
      </w:r>
      <w:r>
        <w:rPr>
          <w:rFonts w:eastAsia="Cambria" w:cs="Cambria"/>
          <w:b w:val="false"/>
          <w:bCs w:val="false"/>
          <w:i w:val="false"/>
          <w:iCs w:val="false"/>
          <w:sz w:val="22"/>
          <w:szCs w:val="22"/>
        </w:rPr>
        <w:t xml:space="preserve"> (dem Fachkräfte-Strom) – also weit mehr als für den Familiennachzug. Innerhalb dieses Stroms führen für deutsche Fachkräfte im Kern zwei Prinzipien zum Ziel: das Punktesystem und das Arbeitgeber-Sponsoring.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Beim </w:t>
      </w:r>
      <w:r>
        <w:rPr>
          <w:rFonts w:eastAsia="Cambria" w:cs="Cambria"/>
          <w:b/>
          <w:bCs/>
          <w:i w:val="false"/>
          <w:iCs w:val="false"/>
          <w:sz w:val="22"/>
          <w:szCs w:val="22"/>
        </w:rPr>
        <w:t>General Skilled Migration</w:t>
      </w:r>
      <w:r>
        <w:rPr>
          <w:rFonts w:eastAsia="Cambria" w:cs="Cambria"/>
          <w:b w:val="false"/>
          <w:bCs w:val="false"/>
          <w:i w:val="false"/>
          <w:iCs w:val="false"/>
          <w:sz w:val="22"/>
          <w:szCs w:val="22"/>
        </w:rPr>
        <w:t xml:space="preserve"> (GSM, allgemeine Facharbeitereinwanderung) bewirbst du dich selbst, ohne dass ein Arbeitgeber dich vorher einstellen muss. Dazu gehören die Subclasses 189 (unabhängig), 190 (mit Bundesstaat-Nominierung) und 491 (mit Nominierung für eine Region, hier nur am Rand erwähnt, da sie kein Daueraufenthaltsvisum, sondern nur eine Vorstufe ist). Voraussetzung ist immer ein Beruf auf der jeweils einschlägigen Liste, eine bestandene </w:t>
      </w:r>
      <w:r>
        <w:rPr>
          <w:rFonts w:eastAsia="Cambria" w:cs="Cambria"/>
          <w:b w:val="false"/>
          <w:bCs w:val="false"/>
          <w:i/>
          <w:iCs/>
          <w:sz w:val="22"/>
          <w:szCs w:val="22"/>
        </w:rPr>
        <w:t>Skills Assessment</w:t>
      </w:r>
      <w:r>
        <w:rPr>
          <w:rFonts w:eastAsia="Cambria" w:cs="Cambria"/>
          <w:b w:val="false"/>
          <w:bCs w:val="false"/>
          <w:i w:val="false"/>
          <w:iCs w:val="false"/>
          <w:sz w:val="22"/>
          <w:szCs w:val="22"/>
        </w:rPr>
        <w:t xml:space="preserve"> (die fachliche Qualifikationsprüfung durch eine zuständige Berufsorganisation) und die Mindestpunktzahl.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Beim </w:t>
      </w:r>
      <w:r>
        <w:rPr>
          <w:rFonts w:eastAsia="Cambria" w:cs="Cambria"/>
          <w:b/>
          <w:bCs/>
          <w:i w:val="false"/>
          <w:iCs w:val="false"/>
          <w:sz w:val="22"/>
          <w:szCs w:val="22"/>
        </w:rPr>
        <w:t>Arbeitgeber-Sponsoring</w:t>
      </w:r>
      <w:r>
        <w:rPr>
          <w:rFonts w:eastAsia="Cambria" w:cs="Cambria"/>
          <w:b w:val="false"/>
          <w:bCs w:val="false"/>
          <w:i w:val="false"/>
          <w:iCs w:val="false"/>
          <w:sz w:val="22"/>
          <w:szCs w:val="22"/>
        </w:rPr>
        <w:t xml:space="preserve"> übernimmt ein zugelassenes australisches Unternehmen die Rolle des Sponsors, ähnlich wie ein Arbeitgeber in Deutschland eine Blaue Karte EU beantragt. Subclass 482 (</w:t>
      </w:r>
      <w:r>
        <w:rPr>
          <w:rFonts w:eastAsia="Cambria" w:cs="Cambria"/>
          <w:b w:val="false"/>
          <w:bCs w:val="false"/>
          <w:i/>
          <w:iCs/>
          <w:sz w:val="22"/>
          <w:szCs w:val="22"/>
        </w:rPr>
        <w:t>Skills in Demand</w:t>
      </w:r>
      <w:r>
        <w:rPr>
          <w:rFonts w:eastAsia="Cambria" w:cs="Cambria"/>
          <w:b w:val="false"/>
          <w:bCs w:val="false"/>
          <w:i w:val="false"/>
          <w:iCs w:val="false"/>
          <w:sz w:val="22"/>
          <w:szCs w:val="22"/>
        </w:rPr>
        <w:t>, kurz SID) ist das befristete Arbeitsvisum, Subclass 186 der direkte oder daraus folgende Weg zur Daueraufenthaltserlaubnis. Ohne Job kein Antrag – dafür kein Punktetest.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Punktetest bewertet dich als Person; das Arbeitgeber-Sponsoring bewertet die Stelle. Beide Wege prüfen am Ende denselben Kern: Steht dein Beruf auf einer Liste, und ist deine Qualifikation dafür anerkannt?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Punktetest im Detail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Punktetest gilt für die Subclasses 189, 190 und 491 gleichermaßen. Die gesetzliche Mindestpunktzahl ist 65 – wer weniger erreicht, kann keine Interessenbekundung abgeben. Die wichtigsten Kategorien:</w:t>
      </w:r>
    </w:p>
    <w:tbl>
      <w:tblPr>
        <w:tblW w:w="6480" w:type="dxa"/>
        <w:jc w:val="left"/>
        <w:tblInd w:w="0" w:type="dxa"/>
        <w:tblLayout w:type="fixed"/>
        <w:tblCellMar>
          <w:top w:w="50" w:type="dxa"/>
          <w:left w:w="80" w:type="dxa"/>
          <w:bottom w:w="50" w:type="dxa"/>
          <w:right w:w="80" w:type="dxa"/>
        </w:tblCellMar>
      </w:tblPr>
      <w:tblGrid>
        <w:gridCol w:w="1163"/>
        <w:gridCol w:w="4109"/>
        <w:gridCol w:w="1208"/>
      </w:tblGrid>
      <w:tr>
        <w:trPr>
          <w:tblHeader w:val="true"/>
          <w:cantSplit w:val="true"/>
        </w:trPr>
        <w:tc>
          <w:tcPr>
            <w:tcW w:w="116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Kategorie</w:t>
            </w:r>
          </w:p>
        </w:tc>
        <w:tc>
          <w:tcPr>
            <w:tcW w:w="410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Ausprägung</w:t>
            </w:r>
          </w:p>
        </w:tc>
        <w:tc>
          <w:tcPr>
            <w:tcW w:w="120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Punkte</w:t>
            </w:r>
          </w:p>
        </w:tc>
      </w:tr>
      <w:tr>
        <w:trPr>
          <w:cantSplit w:val="true"/>
        </w:trPr>
        <w:tc>
          <w:tcPr>
            <w:tcW w:w="11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Alter</w:t>
            </w:r>
          </w:p>
        </w:tc>
        <w:tc>
          <w:tcPr>
            <w:tcW w:w="41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25–32 Jahre</w:t>
            </w:r>
          </w:p>
        </w:tc>
        <w:tc>
          <w:tcPr>
            <w:tcW w:w="12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w:t>
            </w:r>
          </w:p>
        </w:tc>
      </w:tr>
      <w:tr>
        <w:trPr>
          <w:cantSplit w:val="true"/>
        </w:trPr>
        <w:tc>
          <w:tcPr>
            <w:tcW w:w="11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Alter</w:t>
            </w:r>
          </w:p>
        </w:tc>
        <w:tc>
          <w:tcPr>
            <w:tcW w:w="41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18–24 oder 33–39 Jahre</w:t>
            </w:r>
          </w:p>
        </w:tc>
        <w:tc>
          <w:tcPr>
            <w:tcW w:w="12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w:t>
            </w:r>
          </w:p>
        </w:tc>
      </w:tr>
      <w:tr>
        <w:trPr>
          <w:cantSplit w:val="true"/>
        </w:trPr>
        <w:tc>
          <w:tcPr>
            <w:tcW w:w="11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Alter</w:t>
            </w:r>
          </w:p>
        </w:tc>
        <w:tc>
          <w:tcPr>
            <w:tcW w:w="41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40–44 Jahre</w:t>
            </w:r>
          </w:p>
        </w:tc>
        <w:tc>
          <w:tcPr>
            <w:tcW w:w="12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w:t>
            </w:r>
          </w:p>
        </w:tc>
      </w:tr>
      <w:tr>
        <w:trPr>
          <w:cantSplit w:val="true"/>
        </w:trPr>
        <w:tc>
          <w:tcPr>
            <w:tcW w:w="11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Alter</w:t>
            </w:r>
          </w:p>
        </w:tc>
        <w:tc>
          <w:tcPr>
            <w:tcW w:w="41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45 Jahre</w:t>
            </w:r>
          </w:p>
        </w:tc>
        <w:tc>
          <w:tcPr>
            <w:tcW w:w="12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 (nicht mehr zulässig)</w:t>
            </w:r>
          </w:p>
        </w:tc>
      </w:tr>
      <w:tr>
        <w:trPr>
          <w:cantSplit w:val="true"/>
        </w:trPr>
        <w:tc>
          <w:tcPr>
            <w:tcW w:w="11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Englisch</w:t>
            </w:r>
          </w:p>
        </w:tc>
        <w:tc>
          <w:tcPr>
            <w:tcW w:w="41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Superior“ (IELTS ≥ 8 je Band oder gleichwertig)</w:t>
            </w:r>
          </w:p>
        </w:tc>
        <w:tc>
          <w:tcPr>
            <w:tcW w:w="12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w:t>
            </w:r>
          </w:p>
        </w:tc>
      </w:tr>
      <w:tr>
        <w:trPr>
          <w:cantSplit w:val="true"/>
        </w:trPr>
        <w:tc>
          <w:tcPr>
            <w:tcW w:w="11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Englisch</w:t>
            </w:r>
          </w:p>
        </w:tc>
        <w:tc>
          <w:tcPr>
            <w:tcW w:w="41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Proficient“ (IELTS ≥ 7 je Band)</w:t>
            </w:r>
          </w:p>
        </w:tc>
        <w:tc>
          <w:tcPr>
            <w:tcW w:w="12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w:t>
            </w:r>
          </w:p>
        </w:tc>
      </w:tr>
      <w:tr>
        <w:trPr>
          <w:cantSplit w:val="true"/>
        </w:trPr>
        <w:tc>
          <w:tcPr>
            <w:tcW w:w="11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Englisch</w:t>
            </w:r>
          </w:p>
        </w:tc>
        <w:tc>
          <w:tcPr>
            <w:tcW w:w="41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Competent“ (IELTS ≥ 6 je Band, Mindestvoraussetzung)</w:t>
            </w:r>
          </w:p>
        </w:tc>
        <w:tc>
          <w:tcPr>
            <w:tcW w:w="12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w:t>
            </w:r>
          </w:p>
        </w:tc>
      </w:tr>
      <w:tr>
        <w:trPr>
          <w:cantSplit w:val="true"/>
        </w:trPr>
        <w:tc>
          <w:tcPr>
            <w:tcW w:w="11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Berufserfahrung</w:t>
            </w:r>
          </w:p>
        </w:tc>
        <w:tc>
          <w:tcPr>
            <w:tcW w:w="41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 In- und Ausland zusammengerechnet, gedeckelt</w:t>
            </w:r>
          </w:p>
        </w:tc>
        <w:tc>
          <w:tcPr>
            <w:tcW w:w="12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20</w:t>
            </w:r>
          </w:p>
        </w:tc>
      </w:tr>
      <w:tr>
        <w:trPr>
          <w:cantSplit w:val="true"/>
        </w:trPr>
        <w:tc>
          <w:tcPr>
            <w:tcW w:w="11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Bildung</w:t>
            </w:r>
          </w:p>
        </w:tc>
        <w:tc>
          <w:tcPr>
            <w:tcW w:w="41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Bachelor oder Master (gleichrangig)</w:t>
            </w:r>
          </w:p>
        </w:tc>
        <w:tc>
          <w:tcPr>
            <w:tcW w:w="12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w:t>
            </w:r>
          </w:p>
        </w:tc>
      </w:tr>
      <w:tr>
        <w:trPr>
          <w:cantSplit w:val="true"/>
        </w:trPr>
        <w:tc>
          <w:tcPr>
            <w:tcW w:w="11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Bildung</w:t>
            </w:r>
          </w:p>
        </w:tc>
        <w:tc>
          <w:tcPr>
            <w:tcW w:w="41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Promotion</w:t>
            </w:r>
          </w:p>
        </w:tc>
        <w:tc>
          <w:tcPr>
            <w:tcW w:w="12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Hinzu kommen Zusatzpunkte, etwa für eine Nominierung durch einen Bundesstaat (bei Subclass 190: 5 Punkte), einen australischen Studienabschluss oder eine qualifizierte Partnerin oder einen qualifizierten Partner – die genaue Höhe hängt vom Einzelfall ab und ändert sich gelegentlich, prüfe sie vor der eigenen Rechnung.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Ab 45 Jahren ist der Punktetest-Weg endgültig verschlossen, unabhängig von Abschluss oder Erfahrung. Wer diese Altersgrenze schon im Blick hat, sollte frühzeitig auf das Arbeitgeber-Sponsoring ausweichen, das keine feste Altersobergrenze im gleichen Sinn kennt.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65 Punkte reichen selten. In der SkillSelect-Runde vom 4. Juni 2026 wurden für Subclass 189 rund 10.000 Einladungen verschickt, mit Mindestpunktzahlen zwischen 65 (bei einzelnen Handwerksberufen) und teils 100 (bei IT und Buchhaltung). Wer nur das gesetzliche Minimum erreicht, sollte sich nicht auf eine baldige Einladung verlassen. Die beiden wirksamsten Hebel sind das Alter (25 bis 32 Jahre bringt die volle Punktzahl) und ein sehr gutes Englischergebnis: Der Sprung von „Proficient“ auf „Superior“ bringt allein zehn Punkte extra – oft mehr, als ein weiteres Berufsjahr einbringt.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Bevor du einen teuren Migrationsberater beauftragst, lohnt sich ein zweiter Anlauf beim Englischtest (IELTS, PTE oder gleichwertig). Die Gebühr liegt bei einigen Hundert Dollar, der Punktegewinn kann über Einladung oder Nicht-Einladung entscheiden.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SkillSelect: von der Interessenbekundung zur Einladung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gesamte GSM-Verfahren läuft über eine Online-Plattform namens </w:t>
      </w:r>
      <w:r>
        <w:rPr>
          <w:rFonts w:eastAsia="Cambria" w:cs="Cambria"/>
          <w:b w:val="false"/>
          <w:bCs w:val="false"/>
          <w:i/>
          <w:iCs/>
          <w:sz w:val="22"/>
          <w:szCs w:val="22"/>
        </w:rPr>
        <w:t>SkillSelect</w:t>
      </w:r>
      <w:r>
        <w:rPr>
          <w:rFonts w:eastAsia="Cambria" w:cs="Cambria"/>
          <w:b w:val="false"/>
          <w:bCs w:val="false"/>
          <w:i w:val="false"/>
          <w:iCs w:val="false"/>
          <w:sz w:val="22"/>
          <w:szCs w:val="22"/>
        </w:rPr>
        <w:t xml:space="preserve">. Der erste Schritt ist die </w:t>
      </w:r>
      <w:r>
        <w:rPr>
          <w:rFonts w:eastAsia="Cambria" w:cs="Cambria"/>
          <w:b w:val="false"/>
          <w:bCs w:val="false"/>
          <w:i/>
          <w:iCs/>
          <w:sz w:val="22"/>
          <w:szCs w:val="22"/>
        </w:rPr>
        <w:t>Expression of Interest</w:t>
      </w:r>
      <w:r>
        <w:rPr>
          <w:rFonts w:eastAsia="Cambria" w:cs="Cambria"/>
          <w:b w:val="false"/>
          <w:bCs w:val="false"/>
          <w:i w:val="false"/>
          <w:iCs w:val="false"/>
          <w:sz w:val="22"/>
          <w:szCs w:val="22"/>
        </w:rPr>
        <w:t xml:space="preserve"> (EOI, die Interessenbekundung): ein Online-Profil mit Beruf, Punkten, Sprachtest und Skills-Assessment-Ergebnis. Eine EOI ist noch kein Antrag – sie kostet nichts, bindet dich zu nichts und garantiert nichts. Sie reiht dich nur in einen Pool ein, aus dem Home Affairs in regelmäßigen Runden Kandidaten einlädt, beginnend bei den höchsten Punktzahlen und, innerhalb gleicher Punktzahl, nach Eintragungsdatum.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Subclass 190 kommt ein zusätzlicher Schritt hinzu: die Nominierung durch einen Bundesstaat oder ein Territorium. Jeder Bundesstaat führt eigene Berufslisten und eigene Bewerbungsportale, oft mit eigenen Fristen und Prioritäten, die sich von der Bundesliste unterscheiden können. Wer zum Beispiel gezielt nach Melbourne will, bewirbt sich parallel oder alternativ um eine Nominierung durch Victoria – mit der Auflage, anschließend mindestens zwei Jahre dort zu leben.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Erst nach einer Einladung darfst du den eigentlichen Visumantrag stellen, samt Gesundheitsuntersuchung, Führungszeugnissen und der vollständigen Antragsgebühr. Die Bearbeitung dauert danach unterschiedlich lang: Bei Subclass 189 liegen die Hälfte der Entscheidungen laut Home-Affairs-Statistik (Stand September 2026) bei etwa sieben Monaten, 90 % bei acht Monaten. Bei Subclass 190 ist die Spanne größer: fünf Monate für die Hälfte, bis zu 17 Monate für 90 % der Fälle.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Eine hohe Punktzahl in der eigenen Rechnung ist keine Garantie für eine Einladung in absehbarer Zeit. SkillSelect ist kein Wartezimmer mit festem Ticket-System, sondern eine laufende Rangliste: Wer knapp über dem aktuellen Schwellenwert liegt, kann Monate oder Runden warten, während andere mit höherer Punktzahl vorgezogen werden. Plane finanziell und beruflich so, dass eine Wartezeit von einem Jahr oder mehr keine Krise auslöst.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Subclass 189 – unabhängig, aber nicht leicht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Subclass 189 (</w:t>
      </w:r>
      <w:r>
        <w:rPr>
          <w:rFonts w:eastAsia="Cambria" w:cs="Cambria"/>
          <w:b w:val="false"/>
          <w:bCs w:val="false"/>
          <w:i/>
          <w:iCs/>
          <w:sz w:val="22"/>
          <w:szCs w:val="22"/>
        </w:rPr>
        <w:t>Skilled Independent</w:t>
      </w:r>
      <w:r>
        <w:rPr>
          <w:rFonts w:eastAsia="Cambria" w:cs="Cambria"/>
          <w:b w:val="false"/>
          <w:bCs w:val="false"/>
          <w:i w:val="false"/>
          <w:iCs w:val="false"/>
          <w:sz w:val="22"/>
          <w:szCs w:val="22"/>
        </w:rPr>
        <w:t>) ist der Weg ganz ohne Sponsor: kein Arbeitgeber, kein Bundesstaat, freie Wohnortwahl in ganz Australien. Genau deshalb ist er der begehrteste und zugleich der am härtesten umkämpfte GSM-Weg. Die Antragsgebühr liegt bei rund 6.135 AUD für die Hauptantragstellerin oder den Hauptantragsteller (Stand nach der Gebührenrunde vom 1. Juli 2026), zuzüglich anteiliger Gebühren für mitreisende Partner und Kinder sowie der Kosten für Skills Assessment, Sprachtest, Gesundheitsuntersuchung und Führungszeugnisse.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Reinhardt (fiktiv). Thomas, 41, Bauingenieur aus Köln, rechnet seine Punkte durch: Alter 40 bis 44 bringt 15 Punkte, sein Ingenieurstudium 15, seine Berufserfahrung erreicht die Obergrenze von 20. Bei „Proficient“-Englisch käme er auf 60 Punkte – zu wenig für eine Einladung. Also setzt er sich noch einmal an den Sprachtest, diesmal mit gezielter Vorbereitung, und erreicht „Superior“: 20 statt 10 Punkte, macht in Summe 70. Zwei SkillSelect-Runden später steht die Einladung im Konto. Dass ein einziger Punkt aus einem Sprachtest über Jahre der Planung entscheidet, findet Thomas im Rückblick nicht ganz unlogisch – aber auch nicht gerade beruhigend. Sandra, 39, Krankenpflegerin, und die Kinder Emil, 10, und Clara, 6, reisen als Mitantragstellende mit. Ziel: Melbourne, Victoria – eine Stadt, die sich Thomas frei aussuchen darf, weil Subclass 189 keine Wohnsitzauflage kennt.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Subclass 190 – mit Bundesstaat und Wohnsitzpflicht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die Cut-off-Werte für Subclass 189 nicht erreicht, findet bei Subclass 190 oft einen niedrigeren Zugang. Die Bedingungen entsprechen weitgehend Subclass 189, plus die Nominierung durch einen Bundesstaat oder ein Territorium, die zusätzlich 5 Punkte bringt. Die Antragsgebühr liegt in derselben Größenordnung wie bei 189 (rund 6.135 bis 6.140 AUD), dazu kommen je nach Bundesstaat eigene Nominierungsgebühren.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Haken ist die Wohnsitzpflicht: In aller Regel verpflichtest du dich, mindestens zwei Jahre im nominierenden Bundesstaat zu leben. Wer diese Bindung eingeht, um überhaupt eine realistische Chance auf Einladung zu haben, sollte den Zielort vorher genau prüfen – ein Umzug nach der Landung ist zwar möglich, widerspricht aber der eingegangenen Verpflichtung und kann Folgen für spätere Anträge haben.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190 ist kein Ersatzweg zweiter Klasse, sondern für viele deutsche Fachkräfte der realistischere. Fünf Zusatzpunkte plus ein niedrigerer landesweiter Cut-off wiegen die zwei Jahre Wohnsitzpflicht für die meisten Bewerber auf.</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Arbeitgeber als Abkürzung: Subclass 482 und 186</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einen australischen Arbeitgeber findet, der zur Sponsorin oder zum Sponsor wird, umgeht den Punktetest vollständig. Subclass 482 (</w:t>
      </w:r>
      <w:r>
        <w:rPr>
          <w:rFonts w:eastAsia="Cambria" w:cs="Cambria"/>
          <w:b w:val="false"/>
          <w:bCs w:val="false"/>
          <w:i/>
          <w:iCs/>
          <w:sz w:val="22"/>
          <w:szCs w:val="22"/>
        </w:rPr>
        <w:t>Skills in Demand</w:t>
      </w:r>
      <w:r>
        <w:rPr>
          <w:rFonts w:eastAsia="Cambria" w:cs="Cambria"/>
          <w:b w:val="false"/>
          <w:bCs w:val="false"/>
          <w:i w:val="false"/>
          <w:iCs w:val="false"/>
          <w:sz w:val="22"/>
          <w:szCs w:val="22"/>
        </w:rPr>
        <w:t xml:space="preserve">, SID) löste im Dezember 2024 das ältere </w:t>
      </w:r>
      <w:r>
        <w:rPr>
          <w:rFonts w:eastAsia="Cambria" w:cs="Cambria"/>
          <w:b w:val="false"/>
          <w:bCs w:val="false"/>
          <w:i/>
          <w:iCs/>
          <w:sz w:val="22"/>
          <w:szCs w:val="22"/>
        </w:rPr>
        <w:t>Temporary Skill Shortage</w:t>
      </w:r>
      <w:r>
        <w:rPr>
          <w:rFonts w:eastAsia="Cambria" w:cs="Cambria"/>
          <w:b w:val="false"/>
          <w:bCs w:val="false"/>
          <w:i w:val="false"/>
          <w:iCs w:val="false"/>
          <w:sz w:val="22"/>
          <w:szCs w:val="22"/>
        </w:rPr>
        <w:t xml:space="preserve">-Visum ab und läuft in drei Strömen: </w:t>
      </w:r>
      <w:r>
        <w:rPr>
          <w:rFonts w:eastAsia="Cambria" w:cs="Cambria"/>
          <w:b w:val="false"/>
          <w:bCs w:val="false"/>
          <w:i/>
          <w:iCs/>
          <w:sz w:val="22"/>
          <w:szCs w:val="22"/>
        </w:rPr>
        <w:t>Core Skills</w:t>
      </w:r>
      <w:r>
        <w:rPr>
          <w:rFonts w:eastAsia="Cambria" w:cs="Cambria"/>
          <w:b w:val="false"/>
          <w:bCs w:val="false"/>
          <w:i w:val="false"/>
          <w:iCs w:val="false"/>
          <w:sz w:val="22"/>
          <w:szCs w:val="22"/>
        </w:rPr>
        <w:t xml:space="preserve">, </w:t>
      </w:r>
      <w:r>
        <w:rPr>
          <w:rFonts w:eastAsia="Cambria" w:cs="Cambria"/>
          <w:b w:val="false"/>
          <w:bCs w:val="false"/>
          <w:i/>
          <w:iCs/>
          <w:sz w:val="22"/>
          <w:szCs w:val="22"/>
        </w:rPr>
        <w:t>Specialist Skills</w:t>
      </w:r>
      <w:r>
        <w:rPr>
          <w:rFonts w:eastAsia="Cambria" w:cs="Cambria"/>
          <w:b w:val="false"/>
          <w:bCs w:val="false"/>
          <w:i w:val="false"/>
          <w:iCs w:val="false"/>
          <w:sz w:val="22"/>
          <w:szCs w:val="22"/>
        </w:rPr>
        <w:t xml:space="preserve"> und </w:t>
      </w:r>
      <w:r>
        <w:rPr>
          <w:rFonts w:eastAsia="Cambria" w:cs="Cambria"/>
          <w:b w:val="false"/>
          <w:bCs w:val="false"/>
          <w:i/>
          <w:iCs/>
          <w:sz w:val="22"/>
          <w:szCs w:val="22"/>
        </w:rPr>
        <w:t>Labour Agreement</w:t>
      </w:r>
      <w:r>
        <w:rPr>
          <w:rFonts w:eastAsia="Cambria" w:cs="Cambria"/>
          <w:b w:val="false"/>
          <w:bCs w:val="false"/>
          <w:i w:val="false"/>
          <w:iCs w:val="false"/>
          <w:sz w:val="22"/>
          <w:szCs w:val="22"/>
        </w:rPr>
        <w:t xml:space="preserve"> (branchenspezifische Sonderabkommen). Die Gültigkeit reicht bis zu vier Jahre.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Entscheidend ist die Lohnschwelle. Im Core-Skills-Strom muss das Gehalt mindestens die </w:t>
      </w:r>
      <w:r>
        <w:rPr>
          <w:rFonts w:eastAsia="Cambria" w:cs="Cambria"/>
          <w:b w:val="false"/>
          <w:bCs w:val="false"/>
          <w:i/>
          <w:iCs/>
          <w:sz w:val="22"/>
          <w:szCs w:val="22"/>
        </w:rPr>
        <w:t>Core Skills Income Threshold</w:t>
      </w:r>
      <w:r>
        <w:rPr>
          <w:rFonts w:eastAsia="Cambria" w:cs="Cambria"/>
          <w:b w:val="false"/>
          <w:bCs w:val="false"/>
          <w:i w:val="false"/>
          <w:iCs w:val="false"/>
          <w:sz w:val="22"/>
          <w:szCs w:val="22"/>
        </w:rPr>
        <w:t xml:space="preserve"> (CSIT) erreichen – ab 1. Juli 2026 sind das 79.423 AUD im Jahr – oder den marktüblichen Lohn für die Position (</w:t>
      </w:r>
      <w:r>
        <w:rPr>
          <w:rFonts w:eastAsia="Cambria" w:cs="Cambria"/>
          <w:b w:val="false"/>
          <w:bCs w:val="false"/>
          <w:i/>
          <w:iCs/>
          <w:sz w:val="22"/>
          <w:szCs w:val="22"/>
        </w:rPr>
        <w:t>Annual Market Salary Rate</w:t>
      </w:r>
      <w:r>
        <w:rPr>
          <w:rFonts w:eastAsia="Cambria" w:cs="Cambria"/>
          <w:b w:val="false"/>
          <w:bCs w:val="false"/>
          <w:i w:val="false"/>
          <w:iCs w:val="false"/>
          <w:sz w:val="22"/>
          <w:szCs w:val="22"/>
        </w:rPr>
        <w:t>, AMSR), je nachdem, welcher Wert höher ist. Im Specialist-Skills-Strom liegt die Schwelle deutlich höher, ab rund 141.210 AUD, steigend auf 146.576 AUD für Nominierungen ab 1. Juli 2026. Die Antragsgebühr beträgt 4.015 AUD für die Hauptperson, ebenso viel für jede weitere erwachsene Person und 1.005 AUD je Kind.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Zusätzlich zahlt der Arbeitgeber die </w:t>
      </w:r>
      <w:r>
        <w:rPr>
          <w:rFonts w:eastAsia="Cambria" w:cs="Cambria"/>
          <w:b w:val="false"/>
          <w:bCs w:val="false"/>
          <w:i/>
          <w:iCs/>
          <w:sz w:val="22"/>
          <w:szCs w:val="22"/>
        </w:rPr>
        <w:t>Skilling Australians Fund</w:t>
      </w:r>
      <w:r>
        <w:rPr>
          <w:rFonts w:eastAsia="Cambria" w:cs="Cambria"/>
          <w:b w:val="false"/>
          <w:bCs w:val="false"/>
          <w:i w:val="false"/>
          <w:iCs w:val="false"/>
          <w:sz w:val="22"/>
          <w:szCs w:val="22"/>
        </w:rPr>
        <w:t>-Levy (SAF-Levy), eine Abgabe für die Ausbildung australischer Arbeitskräfte: 1.200 AUD je Antragsjahr bei einem Jahresumsatz unter 10 Millionen AUD, 1.800 AUD bei größeren Unternehmen. Bei einem Vierjahresvisum kommen so schnell 4.800 bis 7.200 AUD zusammen – die der Arbeitgeber trägt, nicht du.</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zwei Jahren beim selben Arbeitgeber im Subclass 482 öffnet sich der Weg zur Daueraufenthaltserlaubnis über Subclass 186 (</w:t>
      </w:r>
      <w:r>
        <w:rPr>
          <w:rFonts w:eastAsia="Cambria" w:cs="Cambria"/>
          <w:b w:val="false"/>
          <w:bCs w:val="false"/>
          <w:i/>
          <w:iCs/>
          <w:sz w:val="22"/>
          <w:szCs w:val="22"/>
        </w:rPr>
        <w:t>Employer Nomination Scheme</w:t>
      </w:r>
      <w:r>
        <w:rPr>
          <w:rFonts w:eastAsia="Cambria" w:cs="Cambria"/>
          <w:b w:val="false"/>
          <w:bCs w:val="false"/>
          <w:i w:val="false"/>
          <w:iCs w:val="false"/>
          <w:sz w:val="22"/>
          <w:szCs w:val="22"/>
        </w:rPr>
        <w:t xml:space="preserve">, ENS) im Übergangs-Strom </w:t>
      </w:r>
      <w:r>
        <w:rPr>
          <w:rFonts w:eastAsia="Cambria" w:cs="Cambria"/>
          <w:b w:val="false"/>
          <w:bCs w:val="false"/>
          <w:i/>
          <w:iCs/>
          <w:sz w:val="22"/>
          <w:szCs w:val="22"/>
        </w:rPr>
        <w:t>Temporary Residence Transition</w:t>
      </w:r>
      <w:r>
        <w:rPr>
          <w:rFonts w:eastAsia="Cambria" w:cs="Cambria"/>
          <w:b w:val="false"/>
          <w:bCs w:val="false"/>
          <w:i w:val="false"/>
          <w:iCs w:val="false"/>
          <w:sz w:val="22"/>
          <w:szCs w:val="22"/>
        </w:rPr>
        <w:t>. Daneben gibt es einen Direktweg ohne vorherigen 482. Für 186 zahlt der Arbeitgeber die SAF-Levy als Einmalbetrag: 3.000 AUD bei kleinen, 5.000 AUD bei größeren Unternehmen.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SAF-Levy darf der Arbeitgeber nicht auf dich abwälzen – ähnlich wie bestimmte Antragskosten beim amerikanischen H-1B-Visum nicht auf die angestellte Person umgelegt werden dürfen. Steht eine solche Klausel im Angebotsschreiben, ist das ein Warnsignal, keine Verhandlungsbasis.</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Nina Voss (fiktiv), 27, aus Hamburg, reist zunächst mit einem </w:t>
            </w:r>
            <w:r>
              <w:rPr>
                <w:rFonts w:eastAsia="Cambria" w:cs="Cambria"/>
                <w:b w:val="false"/>
                <w:bCs w:val="false"/>
                <w:i/>
                <w:iCs/>
                <w:sz w:val="20"/>
                <w:szCs w:val="20"/>
              </w:rPr>
              <w:t>Working-Holiday-Visum</w:t>
            </w:r>
            <w:r>
              <w:rPr>
                <w:rFonts w:eastAsia="Cambria" w:cs="Cambria"/>
                <w:b w:val="false"/>
                <w:bCs w:val="false"/>
                <w:i w:val="false"/>
                <w:iCs w:val="false"/>
                <w:sz w:val="20"/>
                <w:szCs w:val="20"/>
              </w:rPr>
              <w:t xml:space="preserve"> (der befristeten Arbeits- und Reiseerlaubnis für junge Erwachsene) nach Sydney. Für deutsche Staatsangehörige ist dabei die Subclass 417 einschlägig, nicht die vielzitierte 462, die für andere Nationalitäten mit eigenen Auflagen gilt – ein Irrtum, der sich in Foren hartnäckig hält. Nach anderthalb Jahren in Marketingjobs findet Nina eine Agentur, die bereit ist, sie über Subclass 482 zu sponsern. Bevor sie kündigt, lässt sie prüfen, ob ihr konkreter Beruf – „Marketing Specialist“ – tatsächlich auf der aktuell gültigen Berufsliste steht; die Antwort kommt erst nach mehreren Wochen und einigem Hin und Her mit der Personalabteilung. Ihr Jahresgehalt liegt knapp über der CSIT-Schwelle, die Agentur trägt die SAF-Levy. Nach zwei Jahren im selben Betrieb kann Nina den Übergang zu Subclass 186 beantragen.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Berufslisten: CSOL, MLTSSL und der Listen-Wirrwarr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Seit dem 1. Juli 2025 gilt für Subclass 482 (Core-Skills-Strom) und für den Direktweg von Subclass 186 die </w:t>
      </w:r>
      <w:r>
        <w:rPr>
          <w:rFonts w:eastAsia="Cambria" w:cs="Cambria"/>
          <w:b w:val="false"/>
          <w:bCs w:val="false"/>
          <w:i/>
          <w:iCs/>
          <w:sz w:val="22"/>
          <w:szCs w:val="22"/>
        </w:rPr>
        <w:t>Core Skills Occupation List</w:t>
      </w:r>
      <w:r>
        <w:rPr>
          <w:rFonts w:eastAsia="Cambria" w:cs="Cambria"/>
          <w:b w:val="false"/>
          <w:bCs w:val="false"/>
          <w:i w:val="false"/>
          <w:iCs w:val="false"/>
          <w:sz w:val="22"/>
          <w:szCs w:val="22"/>
        </w:rPr>
        <w:t xml:space="preserve"> (CSOL), eine von der Behörde Jobs and Skills Australia erarbeitete Liste mit 456 Berufen. Sie ersetzt die älteren Listen MLTSSL, STSOL und ROL – zumindest für diese beiden Visa.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Was für den Punktetest gilt, ist weniger eindeutig. Mehrere Migrationskanzleien berichten übereinstimmend, dass für die Subclasses 189, 190 und 491 weiterhin die älteren Listen (MLTSSL und Varianten) maßgeblich seien, nicht die CSOL. Eine unabhängige Bestätigung auf der Behördenseite selbst war zum Redaktionsschluss dieses Kapitels nicht zu bekommen. Bürokratie liebt neue Abkürzungen – offenbar auch dann, wenn niemand ganz sicher sagen kann, wo die alten noch gelten.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deutsche Fachkräfte praktisch relevant sind vor allem folgende Berufsfelder, glaubt man den übereinstimmenden Sekundärquellen: Ingenieurwesen (Bau, Maschinenbau, Elektrotechnik), IT (Softwareentwicklung, Cybersicherheit), Gesundheitsberufe (Pflege, Ärztinnen und Ärzte mit Registrierung bei der zuständigen Fachbehörde AHPRA), Handwerksberufe (Elektriker, Klempner, Kfz-Mechatronik, meist mit Anerkennungsverfahren) und Lehrkräfte (mit zusätzlicher Registrierung im jeweiligen Bundesstaat). Welche Bewertungsstelle zuständig ist, hängt vom Beruf ab: Engineers Australia für Ingenieurberufe, ACS für IT, VETASSESS für viele weitere Berufe, ANMAC für Pflege, TRA für Handwerk.</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Prüfe die aktuell gültige Liste für dein konkretes Visum und deinen konkreten Beruf direkt bei Home Affairs oder deiner Bewertungsstelle, bevor du in Deutschland kündigst oder Geld für ein Skills Assessment ausgibst. Listen ändern sich, und die Zuordnung zwischen CSOL und den älteren Listen ist – Stand dieses Kapitels – nicht in jeder Quelle deckungsgleich beschrieben.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erklärt Regeln und Praxis, ersetzt aber keine Beratung durch eine registrierte Migrationsagentin, einen Migrationsagenten (</w:t>
            </w:r>
            <w:r>
              <w:rPr>
                <w:rFonts w:eastAsia="Cambria" w:cs="Cambria"/>
                <w:b w:val="false"/>
                <w:bCs w:val="false"/>
                <w:i/>
                <w:iCs/>
                <w:sz w:val="20"/>
                <w:szCs w:val="20"/>
              </w:rPr>
              <w:t>Registered Migration Agent</w:t>
            </w:r>
            <w:r>
              <w:rPr>
                <w:rFonts w:eastAsia="Cambria" w:cs="Cambria"/>
                <w:b w:val="false"/>
                <w:bCs w:val="false"/>
                <w:i w:val="false"/>
                <w:iCs w:val="false"/>
                <w:sz w:val="20"/>
                <w:szCs w:val="20"/>
              </w:rPr>
              <w:t>) oder eine Anwältin beziehungsweise einen Anwalt für australisches Einwanderungsrecht.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für deutsche Fachkräfte realistisch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zwischen 25 und 39 Jahre alt ist, einen anerkannten Hochschulabschluss hat, in einem gefragten Beruf arbeitet und Englisch auf hohem Niveau spricht, hat mit dem Punktetest realistische Chancen – wenn auch mit Wartezeit und ohne Erfolgsgarantie. Ab Mitte 40 verengt sich der Weg spürbar: Der Punktetest fällt ab 45 ganz weg, und schon in den Jahren davor kostet jedes Lebensjahr Punkte, die andere Faktoren ausgleichen müssen. Für diese Altersgruppe ist das Arbeitgeber-Sponsoring meist der tragfähigere Plan, sofern der eigene Beruf gefragt genug ist, dass sich ein Unternehmen den Aufwand einer Sponsorenschaft macht.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Handwerksberufe mit anerkannter Ausbildung stehen oft besser da, als viele Bewerber annehmen: Die Cut-off-Werte liegen dort häufig näher an der gesetzlichen Mindestpunktzahl als in IT oder Buchhaltung, wo die Konkurrenz weltweit am größten ist. Wer dagegen auf einen sehr gefragten Beruf mit vielen Mitbewerbern trifft, sollte von vornherein mit mehreren SkillSelect-Runden und einem Jahr oder mehr Wartezeit rechnen – und das Arbeitgeber-Sponsoring als gleichwertige, nicht als zweitrangige Option behandeln.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jedem Fall gilt: Das Skills Assessment ist oft der eigentliche Flaschenhals, nicht das Visumverfahren selbst. Wer die fachliche Bewertung erst beginnt, wenn die Punkte schon feststehen, verliert unnötig Monate. Beantrage sie früh, parallel zum Sprachtest, unabhängig davon, für welchen der drei Wege du dich am Ende entscheidest.</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Drei parallele Wege (189, 190, 482/186) erhöhen die Chancen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45 Jahren ist der Punktetest komplett verschlossen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Subclass 189 erlaubt freie Wohnortwahl ohne Sponsor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Cut-offs bei gefragten Berufen liegen oft bei 80 bis 95 Punkten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Arbeitgeber-Sponsoring umgeht den Punktetest ganz</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482 bindet dich mehrere Jahre an einen Arbeitgeber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SAF-Levy trägt allein der Arbeitgeber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Berufslisten (CSOL/MLTSSL) sind nicht immer eindeutig zugeordnet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Subclass 190 senkt den nötigen Cut-off deutlich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190 verpflichtet meist zu zwei Jahren im nominierenden Bundesstaat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Übergang 482 zu 186 führt direkt zur Daueraufenthaltserlaubnis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Skills Assessment kann Monate dauern und ist oft der Flaschenhals</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Rechne deine Punktzahl ehrlich durch, bevor du dich auf einen Weg festlegst, und beantrage das Skills Assessment früh. Prüfe parallel, ob ein Arbeitgeber-Sponsoring realistisch ist – gerade jenseits der 40 ist das oft der schnellere und verlässlichere Plan. Wie der Antrag konkret abläuft, was Konsulat und Botschaft dabei tun und welche Kosten insgesamt anfallen, zeigt das </w:t>
      </w:r>
      <w:hyperlink w:anchor="tau05">
        <w:r>
          <w:rPr>
            <w:rStyle w:val="ListLabel113"/>
            <w:rFonts w:eastAsia="Cambria" w:cs="Cambria"/>
            <w:b w:val="false"/>
            <w:bCs w:val="false"/>
            <w:i w:val="false"/>
            <w:iCs w:val="false"/>
            <w:color w:val="0563C1"/>
            <w:sz w:val="22"/>
            <w:szCs w:val="22"/>
            <w:u w:val="single"/>
          </w:rPr>
          <w:t>Kapitel zu Antrag, Kosten und Bearbeitungszeit in diesem Teil</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 Punktzahl nach der aktuellen Tabelle durchrechnen (Alter, Englisch, Bildung, Berufserfahrung).</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Prüfen, ob der eigene Beruf auf der für das jeweilige Visum gültigen Liste steht (CSOL oder ältere Listen je nach Subclass).</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Zuständige Bewertungsstelle für die Skills Assessment ermitteln und Verfahren früh starten.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Englischtest (IELTS, PTE oder gleichwertig) planen; bei knapper Punktzahl einen zweiten Anlauf für „Superior“ einkalkulieren.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Entscheiden, ob 189 (unabhängig), 190 (mit Bundesstaat) oder Arbeitgeber-Sponsoring realistischer ist – auch mehrgleisig möglich.</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190: Berufslisten und Fristen des gewünschten Bundesstaats prüfen, Wohnsitzpflicht einkalkulieren.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Arbeitgeber-Sponsoring: Gehaltsschwelle (CSIT/AMSR) mit dem Jobangebot vergleichen, SAF-Levy-Regelung schriftlich festhalten.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Finanzpuffer für eine Wartezeit von einem Jahr oder mehr einplanen.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Führungszeugnisse für alle Länder mit mehr als 12 Monaten Aufenthalt seit dem 16. Geburtstag rechtzeitig beantragen.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jeder Kündigung in Deutschland aktuelle Gebühren, Fristen und Berufslisten direkt bei Home Affairs gegenprüfen.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Home Affairs — Skilled Independent visa, Subclass 189 (</w:t>
      </w:r>
      <w:hyperlink r:id="rId432">
        <w:r>
          <w:rPr>
            <w:rStyle w:val="ListLabel113"/>
            <w:rFonts w:eastAsia="Cambria" w:cs="Cambria"/>
            <w:b w:val="false"/>
            <w:bCs w:val="false"/>
            <w:i w:val="false"/>
            <w:iCs w:val="false"/>
            <w:color w:val="0563C1"/>
            <w:sz w:val="22"/>
            <w:szCs w:val="22"/>
            <w:u w:val="single"/>
          </w:rPr>
          <w:t>immi.homeaffairs.gov.au</w:t>
        </w:r>
      </w:hyperlink>
      <w:r>
        <w:rPr>
          <w:rFonts w:eastAsia="Cambria" w:cs="Cambria"/>
          <w:b w:val="false"/>
          <w:bCs w:val="false"/>
          <w:i w:val="false"/>
          <w:iCs w:val="false"/>
          <w:sz w:val="22"/>
          <w:szCs w:val="22"/>
        </w:rPr>
        <w:t>, Suche: skilled-independent-189)</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Home Affairs — Skilled Nominated visa, Subclass 190 (</w:t>
      </w:r>
      <w:hyperlink r:id="rId433">
        <w:r>
          <w:rPr>
            <w:rStyle w:val="ListLabel113"/>
            <w:rFonts w:eastAsia="Cambria" w:cs="Cambria"/>
            <w:b w:val="false"/>
            <w:bCs w:val="false"/>
            <w:i w:val="false"/>
            <w:iCs w:val="false"/>
            <w:color w:val="0563C1"/>
            <w:sz w:val="22"/>
            <w:szCs w:val="22"/>
            <w:u w:val="single"/>
          </w:rPr>
          <w:t>immi.homeaffairs.gov.au</w:t>
        </w:r>
      </w:hyperlink>
      <w:r>
        <w:rPr>
          <w:rFonts w:eastAsia="Cambria" w:cs="Cambria"/>
          <w:b w:val="false"/>
          <w:bCs w:val="false"/>
          <w:i w:val="false"/>
          <w:iCs w:val="false"/>
          <w:sz w:val="22"/>
          <w:szCs w:val="22"/>
        </w:rPr>
        <w:t>, Suche: skilled-nominated-190)</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Home Affairs — Skills in Demand visa, Subclass 482 (</w:t>
      </w:r>
      <w:hyperlink r:id="rId434">
        <w:r>
          <w:rPr>
            <w:rStyle w:val="ListLabel113"/>
            <w:rFonts w:eastAsia="Cambria" w:cs="Cambria"/>
            <w:b w:val="false"/>
            <w:bCs w:val="false"/>
            <w:i w:val="false"/>
            <w:iCs w:val="false"/>
            <w:color w:val="0563C1"/>
            <w:sz w:val="22"/>
            <w:szCs w:val="22"/>
            <w:u w:val="single"/>
          </w:rPr>
          <w:t>immi.homeaffairs.gov.au</w:t>
        </w:r>
      </w:hyperlink>
      <w:r>
        <w:rPr>
          <w:rFonts w:eastAsia="Cambria" w:cs="Cambria"/>
          <w:b w:val="false"/>
          <w:bCs w:val="false"/>
          <w:i w:val="false"/>
          <w:iCs w:val="false"/>
          <w:sz w:val="22"/>
          <w:szCs w:val="22"/>
        </w:rPr>
        <w:t>, Suche: skills-in-demand-visa-subclass-482)</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Home Affairs — Employer Nomination Scheme, Subclass 186 (</w:t>
      </w:r>
      <w:hyperlink r:id="rId435">
        <w:r>
          <w:rPr>
            <w:rStyle w:val="ListLabel113"/>
            <w:rFonts w:eastAsia="Cambria" w:cs="Cambria"/>
            <w:b w:val="false"/>
            <w:bCs w:val="false"/>
            <w:i w:val="false"/>
            <w:iCs w:val="false"/>
            <w:color w:val="0563C1"/>
            <w:sz w:val="22"/>
            <w:szCs w:val="22"/>
            <w:u w:val="single"/>
          </w:rPr>
          <w:t>immi.homeaffairs.gov.au</w:t>
        </w:r>
      </w:hyperlink>
      <w:r>
        <w:rPr>
          <w:rFonts w:eastAsia="Cambria" w:cs="Cambria"/>
          <w:b w:val="false"/>
          <w:bCs w:val="false"/>
          <w:i w:val="false"/>
          <w:iCs w:val="false"/>
          <w:sz w:val="22"/>
          <w:szCs w:val="22"/>
        </w:rPr>
        <w:t>, Suche: employer-nomination-scheme-186)</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Home Affairs — SkillSelect, Einladungsrunden (</w:t>
      </w:r>
      <w:hyperlink r:id="rId436">
        <w:r>
          <w:rPr>
            <w:rStyle w:val="ListLabel113"/>
            <w:rFonts w:eastAsia="Cambria" w:cs="Cambria"/>
            <w:b w:val="false"/>
            <w:bCs w:val="false"/>
            <w:i w:val="false"/>
            <w:iCs w:val="false"/>
            <w:color w:val="0563C1"/>
            <w:sz w:val="22"/>
            <w:szCs w:val="22"/>
            <w:u w:val="single"/>
          </w:rPr>
          <w:t>immi.homeaffairs.gov.au/visas/working-in-australia/skillselect</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Home Affairs — Gebühren und Bearbeitungszeiten (</w:t>
      </w:r>
      <w:hyperlink r:id="rId437">
        <w:r>
          <w:rPr>
            <w:rStyle w:val="ListLabel113"/>
            <w:rFonts w:eastAsia="Cambria" w:cs="Cambria"/>
            <w:b w:val="false"/>
            <w:bCs w:val="false"/>
            <w:i w:val="false"/>
            <w:iCs w:val="false"/>
            <w:color w:val="0563C1"/>
            <w:sz w:val="22"/>
            <w:szCs w:val="22"/>
            <w:u w:val="single"/>
          </w:rPr>
          <w:t>immi.homeaffairs.gov.au/visas/getting-a-visa/fees-and-charges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Employment and Workplace Relations — Skilling Australians Fund Levy (</w:t>
      </w:r>
      <w:hyperlink r:id="rId438">
        <w:r>
          <w:rPr>
            <w:rStyle w:val="ListLabel113"/>
            <w:rFonts w:eastAsia="Cambria" w:cs="Cambria"/>
            <w:b w:val="false"/>
            <w:bCs w:val="false"/>
            <w:i w:val="false"/>
            <w:iCs w:val="false"/>
            <w:color w:val="0563C1"/>
            <w:sz w:val="22"/>
            <w:szCs w:val="22"/>
            <w:u w:val="single"/>
          </w:rPr>
          <w:t>dewr.gov.au</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ListParagraph"/>
              <w:numPr>
                <w:ilvl w:val="0"/>
                <w:numId w:val="230"/>
              </w:numPr>
              <w:spacing w:lineRule="exact" w:line="264" w:before="0" w:after="50"/>
              <w:rPr/>
            </w:pPr>
            <w:r>
              <w:rPr>
                <w:rFonts w:eastAsia="Cambria" w:cs="Cambria"/>
                <w:b w:val="false"/>
                <w:bCs w:val="false"/>
                <w:i w:val="false"/>
                <w:iCs w:val="false"/>
                <w:sz w:val="20"/>
                <w:szCs w:val="20"/>
              </w:rPr>
              <w:t>September 2026. Diese Angaben ändern sich schnell: die Cut-off-Werte jeder SkillSelect-Runde, die Zuordnung der Berufslisten (CSOL gegenüber den älteren Listen für den Punktetest), die Lohnschwellen für Subclass 482 (CSIT/AMSR), die Nominierungsplätze und Berufslisten der Bundesstaaten sowie alle genannten Gebühren. Prüfe vor jeder Entscheidung die aktuellen Angaben direkt bei Home Affairs.</w:t>
            </w:r>
          </w:p>
        </w:tc>
      </w:tr>
    </w:tbl>
    <w:p>
      <w:pPr>
        <w:pStyle w:val="Normal"/>
        <w:spacing w:lineRule="exact" w:line="220" w:before="0" w:after="0"/>
        <w:rPr/>
      </w:pPr>
      <w:r>
        <w:rPr/>
      </w:r>
      <w:r>
        <w:br w:type="page"/>
      </w:r>
    </w:p>
    <w:p>
      <w:pPr>
        <w:pStyle w:val="Heading2"/>
        <w:keepNext w:val="true"/>
        <w:spacing w:before="0" w:after="300"/>
        <w:jc w:val="center"/>
        <w:rPr/>
      </w:pPr>
      <w:bookmarkStart w:id="110" w:name="__RefHeading___Toc56539_3769931028"/>
      <w:bookmarkStart w:id="111" w:name="tau04"/>
      <w:bookmarkEnd w:id="110"/>
      <w:r>
        <w:rPr>
          <w:rFonts w:eastAsia="Amazon Ember" w:cs="Amazon Ember" w:ascii="Amazon Ember" w:hAnsi="Amazon Ember"/>
          <w:b/>
          <w:bCs/>
          <w:color w:val="0000FF"/>
          <w:sz w:val="36"/>
          <w:szCs w:val="36"/>
        </w:rPr>
        <w:t>Australien: Familie, Investor, Ruhestand</w:t>
      </w:r>
      <w:bookmarkEnd w:id="111"/>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Köln sitzen Thomas Reinhardts Eltern vor demselben Computer, an dem ihr Sohn zwei Jahre zuvor seine Punktzahl für den Punktetest ausgerechnet hat – nur dass für sie kein Punktetest zählt, sondern eine ganz andere Zahl: 33 Jahre. So lange schätzt das australische Department of Home Affairs derzeit die Wartezeit für die günstigste Variante eines Eltern-Visums. Wer glaubt, mit einem in Australien lebenden, gut verdienenden Kind sei der Ruhestand unter Eukalyptusbäumen nur noch eine Frage der Unterschrift, hat sich in einem Land geirrt, das seine Einwanderung fast ausschließlich über Arbeitskraft steuert – und Familiennachzug, Investorenwege und Ruhestand ganz bewusst zu den kleinsten, restriktivsten Kapiteln seines Regelwerks macht.</w:t>
      </w:r>
    </w:p>
    <w:tbl>
      <w:tblPr>
        <w:tblW w:w="6480" w:type="dxa"/>
        <w:jc w:val="left"/>
        <w:tblInd w:w="0" w:type="dxa"/>
        <w:tblLayout w:type="fixed"/>
        <w:tblCellMar>
          <w:top w:w="110" w:type="dxa"/>
          <w:left w:w="200" w:type="dxa"/>
          <w:bottom w:w="80" w:type="dxa"/>
          <w:right w:w="160" w:type="dxa"/>
        </w:tblCellMar>
      </w:tblPr>
      <w:tblGrid>
        <w:gridCol w:w="6480"/>
      </w:tblGrid>
      <w:tr>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Partnervisa (Subclass 820/801, bei Antragstellung außerhalb Australiens 309/100) sind der planbarste familienbasierte Weg, aber mit Wartezeiten von häufig zwei Jahren oder mehr bis zur Daueraufenthaltserlaubnis.</w:t>
            </w:r>
          </w:p>
          <w:p>
            <w:pPr>
              <w:pStyle w:val="ListParagraph"/>
              <w:numPr>
                <w:ilvl w:val="0"/>
                <w:numId w:val="1"/>
              </w:numPr>
              <w:spacing w:lineRule="exact" w:line="264" w:before="0" w:after="50"/>
              <w:rPr/>
            </w:pPr>
            <w:r>
              <w:rPr>
                <w:rFonts w:eastAsia="Cambria" w:cs="Cambria"/>
                <w:b w:val="false"/>
                <w:bCs w:val="false"/>
                <w:i w:val="false"/>
                <w:iCs w:val="false"/>
                <w:sz w:val="20"/>
                <w:szCs w:val="20"/>
              </w:rPr>
              <w:t>Klassische Investorenwege sind praktisch verschwunden: Das frühere Investorenvisum (Subclass 188) ist seit 31. Juli 2024 für Neuanträge geschlossen, ein echter Ersatz existiert 2026 nicht.</w:t>
            </w:r>
          </w:p>
          <w:p>
            <w:pPr>
              <w:pStyle w:val="ListParagraph"/>
              <w:numPr>
                <w:ilvl w:val="0"/>
                <w:numId w:val="1"/>
              </w:numPr>
              <w:spacing w:lineRule="exact" w:line="264" w:before="0" w:after="50"/>
              <w:rPr/>
            </w:pPr>
            <w:r>
              <w:rPr>
                <w:rFonts w:eastAsia="Cambria" w:cs="Cambria"/>
                <w:b w:val="false"/>
                <w:bCs w:val="false"/>
                <w:i w:val="false"/>
                <w:iCs w:val="false"/>
                <w:sz w:val="20"/>
                <w:szCs w:val="20"/>
              </w:rPr>
              <w:t>Ein „einfaches“ Ruhestandsvisum wie früher (Subclass 405/410) gibt es für Neuanträge nicht mehr – nur Bestandsschutz für bereits vorhandene Inhaber.</w:t>
            </w:r>
          </w:p>
          <w:p>
            <w:pPr>
              <w:pStyle w:val="ListParagraph"/>
              <w:numPr>
                <w:ilvl w:val="0"/>
                <w:numId w:val="1"/>
              </w:numPr>
              <w:spacing w:lineRule="exact" w:line="264" w:before="0" w:after="50"/>
              <w:rPr/>
            </w:pPr>
            <w:r>
              <w:rPr>
                <w:rFonts w:eastAsia="Cambria" w:cs="Cambria"/>
                <w:b w:val="false"/>
                <w:bCs w:val="false"/>
                <w:i w:val="false"/>
                <w:iCs w:val="false"/>
                <w:sz w:val="20"/>
                <w:szCs w:val="20"/>
              </w:rPr>
              <w:t>Der verbleibende Weg für Ruheständler ohne Job ist das Eltern-Visum (Parent Visa) – zwingend mit einem erwachsenen Kind mit australischer Staatsbürgerschaft oder Daueraufenthaltstitel vor Ort und einem rein geografischen Balance-of-Family-Test.</w:t>
            </w:r>
          </w:p>
          <w:p>
            <w:pPr>
              <w:pStyle w:val="ListParagraph"/>
              <w:numPr>
                <w:ilvl w:val="0"/>
                <w:numId w:val="1"/>
              </w:numPr>
              <w:spacing w:lineRule="exact" w:line="264" w:before="0" w:after="50"/>
              <w:rPr/>
            </w:pPr>
            <w:r>
              <w:rPr>
                <w:rFonts w:eastAsia="Cambria" w:cs="Cambria"/>
                <w:b w:val="false"/>
                <w:bCs w:val="false"/>
                <w:i w:val="false"/>
                <w:iCs w:val="false"/>
                <w:sz w:val="20"/>
                <w:szCs w:val="20"/>
              </w:rPr>
              <w:t>Zwei Schienen stehen zur Wahl: günstig, aber mit rund 33 Jahren Wartezeit (Non-Contributory), oder teuer, mit rund 48.000 AUD Visagebühr pro Person plus separater, rückzahlbarer Kaution, dafür „nur“ 12 bis 15 Jahre Wartezeit (Contributory).</w:t>
            </w:r>
          </w:p>
          <w:p>
            <w:pPr>
              <w:pStyle w:val="ListParagraph"/>
              <w:numPr>
                <w:ilvl w:val="0"/>
                <w:numId w:val="1"/>
              </w:numPr>
              <w:spacing w:lineRule="exact" w:line="264" w:before="0" w:after="50"/>
              <w:rPr/>
            </w:pPr>
            <w:r>
              <w:rPr>
                <w:rFonts w:eastAsia="Cambria" w:cs="Cambria"/>
                <w:b w:val="false"/>
                <w:bCs w:val="false"/>
                <w:i w:val="false"/>
                <w:iCs w:val="false"/>
                <w:sz w:val="20"/>
                <w:szCs w:val="20"/>
              </w:rPr>
              <w:t>Eine befristete Zwischenlösung (Subclass 870) erlaubt bis zu zehn Jahre Aufenthalt ohne Daueraufenthaltsperspektive, ohne Medicare-Zugang und ohne Arbeitserlaubnis.</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Drei ganz unterschiedliche Türen führen in diesem Kapitel zum selben Ziel, einer Daueraufenthaltserlaubnis ohne eigenen Job in Australien – und sie sind unterschiedlich schwer zu öffnen. Die Partnerschaft mit einer in Australien lebenden Person ist rechtlich am klarsten geregelt, auch wenn die Wartezeit spürbar ist. Der Investorenweg existiert in seiner klassischen Form schlicht nicht mehr. Und der Ruhestandsweg über ein erwachsenes Kind vor Ort ist zwar grundsätzlich offen, aber mit einer Kombination aus Wartezeit und Kosten versehen, die viele Familien erst spät im Planungsprozess in ihrer vollen Tragweite begreifen. Wer eines dieser drei Themen für sich prüft, sollte die jeweiligen Zahlen nicht isoliert betrachten, sondern immer im Vergleich zur eigenen Zeit- und Finanzplanung.</w:t>
      </w:r>
    </w:p>
    <w:p>
      <w:pPr>
        <w:pStyle w:val="Heading3"/>
        <w:keepNext w:val="true"/>
        <w:spacing w:before="280" w:after="100"/>
        <w:jc w:val="center"/>
        <w:rPr/>
      </w:pPr>
      <w:r>
        <w:rPr>
          <w:rFonts w:eastAsia="Amazon Ember" w:cs="Amazon Ember" w:ascii="Amazon Ember" w:hAnsi="Amazon Ember"/>
          <w:b/>
          <w:bCs/>
          <w:color w:val="0000FF"/>
          <w:sz w:val="36"/>
          <w:szCs w:val="36"/>
        </w:rPr>
        <w:t>Partnervisum: der planbarste familienbasierte Weg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in Australien eine Partnerin oder einen Partner findet, kommt über das Partnervisum in einem zweistufigen Verfahren zur Daueraufenthaltserlaubnis. Wer sich bereits in Australien aufhält, beantragt Subclass 820 (befristet) und später, aus demselben Antrag heraus, Subclass 801 (dauerhaft); wer von außerhalb Australiens startet, durchläuft stattdessen die Subclasses 309 und 100. Voraussetzung ist in jedem Fall der Nachweis einer echten und andauernden Beziehung – Ehe oder eine faktische Partnerschaft (</w:t>
      </w:r>
      <w:r>
        <w:rPr>
          <w:rFonts w:eastAsia="Cambria" w:cs="Cambria"/>
          <w:b w:val="false"/>
          <w:bCs w:val="false"/>
          <w:i/>
          <w:iCs/>
          <w:sz w:val="22"/>
          <w:szCs w:val="22"/>
        </w:rPr>
        <w:t>de facto relationship</w:t>
      </w:r>
      <w:r>
        <w:rPr>
          <w:rFonts w:eastAsia="Cambria" w:cs="Cambria"/>
          <w:b w:val="false"/>
          <w:bCs w:val="false"/>
          <w:i w:val="false"/>
          <w:iCs w:val="false"/>
          <w:sz w:val="22"/>
          <w:szCs w:val="22"/>
        </w:rPr>
        <w:t>, eine dem Eheleben gleichgestellte, meist mindestens zwölf Monate bestehende Partnerschaft ohne Trauschein).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Antragsgebühr für die Hauptperson liegt seit der Gebührenrunde vom 1. Juli 2026 bei rund 11.710 AUD (zuvor rund 9.365 AUD; mehrere Kanzleiquellen 2026 übereinstimmend, u. a. zur Zeit vor und nach dem Stichtag). Dazu kommen Gesundheitsuntersuchungen (300 bis 500 AUD pro Person) und Führungszeugnisse aus jedem Land mit längerem Voraufenthalt (50 bis 200 AUD je 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der Wartezeit hilft Optimismus wenig: Die befristete Stufe (820/309) dauert laut Behördenangaben für die Hälfte der Fälle rund 17 Monate, andere Quellen nennen 12 bis 24 Monate und mehr. Die permanente Stufe (801) folgt meist erst rund zwei Jahre nach der ursprünglichen Einreichung, danach noch einmal etwa sechs Monate. Wer heute eine Beziehung beginnt und in zwölf Monaten geplant nach Australien ziehen will, sollte diese Zeitachse ernst nehmen, nicht als Behördenübertreibung abtun.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Während der befristeten Stufe (820) gilt in aller Regel ein Bridging-Visum, das den Aufenthalt legal überbrückt, aber eigene Bedingungen mitbringt – etwa bei Reisen außerhalb Australiens. Kläre vor jeder Auslandsreise während eines laufenden Partnerverfahrens die genauen Bedingungen deines Bridging-Status, bevor du buchst.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Eine faktische Partnerschaft muss belegt werden – gemeinsames Konto, gemeinsamer Mietvertrag, Fotos, Aussagen von Zeugen. Fang mit dieser Dokumentation an, sobald ihr zusammenzieht, nicht erst kurz vor der Antragstellung. Nachträglich rekonstruierte Beweise wirken selten so überzeugend wie laufend gesammelte.</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Wer eine Australierin oder einen Australier heiratet, sei damit praktisch automatisch aufenthaltsberechtigt – ähnlich einer Ehe zwischen Deutschen innerhalb der EU. Tatsächlich prüft Home Affairs jede Partnerschaft einzeln und unabhängig vom Trauschein: Eine Heirat allein ersetzt nicht den Nachweis einer echten, andauernden Beziehung, und auch verheiratete Paare durchlaufen dieselbe zweistufige Prüfung wie unverheiratete. Wer die Ehe als Formsache betrachtet und die Beweisführung vernachlässigt, riskiert Rückfragen, die das Verfahren um Monate verlängern.</w:t>
      </w:r>
    </w:p>
    <w:p>
      <w:pPr>
        <w:pStyle w:val="Heading3"/>
        <w:keepNext w:val="true"/>
        <w:spacing w:before="280" w:after="100"/>
        <w:jc w:val="center"/>
        <w:rPr/>
      </w:pPr>
      <w:r>
        <w:rPr>
          <w:rFonts w:eastAsia="Amazon Ember" w:cs="Amazon Ember" w:ascii="Amazon Ember" w:hAnsi="Amazon Ember"/>
          <w:b/>
          <w:bCs/>
          <w:color w:val="0000FF"/>
          <w:sz w:val="36"/>
          <w:szCs w:val="36"/>
        </w:rPr>
        <w:t>Investoren- und Unternehmerwege: ein Kapitel, das kaum noch existiert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sich an ältere Australien-Ratgeber erinnert, kennt vielleicht noch das Significant Investor Visa (Subclass 188, mit dem Investoren-Strom 188C und einer Mindestinvestition von 5 Millionen AUD). Dieser Weg ist seit dem 31. Juli 2024 für Neuanträge endgültig geschlossen; nur wer bereits ein solches Visum hält, behält Übergangsrechte, etwa auf dem Weg zu Subclass 888C. Für alle, die heute erst planen, ist diese Tür damit faktisch zu.</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An seine Stelle ist am 7. Dezember 2024 das National Innovation Visa (Subclass 858) getreten. Der Name klingt nach einem Investorenvisum, ist aber keiner: Es richtet sich an Personen mit außergewöhnlichen Fähigkeiten und echtem Innovationspotenzial, nicht an passive Investoren, die schlicht Kapital mitbringen. Wer eine ernsthafte, prüffähige Geschäftsidee mit belegbarem Innovationsgehalt hat, kann diesen Weg mit spezialisierter Beratung prüfen lassen – für den klassischen Wunsch „ich investiere eine größere Summe und bekomme dafür ein Visum“ bietet Australien 2026 keine passende Kategorie mehr.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Anders als etwa Portugal oder einige Golfstaaten verkauft Australien keinen Aufenthaltstitel gegen Kapital. Wer diesen Weg sucht, verschwendet Recherchezeit an eine Tür, die es so nicht mehr gibt.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trotzdem ein eigenes Unternehmen in Australien gründen will, findet realistischere Anknüpfungspunkte eher über den regulären Arbeitsweg – etwa, indem die eigene, neu gegründete Firma selbst zum Sponsor eines Arbeitgeber-Visums wird, sofern sie die entsprechenden Voraussetzungen erfüllt. Wie streng Home Affairs Eigentümerschaft und tatsächliche Geschäftstätigkeit bei solchen Konstruktionen prüft, ist hier nicht abschließend recherchiert; das ist ein Fall für eine spezialisierte Migrationsberatung, kein Do-it-yourself-Projekt.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Historisch gehörten Investoren- und Unternehmervisa zum sogenannten Business Innovation and Investment Program (BIIP), das über Jahre mehrere Stufen kannte – von der kleineren Geschäftsgründung bis zum Großinvestor. Dieses Programm ist im Zuge der Reformen 2024 weitgehend zurückgebaut worden, und mit ihm die Vorstellung, sich mit einer bestimmten Kapitalsumme direkt in ein Bleiberecht einzukaufen. Wer aus Gesprächen mit älteren Auswanderern oder aus Foren noch von „dem Investorenvisum“ gehört hat, sollte davon ausgehen, dass diese Beschreibung veraltet ist, und den aktuellen Stand bei Home Affairs oder einer Migrationsberatung neu prüfen.</w:t>
      </w:r>
    </w:p>
    <w:p>
      <w:pPr>
        <w:pStyle w:val="Heading3"/>
        <w:keepNext w:val="true"/>
        <w:spacing w:before="280" w:after="100"/>
        <w:jc w:val="center"/>
        <w:rPr/>
      </w:pPr>
      <w:r>
        <w:rPr>
          <w:rFonts w:eastAsia="Amazon Ember" w:cs="Amazon Ember" w:ascii="Amazon Ember" w:hAnsi="Amazon Ember"/>
          <w:b/>
          <w:bCs/>
          <w:color w:val="0000FF"/>
          <w:sz w:val="36"/>
          <w:szCs w:val="36"/>
        </w:rPr>
        <w:t>Ruhestand ohne Job: die ausführliche Bilanz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vermutlich größte Gruppe unter den Leserinnen und Lesern dieses Abschnitts – Deutsche im Rentenalter, die keinen Job mehr suchen, aber in der Nähe ihrer in Australien lebenden Kinder oder Enkel alt werden möchten – lohnt sich eine nüchterne Vorab-Feststellung: Ein einfaches Rentnervisum nach dem Vorbild Portugals, Panamas oder Mexikos gibt es in Australien nicht, und in abgeschwächter Form gab es zuletzt auch keins mehr. Wer sich auf ein „Retirement Visa“ verlässt, von dem noch in älteren Foren-Beiträgen die Rede ist, plant mit einer Tür, die längst verschlossen wurde.</w:t>
      </w:r>
    </w:p>
    <w:p>
      <w:pPr>
        <w:pStyle w:val="Heading4"/>
        <w:keepNext w:val="true"/>
        <w:spacing w:before="200" w:after="80"/>
        <w:jc w:val="center"/>
        <w:rPr/>
      </w:pPr>
      <w:r>
        <w:rPr>
          <w:rFonts w:eastAsia="Amazon Ember" w:cs="Amazon Ember" w:ascii="Amazon Ember" w:hAnsi="Amazon Ember"/>
          <w:b/>
          <w:bCs/>
          <w:color w:val="0000FF"/>
          <w:sz w:val="36"/>
          <w:szCs w:val="36"/>
        </w:rPr>
        <w:t>Das ehemalige Ruhestandsvisum: geschlossen für Neuanträge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früheren Subclasses 405 (Investor Retirement) und 410 (Retirement) sind für Neuanträge nicht mehr verfügbar: 405 vollständig geschlossen, 410 nur noch in engen Bestandsfällen für bereits vorhandene Inhaber. Wer heute ein solches Visum schon besitzt, kann Folgeanträge stellen und profitiert von einem erleichterten Übergang zu den Parent-Visa-Kategorien – mit Befreiung von einigen Voraussetzungen, die andere Bewerber erfüllen müssen. Für alle, die 2026 neu planen, ist dieser erleichterte Übergang nicht zugänglich.</w:t>
      </w:r>
    </w:p>
    <w:p>
      <w:pPr>
        <w:pStyle w:val="Heading4"/>
        <w:keepNext w:val="true"/>
        <w:spacing w:before="200" w:after="80"/>
        <w:jc w:val="center"/>
        <w:rPr/>
      </w:pPr>
      <w:r>
        <w:rPr>
          <w:rFonts w:eastAsia="Amazon Ember" w:cs="Amazon Ember" w:ascii="Amazon Ember" w:hAnsi="Amazon Ember"/>
          <w:b/>
          <w:bCs/>
          <w:color w:val="0000FF"/>
          <w:sz w:val="36"/>
          <w:szCs w:val="36"/>
        </w:rPr>
        <w:t>Der verbleibende Weg: das Eltern-Visum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Ohne Investorenweg und ohne eigenes Ruhestandsvisum bleibt praktisch nur eine Route: das Eltern-Visum, und das ausschließlich für Eltern, die ein erwachsenes Kind mit australischer Staatsbürgerschaft oder Daueraufenthaltstitel in Australien haben. Fünf Subclass-Nummern gehören dazu, aufgeteilt in zwei Schienen mit sehr unterschiedlichem Preis-Zeit-Verhältnis.</w:t>
      </w:r>
    </w:p>
    <w:p>
      <w:pPr>
        <w:pStyle w:val="Normal"/>
        <w:keepNext w:val="false"/>
        <w:keepLines w:val="false"/>
        <w:spacing w:lineRule="exact" w:line="288" w:before="0" w:after="140"/>
        <w:jc w:val="left"/>
        <w:rPr/>
      </w:pPr>
      <w:r>
        <w:rPr>
          <w:rFonts w:eastAsia="Cambria" w:cs="Cambria"/>
          <w:b/>
          <w:bCs/>
          <w:i w:val="false"/>
          <w:iCs w:val="false"/>
          <w:sz w:val="22"/>
          <w:szCs w:val="22"/>
        </w:rPr>
        <w:t>Non-Contributory (günstig, extrem lange Wartezeit):</w:t>
      </w:r>
      <w:r>
        <w:rPr>
          <w:rFonts w:eastAsia="Cambria" w:cs="Cambria"/>
          <w:b w:val="false"/>
          <w:bCs w:val="false"/>
          <w:i w:val="false"/>
          <w:iCs w:val="false"/>
          <w:sz w:val="22"/>
          <w:szCs w:val="22"/>
        </w:rPr>
        <w:t xml:space="preserve"> Subclass 103 (Parent, Antragstellung von außerhalb Australiens) und Subclass 804 (Aged Parent, Antragstellung oder Verbleib in Australien). Die Visumsgebühr liegt bei rund 5.000 bis 6.000 AUD. Die Wartezeit dagegen ist der eigentliche Pferdefuß: Home Affairs selbst schätzt sie derzeit auf rund 33 Jahre bis zur Entscheidung – eine Zahl, die weniger nach Einwanderungsverfahren klingt als nach geologischer Zeitrechnung.</w:t>
      </w:r>
    </w:p>
    <w:p>
      <w:pPr>
        <w:pStyle w:val="Normal"/>
        <w:keepNext w:val="false"/>
        <w:keepLines w:val="false"/>
        <w:spacing w:lineRule="exact" w:line="288" w:before="0" w:after="140"/>
        <w:jc w:val="left"/>
        <w:rPr/>
      </w:pPr>
      <w:r>
        <w:rPr>
          <w:rFonts w:eastAsia="Cambria" w:cs="Cambria"/>
          <w:b/>
          <w:bCs/>
          <w:i w:val="false"/>
          <w:iCs w:val="false"/>
          <w:sz w:val="22"/>
          <w:szCs w:val="22"/>
        </w:rPr>
        <w:t>Contributory (deutlich teurer, spürbar schneller):</w:t>
      </w:r>
      <w:r>
        <w:rPr>
          <w:rFonts w:eastAsia="Cambria" w:cs="Cambria"/>
          <w:b w:val="false"/>
          <w:bCs w:val="false"/>
          <w:i w:val="false"/>
          <w:iCs w:val="false"/>
          <w:sz w:val="22"/>
          <w:szCs w:val="22"/>
        </w:rPr>
        <w:t xml:space="preserve"> Subclass 143 (Contributory Parent, von außerhalb), 173 (Contributory Parent Temporary, ein zweijähriges Übergangsvisum zu 143), 864 (Contributory Aged Parent) und 884 (befristete Vorstufe zu 864). Die Visumsgebühr selbst wird in zwei Raten fällig: rund 4.040 AUD bei Antragstellung (Stand ab 1. Juli 2026), dann kurz vor der Erteilung eine erheblich größere zweite Rate von rund 43.600 AUD pro Hauptantragsteller – zusammen rund 47.600 AUD reine Behördengebühr pro Person. Separat davon kommt die </w:t>
      </w:r>
      <w:r>
        <w:rPr>
          <w:rFonts w:eastAsia="Cambria" w:cs="Cambria"/>
          <w:b w:val="false"/>
          <w:bCs w:val="false"/>
          <w:i/>
          <w:iCs/>
          <w:sz w:val="22"/>
          <w:szCs w:val="22"/>
        </w:rPr>
        <w:t>Assurance of Support</w:t>
      </w:r>
      <w:r>
        <w:rPr>
          <w:rFonts w:eastAsia="Cambria" w:cs="Cambria"/>
          <w:b w:val="false"/>
          <w:bCs w:val="false"/>
          <w:i w:val="false"/>
          <w:iCs w:val="false"/>
          <w:sz w:val="22"/>
          <w:szCs w:val="22"/>
        </w:rPr>
        <w:t xml:space="preserve"> hinzu (eine bei Services Australia für zehn Jahre hinterlegte, rückzahlbare Kaution, die meist das sponsernde Kind in Australien stellt und die sicherstellt, dass der Staat für die einwandernden Eltern nicht aufkommen muss): rund 10.000 AUD für die Hauptantragstellerin oder den Hauptantragsteller, plus 4.000 AUD je weiterer erwachsener Person. Bei einem Elternpaar kommen so an Behördengebühren und Kaution schnell auf über 100.000 AUD zusammen – eine Zahl, die in kaum einem Auswanderer-Ratgeber in dieser Höhe steht, die Rechnung aber entscheidend verändert. Dafür verkürzt sich die Wartezeit merklich: Home Affairs bearbeitete Anfang 2026 Anträge mit einem Warteschlangendatum bis Ende 2018 – wer heute einreicht, sollte also mit rund 12 bis 15 Jahren rechnen, nicht mit 33.</w:t>
      </w:r>
    </w:p>
    <w:tbl>
      <w:tblPr>
        <w:tblW w:w="6480" w:type="dxa"/>
        <w:jc w:val="left"/>
        <w:tblInd w:w="0" w:type="dxa"/>
        <w:tblLayout w:type="fixed"/>
        <w:tblCellMar>
          <w:top w:w="50" w:type="dxa"/>
          <w:left w:w="80" w:type="dxa"/>
          <w:bottom w:w="50" w:type="dxa"/>
          <w:right w:w="80" w:type="dxa"/>
        </w:tblCellMar>
      </w:tblPr>
      <w:tblGrid>
        <w:gridCol w:w="2722"/>
        <w:gridCol w:w="1272"/>
        <w:gridCol w:w="2486"/>
      </w:tblGrid>
      <w:tr>
        <w:trPr>
          <w:tblHeader w:val="true"/>
          <w:cantSplit w:val="true"/>
        </w:trPr>
        <w:tc>
          <w:tcPr>
            <w:tcW w:w="272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Merkmal</w:t>
            </w:r>
          </w:p>
        </w:tc>
        <w:tc>
          <w:tcPr>
            <w:tcW w:w="127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Non-Contributory (103/804)</w:t>
            </w:r>
          </w:p>
        </w:tc>
        <w:tc>
          <w:tcPr>
            <w:tcW w:w="248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Contributory (143/173/864)</w:t>
            </w:r>
          </w:p>
        </w:tc>
      </w:tr>
      <w:tr>
        <w:trPr>
          <w:cantSplit w:val="true"/>
        </w:trPr>
        <w:tc>
          <w:tcPr>
            <w:tcW w:w="27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Erstgebühr (1. Rate der Visumsgebühr)</w:t>
            </w:r>
          </w:p>
        </w:tc>
        <w:tc>
          <w:tcPr>
            <w:tcW w:w="12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rund 5.000–6.000 AUD</w:t>
            </w:r>
          </w:p>
        </w:tc>
        <w:tc>
          <w:tcPr>
            <w:tcW w:w="24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rund 4.040 AUD</w:t>
            </w:r>
          </w:p>
        </w:tc>
      </w:tr>
      <w:tr>
        <w:trPr>
          <w:cantSplit w:val="true"/>
        </w:trPr>
        <w:tc>
          <w:tcPr>
            <w:tcW w:w="27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Zweite Rate der Visumsgebühr (vor Erteilung)</w:t>
            </w:r>
          </w:p>
        </w:tc>
        <w:tc>
          <w:tcPr>
            <w:tcW w:w="12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w:t>
            </w:r>
          </w:p>
        </w:tc>
        <w:tc>
          <w:tcPr>
            <w:tcW w:w="24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rund 43.600 AUD</w:t>
            </w:r>
          </w:p>
        </w:tc>
      </w:tr>
      <w:tr>
        <w:trPr>
          <w:cantSplit w:val="true"/>
        </w:trPr>
        <w:tc>
          <w:tcPr>
            <w:tcW w:w="27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Assurance of Support (separate, rückzahlbare Kaution)</w:t>
            </w:r>
          </w:p>
        </w:tc>
        <w:tc>
          <w:tcPr>
            <w:tcW w:w="12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w:t>
            </w:r>
          </w:p>
        </w:tc>
        <w:tc>
          <w:tcPr>
            <w:tcW w:w="24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rund 10.000 AUD (+ 4.000 AUD je weiterer Erwachsener)</w:t>
            </w:r>
          </w:p>
        </w:tc>
      </w:tr>
      <w:tr>
        <w:trPr>
          <w:cantSplit w:val="true"/>
        </w:trPr>
        <w:tc>
          <w:tcPr>
            <w:tcW w:w="27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Gesamtkosten je Person, überschlägig</w:t>
            </w:r>
          </w:p>
        </w:tc>
        <w:tc>
          <w:tcPr>
            <w:tcW w:w="12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rund 5.000–6.000 AUD</w:t>
            </w:r>
          </w:p>
        </w:tc>
        <w:tc>
          <w:tcPr>
            <w:tcW w:w="24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rund 47.600 AUD Visagebühr zzgl. Kaution</w:t>
            </w:r>
          </w:p>
        </w:tc>
      </w:tr>
      <w:tr>
        <w:trPr>
          <w:cantSplit w:val="true"/>
        </w:trPr>
        <w:tc>
          <w:tcPr>
            <w:tcW w:w="27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Geschätzte Wartezeit</w:t>
            </w:r>
          </w:p>
        </w:tc>
        <w:tc>
          <w:tcPr>
            <w:tcW w:w="12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rund 33 Jahre</w:t>
            </w:r>
          </w:p>
        </w:tc>
        <w:tc>
          <w:tcPr>
            <w:tcW w:w="24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rund 12 bis 15 Jahre</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Beide Schienen setzen den Balance-of-Family-Test voraus – eine rein geografische Prüfung, keine Härtefallregelung: bestanden ist er nur, wenn mindestens die Hälfte der volljährigen Kinder in Australien lebt oder dort mehr leben als in jedem anderen einzelnen Land. Eltern mit mehreren, über verschiedene Länder verstreuten Kindern fallen hier real durch, ganz unabhängig von Pflegebedürftigkeit oder anderen persönlichen Umständen.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Reinhardt (fiktiv) lebt seit ihrer Einwanderung über den Punktetest in Melbourne. Als Thomas’ Eltern in Köln über einen eigenen Umzug nachdenken, rechnen sie zum ersten Mal nach, was das bedeutet: Beim günstigeren Weg (103) stünde am Ende eine Wartezeit, die ihre eigene verbleibende Lebenserwartung deutlich übersteigt – eine Zahl, die beim ersten Lesen kaum jemand für echt hält, bis er sie an zwei, drei weiteren Quellen gegenprüft. Der teurere, schnellere Weg (143) käme sie zu zweit auf über 100.000 AUD zu stehen (Visagebühren plus Kaution), dazu zwölf bis fünfzehn Jahre Wartezeit. Am Ende entscheiden sie sich für eine Zwischenlösung: mehrere längere Aufenthalte im Jahr mit dem befristeten Sponsored-Parent-Visum, kombiniert mit dem festen Plan, ihren Lebensmittelpunkt vorerst in Köln zu behalten.</w:t>
            </w:r>
          </w:p>
        </w:tc>
      </w:tr>
    </w:tbl>
    <w:p>
      <w:pPr>
        <w:pStyle w:val="Normal"/>
        <w:spacing w:lineRule="exact" w:line="220" w:before="0" w:after="0"/>
        <w:rPr/>
      </w:pPr>
      <w:r>
        <w:rPr/>
      </w:r>
    </w:p>
    <w:p>
      <w:pPr>
        <w:pStyle w:val="Heading4"/>
        <w:keepNext w:val="true"/>
        <w:spacing w:before="200" w:after="80"/>
        <w:jc w:val="center"/>
        <w:rPr/>
      </w:pPr>
      <w:r>
        <w:rPr>
          <w:rFonts w:eastAsia="Amazon Ember" w:cs="Amazon Ember" w:ascii="Amazon Ember" w:hAnsi="Amazon Ember"/>
          <w:b/>
          <w:bCs/>
          <w:color w:val="0000FF"/>
          <w:sz w:val="36"/>
          <w:szCs w:val="36"/>
        </w:rPr>
        <w:t>Reicht die deutsche Rente als Nachweis?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Anders als beim Studienvisum oder bestimmten Wegen in anderen Zielländern ist für die Eltern-Visa-Kategorien kein einzelnes, fest beziffertes Renten-Mindesteinkommen der Antragstellerin oder des Antragstellers selbst dokumentiert. Entscheidend sind stattdessen die Visumsgebühren und, beim Contributory-Weg, der Assurance-of-Support-Beitrag. Diese Bürgschaft muss in aller Regel nicht die einwandernden Eltern selbst stellen, sondern eine zugelassene Bürgin oder ein zugelassener Bürge – meist das sponsernde Kind vor Ort –, die oder der ausreichendes eigenes Einkommen nachweist. Die deutsche gesetzliche Rente der Eltern spielt damit für die Visumserteilung selbst eine untergeordnete Rolle; sie bleibt aber die entscheidende Größe für die tatsächliche Lebenshaltung danach, insbesondere solange keine reguläre Beschäftigung mehr infrage kommt. Die genauen Einkommensvoraussetzungen der Bürgin oder des Bürgen ändern sich gelegentlich und sollten direkt bei Home Affairs geprüft werden, bevor eine Familie sich auf einen bestimmten Weg festlegt.</w:t>
      </w:r>
    </w:p>
    <w:p>
      <w:pPr>
        <w:pStyle w:val="Heading4"/>
        <w:keepNext w:val="true"/>
        <w:spacing w:before="200" w:after="80"/>
        <w:jc w:val="center"/>
        <w:rPr/>
      </w:pPr>
      <w:r>
        <w:rPr>
          <w:rFonts w:eastAsia="Amazon Ember" w:cs="Amazon Ember" w:ascii="Amazon Ember" w:hAnsi="Amazon Ember"/>
          <w:b/>
          <w:bCs/>
          <w:color w:val="0000FF"/>
          <w:sz w:val="36"/>
          <w:szCs w:val="36"/>
        </w:rPr>
        <w:t>Die Zwischenlösung ohne Daueraufenthalt: Subclass 870</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weder 33 noch 12 bis 15 Jahre warten will oder kann, findet im Sponsored Parent (Temporary) Visa, Subclass 870, eine befristete Alternative – allerdings ausdrücklich ohne Weg zum Daueraufenthalt. Die Gültigkeit ist wählbar: drei Jahre für 6.370 AUD oder fünf Jahre für 12.440 AUD (Stand ab 1. Juli 2026), kumulativ über das gesamte Leben der Antragstellerin oder des Antragstellers höchstens zehn Jahre. Ein Balance-of-Family-Test ist hier nicht nötig – dafür fehlt eben jede Aussicht auf einen dauerhaften Status. Medicare-Zugang gibt es nicht, eine durchgehende private Krankenversicherung ist Pflicht (Bedingung 8501), und arbeiten darfst du mit diesem Visum nicht.</w:t>
      </w:r>
    </w:p>
    <w:p>
      <w:pPr>
        <w:pStyle w:val="Heading4"/>
        <w:keepNext w:val="true"/>
        <w:spacing w:before="200" w:after="80"/>
        <w:jc w:val="center"/>
        <w:rPr/>
      </w:pPr>
      <w:r>
        <w:rPr>
          <w:rFonts w:eastAsia="Amazon Ember" w:cs="Amazon Ember" w:ascii="Amazon Ember" w:hAnsi="Amazon Ember"/>
          <w:b/>
          <w:bCs/>
          <w:color w:val="0000FF"/>
          <w:sz w:val="36"/>
          <w:szCs w:val="36"/>
        </w:rPr>
        <w:t>Krankenversicherung: der Posten, den viele unterschätzen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Ob während der jahrzehntelangen Parent-Visa-Wartezeit oder als Inhaberin eines Subclass 870 – ohne Daueraufenthaltstitel bleibt Medicare grundsätzlich verschlossen, und eine private </w:t>
      </w:r>
      <w:r>
        <w:rPr>
          <w:rFonts w:eastAsia="Cambria" w:cs="Cambria"/>
          <w:b w:val="false"/>
          <w:bCs w:val="false"/>
          <w:i/>
          <w:iCs/>
          <w:sz w:val="22"/>
          <w:szCs w:val="22"/>
        </w:rPr>
        <w:t>Overseas Visitor Health Cover</w:t>
      </w:r>
      <w:r>
        <w:rPr>
          <w:rFonts w:eastAsia="Cambria" w:cs="Cambria"/>
          <w:b w:val="false"/>
          <w:bCs w:val="false"/>
          <w:i w:val="false"/>
          <w:iCs w:val="false"/>
          <w:sz w:val="22"/>
          <w:szCs w:val="22"/>
        </w:rPr>
        <w:t xml:space="preserve"> (OVHC, die Kranken-Zusatzversicherung für Inhaber befristeter Visa) wird zur Pflicht. Für Einzelpersonen liegen die Kosten allgemein bei 82 bis 155 AUD im Monat, für Familienpolicen bei 230 bis 390 AUD. Wer über 60 ist, sollte realistisch mit einem Aufschlag von 30 bis 50 % gegenüber jüngeren Altersgruppen rechnen – ein realistisches Budget liegt eher bei 200 bis 300 AUD im Monat pro Person. Erst mit einem dauerhaften Eltern-Visum (103, 143 und die verwandten Kategorien) besteht regulärer Medicare-Zugang wie für jeden anderen Daueraufenthaltsberechtigten.</w:t>
      </w:r>
    </w:p>
    <w:p>
      <w:pPr>
        <w:pStyle w:val="Heading4"/>
        <w:keepNext w:val="true"/>
        <w:spacing w:before="200" w:after="80"/>
        <w:jc w:val="center"/>
        <w:rPr/>
      </w:pPr>
      <w:r>
        <w:rPr>
          <w:rFonts w:eastAsia="Amazon Ember" w:cs="Amazon Ember" w:ascii="Amazon Ember" w:hAnsi="Amazon Ember"/>
          <w:b/>
          <w:bCs/>
          <w:color w:val="0000FF"/>
          <w:sz w:val="36"/>
          <w:szCs w:val="36"/>
        </w:rPr>
        <w:t>Steuern auf die deutsche Rente in Australien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als australischer Steueransässiger lebt, muss die deutsche gesetzliche Rente als Teil des Welteinkommens in Australien angeben; im Doppelbesteuerungsabkommen zwischen Australien und Deutschland (neu verhandelt, unterzeichnet 2015) ist geregelt, dass eine in Deutschland bereits gezahlte Steuer auf die australische Steuerschuld angerechnet wird. Die genaue Aufteilung des Besteuerungsrechts zwischen gesetzlichen und privaten beziehungsweise betrieblichen Renten ist im Detail komplex und in der Praxis nicht immer eindeutig – wer tatsächlich mit Ruhestandsplänen nach Australien geht, sollte diesen Punkt frühzeitig mit einer auf internationales Steuerrecht spezialisierten Beratung klären, nicht erst nach der Ankunft.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erklärt Regeln und Praxis zu Familiennachzug, Investoren- und Ruhestandswegen, ersetzt aber keine Beratung durch eine registrierte Migrationsagentin, einen Migrationsagenten oder eine auf australisches Einwanderungs- und Steuerrecht spezialisierte Fachperson.</w:t>
            </w:r>
          </w:p>
        </w:tc>
      </w:tr>
    </w:tbl>
    <w:p>
      <w:pPr>
        <w:pStyle w:val="Normal"/>
        <w:spacing w:lineRule="exact" w:line="220" w:before="0" w:after="0"/>
        <w:rPr/>
      </w:pPr>
      <w:r>
        <w:rPr/>
      </w:r>
    </w:p>
    <w:p>
      <w:pPr>
        <w:pStyle w:val="Heading4"/>
        <w:keepNext w:val="true"/>
        <w:spacing w:before="200" w:after="80"/>
        <w:jc w:val="center"/>
        <w:rPr/>
      </w:pPr>
      <w:r>
        <w:rPr>
          <w:rFonts w:eastAsia="Amazon Ember" w:cs="Amazon Ember" w:ascii="Amazon Ember" w:hAnsi="Amazon Ember"/>
          <w:b/>
          <w:bCs/>
          <w:color w:val="0000FF"/>
          <w:sz w:val="36"/>
          <w:szCs w:val="36"/>
        </w:rPr>
        <w:t>Wer sollte diesen Weg überhaupt in Betracht ziehen?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33 Jahren Wartezeit auf der einen und 50.000 AUD pro Person auf der anderen Seite lohnt sich vor jeder Antragstellung eine ehrliche Alternativrechnung: Reicht nicht auch eine Folge längerer Besuche mit einem regulären Besuchervisum oder dem befristeten Subclass 870, kombiniert mit Videotelefonie und ein bis zwei größeren Reisen im Jahr? Für Familien, die in erster Linie Nähe und regelmäßigen Kontakt suchen, ist das oft die realistischere und deutlich günstigere Lösung als ein Verfahren, das die eigene statistische Lebenserwartung übersteigen kann. Für Familien, die wirklich einen dauerhaften gemeinsamen Wohnsitz anstreben – etwa, weil Pflegebedürftigkeit absehbar wird –, führt an einer der beiden Parent-Visa-Schienen dagegen kein Weg vorbei, so unbequem die Zahlen auch sind.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Ruhestand ohne Job ist in Australien kein Weg, den man „nebenbei“ mitplant. Wer ihn ernsthaft verfolgt, sollte spätestens fünf bis zehn Jahre vor dem geplanten Umzug mit der Finanzplanung, der Kontaktaufnahme zu einer Migrationsberatung und der Klärung der Assurance of Support beginnen – nicht erst, wenn der Ruhestand schon begonnen hat.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Typische Fehler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Familien-, Investoren- und Ruhestandswegen wiederholen sich erfahrungsgemäß dieselben Fehleinschätzungen:</w:t>
      </w:r>
    </w:p>
    <w:p>
      <w:pPr>
        <w:pStyle w:val="ListParagraph"/>
        <w:numPr>
          <w:ilvl w:val="0"/>
          <w:numId w:val="1"/>
        </w:numPr>
        <w:spacing w:lineRule="exact" w:line="288" w:before="0" w:after="60"/>
        <w:rPr/>
      </w:pPr>
      <w:r>
        <w:rPr>
          <w:rFonts w:eastAsia="Cambria" w:cs="Cambria"/>
          <w:b w:val="false"/>
          <w:bCs w:val="false"/>
          <w:i w:val="false"/>
          <w:iCs w:val="false"/>
          <w:sz w:val="22"/>
          <w:szCs w:val="22"/>
        </w:rPr>
        <w:t>Verbreiteter Irrtum: Ein erwachsenes Kind mit Aufenthaltstitel in Australien bedeute automatisch, dass die Eltern nachziehen dürfen. Tatsächlich entscheidet allein der Balance-of-Family-Test, unabhängig davon, wie eng die Beziehung ist oder wie sehr ein Pflegebedarf besteht.</w:t>
      </w:r>
    </w:p>
    <w:p>
      <w:pPr>
        <w:pStyle w:val="ListParagraph"/>
        <w:numPr>
          <w:ilvl w:val="0"/>
          <w:numId w:val="1"/>
        </w:numPr>
        <w:spacing w:lineRule="exact" w:line="288" w:before="0" w:after="60"/>
        <w:rPr/>
      </w:pPr>
      <w:r>
        <w:rPr>
          <w:rFonts w:eastAsia="Cambria" w:cs="Cambria"/>
          <w:b w:val="false"/>
          <w:bCs w:val="false"/>
          <w:i w:val="false"/>
          <w:iCs w:val="false"/>
          <w:sz w:val="22"/>
          <w:szCs w:val="22"/>
        </w:rPr>
        <w:t>Die 33 Jahre Wartezeit beim Non-Contributory-Weg werden als Verhandlungsspielraum missverstanden. Es handelt sich um eine behördliche Schätzung auf Basis der realen Bearbeitungsgeschwindigkeit, nicht um eine Verhandlungsposition.</w:t>
      </w:r>
    </w:p>
    <w:p>
      <w:pPr>
        <w:pStyle w:val="ListParagraph"/>
        <w:numPr>
          <w:ilvl w:val="0"/>
          <w:numId w:val="1"/>
        </w:numPr>
        <w:spacing w:lineRule="exact" w:line="288" w:before="0" w:after="60"/>
        <w:rPr/>
      </w:pPr>
      <w:r>
        <w:rPr>
          <w:rFonts w:eastAsia="Cambria" w:cs="Cambria"/>
          <w:b w:val="false"/>
          <w:bCs w:val="false"/>
          <w:i w:val="false"/>
          <w:iCs w:val="false"/>
          <w:sz w:val="22"/>
          <w:szCs w:val="22"/>
        </w:rPr>
        <w:t>Investorenwege werden anhand veralteter Ratgeber oder Foren-Beiträge geplant, die noch das seit 2024 geschlossene Subclass-188-Visum beschreiben.</w:t>
      </w:r>
    </w:p>
    <w:p>
      <w:pPr>
        <w:pStyle w:val="ListParagraph"/>
        <w:numPr>
          <w:ilvl w:val="0"/>
          <w:numId w:val="1"/>
        </w:numPr>
        <w:spacing w:lineRule="exact" w:line="288" w:before="0" w:after="60"/>
        <w:rPr/>
      </w:pPr>
      <w:r>
        <w:rPr>
          <w:rFonts w:eastAsia="Cambria" w:cs="Cambria"/>
          <w:b w:val="false"/>
          <w:bCs w:val="false"/>
          <w:i w:val="false"/>
          <w:iCs w:val="false"/>
          <w:sz w:val="22"/>
          <w:szCs w:val="22"/>
        </w:rPr>
        <w:t>Die Kosten eines Contributory-Eltern-Visums werden nur als einmalige Gebühr wahrgenommen, ohne die separate Assurance of Support einzurechnen – am Ende steht dann eine böse Überraschung von mehreren Zehntausend AUD.</w:t>
      </w:r>
    </w:p>
    <w:p>
      <w:pPr>
        <w:pStyle w:val="ListParagraph"/>
        <w:numPr>
          <w:ilvl w:val="0"/>
          <w:numId w:val="1"/>
        </w:numPr>
        <w:spacing w:lineRule="exact" w:line="288" w:before="0" w:after="60"/>
        <w:rPr/>
      </w:pPr>
      <w:r>
        <w:rPr>
          <w:rFonts w:eastAsia="Cambria" w:cs="Cambria"/>
          <w:b w:val="false"/>
          <w:bCs w:val="false"/>
          <w:i w:val="false"/>
          <w:iCs w:val="false"/>
          <w:sz w:val="22"/>
          <w:szCs w:val="22"/>
        </w:rPr>
        <w:t>Subclass 870 wird mit einem Daueraufenthaltsvisum verwechselt, obwohl es ausdrücklich keinen solchen Übergang vorsieht.</w:t>
      </w:r>
    </w:p>
    <w:p>
      <w:pPr>
        <w:pStyle w:val="ListParagraph"/>
        <w:numPr>
          <w:ilvl w:val="0"/>
          <w:numId w:val="1"/>
        </w:numPr>
        <w:spacing w:lineRule="exact" w:line="288" w:before="0" w:after="60"/>
        <w:rPr/>
      </w:pPr>
      <w:r>
        <w:rPr>
          <w:rFonts w:eastAsia="Cambria" w:cs="Cambria"/>
          <w:b w:val="false"/>
          <w:bCs w:val="false"/>
          <w:i w:val="false"/>
          <w:iCs w:val="false"/>
          <w:sz w:val="22"/>
          <w:szCs w:val="22"/>
        </w:rPr>
        <w:t>Die private Krankenversicherungspflicht während der gesamten Wartezeit wird bei der Budgetplanung vergessen, obwohl sie sich über Jahre oder Jahrzehnte zu einem erheblichen Posten summiert.</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Partnervisum ist ein klarer, gut dokumentierter Weg zur Daueraufenthaltserlaubnis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Partnervisum dauert dennoch häufig zwei Jahre oder mehr bis zur permanenten Stufe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Contributory-Eltern-Visum verkürzt die Wartezeit erheblich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Rund 48.000 AUD Visagebühr pro Person plus Kaution sind für viele Familien schlicht nicht aufbringbar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Subclass 870 ermöglicht lange Besuche ohne Jahrzehnte Wartezeit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Subclass 870 führt zu keinem Daueraufenthaltstitel</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Balance-of-Family-Test ist klar definiert, keine willkürliche Einzelfallprüfung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Balance-of-Family-Test kennt keine Ausnahme für Pflegebedürftigkeit oder Härtefälle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 Erhalt eines Daueraufenthaltstitels voller Medicare-Zugang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dahin ist private Krankenversicherung über Jahre Pflicht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Sponsored-Parent-Visum erfordert keinen Balance-of-Family-Test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Investorenweg mehr für passive Anleger ohne Kind vor Ort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über Familiennachzug, Investition oder Ruhestand nach Australien will, sollte zuerst prüfen, welche der drei Türen überhaupt offensteht: eine belastbare Partnerschaft mit einer in Australien lebenden Person, ein tatsächlich innovatives Geschäftsvorhaben – oder ein erwachsenes Kind mit Aufenthaltstitel vor Ort, das den Balance-of-Family-Test besteht. Erst danach lohnt sich die Detailrechnung zu Kosten und Wartezeit, am besten zusammen mit einer registrierten Migrationsberatung und, bei Ruhestandsplänen, einer Steuerberatung mit Erfahrung im deutsch-australischen Verhältnis.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Ruheständler ohne eigenen Berufsweg lohnt sich außerdem ein Blick auf das </w:t>
      </w:r>
      <w:hyperlink w:anchor="tau03">
        <w:r>
          <w:rPr>
            <w:rStyle w:val="ListLabel113"/>
            <w:rFonts w:eastAsia="Cambria" w:cs="Cambria"/>
            <w:b w:val="false"/>
            <w:bCs w:val="false"/>
            <w:i w:val="false"/>
            <w:iCs w:val="false"/>
            <w:color w:val="0563C1"/>
            <w:sz w:val="22"/>
            <w:szCs w:val="22"/>
            <w:u w:val="single"/>
          </w:rPr>
          <w:t>vorherige Kapitel dieses Teils</w:t>
        </w:r>
      </w:hyperlink>
      <w:r>
        <w:rPr>
          <w:rFonts w:eastAsia="Cambria" w:cs="Cambria"/>
          <w:b w:val="false"/>
          <w:bCs w:val="false"/>
          <w:i w:val="false"/>
          <w:iCs w:val="false"/>
          <w:sz w:val="22"/>
          <w:szCs w:val="22"/>
        </w:rPr>
        <w:t>: Wer noch unter 45 ist oder einen gefragten Beruf hat, findet über den Punktetest oder das Arbeitgeber-Sponsoring möglicherweise einen schnelleren, planbareren Weg als über die Eltern-Visa-Kategorien – auch wenn das bedeutet, den Ruhestand selbst erst später anzutreten. Und wer sich für keinen der Wege in diesem Kapitel entscheiden kann oder will, sollte die Kombination aus regelmäßigen, längeren Besuchen und einem festen Lebensmittelpunkt in Deutschland nicht vorschnell als zweitbeste Lösung abtun – für viele Familien ist sie am Ende die tragfähigere.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Geprüft, ob eine bestehende Partnerschaft die Voraussetzungen für ein Partnervisum erfüllt, und Dokumentation der Beziehung frühzeitig begonnen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Geklärt, ob ein Kind mit australischer Staatsbürgerschaft oder Daueraufenthaltstitel vor Ort lebt und der Balance-of-Family-Test bestanden würde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Non-Contributory- und Contributory-Weg beim Eltern-Visum mit den eigenen Finanzen und der eigenen Lebenserwartung realistisch gegengerechnet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Subclass 870 als befristete Zwischenlösung geprüft, falls ein Daueraufenthalt nicht angestrebt wird</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Kosten für private Krankenversicherung (OVHC) für die gesamte Wartezeit eingeplant, nicht nur für das erste Jahr</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Steuerliche Behandlung der deutschen Rente in Australien mit einer spezialisierten Beratung geklärt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Investorenwege realistisch eingeordnet: Subclass 188 ist geschlossen, Subclass 858 nur für echte Innovationsvorhaben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Aktuelle Gebühren, Wartezeiten und Einkommensschwellen direkt bei Home Affairs gegengeprüft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Home Affairs — Partnervisa, Subclass 820/801 und 309/100 (</w:t>
      </w:r>
      <w:hyperlink r:id="rId439">
        <w:r>
          <w:rPr>
            <w:rStyle w:val="ListLabel113"/>
            <w:rFonts w:eastAsia="Cambria" w:cs="Cambria"/>
            <w:b w:val="false"/>
            <w:bCs w:val="false"/>
            <w:i w:val="false"/>
            <w:iCs w:val="false"/>
            <w:color w:val="0563C1"/>
            <w:sz w:val="22"/>
            <w:szCs w:val="22"/>
            <w:u w:val="single"/>
          </w:rPr>
          <w:t>immi.homeaffairs.gov.au</w:t>
        </w:r>
      </w:hyperlink>
      <w:r>
        <w:rPr>
          <w:rFonts w:eastAsia="Cambria" w:cs="Cambria"/>
          <w:b w:val="false"/>
          <w:bCs w:val="false"/>
          <w:i w:val="false"/>
          <w:iCs w:val="false"/>
          <w:sz w:val="22"/>
          <w:szCs w:val="22"/>
        </w:rPr>
        <w:t>, Suche: partner-visa)</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Home Affairs — Parent-Visa-Kategorien und Balance-of-Family-Test (</w:t>
      </w:r>
      <w:hyperlink r:id="rId440">
        <w:r>
          <w:rPr>
            <w:rStyle w:val="ListLabel113"/>
            <w:rFonts w:eastAsia="Cambria" w:cs="Cambria"/>
            <w:b w:val="false"/>
            <w:bCs w:val="false"/>
            <w:i w:val="false"/>
            <w:iCs w:val="false"/>
            <w:color w:val="0563C1"/>
            <w:sz w:val="22"/>
            <w:szCs w:val="22"/>
            <w:u w:val="single"/>
          </w:rPr>
          <w:t>immi.homeaffairs.gov.au</w:t>
        </w:r>
      </w:hyperlink>
      <w:r>
        <w:rPr>
          <w:rFonts w:eastAsia="Cambria" w:cs="Cambria"/>
          <w:b w:val="false"/>
          <w:bCs w:val="false"/>
          <w:i w:val="false"/>
          <w:iCs w:val="false"/>
          <w:sz w:val="22"/>
          <w:szCs w:val="22"/>
        </w:rPr>
        <w:t>, Suche: parent-visa, balance-of-family-test)</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Home Affairs — Sponsored Parent (Temporary) Visa, Subclass 870 (</w:t>
      </w:r>
      <w:hyperlink r:id="rId441">
        <w:r>
          <w:rPr>
            <w:rStyle w:val="ListLabel113"/>
            <w:rFonts w:eastAsia="Cambria" w:cs="Cambria"/>
            <w:b w:val="false"/>
            <w:bCs w:val="false"/>
            <w:i w:val="false"/>
            <w:iCs w:val="false"/>
            <w:color w:val="0563C1"/>
            <w:sz w:val="22"/>
            <w:szCs w:val="22"/>
            <w:u w:val="single"/>
          </w:rPr>
          <w:t>immi.homeaffairs.gov.au</w:t>
        </w:r>
      </w:hyperlink>
      <w:r>
        <w:rPr>
          <w:rFonts w:eastAsia="Cambria" w:cs="Cambria"/>
          <w:b w:val="false"/>
          <w:bCs w:val="false"/>
          <w:i w:val="false"/>
          <w:iCs w:val="false"/>
          <w:sz w:val="22"/>
          <w:szCs w:val="22"/>
        </w:rPr>
        <w:t>, Suche: sponsored-parent-870)</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Home Affairs — National Innovation Visa, Subclass 858 (</w:t>
      </w:r>
      <w:hyperlink r:id="rId442">
        <w:r>
          <w:rPr>
            <w:rStyle w:val="ListLabel113"/>
            <w:rFonts w:eastAsia="Cambria" w:cs="Cambria"/>
            <w:b w:val="false"/>
            <w:bCs w:val="false"/>
            <w:i w:val="false"/>
            <w:iCs w:val="false"/>
            <w:color w:val="0563C1"/>
            <w:sz w:val="22"/>
            <w:szCs w:val="22"/>
            <w:u w:val="single"/>
          </w:rPr>
          <w:t>immi.homeaffairs.gov.au</w:t>
        </w:r>
      </w:hyperlink>
      <w:r>
        <w:rPr>
          <w:rFonts w:eastAsia="Cambria" w:cs="Cambria"/>
          <w:b w:val="false"/>
          <w:bCs w:val="false"/>
          <w:i w:val="false"/>
          <w:iCs w:val="false"/>
          <w:sz w:val="22"/>
          <w:szCs w:val="22"/>
        </w:rPr>
        <w:t>, Suche: national-innovation-visa-858)</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Home Affairs — Visa-Bearbeitungszeiten und -prioritäten (</w:t>
      </w:r>
      <w:hyperlink r:id="rId443">
        <w:r>
          <w:rPr>
            <w:rStyle w:val="ListLabel113"/>
            <w:rFonts w:eastAsia="Cambria" w:cs="Cambria"/>
            <w:b w:val="false"/>
            <w:bCs w:val="false"/>
            <w:i w:val="false"/>
            <w:iCs w:val="false"/>
            <w:color w:val="0563C1"/>
            <w:sz w:val="22"/>
            <w:szCs w:val="22"/>
            <w:u w:val="single"/>
          </w:rPr>
          <w:t>immi.homeaffairs.gov.au/visas/getting-a-visa/visa-processing-times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Australian Taxation Office — Doppelbesteuerungsabkommen Australien–Deutschland (</w:t>
      </w:r>
      <w:hyperlink r:id="rId444">
        <w:r>
          <w:rPr>
            <w:rStyle w:val="ListLabel113"/>
            <w:rFonts w:eastAsia="Cambria" w:cs="Cambria"/>
            <w:b w:val="false"/>
            <w:bCs w:val="false"/>
            <w:i w:val="false"/>
            <w:iCs w:val="false"/>
            <w:color w:val="0563C1"/>
            <w:sz w:val="22"/>
            <w:szCs w:val="22"/>
            <w:u w:val="single"/>
          </w:rPr>
          <w:t>ato.gov.au</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schnell: Wartezeiten und Warteschlangendaten bei Eltern-Visa, die genaue Höhe der Assurance-of-Support-Beiträge, Gebühren nach der Runde vom 1. Juli 2026 und die Voraussetzungen für das National Innovation Visa. Die Gebühr für Partnervisa liegt seit 1. Juli 2026 bei rund 11.710 AUD (zuvor 9.365 AUD); prüfe den aktuellen Betrag vor jeder Entscheidung direkt auf immi.homeaffairs.gov.au.</w:t>
            </w:r>
          </w:p>
        </w:tc>
      </w:tr>
    </w:tbl>
    <w:p>
      <w:pPr>
        <w:pStyle w:val="Normal"/>
        <w:spacing w:lineRule="exact" w:line="220" w:before="0" w:after="0"/>
        <w:rPr/>
      </w:pPr>
      <w:r>
        <w:rPr/>
      </w:r>
      <w:r>
        <w:br w:type="page"/>
      </w:r>
    </w:p>
    <w:p>
      <w:pPr>
        <w:pStyle w:val="Heading2"/>
        <w:keepNext w:val="true"/>
        <w:spacing w:before="0" w:after="300"/>
        <w:jc w:val="center"/>
        <w:rPr/>
      </w:pPr>
      <w:bookmarkStart w:id="112" w:name="__RefHeading___Toc56541_3769931028"/>
      <w:bookmarkStart w:id="113" w:name="tau05"/>
      <w:bookmarkEnd w:id="112"/>
      <w:r>
        <w:rPr>
          <w:rFonts w:eastAsia="Amazon Ember" w:cs="Amazon Ember" w:ascii="Amazon Ember" w:hAnsi="Amazon Ember"/>
          <w:b/>
          <w:bCs/>
          <w:color w:val="0000FF"/>
          <w:sz w:val="36"/>
          <w:szCs w:val="36"/>
        </w:rPr>
        <w:t>Australien: Antrag, Konsulat und Kosten</w:t>
      </w:r>
      <w:bookmarkEnd w:id="113"/>
    </w:p>
    <w:p>
      <w:pPr>
        <w:pStyle w:val="Normal"/>
        <w:keepNext w:val="false"/>
        <w:keepLines w:val="false"/>
        <w:spacing w:lineRule="exact" w:line="288" w:before="0" w:after="140"/>
        <w:jc w:val="left"/>
        <w:rPr/>
      </w:pPr>
      <w:r>
        <w:rPr>
          <w:rFonts w:eastAsia="Cambria" w:cs="Cambria"/>
          <w:b w:val="false"/>
          <w:bCs w:val="false"/>
          <w:i w:val="false"/>
          <w:iCs w:val="false"/>
          <w:sz w:val="22"/>
          <w:szCs w:val="22"/>
        </w:rPr>
        <w:t>Vierzehn Monate nach der ersten Interessensbekundung blinkt bei Thomas Reinhardt eine E-Mail auf: „You have been invited to apply.“ Keine Fanfare, kein Anruf – nur eine nüchterne Betreffzeile, und plötzlich hat die Familie 60 Tage Zeit, aus einer Absichtserklärung einen echten Antrag zu machen. Was folgt, ist reine Verwaltungsarbeit: ein Online-Portal, mehrere Gebühren, ein Arztbesuch und ein Stapel Führungszeugnisse. Kein Botschaftstermin, kein Interview am Schalter – Australien erledigt fast alles über den Bildschirm, was die Sache nicht zwangsläufig entspannter macht.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Der gesamte Antrag läuft online über </w:t>
            </w:r>
            <w:r>
              <w:rPr>
                <w:rFonts w:eastAsia="Cambria" w:cs="Cambria"/>
                <w:b w:val="false"/>
                <w:bCs w:val="false"/>
                <w:i/>
                <w:iCs/>
                <w:sz w:val="20"/>
                <w:szCs w:val="20"/>
              </w:rPr>
              <w:t>ImmiAccount</w:t>
            </w:r>
            <w:r>
              <w:rPr>
                <w:rFonts w:eastAsia="Cambria" w:cs="Cambria"/>
                <w:b w:val="false"/>
                <w:bCs w:val="false"/>
                <w:i w:val="false"/>
                <w:iCs w:val="false"/>
                <w:sz w:val="20"/>
                <w:szCs w:val="20"/>
              </w:rPr>
              <w:t xml:space="preserve">, das Antragsportal des </w:t>
            </w:r>
            <w:r>
              <w:rPr>
                <w:rFonts w:eastAsia="Cambria" w:cs="Cambria"/>
                <w:b w:val="false"/>
                <w:bCs w:val="false"/>
                <w:i/>
                <w:iCs/>
                <w:sz w:val="20"/>
                <w:szCs w:val="20"/>
              </w:rPr>
              <w:t>Department of Home Affairs</w:t>
            </w:r>
            <w:r>
              <w:rPr>
                <w:rFonts w:eastAsia="Cambria" w:cs="Cambria"/>
                <w:b w:val="false"/>
                <w:bCs w:val="false"/>
                <w:i w:val="false"/>
                <w:iCs w:val="false"/>
                <w:sz w:val="20"/>
                <w:szCs w:val="20"/>
              </w:rPr>
              <w:t xml:space="preserve"> (der australischen Einwanderungs- und Grenzschutzbehörde). Einen Botschaftstermin wie bei anderen Zielländern gibt es für die meisten Visa nicht.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Punktebasierte Visa laufen über </w:t>
            </w:r>
            <w:r>
              <w:rPr>
                <w:rFonts w:eastAsia="Cambria" w:cs="Cambria"/>
                <w:b w:val="false"/>
                <w:bCs w:val="false"/>
                <w:i/>
                <w:iCs/>
                <w:sz w:val="20"/>
                <w:szCs w:val="20"/>
              </w:rPr>
              <w:t>SkillSelect</w:t>
            </w:r>
            <w:r>
              <w:rPr>
                <w:rFonts w:eastAsia="Cambria" w:cs="Cambria"/>
                <w:b w:val="false"/>
                <w:bCs w:val="false"/>
                <w:i w:val="false"/>
                <w:iCs w:val="false"/>
                <w:sz w:val="20"/>
                <w:szCs w:val="20"/>
              </w:rPr>
              <w:t xml:space="preserve">: erst die </w:t>
            </w:r>
            <w:r>
              <w:rPr>
                <w:rFonts w:eastAsia="Cambria" w:cs="Cambria"/>
                <w:b w:val="false"/>
                <w:bCs w:val="false"/>
                <w:i/>
                <w:iCs/>
                <w:sz w:val="20"/>
                <w:szCs w:val="20"/>
              </w:rPr>
              <w:t>Expression of Interest</w:t>
            </w:r>
            <w:r>
              <w:rPr>
                <w:rFonts w:eastAsia="Cambria" w:cs="Cambria"/>
                <w:b w:val="false"/>
                <w:bCs w:val="false"/>
                <w:i w:val="false"/>
                <w:iCs w:val="false"/>
                <w:sz w:val="20"/>
                <w:szCs w:val="20"/>
              </w:rPr>
              <w:t xml:space="preserve"> (EOI, die Interessensbekundung), dann die Einladung, dann 60 Tage Zeit für den formellen Antrag.</w:t>
            </w:r>
          </w:p>
          <w:p>
            <w:pPr>
              <w:pStyle w:val="ListParagraph"/>
              <w:numPr>
                <w:ilvl w:val="0"/>
                <w:numId w:val="1"/>
              </w:numPr>
              <w:spacing w:lineRule="exact" w:line="264" w:before="0" w:after="50"/>
              <w:rPr/>
            </w:pPr>
            <w:r>
              <w:rPr>
                <w:rFonts w:eastAsia="Cambria" w:cs="Cambria"/>
                <w:b w:val="false"/>
                <w:bCs w:val="false"/>
                <w:i w:val="false"/>
                <w:iCs w:val="false"/>
                <w:sz w:val="20"/>
                <w:szCs w:val="20"/>
              </w:rPr>
              <w:t>Die Kosten hängen extrem vom Visumtyp ab: Working Holiday ab 840 AUD, Skilled-Visa (189/190/491) ab rund 6.135 AUD je Hauptantragsteller, dazu Zusatzkosten für Gesundheitscheck, Führungszeugnisse und eventuell eine Migrationsberatung.</w:t>
            </w:r>
          </w:p>
          <w:p>
            <w:pPr>
              <w:pStyle w:val="ListParagraph"/>
              <w:numPr>
                <w:ilvl w:val="0"/>
                <w:numId w:val="1"/>
              </w:numPr>
              <w:spacing w:lineRule="exact" w:line="264" w:before="0" w:after="50"/>
              <w:rPr/>
            </w:pPr>
            <w:r>
              <w:rPr>
                <w:rFonts w:eastAsia="Cambria" w:cs="Cambria"/>
                <w:b w:val="false"/>
                <w:bCs w:val="false"/>
                <w:i w:val="false"/>
                <w:iCs w:val="false"/>
                <w:sz w:val="20"/>
                <w:szCs w:val="20"/>
              </w:rPr>
              <w:t>Gesundheitsuntersuchung und Charaktertest sind eigene Pflichtschritte mit eigenen Fristen – plane sie nicht als Fußnote ein.</w:t>
            </w:r>
          </w:p>
          <w:p>
            <w:pPr>
              <w:pStyle w:val="ListParagraph"/>
              <w:numPr>
                <w:ilvl w:val="0"/>
                <w:numId w:val="1"/>
              </w:numPr>
              <w:spacing w:lineRule="exact" w:line="264" w:before="0" w:after="50"/>
              <w:rPr/>
            </w:pPr>
            <w:r>
              <w:rPr>
                <w:rFonts w:eastAsia="Cambria" w:cs="Cambria"/>
                <w:b w:val="false"/>
                <w:bCs w:val="false"/>
                <w:i w:val="false"/>
                <w:iCs w:val="false"/>
                <w:sz w:val="20"/>
                <w:szCs w:val="20"/>
              </w:rPr>
              <w:t>Bearbeitungszeiten schwanken zwischen wenigen Wochen und über einem Jahr, je nach Subclass und aktueller Priorisierung.</w:t>
            </w:r>
          </w:p>
          <w:p>
            <w:pPr>
              <w:pStyle w:val="ListParagraph"/>
              <w:numPr>
                <w:ilvl w:val="0"/>
                <w:numId w:val="1"/>
              </w:numPr>
              <w:spacing w:lineRule="exact" w:line="264" w:before="0" w:after="50"/>
              <w:rPr/>
            </w:pPr>
            <w:r>
              <w:rPr>
                <w:rFonts w:eastAsia="Cambria" w:cs="Cambria"/>
                <w:b w:val="false"/>
                <w:bCs w:val="false"/>
                <w:i w:val="false"/>
                <w:iCs w:val="false"/>
                <w:sz w:val="20"/>
                <w:szCs w:val="20"/>
              </w:rPr>
              <w:t>Die deutsche Botschaft und die Konsulate in Australien helfen bei deutschen Dokumenten, aber nicht beim australischen Visumantrag selbst – das entscheidet ausschließlich Home Affairs.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System: SkillSelect, EOI und ImmiAccount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einen punktebasierten Weg geht – Subclass 189 (Skilled Independent), 190 (Skilled Nominated) oder 491 (Skilled Work Regional) –, beginnt nicht mit einem Antrag, sondern mit einer Absichtserklärung. Die </w:t>
      </w:r>
      <w:r>
        <w:rPr>
          <w:rFonts w:eastAsia="Cambria" w:cs="Cambria"/>
          <w:b w:val="false"/>
          <w:bCs w:val="false"/>
          <w:i/>
          <w:iCs/>
          <w:sz w:val="22"/>
          <w:szCs w:val="22"/>
        </w:rPr>
        <w:t>Expression of Interest</w:t>
      </w:r>
      <w:r>
        <w:rPr>
          <w:rFonts w:eastAsia="Cambria" w:cs="Cambria"/>
          <w:b w:val="false"/>
          <w:bCs w:val="false"/>
          <w:i w:val="false"/>
          <w:iCs w:val="false"/>
          <w:sz w:val="22"/>
          <w:szCs w:val="22"/>
        </w:rPr>
        <w:t xml:space="preserve"> reichst du über </w:t>
      </w:r>
      <w:r>
        <w:rPr>
          <w:rFonts w:eastAsia="Cambria" w:cs="Cambria"/>
          <w:b w:val="false"/>
          <w:bCs w:val="false"/>
          <w:i/>
          <w:iCs/>
          <w:sz w:val="22"/>
          <w:szCs w:val="22"/>
        </w:rPr>
        <w:t>SkillSelect</w:t>
      </w:r>
      <w:r>
        <w:rPr>
          <w:rFonts w:eastAsia="Cambria" w:cs="Cambria"/>
          <w:b w:val="false"/>
          <w:bCs w:val="false"/>
          <w:i w:val="false"/>
          <w:iCs w:val="false"/>
          <w:sz w:val="22"/>
          <w:szCs w:val="22"/>
        </w:rPr>
        <w:t xml:space="preserve"> ein, das Online-System, in dem du Beruf, Abschluss, Berufserfahrung, Englischniveau und Alter einträgst; die Behörde errechnet daraus deine Punktzahl. Voraussetzung ist vorher ein bestandenes </w:t>
      </w:r>
      <w:r>
        <w:rPr>
          <w:rFonts w:eastAsia="Cambria" w:cs="Cambria"/>
          <w:b w:val="false"/>
          <w:bCs w:val="false"/>
          <w:i/>
          <w:iCs/>
          <w:sz w:val="22"/>
          <w:szCs w:val="22"/>
        </w:rPr>
        <w:t>Skills Assessment</w:t>
      </w:r>
      <w:r>
        <w:rPr>
          <w:rFonts w:eastAsia="Cambria" w:cs="Cambria"/>
          <w:b w:val="false"/>
          <w:bCs w:val="false"/>
          <w:i w:val="false"/>
          <w:iCs w:val="false"/>
          <w:sz w:val="22"/>
          <w:szCs w:val="22"/>
        </w:rPr>
        <w:t xml:space="preserve"> (die fachliche Kompetenzbewertung durch eine zuständige Berufsorganisation, etwa Engineers Australia oder VETASSESS), ohne das keine EOI zählt.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EOI selbst ist noch kein Antrag und kostet nichts. Erst wenn Home Affairs oder ein Bundesstaat dich einlädt (</w:t>
      </w:r>
      <w:r>
        <w:rPr>
          <w:rFonts w:eastAsia="Cambria" w:cs="Cambria"/>
          <w:b w:val="false"/>
          <w:bCs w:val="false"/>
          <w:i/>
          <w:iCs/>
          <w:sz w:val="22"/>
          <w:szCs w:val="22"/>
        </w:rPr>
        <w:t>Invitation to Apply</w:t>
      </w:r>
      <w:r>
        <w:rPr>
          <w:rFonts w:eastAsia="Cambria" w:cs="Cambria"/>
          <w:b w:val="false"/>
          <w:bCs w:val="false"/>
          <w:i w:val="false"/>
          <w:iCs w:val="false"/>
          <w:sz w:val="22"/>
          <w:szCs w:val="22"/>
        </w:rPr>
        <w:t>), beginnt die Uhr: Ab der Einladung hast du in der Regel 60 Tage Zeit, den eigentlichen Antrag zu stellen. Verpasst du die Frist, verfällt die Einladung ersatzlos, und du reichst eine neue EOI ein – ganz unten in der Warteschlange.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Antrag läuft komplett über </w:t>
      </w:r>
      <w:r>
        <w:rPr>
          <w:rFonts w:eastAsia="Cambria" w:cs="Cambria"/>
          <w:b w:val="false"/>
          <w:bCs w:val="false"/>
          <w:i/>
          <w:iCs/>
          <w:sz w:val="22"/>
          <w:szCs w:val="22"/>
        </w:rPr>
        <w:t>ImmiAccount</w:t>
      </w:r>
      <w:r>
        <w:rPr>
          <w:rFonts w:eastAsia="Cambria" w:cs="Cambria"/>
          <w:b w:val="false"/>
          <w:bCs w:val="false"/>
          <w:i w:val="false"/>
          <w:iCs w:val="false"/>
          <w:sz w:val="22"/>
          <w:szCs w:val="22"/>
        </w:rPr>
        <w:t>, das zentrale Online-Portal von Home Affairs. Dort legst du ein Konto an, lädst Dokumente hoch, bezahlst die Gebühr per Kreditkarte, verfolgst den Status und erhältst alle Nachrichten der Behörde. Ein Postfach, das du in den folgenden Monaten regelmäßig prüfen solltest: Nachforderungen kommen ausschließlich hier an, nicht per Brief. Arbeitgebergesponserte Visa (etwa Subclass 482) und die Working Holiday (Subclass 417) überspringen SkillSelect komplett und starten direkt in ImmiAccount, sobald Sponsor beziehungsweise Altersvoraussetzung geklärt sind.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Anders als in vielen anderen Zielländern gibt es für die meisten Visumkategorien keinen persönlichen Termin bei einer australischen Auslandsvertretung. Home Affairs entscheidet nach Aktenlage, die du vollständig online einreichst.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der Antrag wirklich kostet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Gebühren unterscheiden sich drastisch je nach Visumtyp, und die Antragsgebühr (</w:t>
      </w:r>
      <w:r>
        <w:rPr>
          <w:rFonts w:eastAsia="Cambria" w:cs="Cambria"/>
          <w:b w:val="false"/>
          <w:bCs w:val="false"/>
          <w:i/>
          <w:iCs/>
          <w:sz w:val="22"/>
          <w:szCs w:val="22"/>
        </w:rPr>
        <w:t>Base Application Charge</w:t>
      </w:r>
      <w:r>
        <w:rPr>
          <w:rFonts w:eastAsia="Cambria" w:cs="Cambria"/>
          <w:b w:val="false"/>
          <w:bCs w:val="false"/>
          <w:i w:val="false"/>
          <w:iCs w:val="false"/>
          <w:sz w:val="22"/>
          <w:szCs w:val="22"/>
        </w:rPr>
        <w:t>) ist nur ein Teil der Rechnung. Dazu kommen in fast jedem Fall Skills Assessment, Englischtest, Gesundheitsuntersuchung und Führungszeugnisse – Posten, die im Kopf oft untergehen.</w:t>
      </w:r>
    </w:p>
    <w:tbl>
      <w:tblPr>
        <w:tblW w:w="6480" w:type="dxa"/>
        <w:jc w:val="left"/>
        <w:tblInd w:w="0" w:type="dxa"/>
        <w:tblLayout w:type="fixed"/>
        <w:tblCellMar>
          <w:top w:w="50" w:type="dxa"/>
          <w:left w:w="80" w:type="dxa"/>
          <w:bottom w:w="50" w:type="dxa"/>
          <w:right w:w="80" w:type="dxa"/>
        </w:tblCellMar>
      </w:tblPr>
      <w:tblGrid>
        <w:gridCol w:w="1881"/>
        <w:gridCol w:w="1219"/>
        <w:gridCol w:w="3380"/>
      </w:tblGrid>
      <w:tr>
        <w:trPr>
          <w:tblHeader w:val="true"/>
          <w:cantSplit w:val="true"/>
        </w:trPr>
        <w:tc>
          <w:tcPr>
            <w:tcW w:w="188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Visumtyp</w:t>
            </w:r>
          </w:p>
        </w:tc>
        <w:tc>
          <w:tcPr>
            <w:tcW w:w="121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Gebühr Hauptantragsteller</w:t>
            </w:r>
          </w:p>
        </w:tc>
        <w:tc>
          <w:tcPr>
            <w:tcW w:w="338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Weitere Kosten</w:t>
            </w:r>
          </w:p>
        </w:tc>
      </w:tr>
      <w:tr>
        <w:trPr>
          <w:cantSplit w:val="true"/>
        </w:trPr>
        <w:tc>
          <w:tcPr>
            <w:tcW w:w="1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Working Holiday (417), Erstantrag</w:t>
            </w:r>
          </w:p>
        </w:tc>
        <w:tc>
          <w:tcPr>
            <w:tcW w:w="12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840 AUD</w:t>
            </w:r>
          </w:p>
        </w:tc>
        <w:tc>
          <w:tcPr>
            <w:tcW w:w="3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gesonderten Zusatzschritte</w:t>
            </w:r>
          </w:p>
        </w:tc>
      </w:tr>
      <w:tr>
        <w:trPr>
          <w:cantSplit w:val="true"/>
        </w:trPr>
        <w:tc>
          <w:tcPr>
            <w:tcW w:w="1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Working Holiday (417), 2./3. Jahr</w:t>
            </w:r>
          </w:p>
        </w:tc>
        <w:tc>
          <w:tcPr>
            <w:tcW w:w="12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1.000 AUD</w:t>
            </w:r>
          </w:p>
        </w:tc>
        <w:tc>
          <w:tcPr>
            <w:tcW w:w="3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Nachweis „specified work“, seit 2026 zusätzlich Losverfahren</w:t>
            </w:r>
          </w:p>
        </w:tc>
      </w:tr>
      <w:tr>
        <w:trPr>
          <w:cantSplit w:val="true"/>
        </w:trPr>
        <w:tc>
          <w:tcPr>
            <w:tcW w:w="1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Skilled Independent (189)</w:t>
            </w:r>
          </w:p>
        </w:tc>
        <w:tc>
          <w:tcPr>
            <w:tcW w:w="12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6.135 AUD</w:t>
            </w:r>
          </w:p>
        </w:tc>
        <w:tc>
          <w:tcPr>
            <w:tcW w:w="3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Skills Assessment, Englischtest, Gesundheitscheck, Führungszeugnisse</w:t>
            </w:r>
          </w:p>
        </w:tc>
      </w:tr>
      <w:tr>
        <w:trPr>
          <w:cantSplit w:val="true"/>
        </w:trPr>
        <w:tc>
          <w:tcPr>
            <w:tcW w:w="1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Skilled Nominated (190)</w:t>
            </w:r>
          </w:p>
        </w:tc>
        <w:tc>
          <w:tcPr>
            <w:tcW w:w="12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6.135–6.140 AUD</w:t>
            </w:r>
          </w:p>
        </w:tc>
        <w:tc>
          <w:tcPr>
            <w:tcW w:w="3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plus Nominierungsgebühr des Bundesstaats</w:t>
            </w:r>
          </w:p>
        </w:tc>
      </w:tr>
      <w:tr>
        <w:trPr>
          <w:cantSplit w:val="true"/>
        </w:trPr>
        <w:tc>
          <w:tcPr>
            <w:tcW w:w="1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Skills in Demand (482)</w:t>
            </w:r>
          </w:p>
        </w:tc>
        <w:tc>
          <w:tcPr>
            <w:tcW w:w="12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4.015 AUD</w:t>
            </w:r>
          </w:p>
        </w:tc>
        <w:tc>
          <w:tcPr>
            <w:tcW w:w="3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Nominierungsgebühr trägt der Arbeitgeber</w:t>
            </w:r>
          </w:p>
        </w:tc>
      </w:tr>
      <w:tr>
        <w:trPr>
          <w:cantSplit w:val="true"/>
        </w:trPr>
        <w:tc>
          <w:tcPr>
            <w:tcW w:w="1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Student (500)</w:t>
            </w:r>
          </w:p>
        </w:tc>
        <w:tc>
          <w:tcPr>
            <w:tcW w:w="12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2.500 AUD</w:t>
            </w:r>
          </w:p>
        </w:tc>
        <w:tc>
          <w:tcPr>
            <w:tcW w:w="3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Overseas Student Health Cover Pflicht</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(Stand nach der Gebührenrunde vom 1. Juli 2026; alle Beträge je Hauptantragsteller, Partner und Kinder zahlen bei den meisten Kategorien anteilig mit.)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eine vierköpfige Familie auf dem Skilled-Independent-Weg kommen allein an Antragsgebühren schnell mehrere Zehntausend AUD zusammen, sobald Partner und Kinder mitgezählt werden – die genaue Staffelung zeigt ImmiAccount erst beim Ausfüllen, weil sie vom Alter der Kinder abhängt. Dazu kommen das Skills Assessment (je nach Berufsverband unterschiedlich, oft mehrere hundert AUD), ein anerkannter Englischtest wie IELTS oder PTE (rund 300–400 AUD), die Gesundheitsuntersuchung (150–400 AUD je Person) und die Führungszeugnisse. Wer daneben eine Migrationsberatung beauftragt, addiert deren Honorar.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Bezahle die ImmiAccount-Gebühr erst, wenn wirklich alle Unterlagen bereitliegen. Ein unvollständig eingereichter Antrag lässt sich zwar nachbessern, die Gebühr ist bei Ablehnung aber ebenso futsch wie bei Genehmigung – eine Kulanzrunde wie beim deutschen Bürgeramt gibt es hier nicht.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Bearbeitungszeiten: realistisch planen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Home Affairs veröffentlicht monatlich aktualisierte Bearbeitungszeiten, jeweils als 50- und 90-Perzentil: Die Hälfte der Fälle ist nach der ersten Zahl entschieden, neun von zehn nach der zweiten. Zum Stand September 2026 galt grob: Subclass 189 rund 7 bis 8 Monate, Subclass 190 zwischen 5 und 17 Monaten (die Spanne ist bei diesem Visum besonders groß), Subclass 482 oft nur 57 Tage bis 9 Monate. Seit dem 19. September 2026 gelten neue </w:t>
      </w:r>
      <w:r>
        <w:rPr>
          <w:rFonts w:eastAsia="Cambria" w:cs="Cambria"/>
          <w:b w:val="false"/>
          <w:bCs w:val="false"/>
          <w:i/>
          <w:iCs/>
          <w:sz w:val="22"/>
          <w:szCs w:val="22"/>
        </w:rPr>
        <w:t>Ministerial Directions</w:t>
      </w:r>
      <w:r>
        <w:rPr>
          <w:rFonts w:eastAsia="Cambria" w:cs="Cambria"/>
          <w:b w:val="false"/>
          <w:bCs w:val="false"/>
          <w:i w:val="false"/>
          <w:iCs w:val="false"/>
          <w:sz w:val="22"/>
          <w:szCs w:val="22"/>
        </w:rPr>
        <w:t xml:space="preserve"> (121 und 122), die bestimmte Branchen – Bau, Gesundheit, Bildung, Landwirtschaft und Fischerei, Ressourcen, Recht und Verteidigung – bevorzugt bearbeiten lassen. Wer außerhalb dieser Listen arbeitet, wartet tendenziell länger, ohne dass Home Affairs das offen so formuliert.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veröffentlichten Perzentile sind ein grober Kompass, kein Versprechen: Home Affairs weist zusätzlich aus, welche Einreichdaten gerade bearbeitet werden, was oft ein ehrlicheres Bild gibt als die reine Statistik. Praktisch bedeutet das: Kündige deinen Job in Deutschland nicht, bevor die Entscheidung vorliegt, und plane bei Partnervisa – die noch einmal deutlich länger laufen – mit mehreren Jahren bis zur permanenten Stufe.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Eine Einladung zur Antragstellung ist noch keine Zusage. Zwischen EOI und tatsächlicher Ankunft in Australien vergehen bei den Skilled-Visa oft anderthalb bis zwei Jahre. Wer währenddessen Job, Wohnung und Schulplätze in Deutschland kündigt, handelt verfrüht.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Gesundheitsuntersuchung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die meisten permanenten und viele befristete Visa ist eine vollständige </w:t>
      </w:r>
      <w:r>
        <w:rPr>
          <w:rFonts w:eastAsia="Cambria" w:cs="Cambria"/>
          <w:b w:val="false"/>
          <w:bCs w:val="false"/>
          <w:i/>
          <w:iCs/>
          <w:sz w:val="22"/>
          <w:szCs w:val="22"/>
        </w:rPr>
        <w:t>Health Examination</w:t>
      </w:r>
      <w:r>
        <w:rPr>
          <w:rFonts w:eastAsia="Cambria" w:cs="Cambria"/>
          <w:b w:val="false"/>
          <w:bCs w:val="false"/>
          <w:i w:val="false"/>
          <w:iCs w:val="false"/>
          <w:sz w:val="22"/>
          <w:szCs w:val="22"/>
        </w:rPr>
        <w:t xml:space="preserve"> Pflicht – eine freie Arztwahl gibt es dabei nicht. Nach der Antragstellung schickt dir Home Affairs eine </w:t>
      </w:r>
      <w:r>
        <w:rPr>
          <w:rFonts w:eastAsia="Cambria" w:cs="Cambria"/>
          <w:b w:val="false"/>
          <w:bCs w:val="false"/>
          <w:i/>
          <w:iCs/>
          <w:sz w:val="22"/>
          <w:szCs w:val="22"/>
        </w:rPr>
        <w:t>HAP-ID</w:t>
      </w:r>
      <w:r>
        <w:rPr>
          <w:rFonts w:eastAsia="Cambria" w:cs="Cambria"/>
          <w:b w:val="false"/>
          <w:bCs w:val="false"/>
          <w:i w:val="false"/>
          <w:iCs w:val="false"/>
          <w:sz w:val="22"/>
          <w:szCs w:val="22"/>
        </w:rPr>
        <w:t xml:space="preserve"> (Health Assessment Processing ID), mit der du einen Termin bei einem zugelassenen </w:t>
      </w:r>
      <w:r>
        <w:rPr>
          <w:rFonts w:eastAsia="Cambria" w:cs="Cambria"/>
          <w:b w:val="false"/>
          <w:bCs w:val="false"/>
          <w:i/>
          <w:iCs/>
          <w:sz w:val="22"/>
          <w:szCs w:val="22"/>
        </w:rPr>
        <w:t>Panel Physician</w:t>
      </w:r>
      <w:r>
        <w:rPr>
          <w:rFonts w:eastAsia="Cambria" w:cs="Cambria"/>
          <w:b w:val="false"/>
          <w:bCs w:val="false"/>
          <w:i w:val="false"/>
          <w:iCs w:val="false"/>
          <w:sz w:val="22"/>
          <w:szCs w:val="22"/>
        </w:rPr>
        <w:t xml:space="preserve"> (einem von Home Affairs anerkannten Arzt) buchst; eine Liste findet sich über ImmiAccount. Je nach Alter gehören eine allgemeine Untersuchung, ein Röntgenbild des Brustkorbs (ab 11 Jahren), ein HIV-Test und ein Nierenwert (ab 15 Jahren) sowie bei Geburt in einem Risikoland ein Hepatitis-B-Test dazu.</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Kosten liegen je nach Testumfang bei 150 bis 400 AUD pro Person, direkt beim Arzt zu zahlen. Die Ergebnisse gehen digital an Home Affairs, meist innerhalb von fünf bis zehn Werktagen; bei Auffälligkeiten und nötiger fachärztlicher Nachprüfung dauert es zwei bis vier Wochen länger. Buche den Termin zügig, sobald die HAP-ID vorliegt – Panel Physicians sind nicht an jeder deutschen Ecke zu finden, und ein voller Terminkalender verzögert sonst den ganzen Antrag.</w:t>
      </w:r>
    </w:p>
    <w:p>
      <w:pPr>
        <w:pStyle w:val="Heading3"/>
        <w:keepNext w:val="true"/>
        <w:spacing w:before="280" w:after="100"/>
        <w:jc w:val="center"/>
        <w:rPr/>
      </w:pPr>
      <w:r>
        <w:rPr>
          <w:rFonts w:eastAsia="Amazon Ember" w:cs="Amazon Ember" w:ascii="Amazon Ember" w:hAnsi="Amazon Ember"/>
          <w:b/>
          <w:bCs/>
          <w:color w:val="0000FF"/>
          <w:sz w:val="36"/>
          <w:szCs w:val="36"/>
        </w:rPr>
        <w:t>Charaktertest und Führungszeugnis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Section 501 des </w:t>
      </w:r>
      <w:r>
        <w:rPr>
          <w:rFonts w:eastAsia="Cambria" w:cs="Cambria"/>
          <w:b w:val="false"/>
          <w:bCs w:val="false"/>
          <w:i/>
          <w:iCs/>
          <w:sz w:val="22"/>
          <w:szCs w:val="22"/>
        </w:rPr>
        <w:t>Migration Act 1958</w:t>
      </w:r>
      <w:r>
        <w:rPr>
          <w:rFonts w:eastAsia="Cambria" w:cs="Cambria"/>
          <w:b w:val="false"/>
          <w:bCs w:val="false"/>
          <w:i w:val="false"/>
          <w:iCs w:val="false"/>
          <w:sz w:val="22"/>
          <w:szCs w:val="22"/>
        </w:rPr>
        <w:t xml:space="preserve"> verlangt, dass jeder Antragsteller den </w:t>
      </w:r>
      <w:r>
        <w:rPr>
          <w:rFonts w:eastAsia="Cambria" w:cs="Cambria"/>
          <w:b w:val="false"/>
          <w:bCs w:val="false"/>
          <w:i/>
          <w:iCs/>
          <w:sz w:val="22"/>
          <w:szCs w:val="22"/>
        </w:rPr>
        <w:t>Character Test</w:t>
      </w:r>
      <w:r>
        <w:rPr>
          <w:rFonts w:eastAsia="Cambria" w:cs="Cambria"/>
          <w:b w:val="false"/>
          <w:bCs w:val="false"/>
          <w:i w:val="false"/>
          <w:iCs w:val="false"/>
          <w:sz w:val="22"/>
          <w:szCs w:val="22"/>
        </w:rPr>
        <w:t xml:space="preserve"> besteht – in der Praxis heißt das: ein </w:t>
      </w:r>
      <w:r>
        <w:rPr>
          <w:rFonts w:eastAsia="Cambria" w:cs="Cambria"/>
          <w:b w:val="false"/>
          <w:bCs w:val="false"/>
          <w:i/>
          <w:iCs/>
          <w:sz w:val="22"/>
          <w:szCs w:val="22"/>
        </w:rPr>
        <w:t>Police Certificate</w:t>
      </w:r>
      <w:r>
        <w:rPr>
          <w:rFonts w:eastAsia="Cambria" w:cs="Cambria"/>
          <w:b w:val="false"/>
          <w:bCs w:val="false"/>
          <w:i w:val="false"/>
          <w:iCs w:val="false"/>
          <w:sz w:val="22"/>
          <w:szCs w:val="22"/>
        </w:rPr>
        <w:t xml:space="preserve"> (polizeiliches Führungszeugnis) aus jedem Land, in dem du seit deinem 16. Geburtstag innerhalb der letzten zehn Jahre kumulativ mehr als 12 Monate gelebt hast. Das Zeugnis muss den gesamten Zeitraum seit dem 16. Geburtstag abdecken, nicht nur die tatsächliche Aufenthaltszeit, und gilt ab Ausstellung 12 Monate. Wer zusätzlich schon einmal 12 Monate oder länger in Australien gelebt hat, braucht ein </w:t>
      </w:r>
      <w:r>
        <w:rPr>
          <w:rFonts w:eastAsia="Cambria" w:cs="Cambria"/>
          <w:b w:val="false"/>
          <w:bCs w:val="false"/>
          <w:i/>
          <w:iCs/>
          <w:sz w:val="22"/>
          <w:szCs w:val="22"/>
        </w:rPr>
        <w:t>National Police Check</w:t>
      </w:r>
      <w:r>
        <w:rPr>
          <w:rFonts w:eastAsia="Cambria" w:cs="Cambria"/>
          <w:b w:val="false"/>
          <w:bCs w:val="false"/>
          <w:i w:val="false"/>
          <w:iCs w:val="false"/>
          <w:sz w:val="22"/>
          <w:szCs w:val="22"/>
        </w:rPr>
        <w:t xml:space="preserve"> der australischen Bundespolizei (AFP).</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die meisten deutschen Antragsteller reicht das deutsche Führungszeugnis vom Bundesamt für Justiz, ausgestellt zur Vorlage bei einer Behörde im Ausland. Es kostet 13 €, die Beantragung läuft online oder beim Einwohnermeldeamt. Für Australien reicht das einfache Führungszeugnis allein aber nicht: Home Affairs verlangt eine </w:t>
      </w:r>
      <w:r>
        <w:rPr>
          <w:rFonts w:eastAsia="Cambria" w:cs="Cambria"/>
          <w:b w:val="false"/>
          <w:bCs w:val="false"/>
          <w:i/>
          <w:iCs/>
          <w:sz w:val="22"/>
          <w:szCs w:val="22"/>
        </w:rPr>
        <w:t>Apostille</w:t>
      </w:r>
      <w:r>
        <w:rPr>
          <w:rFonts w:eastAsia="Cambria" w:cs="Cambria"/>
          <w:b w:val="false"/>
          <w:bCs w:val="false"/>
          <w:i w:val="false"/>
          <w:iCs w:val="false"/>
          <w:sz w:val="22"/>
          <w:szCs w:val="22"/>
        </w:rPr>
        <w:t>, die internationale Beglaubigung nach dem Haager Übereinkommen. Zuständig dafür ist in Deutschland das Bundesamt für Auswärtige Angelegenheiten (BfAA) – und hier lauert eine echte Falle: Die Apostille musst du bereits bei der Beantragung des Führungszeugnisses über das Online-Datenformular des BfAA mitbestellen, ein nachträgliches Anfügen ist auf diesem Weg nicht vorgesehen. Für die Apostille fallen außerdem 25 € an.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das Führungszeugnis zuerst beim Bundesamt für Justiz bestellt und erst danach an die Apostille denkt, muss den gesamten Vorgang wiederholen. Beantrage beides in einem Rutsch über das BfAA-Portal, bevor du beim Bundesamt für Justiz überhaupt auf „Absenden“ klickst.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Viele glauben, ein einfaches polizeiliches Führungszeugnis genüge für jede ausländische Behörde. Tatsächlich verlangt Home Affairs bei fast allen Visa-Subclasses die apostillierte Fassung, und ein fehlendes oder abgelaufenes Zeugnis kann den gesamten Antrag verzögern, selbst wenn alle anderen Unterlagen längst vollständig sind.</w:t>
      </w:r>
    </w:p>
    <w:p>
      <w:pPr>
        <w:pStyle w:val="Heading3"/>
        <w:keepNext w:val="true"/>
        <w:spacing w:before="280" w:after="100"/>
        <w:jc w:val="center"/>
        <w:rPr/>
      </w:pPr>
      <w:r>
        <w:rPr>
          <w:rFonts w:eastAsia="Amazon Ember" w:cs="Amazon Ember" w:ascii="Amazon Ember" w:hAnsi="Amazon Ember"/>
          <w:b/>
          <w:bCs/>
          <w:color w:val="0000FF"/>
          <w:sz w:val="36"/>
          <w:szCs w:val="36"/>
        </w:rPr>
        <w:t>Migration Agent oder alleine durch den Antrag?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Anders als in den USA gibt es in Australien keinen eigenen Berufsstand von Einwanderungsanwälten mit Kammerpflicht, sondern </w:t>
      </w:r>
      <w:r>
        <w:rPr>
          <w:rFonts w:eastAsia="Cambria" w:cs="Cambria"/>
          <w:b w:val="false"/>
          <w:bCs w:val="false"/>
          <w:i/>
          <w:iCs/>
          <w:sz w:val="22"/>
          <w:szCs w:val="22"/>
        </w:rPr>
        <w:t>Registered Migration Agents</w:t>
      </w:r>
      <w:r>
        <w:rPr>
          <w:rFonts w:eastAsia="Cambria" w:cs="Cambria"/>
          <w:b w:val="false"/>
          <w:bCs w:val="false"/>
          <w:i w:val="false"/>
          <w:iCs w:val="false"/>
          <w:sz w:val="22"/>
          <w:szCs w:val="22"/>
        </w:rPr>
        <w:t xml:space="preserve">, reguliert von der </w:t>
      </w:r>
      <w:r>
        <w:rPr>
          <w:rFonts w:eastAsia="Cambria" w:cs="Cambria"/>
          <w:b w:val="false"/>
          <w:bCs w:val="false"/>
          <w:i/>
          <w:iCs/>
          <w:sz w:val="22"/>
          <w:szCs w:val="22"/>
        </w:rPr>
        <w:t>Office of the Migration Agents Registration Authority</w:t>
      </w:r>
      <w:r>
        <w:rPr>
          <w:rFonts w:eastAsia="Cambria" w:cs="Cambria"/>
          <w:b w:val="false"/>
          <w:bCs w:val="false"/>
          <w:i w:val="false"/>
          <w:iCs w:val="false"/>
          <w:sz w:val="22"/>
          <w:szCs w:val="22"/>
        </w:rPr>
        <w:t xml:space="preserve"> (OMARA), die zu Home Affairs gehört. Wer gegen Bezahlung Migrationsberatung anbietet – Formulare ausfüllen, Anträge einreichen, Strategie empfehlen –, muss dort registriert sein; auch Rechtsanwälte mit australischer Zulassung dürfen migrationsrechtlich beraten. Das öffentliche Register auf dem OMARA-Self-Service-Portal zeigt, ob eine Person aktuell registriert ist und ob ein Disziplinarverfahren läuft – ein Blick, der sich vor jeder Zahlung lohnt. Seit dem 1. April 2026 gelten zudem neue Migration Agents Regulations, die die Aufsicht über den Berufsstand verschärft haben.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eine unkomplizierte Working Holiday brauchst du in der Regel keinen Agenten: Das Formular ist selbsterklärend, die Voraussetzungen sind klar. Bei punktebasierten Visa mit Skills Assessment, Nominierung und mehreren Familienmitgliedern kann ein registrierter Agent dagegen echte Fehler vermeiden – vor allem, wenn Berufslisten und Bundesstaaten-Programme ins Spiel kommen, die sich jährlich ändern. Ein Agent ersetzt aber keine Garantie: Niemand kann eine Einladung oder eine Genehmigung versprechen, und wer das behauptet, verkauft dir vor allem eine hübsch formulierte Rechnung.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Warnsignale sind dieselben wie überall: Erfolgsgarantie, Drängen auf sofortige Vorkasse per Überweisung an ein Privatkonto, keine schriftliche Honorarvereinbarung, angebliche „Kontakte“ bei Home Affairs, die den Prozess beschleunigen sollen. Home Affairs entscheidet ausschließlich nach Aktenlage; gute Beziehungen helfen dabei ungefähr so viel wie ein Regenschirm gegen Sonnenbrand.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beschreibt Verfahren und Praxis, keine Rechtsberatung. Bei komplexen Fällen – Vorstrafen, frühere Visumsablehnungen, ungewöhnliche Familienkonstellationen – lohnt sich die Beratung durch einen registrierten Migration Agent oder eine australische Anwältin mit Migrationsrecht als Schwerpunkt.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deutsche Auslandsvertretung in Australien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Viele Auswanderer erwarten, dass die deutsche Botschaft oder ein Konsulat beim australischen Visumantrag hilft oder zumindest vermittelt. Das ist nicht deren Aufgabe: Über die Erteilung eines australischen Visums entscheidet ausschließlich Home Affairs, und keine deutsche Stelle hat darauf Einfluss. Die deutschen Vertretungen sind für deutsche Angelegenheiten zuständig – Pass, Personalausweis, Beglaubigungen, Notfallhilfe für deutsche Staatsangehörige –, nicht für australisches Verwaltungsrecht.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Australien gliedert sich das Netz so: Die Deutsche Botschaft in Canberra betreut ausschließlich die dort ansässigen Deutschen im Australian Capital Territory. Für den gesamten Rest des Landes – zusätzlich Papua-Neuguinea, Nauru, die Salomonen und Vanuatu – ist das Generalkonsulat in Sydney zuständig. Ergänzt wird das durch Honorarkonsuln in Melbourne, Adelaide, Brisbane, Cairns, Darwin, Hobart und Perth: meist ortsansässige Persönlichkeiten, die ehrenamtlich einen eingeschränkten Service anbieten, etwa Beglaubigungen oder die Weiterleitung von Passanträgen, aber keine vollständige Konsularabteilung ersetzen.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Familie Reinhardt mit Ziel Melbourne heißt das konkret: Der Honorarkonsul vor Ort hilft bei kleineren Formalitäten, für einen neuen Reisepass oder umfangreichere Beglaubigungen bleibt der Weg zum Generalkonsulat nach Sydney, teils auch postalisch möglich. Wer die apostillierte Fassung eines Dokuments noch in Deutschland braucht, erledigt das ohnehin vor dem Abflug – danach hilft in Australien niemand mehr rückwirkend weiter.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deutsche Auslandsvertretung ist deine Anlaufstelle für deutsche Dokumente und Notfälle, nicht für den australischen Visumantrag. Das erledigst du ausschließlich selbst über ImmiAccount, notfalls mit einem registrierten Migration Agent.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Migration Agent neben dem Alleingang über ImmiAccount:</w:t>
      </w:r>
    </w:p>
    <w:tbl>
      <w:tblPr>
        <w:tblW w:w="6480" w:type="dxa"/>
        <w:jc w:val="left"/>
        <w:tblInd w:w="0" w:type="dxa"/>
        <w:tblLayout w:type="fixed"/>
        <w:tblCellMar>
          <w:top w:w="50" w:type="dxa"/>
          <w:left w:w="80" w:type="dxa"/>
          <w:bottom w:w="50" w:type="dxa"/>
          <w:right w:w="80" w:type="dxa"/>
        </w:tblCellMar>
      </w:tblPr>
      <w:tblGrid>
        <w:gridCol w:w="3127"/>
        <w:gridCol w:w="3352"/>
      </w:tblGrid>
      <w:tr>
        <w:trPr>
          <w:tblHeader w:val="true"/>
          <w:cantSplit w:val="true"/>
        </w:trPr>
        <w:tc>
          <w:tcPr>
            <w:tcW w:w="312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35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1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Kennt aktuelle Berufslisten und Fristen im Detail</w:t>
            </w:r>
          </w:p>
        </w:tc>
        <w:tc>
          <w:tcPr>
            <w:tcW w:w="33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Zusätzliches Honorar, oft mehrere Tausend AUD</w:t>
            </w:r>
          </w:p>
        </w:tc>
      </w:tr>
      <w:tr>
        <w:trPr>
          <w:cantSplit w:val="true"/>
        </w:trPr>
        <w:tc>
          <w:tcPr>
            <w:tcW w:w="31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Prüft Unterlagen vor der Einreichung auf Lücken</w:t>
            </w:r>
          </w:p>
        </w:tc>
        <w:tc>
          <w:tcPr>
            <w:tcW w:w="33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Ersetzt keine Garantie für Einladung oder Genehmigung</w:t>
            </w:r>
          </w:p>
        </w:tc>
      </w:tr>
      <w:tr>
        <w:trPr>
          <w:cantSplit w:val="true"/>
        </w:trPr>
        <w:tc>
          <w:tcPr>
            <w:tcW w:w="31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Kommuniziert bei Nachforderungen mit Home Affairs</w:t>
            </w:r>
          </w:p>
        </w:tc>
        <w:tc>
          <w:tcPr>
            <w:tcW w:w="33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Verantwortung für wahrheitsgemäße Angaben bleibt bei dir</w:t>
            </w:r>
          </w:p>
        </w:tc>
      </w:tr>
      <w:tr>
        <w:trPr>
          <w:cantSplit w:val="true"/>
        </w:trPr>
        <w:tc>
          <w:tcPr>
            <w:tcW w:w="31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Sinnvoll bei Vorstrafen, Ablehnungen, Sonderfällen</w:t>
            </w:r>
          </w:p>
        </w:tc>
        <w:tc>
          <w:tcPr>
            <w:tcW w:w="33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 einer einfachen Working Holiday meist unnötig</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Reinhardt (Thomas, 41, Bauingenieur; Sandra, 39, Krankenpflegerin; Köln) reicht die EOI für Subclass 189 mit 95 Punkten ein und wird nach 14 Monaten eingeladen. Innerhalb der 60-Tage-Frist stellen sie den Antrag für alle vier über ImmiAccount: 6.135 AUD für Thomas, anteilige Gebühren für Sandra, Emil und Clara, macht zusammen deutlich über 10.000 AUD. Die Gesundheitsuntersuchung bei einem Panel Physician in Köln kostet für die Familie rund 900 AUD, die vier Führungszeugnisse mit Apostille je 38 €. Sandra hat vor Jahren ein Jahr in Neuseeland gearbeitet und muss dafür zusätzlich ein neuseeländisches Führungszeugnis nachreichen – daran hatte am Küchentisch zunächst niemand gedacht. Nach acht Monaten liegt die Genehmigung vor. (Fiktives Beispiel.)</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Nina Voss (27, Marketing, Hamburg) beantragt ihr Working-Holiday-Visum (Subclass 417) an einem Sonntagabend vom Sofa aus: Formular in ImmiAccount, 840 AUD Gebühr, keine Gesundheitsuntersuchung, kein Führungszeugnis nötig. Drei Tage später liegt die Genehmigung im Postfach – schneller, als ihr Wäschetrockner ein Programm durchläuft. Der Unterschied zum Verfahren der Familie Reinhardt könnte kaum größer sein: gleiches Land, gleiche Behörde, vollkommen andere Größenordnung. (Fiktives Beispiel.)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Kläre zuerst, welcher Visumtyp überhaupt infrage kommt – das entscheidet, ob ein Skills Assessment und eine EOI nötig sind oder ob du direkt in ImmiAccount startest. Bestelle Führungszeugnis und Apostille frühzeitig und in einem Rutsch, buche den Termin für die Gesundheitsuntersuchung, sobald die HAP-ID da ist, und entscheide bewusst, ob ein registrierter Migration Agent für deinen Fall einen Unterschied macht.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Visumtyp und Weg geklärt (punktebasiert, arbeitgebergesponsert, Working Holiday)</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punktebasiertem Weg: Skills Assessment beantragt, EOI in SkillSelect eingereicht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ImmiAccount angelegt, Benachrichtigungen aktiviert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Alle Gebühren realistisch kalkuliert: Antrag, Skills Assessment, Englischtest, Gesundheitscheck, Führungszeugnisse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Führungszeugnis mit Apostille in einem Schritt über das BfAA-Portal beantragt, für jedes Land mit über 12 Monaten Aufenthalt seit dem 16. Geburtstag</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Gesundheitsuntersuchung bei einem zugelassenen Panel Physician terminiert, sobald die HAP-ID vorliegt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Entschieden, ob ein registrierter Migration Agent sinnvoll ist; Registrierung im OMARA-Portal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Aktuelle Bearbeitungszeiten auf der Home-Affairs-Seite geprüft, Job und Wohnung in Deutschland erst nach der Genehmigung gekündigt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Department of Home Affairs — Visa, Gebühren, ImmiAccount: </w:t>
      </w:r>
      <w:hyperlink r:id="rId445">
        <w:r>
          <w:rPr>
            <w:rStyle w:val="ListLabel113"/>
            <w:rFonts w:eastAsia="Cambria" w:cs="Cambria"/>
            <w:b w:val="false"/>
            <w:bCs w:val="false"/>
            <w:i w:val="false"/>
            <w:iCs w:val="false"/>
            <w:color w:val="0563C1"/>
            <w:sz w:val="22"/>
            <w:szCs w:val="22"/>
            <w:u w:val="single"/>
          </w:rPr>
          <w:t>immi.homeaffairs.gov.au</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Department of Home Affairs — SkillSelect: </w:t>
      </w:r>
      <w:hyperlink r:id="rId446">
        <w:r>
          <w:rPr>
            <w:rStyle w:val="ListLabel113"/>
            <w:rFonts w:eastAsia="Cambria" w:cs="Cambria"/>
            <w:b w:val="false"/>
            <w:bCs w:val="false"/>
            <w:i w:val="false"/>
            <w:iCs w:val="false"/>
            <w:color w:val="0563C1"/>
            <w:sz w:val="22"/>
            <w:szCs w:val="22"/>
            <w:u w:val="single"/>
          </w:rPr>
          <w:t>immi.homeaffairs.gov.au/visas/working-in-australia/skillselect</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Department of Home Affairs — Bearbeitungszeiten: </w:t>
      </w:r>
      <w:hyperlink r:id="rId447">
        <w:r>
          <w:rPr>
            <w:rStyle w:val="ListLabel113"/>
            <w:rFonts w:eastAsia="Cambria" w:cs="Cambria"/>
            <w:b w:val="false"/>
            <w:bCs w:val="false"/>
            <w:i w:val="false"/>
            <w:iCs w:val="false"/>
            <w:color w:val="0563C1"/>
            <w:sz w:val="22"/>
            <w:szCs w:val="22"/>
            <w:u w:val="single"/>
          </w:rPr>
          <w:t>immi.homeaffairs.gov.au/visas/getting-a-visa/visa-processing-times</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OMARA — Register der Migration Agents: </w:t>
      </w:r>
      <w:hyperlink r:id="rId448">
        <w:r>
          <w:rPr>
            <w:rStyle w:val="ListLabel113"/>
            <w:rFonts w:eastAsia="Cambria" w:cs="Cambria"/>
            <w:b w:val="false"/>
            <w:bCs w:val="false"/>
            <w:i w:val="false"/>
            <w:iCs w:val="false"/>
            <w:color w:val="0563C1"/>
            <w:sz w:val="22"/>
            <w:szCs w:val="22"/>
            <w:u w:val="single"/>
          </w:rPr>
          <w:t>portal.mara.gov.au</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Bundesamt für Justiz — Führungszeugnis: </w:t>
      </w:r>
      <w:hyperlink r:id="rId449">
        <w:r>
          <w:rPr>
            <w:rStyle w:val="ListLabel113"/>
            <w:rFonts w:eastAsia="Cambria" w:cs="Cambria"/>
            <w:b w:val="false"/>
            <w:bCs w:val="false"/>
            <w:i w:val="false"/>
            <w:iCs w:val="false"/>
            <w:color w:val="0563C1"/>
            <w:sz w:val="22"/>
            <w:szCs w:val="22"/>
            <w:u w:val="single"/>
          </w:rPr>
          <w:t>bundesjustizamt.de</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Bundesamt für Auswärtige Angelegenheiten — Apostille: </w:t>
      </w:r>
      <w:hyperlink r:id="rId450">
        <w:r>
          <w:rPr>
            <w:rStyle w:val="ListLabel113"/>
            <w:rFonts w:eastAsia="Cambria" w:cs="Cambria"/>
            <w:b w:val="false"/>
            <w:bCs w:val="false"/>
            <w:i w:val="false"/>
            <w:iCs w:val="false"/>
            <w:color w:val="0563C1"/>
            <w:sz w:val="22"/>
            <w:szCs w:val="22"/>
            <w:u w:val="single"/>
          </w:rPr>
          <w:t>bfaa.diplo.de</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Deutsche Vertretungen in Australien: </w:t>
      </w:r>
      <w:hyperlink r:id="rId451">
        <w:r>
          <w:rPr>
            <w:rStyle w:val="ListLabel113"/>
            <w:rFonts w:eastAsia="Cambria" w:cs="Cambria"/>
            <w:b w:val="false"/>
            <w:bCs w:val="false"/>
            <w:i w:val="false"/>
            <w:iCs w:val="false"/>
            <w:color w:val="0563C1"/>
            <w:sz w:val="22"/>
            <w:szCs w:val="22"/>
            <w:u w:val="single"/>
          </w:rPr>
          <w:t>australien.diplo.de</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schnell: Gebühren (letzte große Runde 1. Juli 2026), Bearbeitungszeiten (monatlich aktualisiert), die Priorisierung nach Ministerial Directions 121/122 (seit 19. September 2026) sowie die Details des Working-Holiday-Losverfahrens für das zweite Jahr. Prüfe vor jeder Entscheidung immi.homeaffairs.gov.au und die Seiten der deutschen Vertretungen.</w:t>
            </w:r>
          </w:p>
        </w:tc>
      </w:tr>
    </w:tbl>
    <w:p>
      <w:pPr>
        <w:pStyle w:val="Normal"/>
        <w:spacing w:lineRule="exact" w:line="220" w:before="0" w:after="0"/>
        <w:rPr/>
      </w:pPr>
      <w:r>
        <w:rPr/>
      </w:r>
      <w:r>
        <w:br w:type="page"/>
      </w:r>
    </w:p>
    <w:p>
      <w:pPr>
        <w:pStyle w:val="Heading2"/>
        <w:keepNext w:val="true"/>
        <w:spacing w:before="0" w:after="300"/>
        <w:jc w:val="center"/>
        <w:rPr/>
      </w:pPr>
      <w:bookmarkStart w:id="114" w:name="__RefHeading___Toc56543_3769931028"/>
      <w:bookmarkStart w:id="115" w:name="tau06"/>
      <w:bookmarkEnd w:id="114"/>
      <w:r>
        <w:rPr>
          <w:rFonts w:eastAsia="Amazon Ember" w:cs="Amazon Ember" w:ascii="Amazon Ember" w:hAnsi="Amazon Ember"/>
          <w:b/>
          <w:bCs/>
          <w:color w:val="0000FF"/>
          <w:sz w:val="36"/>
          <w:szCs w:val="36"/>
        </w:rPr>
        <w:t>Australien: Ankunft, erste Tage und Wochen</w:t>
      </w:r>
      <w:bookmarkEnd w:id="115"/>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Koffer ist noch nicht ausgepackt, der Jetlag noch nicht überstanden, und schon liegt vor dir ein Stapel an ersten Terminen, den kein Reiseführer erwähnt: Steuer-ID, Bankkonto, Handynummer, vielleicht ein Arztbesuch, ganz sicher ein Dach über dem Kopf. Wer aus Deutschland kommt, unterschätzt gern, wie viel Verwaltung sich in den ersten Wochen australischen Lebens ballt – nicht, weil das Land besonders bürokratisch wäre, sondern weil fast alles gleichzeitig fällig wird. Dieses Kapitel bringt Reihenfolge in das Durcheinander zwischen Landung und dem Gefühl, tatsächlich angekommen zu sein.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Die Einreisekontrolle ist meist zügig, die anschließende Biosecurity-Kontrolle (Zoll und Einfuhrschutz für Lebensmittel, Pflanzen, Holz) dagegen streng – ehrliches Deklarieren erspart Ärger.</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Beantrage die </w:t>
            </w:r>
            <w:r>
              <w:rPr>
                <w:rFonts w:eastAsia="Cambria" w:cs="Cambria"/>
                <w:b w:val="false"/>
                <w:bCs w:val="false"/>
                <w:i/>
                <w:iCs/>
                <w:sz w:val="20"/>
                <w:szCs w:val="20"/>
              </w:rPr>
              <w:t>Tax File Number</w:t>
            </w:r>
            <w:r>
              <w:rPr>
                <w:rFonts w:eastAsia="Cambria" w:cs="Cambria"/>
                <w:b w:val="false"/>
                <w:bCs w:val="false"/>
                <w:i w:val="false"/>
                <w:iCs w:val="false"/>
                <w:sz w:val="20"/>
                <w:szCs w:val="20"/>
              </w:rPr>
              <w:t xml:space="preserve"> (TFN, die australische Steuer-Identifikationsnummer) so früh wie möglich: kostenlos, aber ohne sie behält dein Arbeitgeber 47 % deines Lohns ein.</w:t>
            </w:r>
          </w:p>
          <w:p>
            <w:pPr>
              <w:pStyle w:val="ListParagraph"/>
              <w:numPr>
                <w:ilvl w:val="0"/>
                <w:numId w:val="1"/>
              </w:numPr>
              <w:spacing w:lineRule="exact" w:line="264" w:before="0" w:after="50"/>
              <w:rPr/>
            </w:pPr>
            <w:r>
              <w:rPr>
                <w:rFonts w:eastAsia="Cambria" w:cs="Cambria"/>
                <w:b w:val="false"/>
                <w:bCs w:val="false"/>
                <w:i w:val="false"/>
                <w:iCs w:val="false"/>
                <w:sz w:val="20"/>
                <w:szCs w:val="20"/>
              </w:rPr>
              <w:t>Ein Bankkonto lässt sich bei manchen Instituten schon von Deutschland aus online vorbereiten.</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Ob du sofort Zugang zum staatlichen Gesundheitssystem hast, hängt vom Visumtyp ab – Permanent Residents ja, die meisten befristeten Visa nein. Mehr dazu im </w:t>
            </w:r>
            <w:hyperlink w:anchor="tau08">
              <w:r>
                <w:rPr>
                  <w:rStyle w:val="ListLabel116"/>
                  <w:rFonts w:eastAsia="Cambria" w:cs="Cambria"/>
                  <w:b w:val="false"/>
                  <w:bCs w:val="false"/>
                  <w:i w:val="false"/>
                  <w:iCs w:val="false"/>
                  <w:color w:val="0563C1"/>
                  <w:sz w:val="20"/>
                  <w:szCs w:val="20"/>
                  <w:u w:val="single"/>
                </w:rPr>
                <w:t>Kapitel zum Gesundheitssystem in diesem Teil</w:t>
              </w:r>
            </w:hyperlink>
            <w:r>
              <w:rPr>
                <w:rFonts w:eastAsia="Cambria" w:cs="Cambria"/>
                <w:b w:val="false"/>
                <w:bCs w:val="false"/>
                <w:i w:val="false"/>
                <w:iCs w:val="false"/>
                <w:sz w:val="20"/>
                <w:szCs w:val="20"/>
              </w:rPr>
              <w:t>.</w:t>
            </w:r>
          </w:p>
          <w:p>
            <w:pPr>
              <w:pStyle w:val="ListParagraph"/>
              <w:numPr>
                <w:ilvl w:val="0"/>
                <w:numId w:val="1"/>
              </w:numPr>
              <w:spacing w:lineRule="exact" w:line="264" w:before="0" w:after="50"/>
              <w:rPr/>
            </w:pPr>
            <w:r>
              <w:rPr>
                <w:rFonts w:eastAsia="Cambria" w:cs="Cambria"/>
                <w:b w:val="false"/>
                <w:bCs w:val="false"/>
                <w:i w:val="false"/>
                <w:iCs w:val="false"/>
                <w:sz w:val="20"/>
                <w:szCs w:val="20"/>
              </w:rPr>
              <w:t>Organisiere SIM-Karte und Internet früh, idealerweise schon vor dem Abflug.</w:t>
            </w:r>
          </w:p>
          <w:p>
            <w:pPr>
              <w:pStyle w:val="ListParagraph"/>
              <w:numPr>
                <w:ilvl w:val="0"/>
                <w:numId w:val="1"/>
              </w:numPr>
              <w:spacing w:lineRule="exact" w:line="264" w:before="0" w:after="50"/>
              <w:rPr/>
            </w:pPr>
            <w:r>
              <w:rPr>
                <w:rFonts w:eastAsia="Cambria" w:cs="Cambria"/>
                <w:b w:val="false"/>
                <w:bCs w:val="false"/>
                <w:i w:val="false"/>
                <w:iCs w:val="false"/>
                <w:sz w:val="20"/>
                <w:szCs w:val="20"/>
              </w:rPr>
              <w:t>Buche die erste Unterkunft nur als flexible Übergangslösung; die richtige Wohnungssuche läuft am besten vor Ort.</w:t>
            </w:r>
          </w:p>
          <w:p>
            <w:pPr>
              <w:pStyle w:val="ListParagraph"/>
              <w:numPr>
                <w:ilvl w:val="0"/>
                <w:numId w:val="1"/>
              </w:numPr>
              <w:spacing w:lineRule="exact" w:line="264" w:before="0" w:after="50"/>
              <w:rPr/>
            </w:pPr>
            <w:r>
              <w:rPr>
                <w:rFonts w:eastAsia="Cambria" w:cs="Cambria"/>
                <w:b w:val="false"/>
                <w:bCs w:val="false"/>
                <w:i w:val="false"/>
                <w:iCs w:val="false"/>
                <w:sz w:val="20"/>
                <w:szCs w:val="20"/>
              </w:rPr>
              <w:t>Der Zeitunterschied zu Deutschland beträgt acht bis neun Stunden – plane die ersten Tage ohne wichtige Termine und ohne Autofahrten ein, gerade wegen des Linksverkehrs.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Ankunft: Einreisekontrolle, Zoll und Biosecurity</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An der Passkontrolle geht es für deutsche Reisepassinhaber an den großen Flughäfen – Melbourne, Sydney, Brisbane und weitere – oft zügig: Elektronische Grenzkontrollen (</w:t>
      </w:r>
      <w:r>
        <w:rPr>
          <w:rFonts w:eastAsia="Cambria" w:cs="Cambria"/>
          <w:b w:val="false"/>
          <w:bCs w:val="false"/>
          <w:i/>
          <w:iCs/>
          <w:sz w:val="22"/>
          <w:szCs w:val="22"/>
        </w:rPr>
        <w:t>SmartGates</w:t>
      </w:r>
      <w:r>
        <w:rPr>
          <w:rFonts w:eastAsia="Cambria" w:cs="Cambria"/>
          <w:b w:val="false"/>
          <w:bCs w:val="false"/>
          <w:i w:val="false"/>
          <w:iCs w:val="false"/>
          <w:sz w:val="22"/>
          <w:szCs w:val="22"/>
        </w:rPr>
        <w:t>) sind für viele Nationalitäten freigeschaltet, bei denen der Reisepass selbst gescannt wird, ein Grenzbeamter bleibt trotzdem in Sichtweite für Rückfragen. Führe unabhängig davon einen Ausdruck deiner Visumsbestätigung mit: Dein Visum steckt nicht im Pass, sondern ist rein elektronisch mit der Passnummer verknüpft, kein Aufkleber, kein Stempel. Eine Kopie in der Tasche erspart Diskussionen, falls das System einmal ausfällt.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Direkt danach folgt die Zoll- und Biosecurity-Kontrolle, und hier nimmt Australien es deutlich genauer als die meisten Länder Europas: Lebensmittel, frisches Obst, Pflanzen, Samen, Holzgegenstände und sogar getragene Wanderschuhe mit Erdresten müssen deklariert werden, ganz gleich, wie harmlos sie erscheinen. Speziell trainierte Beagle patrouillieren am Gepäckband und erschnüffeln zuverlässig, was du vielleicht längst vergessen hast – die vakuumierte Extrawurst im Handgepäck zum Beispiel. Ehrliches Deklarieren kostet höchstens ein paar Minuten Nachfrage; Verschweigen kann teuer werden und im schlimmsten Fall die Einreise erschweren. Bargeld, Reiseschecks und vergleichbare Zahlungsmittel über insgesamt 10.000 AUD meldest du ebenfalls aktiv – die Anmeldung selbst ist unproblematisch, das Verschweigen nicht.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Biosecurity-Kontrollen gelten unabhängig vom Einreisegrund und für jedes Familienmitglied einzeln. Ein einzelner vergessener Apfel im Rucksack der Kinder reicht, um die ganze Familie in die längere Kontrollspur zu schicken – deklariere lieber einmal zu viel als zu wenig.</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Vom Flughafen kommst du meist per Zug, Bus, Taxi oder Fahrdienst wie Uber in die Stadt; an den großen Flughäfen ist der Zug oft die günstigste und schnellste Wahl in die City. Wechsle nur so viel Bargeld wie nötig am Flughafenschalter, die Kurse dort sind selten die besten – ein kleiner Betrag für Taxi oder Automat reicht, den Rest erledigst du bequemer über Karte oder das neue Konto.</w:t>
      </w:r>
    </w:p>
    <w:p>
      <w:pPr>
        <w:pStyle w:val="Heading3"/>
        <w:keepNext w:val="true"/>
        <w:spacing w:before="280" w:after="100"/>
        <w:jc w:val="center"/>
        <w:rPr/>
      </w:pPr>
      <w:r>
        <w:rPr>
          <w:rFonts w:eastAsia="Amazon Ember" w:cs="Amazon Ember" w:ascii="Amazon Ember" w:hAnsi="Amazon Ember"/>
          <w:b/>
          <w:bCs/>
          <w:color w:val="0000FF"/>
          <w:sz w:val="36"/>
          <w:szCs w:val="36"/>
        </w:rPr>
        <w:t>Jetlag und die ersten Tage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Zeitunterschied nach Melbourne oder Sydney beträgt gegenüber Deutschland acht bis neun Stunden, je nach Sommer- und Winterzeit auf beiden Seiten der Erde – ein Sprung, den der Körper selten in einer Nacht wegsteckt. Plane die ersten zwei, drei Tage bewusst ohne wichtige Termine ein: kein Bankgespräch am Ankunftstag, keine Wohnungsbesichtigung mit Kopfschmerzen vom Nachtflug. Tageslicht, ein kurzer Spaziergang und das bewusste Durchhalten bis zum lokalen Abend helfen dem Rhythmus schneller auf die Sprünge als noch eine Tasse Kaffee.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Fahre in den ersten Tagen möglichst nicht selbst Auto, auch wenn schon ein Mietwagen bereitsteht: Linksverkehr und Jetlag sind eine Kombination, die sich nicht von selbst gut anfühlt, egal wie sicher du dich am Steuer wähnst. Führerschein, Linksverkehr und die Besonderheiten des australischen Straßenverkehrs behandelt ein eigenes Kapitel in diesem Teil ausführlich.</w:t>
      </w:r>
    </w:p>
    <w:p>
      <w:pPr>
        <w:pStyle w:val="Heading3"/>
        <w:keepNext w:val="true"/>
        <w:spacing w:before="280" w:after="100"/>
        <w:jc w:val="center"/>
        <w:rPr/>
      </w:pPr>
      <w:r>
        <w:rPr>
          <w:rFonts w:eastAsia="Amazon Ember" w:cs="Amazon Ember" w:ascii="Amazon Ember" w:hAnsi="Amazon Ember"/>
          <w:b/>
          <w:bCs/>
          <w:color w:val="0000FF"/>
          <w:sz w:val="36"/>
          <w:szCs w:val="36"/>
        </w:rPr>
        <w:t>Die Tax File Number: dein erster Behördengang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Eine der ersten Amtshandlungen nach der Ankunft sollte die Beantragung der TFN sein. Ohne sie behält dein Arbeitgeber pauschal 47 % deines Lohns ein – ein Betrag, den du dir später über die Steuererklärung zurückholst, der dir in den ersten, ohnehin teuren Wochen aber schlicht fehlt. Die Beantragung ist kostenlos und läuft über die </w:t>
      </w:r>
      <w:r>
        <w:rPr>
          <w:rFonts w:eastAsia="Cambria" w:cs="Cambria"/>
          <w:b w:val="false"/>
          <w:bCs w:val="false"/>
          <w:i/>
          <w:iCs/>
          <w:sz w:val="22"/>
          <w:szCs w:val="22"/>
        </w:rPr>
        <w:t>Australian Taxation Office</w:t>
      </w:r>
      <w:r>
        <w:rPr>
          <w:rFonts w:eastAsia="Cambria" w:cs="Cambria"/>
          <w:b w:val="false"/>
          <w:bCs w:val="false"/>
          <w:i w:val="false"/>
          <w:iCs w:val="false"/>
          <w:sz w:val="22"/>
          <w:szCs w:val="22"/>
        </w:rPr>
        <w:t xml:space="preserve"> (ATO, die australische Finanzbehörde), entweder online mit ausreichend belastbarer digitaler Identität oder im persönlichen Interview bei einer teilnehmenden Filiale der Australia Post. Für frisch eingereiste Migranten ist ein australischer Wohnsitznachweis meist Voraussetzung, weshalb sich die Beantragung in der Praxis erst nach den ersten Tagen vor Ort erledigen lässt, nicht schon vom Hotelzimmer aus am Ankunftstag.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Trage dir die 28-Tage-Frist ab Arbeitsbeginn fest ein: Erst danach greift ohne vorgelegte TFN der volle Höchstsatz. Den kompletten Ablauf, das Steuersystem und was danach mit Medicare Levy und Superannuation passiert, erklärt das </w:t>
      </w:r>
      <w:hyperlink w:anchor="tau07">
        <w:r>
          <w:rPr>
            <w:rStyle w:val="ListLabel113"/>
            <w:rFonts w:eastAsia="Cambria" w:cs="Cambria"/>
            <w:b w:val="false"/>
            <w:bCs w:val="false"/>
            <w:i w:val="false"/>
            <w:iCs w:val="false"/>
            <w:color w:val="0563C1"/>
            <w:sz w:val="22"/>
            <w:szCs w:val="22"/>
            <w:u w:val="single"/>
          </w:rPr>
          <w:t>Kapitel zu Steuer-ID, Bank und Kredit in diesem Teil</w:t>
        </w:r>
      </w:hyperlink>
      <w:r>
        <w:rPr>
          <w:rFonts w:eastAsia="Cambria" w:cs="Cambria"/>
          <w:b w:val="false"/>
          <w:bCs w:val="false"/>
          <w:i w:val="false"/>
          <w:iCs w:val="false"/>
          <w:sz w:val="22"/>
          <w:szCs w:val="22"/>
        </w:rPr>
        <w:t xml:space="preserve"> im Detail – hier zählt vor allem: früh anmelden, nicht aufschieben.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Die TFN ist reine Steuer- und Superannuation-Nummer. Für das Gesundheitssystem und für Sozialleistungen meldest du dich separat bei </w:t>
            </w:r>
            <w:r>
              <w:rPr>
                <w:rFonts w:eastAsia="Cambria" w:cs="Cambria"/>
                <w:b w:val="false"/>
                <w:bCs w:val="false"/>
                <w:i/>
                <w:iCs/>
                <w:sz w:val="20"/>
                <w:szCs w:val="20"/>
              </w:rPr>
              <w:t>Services Australia</w:t>
            </w:r>
            <w:r>
              <w:rPr>
                <w:rFonts w:eastAsia="Cambria" w:cs="Cambria"/>
                <w:b w:val="false"/>
                <w:bCs w:val="false"/>
                <w:i w:val="false"/>
                <w:iCs w:val="false"/>
                <w:sz w:val="20"/>
                <w:szCs w:val="20"/>
              </w:rPr>
              <w:t xml:space="preserve"> (der Behörde für Sozial- und Gesundheitsleistungen) an – dazu gleich mehr.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Bankkonto: am besten schon vor dem Abflug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Bankkonto brauchst du für Gehalt, Miete und den Alltag – und die gute Nachricht: Bei mehreren australischen Großbanken lässt es sich schon von Deutschland aus online vorbereiten, teils Wochen oder sogar Monate vor dem Abflug. Nutze das, wenn dein Zielinstitut es anbietet, denn dann bist du vom ersten Arbeitstag an zahlungsfähig, statt in der turbulentesten Woche noch einen Filialtermin einzuschieben. Ohne Voreröffnung holst du das nach der Landung nach; alle vier Großbanken verlangen dafür einmalig eine persönliche Identifizierung mit Pass und Visumsnachweis in der Filiale.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Auch ohne TFN und ohne feste Adresse lässt sich meist ein Übergangskonto eröffnen – reiche die TFN aber zügig nach, sonst greift auch bei Zinserträgen die hohe Vorsteuer. Welche Bank sich lohnt, wie die Kontoführung gebührenfrei bleibt und wie du dir überhaupt erst eine australische Kreditwürdigkeit aufbaust, steht im </w:t>
      </w:r>
      <w:hyperlink w:anchor="tau07">
        <w:r>
          <w:rPr>
            <w:rStyle w:val="ListLabel113"/>
            <w:rFonts w:eastAsia="Cambria" w:cs="Cambria"/>
            <w:b w:val="false"/>
            <w:bCs w:val="false"/>
            <w:i w:val="false"/>
            <w:iCs w:val="false"/>
            <w:color w:val="0563C1"/>
            <w:sz w:val="22"/>
            <w:szCs w:val="22"/>
            <w:u w:val="single"/>
          </w:rPr>
          <w:t>Kapitel zu Steuer-ID, Bank und Kredit in diesem Teil</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Medicare oder private Versicherung: der erste Unterschied, der zählt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Noch bevor der erste Arztbesuch ansteht, lohnt sich Klarheit über einen Punkt, den viele Neuankömmlinge falsch einschätzen: Nicht jeder, der in Australien lebt, hat automatisch Zugang zu </w:t>
      </w:r>
      <w:r>
        <w:rPr>
          <w:rFonts w:eastAsia="Cambria" w:cs="Cambria"/>
          <w:b w:val="false"/>
          <w:bCs w:val="false"/>
          <w:i/>
          <w:iCs/>
          <w:sz w:val="22"/>
          <w:szCs w:val="22"/>
        </w:rPr>
        <w:t>Medicare</w:t>
      </w:r>
      <w:r>
        <w:rPr>
          <w:rFonts w:eastAsia="Cambria" w:cs="Cambria"/>
          <w:b w:val="false"/>
          <w:bCs w:val="false"/>
          <w:i w:val="false"/>
          <w:iCs w:val="false"/>
          <w:sz w:val="22"/>
          <w:szCs w:val="22"/>
        </w:rPr>
        <w:t xml:space="preserve">, dem staatlichen Krankenversicherungssystem. Wer mit einem </w:t>
      </w:r>
      <w:r>
        <w:rPr>
          <w:rFonts w:eastAsia="Cambria" w:cs="Cambria"/>
          <w:b w:val="false"/>
          <w:bCs w:val="false"/>
          <w:i/>
          <w:iCs/>
          <w:sz w:val="22"/>
          <w:szCs w:val="22"/>
        </w:rPr>
        <w:t>Permanent-Resident</w:t>
      </w:r>
      <w:r>
        <w:rPr>
          <w:rFonts w:eastAsia="Cambria" w:cs="Cambria"/>
          <w:b w:val="false"/>
          <w:bCs w:val="false"/>
          <w:i w:val="false"/>
          <w:iCs w:val="false"/>
          <w:sz w:val="22"/>
          <w:szCs w:val="22"/>
        </w:rPr>
        <w:t xml:space="preserve">-Visum (PR-Visum, einer unbefristeten Aufenthaltserlaubnis) ankommt – etwa nach dem punktebasierten Weg wie Subclass 189 –, kann sich ab dem ersten Tag bei Services Australia anmelden: persönlich, mit Pass, Visumsnachweis und einem Adressnachweis. Wer dagegen mit einem befristeten Visum einreist – Working Holiday, Studium, die meisten Arbeitsvisa –, hat in aller Regel </w:t>
      </w:r>
      <w:r>
        <w:rPr>
          <w:rFonts w:eastAsia="Cambria" w:cs="Cambria"/>
          <w:b/>
          <w:bCs/>
          <w:i w:val="false"/>
          <w:iCs w:val="false"/>
          <w:sz w:val="22"/>
          <w:szCs w:val="22"/>
        </w:rPr>
        <w:t>keinen</w:t>
      </w:r>
      <w:r>
        <w:rPr>
          <w:rFonts w:eastAsia="Cambria" w:cs="Cambria"/>
          <w:b w:val="false"/>
          <w:bCs w:val="false"/>
          <w:i w:val="false"/>
          <w:iCs w:val="false"/>
          <w:sz w:val="22"/>
          <w:szCs w:val="22"/>
        </w:rPr>
        <w:t xml:space="preserve"> Medicare-Zugang und ist auf eine private Versicherung angewiesen, solange das befristete Visum läuft.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deutsche Staatsangehörige kommt erschwerend hinzu, was viele erst hier erfahren: Australien hat mit elf Ländern ein Gegenseitigkeitsabkommen zur medizinischen Grundversorgung geschlossen, darunter mit Belgien, den Niederlanden und Italien – </w:t>
      </w:r>
      <w:r>
        <w:rPr>
          <w:rFonts w:eastAsia="Cambria" w:cs="Cambria"/>
          <w:b/>
          <w:bCs/>
          <w:i w:val="false"/>
          <w:iCs w:val="false"/>
          <w:sz w:val="22"/>
          <w:szCs w:val="22"/>
        </w:rPr>
        <w:t>aber nicht mit Deutschland</w:t>
      </w:r>
      <w:r>
        <w:rPr>
          <w:rFonts w:eastAsia="Cambria" w:cs="Cambria"/>
          <w:b w:val="false"/>
          <w:bCs w:val="false"/>
          <w:i w:val="false"/>
          <w:iCs w:val="false"/>
          <w:sz w:val="22"/>
          <w:szCs w:val="22"/>
        </w:rPr>
        <w:t xml:space="preserve">. Warum ausgerechnet dieser Unterschied zwischen EU-Nachbarn eine ganze Kostenfrage entscheidet, erklärt das </w:t>
      </w:r>
      <w:hyperlink w:anchor="tau08">
        <w:r>
          <w:rPr>
            <w:rStyle w:val="ListLabel113"/>
            <w:rFonts w:eastAsia="Cambria" w:cs="Cambria"/>
            <w:b w:val="false"/>
            <w:bCs w:val="false"/>
            <w:i w:val="false"/>
            <w:iCs w:val="false"/>
            <w:color w:val="0563C1"/>
            <w:sz w:val="22"/>
            <w:szCs w:val="22"/>
            <w:u w:val="single"/>
          </w:rPr>
          <w:t>Kapitel zum Gesundheitssystem in diesem Teil</w:t>
        </w:r>
      </w:hyperlink>
      <w:r>
        <w:rPr>
          <w:rFonts w:eastAsia="Cambria" w:cs="Cambria"/>
          <w:b w:val="false"/>
          <w:bCs w:val="false"/>
          <w:i w:val="false"/>
          <w:iCs w:val="false"/>
          <w:sz w:val="22"/>
          <w:szCs w:val="22"/>
        </w:rPr>
        <w:t xml:space="preserve"> ausführlich. Für die ersten Wochen reicht die Kurzfassung: Ohne PR-Status brauchst du vom ersten Tag an eine private Auslands- oder Studierendenkrankenversicherung, nicht erst, wenn tatsächlich etwas passiert.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Verwechsle Australien nicht mit den europäischen Ländern, die ein solches Abkommen haben. Wer aus Gewohnheit annimmt, als EU-Bürger schon irgendwie abgesichert zu sein, steht im Ernstfall ohne Deckung da – und private Behandlung in Australien ist kein Posten, den du nebenbei aus der Reisekasse bezahlst.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Reinhardt (Thomas, 41, Bauingenieur; Sandra, 39, Krankenpflegerin) landet mit dem bereits bewilligten Subclass-189-Visum in Melbourne – als Permanent Residents von Tag eins an. In der zweiten Woche gehen sie gemeinsam zu einem Service-Center von Services Australia, Pässe und Visumsbestätigung in der Mappe, und melden alle vier für das Gesundheitssystem an. Die Karten kommen einige Tage später per Post. Bis dahin gilt für die Familie noch die Auslandskrankenversicherung aus Deutschland – niemand wäre auf die Idee gekommen, das erste Fieber der Kinder ganz ohne jede Absicherung abzuwarten. (Fiktives Beispiel.)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SIM-Karte und Internet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Deutsche Mobilfunktarife haben in Australien kein EU-Roaming, und wer das erst am Flughafen merkt, zahlt bei internationalen Gebühren schnell drauf. Praktischer ist eine eSIM (digitale SIM-Karte) mit Australien-Datenpaket, die du schon vor dem Abflug einrichtest, oder eine physische Prepaid-SIM direkt nach der Landung – an Kiosken im Ankunftsbereich, in jedem Supermarkt oder online bei den drei großen Netzbetreibern Telstra, Optus und Vodafone. Telstra gilt als das Netz mit der größten Flächendeckung, auch abseits der Großstädte, Optus und Vodafone punkten meist beim Preis. Ein Laufzeitvertrag verlangt oft eine Kreditkarte oder Bonitätsprüfung, Prepaid kommt ohne beides aus – für den Anfang die unkompliziertere Wahl. Behalte deine deutsche Nummer als Zweit-SIM, solange dort noch SMS-Codes von Bank oder Behörden eintreffen.</w:t>
      </w:r>
    </w:p>
    <w:p>
      <w:pPr>
        <w:pStyle w:val="Heading3"/>
        <w:keepNext w:val="true"/>
        <w:spacing w:before="280" w:after="100"/>
        <w:jc w:val="center"/>
        <w:rPr/>
      </w:pPr>
      <w:r>
        <w:rPr>
          <w:rFonts w:eastAsia="Amazon Ember" w:cs="Amazon Ember" w:ascii="Amazon Ember" w:hAnsi="Amazon Ember"/>
          <w:b/>
          <w:bCs/>
          <w:color w:val="0000FF"/>
          <w:sz w:val="36"/>
          <w:szCs w:val="36"/>
        </w:rPr>
        <w:t>Strom, Steckdosen und erste Einkäufe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Eine gute Nachricht vorweg: Anders als in den USA oder Kanada läuft das Stromnetz in Australien mit 230–240 Volt, genau wie in Deutschland. Mitgebrachte Elektrogeräte funktionieren also technisch problemlos weiter, nur die Steckdose sieht anders aus. Australische Steckdosen folgen dem Typ I mit charakteristisch schräg stehenden Flachkontakten; ein einfacher Reiseadapter reicht deshalb für praktisch jedes deutsche Gerät. Was sich mitzunehmen lohnt und was du besser vor Ort neu kaufst, behandelt das Universal-Kapitel zu diesem Thema.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ersten Tage reicht ein kurzer Einkauf im Supermarkt: Wasser, Frühstück, ein paar Snacks, Toilettenartikel. Die beiden großen Ketten Woolworths und Coles decken so gut wie jeden Ort ab. Preise an den Regalen zeigen bereits den Endpreis inklusive der Waren- und Dienstleistungssteuer (</w:t>
      </w:r>
      <w:r>
        <w:rPr>
          <w:rFonts w:eastAsia="Cambria" w:cs="Cambria"/>
          <w:b w:val="false"/>
          <w:bCs w:val="false"/>
          <w:i/>
          <w:iCs/>
          <w:sz w:val="22"/>
          <w:szCs w:val="22"/>
        </w:rPr>
        <w:t>Goods and Services Tax</w:t>
      </w:r>
      <w:r>
        <w:rPr>
          <w:rFonts w:eastAsia="Cambria" w:cs="Cambria"/>
          <w:b w:val="false"/>
          <w:bCs w:val="false"/>
          <w:i w:val="false"/>
          <w:iCs w:val="false"/>
          <w:sz w:val="22"/>
          <w:szCs w:val="22"/>
        </w:rPr>
        <w:t>, GST) – anders als du es aus den USA kennst, kommt an der Kasse in Australien also nichts mehr dazu.</w:t>
      </w:r>
    </w:p>
    <w:p>
      <w:pPr>
        <w:pStyle w:val="Heading3"/>
        <w:keepNext w:val="true"/>
        <w:spacing w:before="280" w:after="100"/>
        <w:jc w:val="center"/>
        <w:rPr/>
      </w:pPr>
      <w:r>
        <w:rPr>
          <w:rFonts w:eastAsia="Amazon Ember" w:cs="Amazon Ember" w:ascii="Amazon Ember" w:hAnsi="Amazon Ember"/>
          <w:b/>
          <w:bCs/>
          <w:color w:val="0000FF"/>
          <w:sz w:val="36"/>
          <w:szCs w:val="36"/>
        </w:rPr>
        <w:t>Die erste Unterkunft: Übergang und Wohnungssuche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erste Adresse in Australien ist selten die endgültige – und so solltest du sie auch buchen: mit kostenloser Stornierung und ohne Langzeitvertrag. Ein möbliertes Apartment auf Zeit, ein Airbnb oder, gerade für Working-Holiday-Reisende, ein Hostel mit Wochenpreisen überbrücken die ersten Tage bis Wochen, in denen du ohnehin erst einmal ankommen, die Gegend kennenlernen und eine TFN vorweisen können solltest – viele Vermieter verlangen sie als Teil der Bewerbungsunterlagen.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eigentliche Wohnungssuche läuft in Australien überwiegend online über Immobilienportale, mit Massenbesichtigungen zu festen Zeitfenstern und einer Bewerbungsmappe pro Objekt: Gehaltsnachweis oder Jobangebot, Referenzen, oft auch der Ausweis mit Visumsnachweis. Bei begehrten Wohnungen in Melbourne oder Sydney bewerben sich zehn oder mehr Interessenten gleichzeitig, und wer zur Besichtigung ohne vollständige Unterlagen erscheint, ist faktisch schon aus dem Rennen. Rechne von Anfang an mit einer Kaution (</w:t>
      </w:r>
      <w:r>
        <w:rPr>
          <w:rFonts w:eastAsia="Cambria" w:cs="Cambria"/>
          <w:b w:val="false"/>
          <w:bCs w:val="false"/>
          <w:i/>
          <w:iCs/>
          <w:sz w:val="22"/>
          <w:szCs w:val="22"/>
        </w:rPr>
        <w:t>Rental Bond</w:t>
      </w:r>
      <w:r>
        <w:rPr>
          <w:rFonts w:eastAsia="Cambria" w:cs="Cambria"/>
          <w:b w:val="false"/>
          <w:bCs w:val="false"/>
          <w:i w:val="false"/>
          <w:iCs w:val="false"/>
          <w:sz w:val="22"/>
          <w:szCs w:val="22"/>
        </w:rPr>
        <w:t xml:space="preserve">), die bei Vertragsabschluss meist bei einer staatlichen Treuhandstelle hinterlegt wird, nicht direkt beim Vermieter – das schützt beide Seiten, verlangt aber zusätzlich Bargeld auf der hohen Kante, bevor überhaupt die erste Monatsmiete fällig wird. Mietpreise, die genaue Kautionshöhe und die besten Stadtteile je nach Berufsfeld und Klima behandelt das </w:t>
      </w:r>
      <w:hyperlink w:anchor="tau09">
        <w:r>
          <w:rPr>
            <w:rStyle w:val="ListLabel113"/>
            <w:rFonts w:eastAsia="Cambria" w:cs="Cambria"/>
            <w:b w:val="false"/>
            <w:bCs w:val="false"/>
            <w:i w:val="false"/>
            <w:iCs w:val="false"/>
            <w:color w:val="0563C1"/>
            <w:sz w:val="22"/>
            <w:szCs w:val="22"/>
            <w:u w:val="single"/>
          </w:rPr>
          <w:t>Kapitel zum Wohnen in diesem Teil</w:t>
        </w:r>
      </w:hyperlink>
      <w:r>
        <w:rPr>
          <w:rFonts w:eastAsia="Cambria" w:cs="Cambria"/>
          <w:b w:val="false"/>
          <w:bCs w:val="false"/>
          <w:i w:val="false"/>
          <w:iCs w:val="false"/>
          <w:sz w:val="22"/>
          <w:szCs w:val="22"/>
        </w:rPr>
        <w:t xml:space="preserve"> im Detail.</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Nutze die ersten Tage in der Übergangsunterkunft aktiv für Besichtigungen, statt erst nach der eigenen Wohnung zu suchen, wenn das Hotelbudget schon spürbar schrumpft. Wer mit vollständigen Unterlagen und einer Terminliste anreist statt erst vor Ort zu improvisieren, gewinnt in diesem Bewerbungsrennen wertvolle Tage.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ersten zwei Wochen als Fahrplan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folgende Übersicht ordnet die wichtigsten Schritte grob nach Zeitpunkt – wie schnell es tatsächlich geht, hängt von Flug, Visumtyp und Wohnort ab.</w:t>
      </w:r>
    </w:p>
    <w:tbl>
      <w:tblPr>
        <w:tblW w:w="6480" w:type="dxa"/>
        <w:jc w:val="left"/>
        <w:tblInd w:w="0" w:type="dxa"/>
        <w:tblLayout w:type="fixed"/>
        <w:tblCellMar>
          <w:top w:w="50" w:type="dxa"/>
          <w:left w:w="80" w:type="dxa"/>
          <w:bottom w:w="50" w:type="dxa"/>
          <w:right w:w="80" w:type="dxa"/>
        </w:tblCellMar>
      </w:tblPr>
      <w:tblGrid>
        <w:gridCol w:w="949"/>
        <w:gridCol w:w="4352"/>
        <w:gridCol w:w="1179"/>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Zeitraum</w:t>
            </w:r>
          </w:p>
        </w:tc>
        <w:tc>
          <w:tcPr>
            <w:tcW w:w="435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Aufgabe</w:t>
            </w:r>
          </w:p>
        </w:tc>
        <w:tc>
          <w:tcPr>
            <w:tcW w:w="117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Mehr dazu</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Tag 1–2</w:t>
            </w:r>
          </w:p>
        </w:tc>
        <w:tc>
          <w:tcPr>
            <w:tcW w:w="43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Einreise, Übergangsunterkunft beziehen, SIM aktivieren, Familie und Arbeitgeber informieren</w:t>
            </w:r>
          </w:p>
        </w:tc>
        <w:tc>
          <w:tcPr>
            <w:tcW w:w="11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Tag 2–4</w:t>
            </w:r>
          </w:p>
        </w:tc>
        <w:tc>
          <w:tcPr>
            <w:tcW w:w="43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TFN beantragen, sobald ein Wohnsitznachweis vorliegt; Bankkonto eröffnen oder vor Ort verifizieren</w:t>
            </w:r>
          </w:p>
        </w:tc>
        <w:tc>
          <w:tcPr>
            <w:tcW w:w="11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Steuer-ID/Bank</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Tag 3–7</w:t>
            </w:r>
          </w:p>
        </w:tc>
        <w:tc>
          <w:tcPr>
            <w:tcW w:w="43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 PR-Status: Anmeldung beim Gesundheitssystem bei Services Australia; sonst private Versicherungspolice prüfen</w:t>
            </w:r>
          </w:p>
        </w:tc>
        <w:tc>
          <w:tcPr>
            <w:tcW w:w="11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Gesundheitssystem</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Woche 1–2</w:t>
            </w:r>
          </w:p>
        </w:tc>
        <w:tc>
          <w:tcPr>
            <w:tcW w:w="43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Wohnungssuche: Portale einrichten, Besichtigungstermine, Bewerbungsmappe vorbereiten</w:t>
            </w:r>
          </w:p>
        </w:tc>
        <w:tc>
          <w:tcPr>
            <w:tcW w:w="11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Woche 2</w:t>
            </w:r>
          </w:p>
        </w:tc>
        <w:tc>
          <w:tcPr>
            <w:tcW w:w="43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Erste Fragen zu Steuerklasse und Superannuation-Fondswahl mit dem Arbeitgeber klären</w:t>
            </w:r>
          </w:p>
        </w:tc>
        <w:tc>
          <w:tcPr>
            <w:tcW w:w="11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Steuer-ID/Bank</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Nina Voss reist mit dem Working-Holiday-Visum (Subclass 417) nach Sydney, zunächst für zwei Wochen in ein Hostel im Stadtteil Bondi gebucht. Am dritten Tag holt sie ihre online vorbereitete Prepaid-SIM ab, am fünften Tag steht sie bei einer Filiale einer Großbank Schlange, um ihr vorab online beantragtes Konto zu verifizieren. Die TFN beantragt sie, sobald sie eine erste, befristete Zimmeradresse als WG-Zwischenmieterin vorweisen kann. Eine Anmeldung beim staatlichen Gesundheitssystem kommt für sie nicht infrage – als befristete Visuminhaberin schließt sie stattdessen noch von Deutschland aus eine private Auslandskrankenversicherung ab, die ab dem Ankunftstag gilt. (Fiktives Beispiel.)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Bankkonto oft schon vor Abflug online vorbereitbar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TFN erst nach Ankunft mit Adressnachweis beantragbar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SIM-Karten und Prepaid-Tarife unkompliziert und ohne Bonitätsprüfung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Wohnungsmarkt in Melbourne und Sydney sehr kompetitiv</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Permanent Residents haben ab Tag eins vollen Zugang zum Gesundheitssystem</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Befristete Visa-Inhaber brauchen von Anfang an private Versicherung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Biosecurity-Kontrolle gründlich, aber meist schnell erledigt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Strenge Deklarationspflicht bei Lebensmitteln und Naturprodukten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Kläre vor dem Abflug, welche Bank eine Online-Voreröffnung anbietet, richte die eSIM ein und buche eine flexible Übergangsunterkunft. Nach der Landung hat die TFN-Beantragung Priorität, sobald ein Wohnsitznachweis vorliegt, gefolgt von der Anmeldung beim Gesundheitssystem bei PR-Status oder der Bestätigung deiner privaten Versicherung bei befristetem Visum. Starte parallel mit der Wohnungssuche, statt sie auf später zu verschieben.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Bank-Voreröffnung vor Abflug geprüft, sonst Filialtermin für die erste Woche eingeplant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eSIM oder Prepaid-SIM organisiert, deutsche Nummer als Zweit-SIM behalten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Übergangsunterkunft mit Stornierungsoption für mindestens ein bis zwei Wochen gebucht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Visumsbestätigung und wichtige Dokumente ausgedruckt im Handgepäck</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TFN-Antrag vorbereitet, sobald ein Wohnsitznachweis vorliegt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PR-Status: Termin für die Anmeldung beim Gesundheitssystem bei Services Australia 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befristetem Visum: private Versicherungspolice ab Ankunftstag aktiv</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Bewerbungsmappe für die Wohnungssuche zusammengestellt (Gehaltsnachweis, Referenzen, Ausweis)</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Biosecurity-Regeln vor dem Kofferpacken geprüft, nichts Undeklariertes im Gepäck</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Department of Home Affairs — Einreise, ImmiAccount: </w:t>
      </w:r>
      <w:hyperlink r:id="rId452">
        <w:r>
          <w:rPr>
            <w:rStyle w:val="ListLabel113"/>
            <w:rFonts w:eastAsia="Cambria" w:cs="Cambria"/>
            <w:b w:val="false"/>
            <w:bCs w:val="false"/>
            <w:i w:val="false"/>
            <w:iCs w:val="false"/>
            <w:color w:val="0563C1"/>
            <w:sz w:val="22"/>
            <w:szCs w:val="22"/>
            <w:u w:val="single"/>
          </w:rPr>
          <w:t>immi.homeaffairs.gov.au</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Australian Border Force — Biosecurity und Zoll bei der Einreise: </w:t>
      </w:r>
      <w:hyperlink r:id="rId453">
        <w:r>
          <w:rPr>
            <w:rStyle w:val="ListLabel113"/>
            <w:rFonts w:eastAsia="Cambria" w:cs="Cambria"/>
            <w:b w:val="false"/>
            <w:bCs w:val="false"/>
            <w:i w:val="false"/>
            <w:iCs w:val="false"/>
            <w:color w:val="0563C1"/>
            <w:sz w:val="22"/>
            <w:szCs w:val="22"/>
            <w:u w:val="single"/>
          </w:rPr>
          <w:t>abf.gov.au</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Australian Taxation Office — Tax File Number: </w:t>
      </w:r>
      <w:hyperlink r:id="rId454">
        <w:r>
          <w:rPr>
            <w:rStyle w:val="ListLabel113"/>
            <w:rFonts w:eastAsia="Cambria" w:cs="Cambria"/>
            <w:b w:val="false"/>
            <w:bCs w:val="false"/>
            <w:i w:val="false"/>
            <w:iCs w:val="false"/>
            <w:color w:val="0563C1"/>
            <w:sz w:val="22"/>
            <w:szCs w:val="22"/>
            <w:u w:val="single"/>
          </w:rPr>
          <w:t>ato.gov.au</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Services Australia — Anmeldung beim Gesundheitssystem: </w:t>
      </w:r>
      <w:hyperlink r:id="rId455">
        <w:r>
          <w:rPr>
            <w:rStyle w:val="ListLabel113"/>
            <w:rFonts w:eastAsia="Cambria" w:cs="Cambria"/>
            <w:b w:val="false"/>
            <w:bCs w:val="false"/>
            <w:i w:val="false"/>
            <w:iCs w:val="false"/>
            <w:color w:val="0563C1"/>
            <w:sz w:val="22"/>
            <w:szCs w:val="22"/>
            <w:u w:val="single"/>
          </w:rPr>
          <w:t>servicesaustralia.gov.au</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Deutsche Vertretungen in Australien: </w:t>
      </w:r>
      <w:hyperlink r:id="rId456">
        <w:r>
          <w:rPr>
            <w:rStyle w:val="ListLabel113"/>
            <w:rFonts w:eastAsia="Cambria" w:cs="Cambria"/>
            <w:b w:val="false"/>
            <w:bCs w:val="false"/>
            <w:i w:val="false"/>
            <w:iCs w:val="false"/>
            <w:color w:val="0563C1"/>
            <w:sz w:val="22"/>
            <w:szCs w:val="22"/>
            <w:u w:val="single"/>
          </w:rPr>
          <w:t>australien.diplo.de</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schnell: Biosecurity- und Zollregeln, TFN-Verfahren, Bankkonditionen für Neuankömmlinge sowie die Anmeldung beim Gesundheitssystem. Prüfe vor der Einreise die aktuellen Seiten von Home Affairs, Australian Border Force und Services Australia.</w:t>
            </w:r>
          </w:p>
        </w:tc>
      </w:tr>
    </w:tbl>
    <w:p>
      <w:pPr>
        <w:pStyle w:val="Normal"/>
        <w:spacing w:lineRule="exact" w:line="220" w:before="0" w:after="0"/>
        <w:rPr/>
      </w:pPr>
      <w:r>
        <w:rPr/>
      </w:r>
      <w:r>
        <w:br w:type="page"/>
      </w:r>
    </w:p>
    <w:p>
      <w:pPr>
        <w:pStyle w:val="Heading2"/>
        <w:keepNext w:val="true"/>
        <w:spacing w:before="0" w:after="300"/>
        <w:jc w:val="center"/>
        <w:rPr/>
      </w:pPr>
      <w:bookmarkStart w:id="116" w:name="__RefHeading___Toc56545_3769931028"/>
      <w:bookmarkStart w:id="117" w:name="tau07"/>
      <w:bookmarkEnd w:id="116"/>
      <w:r>
        <w:rPr>
          <w:rFonts w:eastAsia="Amazon Ember" w:cs="Amazon Ember" w:ascii="Amazon Ember" w:hAnsi="Amazon Ember"/>
          <w:b/>
          <w:bCs/>
          <w:color w:val="0000FF"/>
          <w:sz w:val="36"/>
          <w:szCs w:val="36"/>
        </w:rPr>
        <w:t>Australien: Steuer-ID, Bank, Kredit aufbauen</w:t>
      </w:r>
      <w:bookmarkEnd w:id="117"/>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Deine erste Gehaltsabrechnung in Australien kommt – und fast die Hälfte fehlt. Kein Rechenfehler der Personalabteilung, sondern die Quittung dafür, dass du ein einziges Formular noch nicht eingereicht hast: die </w:t>
      </w:r>
      <w:r>
        <w:rPr>
          <w:rFonts w:eastAsia="Cambria" w:cs="Cambria"/>
          <w:b w:val="false"/>
          <w:bCs w:val="false"/>
          <w:i/>
          <w:iCs/>
          <w:sz w:val="22"/>
          <w:szCs w:val="22"/>
        </w:rPr>
        <w:t>Tax File Number</w:t>
      </w:r>
      <w:r>
        <w:rPr>
          <w:rFonts w:eastAsia="Cambria" w:cs="Cambria"/>
          <w:b w:val="false"/>
          <w:bCs w:val="false"/>
          <w:i w:val="false"/>
          <w:iCs w:val="false"/>
          <w:sz w:val="22"/>
          <w:szCs w:val="22"/>
        </w:rPr>
        <w:t xml:space="preserve"> (TFN, die australische Steuer-Identifikationsnummer). Ohne sie behält dein Arbeitgeber pauschal 47 % deines Lohns ein, bis du sie nachreichst. Es ist nicht gerade das Willkommensgeschenk, das man sich nach zwanzig Stunden Flug erhofft. Dieses Kapitel zeigt, wie du die TFN beantragst, was dich beim australischen Steuersystem, bei Medicare Levy und Superannuation erwartet, wie du ein Bankkonto eröffnest und wie du dir – ganz ohne mitgebrachte Schufa-Historie – eine australische Kreditwürdigkeit aufbaust.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Beantrage die </w:t>
            </w:r>
            <w:r>
              <w:rPr>
                <w:rFonts w:eastAsia="Cambria" w:cs="Cambria"/>
                <w:b w:val="false"/>
                <w:bCs w:val="false"/>
                <w:i/>
                <w:iCs/>
                <w:sz w:val="20"/>
                <w:szCs w:val="20"/>
              </w:rPr>
              <w:t>Tax File Number</w:t>
            </w:r>
            <w:r>
              <w:rPr>
                <w:rFonts w:eastAsia="Cambria" w:cs="Cambria"/>
                <w:b w:val="false"/>
                <w:bCs w:val="false"/>
                <w:i w:val="false"/>
                <w:iCs w:val="false"/>
                <w:sz w:val="20"/>
                <w:szCs w:val="20"/>
              </w:rPr>
              <w:t xml:space="preserve"> (TFN) so früh wie möglich: kostenlos, aber ohne sie behält dein Arbeitgeber 47 % deines Lohns ein.</w:t>
            </w:r>
          </w:p>
          <w:p>
            <w:pPr>
              <w:pStyle w:val="ListParagraph"/>
              <w:numPr>
                <w:ilvl w:val="0"/>
                <w:numId w:val="1"/>
              </w:numPr>
              <w:spacing w:lineRule="exact" w:line="264" w:before="0" w:after="50"/>
              <w:rPr/>
            </w:pPr>
            <w:r>
              <w:rPr>
                <w:rFonts w:eastAsia="Cambria" w:cs="Cambria"/>
                <w:b w:val="false"/>
                <w:bCs w:val="false"/>
                <w:i w:val="false"/>
                <w:iCs w:val="false"/>
                <w:sz w:val="20"/>
                <w:szCs w:val="20"/>
              </w:rPr>
              <w:t>Das Finanzjahr läuft vom 1. Juli bis 30. Juni. Steuersätze 2026–27 für Ansässige: 0 % bis 18.200 AUD, dann steigend bis 45 % über 190.000 AUD; Working-Holiday-Reisende zahlen ab dem ersten verdienten Dollar 15 %.</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Die </w:t>
            </w:r>
            <w:r>
              <w:rPr>
                <w:rFonts w:eastAsia="Cambria" w:cs="Cambria"/>
                <w:b w:val="false"/>
                <w:bCs w:val="false"/>
                <w:i/>
                <w:iCs/>
                <w:sz w:val="20"/>
                <w:szCs w:val="20"/>
              </w:rPr>
              <w:t>Medicare Levy</w:t>
            </w:r>
            <w:r>
              <w:rPr>
                <w:rFonts w:eastAsia="Cambria" w:cs="Cambria"/>
                <w:b w:val="false"/>
                <w:bCs w:val="false"/>
                <w:i w:val="false"/>
                <w:iCs w:val="false"/>
                <w:sz w:val="20"/>
                <w:szCs w:val="20"/>
              </w:rPr>
              <w:t xml:space="preserve"> kostet Ansässige pauschal 2,0 % des zu versteuernden Einkommens; Besserverdiener ohne private Krankenhausversicherung zahlen zusätzlich die </w:t>
            </w:r>
            <w:r>
              <w:rPr>
                <w:rFonts w:eastAsia="Cambria" w:cs="Cambria"/>
                <w:b w:val="false"/>
                <w:bCs w:val="false"/>
                <w:i/>
                <w:iCs/>
                <w:sz w:val="20"/>
                <w:szCs w:val="20"/>
              </w:rPr>
              <w:t>Medicare Levy Surcharge</w:t>
            </w:r>
            <w:r>
              <w:rPr>
                <w:rFonts w:eastAsia="Cambria" w:cs="Cambria"/>
                <w:b w:val="false"/>
                <w:bCs w:val="false"/>
                <w:i w:val="false"/>
                <w:iCs w:val="false"/>
                <w:sz w:val="20"/>
                <w:szCs w:val="20"/>
              </w:rPr>
              <w:t xml:space="preserve"> von 1,0 bis 1,5 %.</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Dein Arbeitgeber zahlt verpflichtend 12,0 % deines Lohns in deine </w:t>
            </w:r>
            <w:r>
              <w:rPr>
                <w:rFonts w:eastAsia="Cambria" w:cs="Cambria"/>
                <w:b w:val="false"/>
                <w:bCs w:val="false"/>
                <w:i/>
                <w:iCs/>
                <w:sz w:val="20"/>
                <w:szCs w:val="20"/>
              </w:rPr>
              <w:t>Superannuation</w:t>
            </w:r>
            <w:r>
              <w:rPr>
                <w:rFonts w:eastAsia="Cambria" w:cs="Cambria"/>
                <w:b w:val="false"/>
                <w:bCs w:val="false"/>
                <w:i w:val="false"/>
                <w:iCs w:val="false"/>
                <w:sz w:val="20"/>
                <w:szCs w:val="20"/>
              </w:rPr>
              <w:t xml:space="preserve"> (kapitalgedeckte Altersvorsorge) ein – dein Geld, nicht seines.</w:t>
            </w:r>
          </w:p>
          <w:p>
            <w:pPr>
              <w:pStyle w:val="ListParagraph"/>
              <w:numPr>
                <w:ilvl w:val="0"/>
                <w:numId w:val="1"/>
              </w:numPr>
              <w:spacing w:lineRule="exact" w:line="264" w:before="0" w:after="50"/>
              <w:rPr/>
            </w:pPr>
            <w:r>
              <w:rPr>
                <w:rFonts w:eastAsia="Cambria" w:cs="Cambria"/>
                <w:b w:val="false"/>
                <w:bCs w:val="false"/>
                <w:i w:val="false"/>
                <w:iCs w:val="false"/>
                <w:sz w:val="20"/>
                <w:szCs w:val="20"/>
              </w:rPr>
              <w:t>Verlässt du Australien dauerhaft, kannst du dir das Superguthaben auszahlen lassen (</w:t>
            </w:r>
            <w:r>
              <w:rPr>
                <w:rFonts w:eastAsia="Cambria" w:cs="Cambria"/>
                <w:b w:val="false"/>
                <w:bCs w:val="false"/>
                <w:i/>
                <w:iCs/>
                <w:sz w:val="20"/>
                <w:szCs w:val="20"/>
              </w:rPr>
              <w:t>DASP</w:t>
            </w:r>
            <w:r>
              <w:rPr>
                <w:rFonts w:eastAsia="Cambria" w:cs="Cambria"/>
                <w:b w:val="false"/>
                <w:bCs w:val="false"/>
                <w:i w:val="false"/>
                <w:iCs w:val="false"/>
                <w:sz w:val="20"/>
                <w:szCs w:val="20"/>
              </w:rPr>
              <w:t>) – allerdings mit einer Steuer von 35 bis 65 %.</w:t>
            </w:r>
          </w:p>
          <w:p>
            <w:pPr>
              <w:pStyle w:val="ListParagraph"/>
              <w:numPr>
                <w:ilvl w:val="0"/>
                <w:numId w:val="1"/>
              </w:numPr>
              <w:spacing w:lineRule="exact" w:line="264" w:before="0" w:after="50"/>
              <w:rPr/>
            </w:pPr>
            <w:r>
              <w:rPr>
                <w:rFonts w:eastAsia="Cambria" w:cs="Cambria"/>
                <w:b w:val="false"/>
                <w:bCs w:val="false"/>
                <w:i w:val="false"/>
                <w:iCs w:val="false"/>
                <w:sz w:val="20"/>
                <w:szCs w:val="20"/>
              </w:rPr>
              <w:t>Ein Bankkonto lässt sich bei manchen Banken schon vor der Einreise online eröffnen; deine deutsche Bonität zählt dabei nichts, Kreditwürdigkeit baust du in Australien neu auf.</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Tax File Number: deine Basis im System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TFN ist die zentrale Steuernummer der </w:t>
      </w:r>
      <w:r>
        <w:rPr>
          <w:rFonts w:eastAsia="Cambria" w:cs="Cambria"/>
          <w:b w:val="false"/>
          <w:bCs w:val="false"/>
          <w:i/>
          <w:iCs/>
          <w:sz w:val="22"/>
          <w:szCs w:val="22"/>
        </w:rPr>
        <w:t>Australian Taxation Office</w:t>
      </w:r>
      <w:r>
        <w:rPr>
          <w:rFonts w:eastAsia="Cambria" w:cs="Cambria"/>
          <w:b w:val="false"/>
          <w:bCs w:val="false"/>
          <w:i w:val="false"/>
          <w:iCs w:val="false"/>
          <w:sz w:val="22"/>
          <w:szCs w:val="22"/>
        </w:rPr>
        <w:t xml:space="preserve"> (ATO, die australische Finanzbehörde) und die Grundlage für praktisch alles, was mit Geld zu tun hat: korrekter Lohnsteuerabzug, Steuererklärung, Zinserträge, Superannuation. Die Beantragung ist kostenlos. Wer bereits in Australien ist und über eine ausreichend belastbare digitale Identität (</w:t>
      </w:r>
      <w:r>
        <w:rPr>
          <w:rFonts w:eastAsia="Cambria" w:cs="Cambria"/>
          <w:b w:val="false"/>
          <w:bCs w:val="false"/>
          <w:i/>
          <w:iCs/>
          <w:sz w:val="22"/>
          <w:szCs w:val="22"/>
        </w:rPr>
        <w:t>myID</w:t>
      </w:r>
      <w:r>
        <w:rPr>
          <w:rFonts w:eastAsia="Cambria" w:cs="Cambria"/>
          <w:b w:val="false"/>
          <w:bCs w:val="false"/>
          <w:i w:val="false"/>
          <w:iCs w:val="false"/>
          <w:sz w:val="22"/>
          <w:szCs w:val="22"/>
        </w:rPr>
        <w:t>, das staatliche Digital-ID-Verfahren) verfügt, kann online beantragen; alternativ läuft es über ein persönliches Interview bei einer teilnehmenden Filiale der Australia Post, mit beglaubigten Ausweisdokumenten. Für frisch eingereiste Migranten mit gültigem Arbeitsvisum ist die Beantragung in der Praxis meist erst nach der Ankunft sinnvoll, weil ein australischer Wohnsitznachweis verlangt wird; das exakte Verfahren für diese Gruppe unterscheidet sich vom oben beschriebenen Weg für Staatsangehörige und ist nicht bis ins letzte Detail einheitlich dokumentiert – informiere dich bei der Antragstellung direkt bei der ATO über den für dich richtigen Weg.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Ohne vorgelegte TFN oder erklärte Befreiung muss dein Arbeitgeber binnen 28 Tagen nach Arbeitsbeginn den Höchstsatz von 47 % einbehalten (Höchststeuersatz plus Medicare-Levy-Pauschale). Zu viel gezahlte Steuer bekommst du zwar über die Steuererklärung zurück, aber erst Monate später – in der Zwischenzeit fehlt dir das Geld im Alltag. Beantrage die TFN deshalb an einem deiner ersten Tage in Australien, nicht erst, wenn die erste Abrechnung dich überrascht.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TFN gilt ausschließlich für Steuer- und Superannuation-Zwecke. Für Medicare (siehe das </w:t>
      </w:r>
      <w:hyperlink w:anchor="tau08">
        <w:r>
          <w:rPr>
            <w:rStyle w:val="ListLabel113"/>
            <w:rFonts w:eastAsia="Cambria" w:cs="Cambria"/>
            <w:b w:val="false"/>
            <w:bCs w:val="false"/>
            <w:i w:val="false"/>
            <w:iCs w:val="false"/>
            <w:color w:val="0563C1"/>
            <w:sz w:val="22"/>
            <w:szCs w:val="22"/>
            <w:u w:val="single"/>
          </w:rPr>
          <w:t>Kapitel zum Gesundheitssystem in diesem Teil</w:t>
        </w:r>
      </w:hyperlink>
      <w:r>
        <w:rPr>
          <w:rFonts w:eastAsia="Cambria" w:cs="Cambria"/>
          <w:b w:val="false"/>
          <w:bCs w:val="false"/>
          <w:i w:val="false"/>
          <w:iCs w:val="false"/>
          <w:sz w:val="22"/>
          <w:szCs w:val="22"/>
        </w:rPr>
        <w:t xml:space="preserve">) und für Sozialleistungen über </w:t>
      </w:r>
      <w:r>
        <w:rPr>
          <w:rFonts w:eastAsia="Cambria" w:cs="Cambria"/>
          <w:b w:val="false"/>
          <w:bCs w:val="false"/>
          <w:i/>
          <w:iCs/>
          <w:sz w:val="22"/>
          <w:szCs w:val="22"/>
        </w:rPr>
        <w:t>Centrelink</w:t>
      </w:r>
      <w:r>
        <w:rPr>
          <w:rFonts w:eastAsia="Cambria" w:cs="Cambria"/>
          <w:b w:val="false"/>
          <w:bCs w:val="false"/>
          <w:i w:val="false"/>
          <w:iCs w:val="false"/>
          <w:sz w:val="22"/>
          <w:szCs w:val="22"/>
        </w:rPr>
        <w:t xml:space="preserve"> brauchst du separate Anmeldungen bei Services Australia – die eine Nummer öffnet nicht automatisch alle Türen, so verlockend das wäre.</w:t>
      </w:r>
    </w:p>
    <w:p>
      <w:pPr>
        <w:pStyle w:val="Heading3"/>
        <w:keepNext w:val="true"/>
        <w:spacing w:before="280" w:after="100"/>
        <w:jc w:val="center"/>
        <w:rPr/>
      </w:pPr>
      <w:r>
        <w:rPr>
          <w:rFonts w:eastAsia="Amazon Ember" w:cs="Amazon Ember" w:ascii="Amazon Ember" w:hAnsi="Amazon Ember"/>
          <w:b/>
          <w:bCs/>
          <w:color w:val="0000FF"/>
          <w:sz w:val="36"/>
          <w:szCs w:val="36"/>
        </w:rPr>
        <w:t>Das Steuersystem: ATO, Finanzjahr und wer wie viel zahlt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Australiens Finanzjahr läuft vom 1. Juli bis zum 30. Juni, nicht wie in Deutschland parallel zum Kalenderjahr – ein Detail, das dich bei jeder Fristangabe kurz stutzen lässt, bis du dich daran gewöhnt hast. Für Ansässige (</w:t>
      </w:r>
      <w:r>
        <w:rPr>
          <w:rFonts w:eastAsia="Cambria" w:cs="Cambria"/>
          <w:b w:val="false"/>
          <w:bCs w:val="false"/>
          <w:i/>
          <w:iCs/>
          <w:sz w:val="22"/>
          <w:szCs w:val="22"/>
        </w:rPr>
        <w:t>Residents</w:t>
      </w:r>
      <w:r>
        <w:rPr>
          <w:rFonts w:eastAsia="Cambria" w:cs="Cambria"/>
          <w:b w:val="false"/>
          <w:bCs w:val="false"/>
          <w:i w:val="false"/>
          <w:iCs w:val="false"/>
          <w:sz w:val="22"/>
          <w:szCs w:val="22"/>
        </w:rPr>
        <w:t xml:space="preserve"> für Steuerzwecke) gilt 2026–27 ein progressiver Tarif mit steuerfreiem Grundbetrag:</w:t>
      </w:r>
    </w:p>
    <w:tbl>
      <w:tblPr>
        <w:tblW w:w="6480" w:type="dxa"/>
        <w:jc w:val="left"/>
        <w:tblInd w:w="0" w:type="dxa"/>
        <w:tblLayout w:type="fixed"/>
        <w:tblCellMar>
          <w:top w:w="50" w:type="dxa"/>
          <w:left w:w="80" w:type="dxa"/>
          <w:bottom w:w="50" w:type="dxa"/>
          <w:right w:w="80" w:type="dxa"/>
        </w:tblCellMar>
      </w:tblPr>
      <w:tblGrid>
        <w:gridCol w:w="1967"/>
        <w:gridCol w:w="4512"/>
      </w:tblGrid>
      <w:tr>
        <w:trPr>
          <w:tblHeader w:val="true"/>
          <w:cantSplit w:val="true"/>
        </w:trPr>
        <w:tc>
          <w:tcPr>
            <w:tcW w:w="196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Satz</w:t>
            </w:r>
          </w:p>
        </w:tc>
        <w:tc>
          <w:tcPr>
            <w:tcW w:w="451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Zu versteuerndes Einkommen</w:t>
            </w:r>
          </w:p>
        </w:tc>
      </w:tr>
      <w:tr>
        <w:trPr>
          <w:cantSplit w:val="true"/>
        </w:trPr>
        <w:tc>
          <w:tcPr>
            <w:tcW w:w="19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0 %</w:t>
            </w:r>
          </w:p>
        </w:tc>
        <w:tc>
          <w:tcPr>
            <w:tcW w:w="45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18.200 AUD</w:t>
            </w:r>
          </w:p>
        </w:tc>
      </w:tr>
      <w:tr>
        <w:trPr>
          <w:cantSplit w:val="true"/>
        </w:trPr>
        <w:tc>
          <w:tcPr>
            <w:tcW w:w="19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15 %</w:t>
            </w:r>
          </w:p>
        </w:tc>
        <w:tc>
          <w:tcPr>
            <w:tcW w:w="45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18.201–45.000 AUD</w:t>
            </w:r>
          </w:p>
        </w:tc>
      </w:tr>
      <w:tr>
        <w:trPr>
          <w:cantSplit w:val="true"/>
        </w:trPr>
        <w:tc>
          <w:tcPr>
            <w:tcW w:w="19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30 %</w:t>
            </w:r>
          </w:p>
        </w:tc>
        <w:tc>
          <w:tcPr>
            <w:tcW w:w="45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45.001–135.000 AUD</w:t>
            </w:r>
          </w:p>
        </w:tc>
      </w:tr>
      <w:tr>
        <w:trPr>
          <w:cantSplit w:val="true"/>
        </w:trPr>
        <w:tc>
          <w:tcPr>
            <w:tcW w:w="19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37 %</w:t>
            </w:r>
          </w:p>
        </w:tc>
        <w:tc>
          <w:tcPr>
            <w:tcW w:w="45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135.001–190.000 AUD</w:t>
            </w:r>
          </w:p>
        </w:tc>
      </w:tr>
      <w:tr>
        <w:trPr>
          <w:cantSplit w:val="true"/>
        </w:trPr>
        <w:tc>
          <w:tcPr>
            <w:tcW w:w="19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45 %</w:t>
            </w:r>
          </w:p>
        </w:tc>
        <w:tc>
          <w:tcPr>
            <w:tcW w:w="45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 190.000 AUD</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zweite Satz sank zum 1. Juli 2026 von 16 auf 15 %. Dazu kommt der </w:t>
      </w:r>
      <w:r>
        <w:rPr>
          <w:rFonts w:eastAsia="Cambria" w:cs="Cambria"/>
          <w:b w:val="false"/>
          <w:bCs w:val="false"/>
          <w:i/>
          <w:iCs/>
          <w:sz w:val="22"/>
          <w:szCs w:val="22"/>
        </w:rPr>
        <w:t>Low Income Tax Offset</w:t>
      </w:r>
      <w:r>
        <w:rPr>
          <w:rFonts w:eastAsia="Cambria" w:cs="Cambria"/>
          <w:b w:val="false"/>
          <w:bCs w:val="false"/>
          <w:i w:val="false"/>
          <w:iCs w:val="false"/>
          <w:sz w:val="22"/>
          <w:szCs w:val="22"/>
        </w:rPr>
        <w:t xml:space="preserve"> (LITO), eine Steuergutschrift für niedrige Einkommen von bis zu 700 AUD im Jahr; mit ihr liegt die effektive Steuerfreigrenze für die meisten Ansässigen bei etwa 22.867 AUD.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für Steuerzwecke nicht als australischer Ansässiger gilt (</w:t>
      </w:r>
      <w:r>
        <w:rPr>
          <w:rFonts w:eastAsia="Cambria" w:cs="Cambria"/>
          <w:b w:val="false"/>
          <w:bCs w:val="false"/>
          <w:i/>
          <w:iCs/>
          <w:sz w:val="22"/>
          <w:szCs w:val="22"/>
        </w:rPr>
        <w:t>Foreign Resident</w:t>
      </w:r>
      <w:r>
        <w:rPr>
          <w:rFonts w:eastAsia="Cambria" w:cs="Cambria"/>
          <w:b w:val="false"/>
          <w:bCs w:val="false"/>
          <w:i w:val="false"/>
          <w:iCs w:val="false"/>
          <w:sz w:val="22"/>
          <w:szCs w:val="22"/>
        </w:rPr>
        <w:t>, die genauen Kriterien wie der Wohnsitz- und der 183-Tage-Test sind ein eigenes, komplexes Thema), zahlt ohne jeden Steuerfreibetrag: 30 % bis 135.000 AUD, 37 % bis 190.000 AUD, 45 % darüber – dafür entfällt für Steuerausländer die Medicare Levy, weil ohnehin kein Medicare-Zugang besteht.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Viele Neuankömmlinge nehmen an, der steuerfreie Grundbetrag gelte für jeden, der in Australien arbeitet. Für Inhaber eines </w:t>
      </w:r>
      <w:r>
        <w:rPr>
          <w:rFonts w:eastAsia="Cambria" w:cs="Cambria"/>
          <w:b w:val="false"/>
          <w:bCs w:val="false"/>
          <w:i/>
          <w:iCs/>
          <w:sz w:val="22"/>
          <w:szCs w:val="22"/>
        </w:rPr>
        <w:t>Working Holiday Visa</w:t>
      </w:r>
      <w:r>
        <w:rPr>
          <w:rFonts w:eastAsia="Cambria" w:cs="Cambria"/>
          <w:b w:val="false"/>
          <w:bCs w:val="false"/>
          <w:i w:val="false"/>
          <w:iCs w:val="false"/>
          <w:sz w:val="22"/>
          <w:szCs w:val="22"/>
        </w:rPr>
        <w:t xml:space="preserve"> (417/462) stimmt das nicht: Der sogenannte „Backpacker Tax“ verlangt seit 2017 unverändert 15 % auf jeden verdienten Dollar bis 45.000 AUD, ohne Freibetrag, danach dieselben Stufen wie bei Ansässigen. Wer im selben Steuerjahr von einem Working-Holiday-Visum auf ein Skilled-Visum wechselt, kann anteilig unter beide Tarife fallen – ein Fall für den Steuerberater, nicht für eigenes Rechnen auf der Rückseite eines Bierdeckels.</w:t>
      </w:r>
    </w:p>
    <w:p>
      <w:pPr>
        <w:pStyle w:val="Heading3"/>
        <w:keepNext w:val="true"/>
        <w:spacing w:before="280" w:after="100"/>
        <w:jc w:val="center"/>
        <w:rPr/>
      </w:pPr>
      <w:r>
        <w:rPr>
          <w:rFonts w:eastAsia="Amazon Ember" w:cs="Amazon Ember" w:ascii="Amazon Ember" w:hAnsi="Amazon Ember"/>
          <w:b/>
          <w:bCs/>
          <w:color w:val="0000FF"/>
          <w:sz w:val="36"/>
          <w:szCs w:val="36"/>
        </w:rPr>
        <w:t>Medicare Levy und Medicare Levy Surcharge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w:t>
      </w:r>
      <w:r>
        <w:rPr>
          <w:rFonts w:eastAsia="Cambria" w:cs="Cambria"/>
          <w:b w:val="false"/>
          <w:bCs w:val="false"/>
          <w:i/>
          <w:iCs/>
          <w:sz w:val="22"/>
          <w:szCs w:val="22"/>
        </w:rPr>
        <w:t>Medicare Levy</w:t>
      </w:r>
      <w:r>
        <w:rPr>
          <w:rFonts w:eastAsia="Cambria" w:cs="Cambria"/>
          <w:b w:val="false"/>
          <w:bCs w:val="false"/>
          <w:i w:val="false"/>
          <w:iCs w:val="false"/>
          <w:sz w:val="22"/>
          <w:szCs w:val="22"/>
        </w:rPr>
        <w:t xml:space="preserve"> ist eine pauschale Abgabe von 2,0 % des zu versteuernden Einkommens, mit der Ansässige das staatliche Gesundheitssystem Medicare mitfinanzieren; bei niedrigem Einkommen (2026–27 unterhalb von rund 28.011 AUD) entfällt sie ganz oder teilweise. Steuerausländer zahlen sie nicht, ebenso wenig Personen, die zwar steuerlich ansässig, aber mangels Medicare-Zugang gar nicht anspruchsberechtigt sind (dazu mehr im Kapitel zum Gesundheitssystem) – für diesen Fall lässt sich bei der Steuererklärung eine Befreiung geltend machen, was sich vor der ersten Erklärung mit einem Steuerberater zu klären lohnt.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gut verdient und keine private Krankenhausversicherung hat, zahlt zusätzlich die </w:t>
      </w:r>
      <w:r>
        <w:rPr>
          <w:rFonts w:eastAsia="Cambria" w:cs="Cambria"/>
          <w:b w:val="false"/>
          <w:bCs w:val="false"/>
          <w:i/>
          <w:iCs/>
          <w:sz w:val="22"/>
          <w:szCs w:val="22"/>
        </w:rPr>
        <w:t>Medicare Levy Surcharge</w:t>
      </w:r>
      <w:r>
        <w:rPr>
          <w:rFonts w:eastAsia="Cambria" w:cs="Cambria"/>
          <w:b w:val="false"/>
          <w:bCs w:val="false"/>
          <w:i w:val="false"/>
          <w:iCs w:val="false"/>
          <w:sz w:val="22"/>
          <w:szCs w:val="22"/>
        </w:rPr>
        <w:t xml:space="preserve"> (MLS):</w:t>
      </w:r>
    </w:p>
    <w:tbl>
      <w:tblPr>
        <w:tblW w:w="6480" w:type="dxa"/>
        <w:jc w:val="left"/>
        <w:tblInd w:w="0" w:type="dxa"/>
        <w:tblLayout w:type="fixed"/>
        <w:tblCellMar>
          <w:top w:w="50" w:type="dxa"/>
          <w:left w:w="80" w:type="dxa"/>
          <w:bottom w:w="50" w:type="dxa"/>
          <w:right w:w="80" w:type="dxa"/>
        </w:tblCellMar>
      </w:tblPr>
      <w:tblGrid>
        <w:gridCol w:w="2512"/>
        <w:gridCol w:w="2587"/>
        <w:gridCol w:w="1381"/>
      </w:tblGrid>
      <w:tr>
        <w:trPr>
          <w:tblHeader w:val="true"/>
          <w:cantSplit w:val="true"/>
        </w:trPr>
        <w:tc>
          <w:tcPr>
            <w:tcW w:w="251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Einkommen (Singles)</w:t>
            </w:r>
          </w:p>
        </w:tc>
        <w:tc>
          <w:tcPr>
            <w:tcW w:w="258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Einkommen (Familien)</w:t>
            </w:r>
          </w:p>
        </w:tc>
        <w:tc>
          <w:tcPr>
            <w:tcW w:w="138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MLS-Satz</w:t>
            </w:r>
          </w:p>
        </w:tc>
      </w:tr>
      <w:tr>
        <w:trPr>
          <w:cantSplit w:val="true"/>
        </w:trPr>
        <w:tc>
          <w:tcPr>
            <w:tcW w:w="25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105.000 AUD</w:t>
            </w:r>
          </w:p>
        </w:tc>
        <w:tc>
          <w:tcPr>
            <w:tcW w:w="25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210.000 AUD</w:t>
            </w:r>
          </w:p>
        </w:tc>
        <w:tc>
          <w:tcPr>
            <w:tcW w:w="13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1,0 %</w:t>
            </w:r>
          </w:p>
        </w:tc>
      </w:tr>
      <w:tr>
        <w:trPr>
          <w:cantSplit w:val="true"/>
        </w:trPr>
        <w:tc>
          <w:tcPr>
            <w:tcW w:w="25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123.000 AUD</w:t>
            </w:r>
          </w:p>
        </w:tc>
        <w:tc>
          <w:tcPr>
            <w:tcW w:w="25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246.000 AUD</w:t>
            </w:r>
          </w:p>
        </w:tc>
        <w:tc>
          <w:tcPr>
            <w:tcW w:w="13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1,25 %</w:t>
            </w:r>
          </w:p>
        </w:tc>
      </w:tr>
      <w:tr>
        <w:trPr>
          <w:cantSplit w:val="true"/>
        </w:trPr>
        <w:tc>
          <w:tcPr>
            <w:tcW w:w="251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164.000 AUD</w:t>
            </w:r>
          </w:p>
        </w:tc>
        <w:tc>
          <w:tcPr>
            <w:tcW w:w="25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328.000 AUD</w:t>
            </w:r>
          </w:p>
        </w:tc>
        <w:tc>
          <w:tcPr>
            <w:tcW w:w="13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Familienschwelle steigt ab dem zweiten Kind um jeweils 1.500 AUD. Für die meisten Neuankömmlinge auf befristeten Visa ist die MLS in der Praxis kein Thema: Wer ohnehin keinen Medicare-Zugang hat und stattdessen zwingend eine private Auslandskrankenversicherung (</w:t>
      </w:r>
      <w:r>
        <w:rPr>
          <w:rFonts w:eastAsia="Cambria" w:cs="Cambria"/>
          <w:b w:val="false"/>
          <w:bCs w:val="false"/>
          <w:i/>
          <w:iCs/>
          <w:sz w:val="22"/>
          <w:szCs w:val="22"/>
        </w:rPr>
        <w:t>OVHC</w:t>
      </w:r>
      <w:r>
        <w:rPr>
          <w:rFonts w:eastAsia="Cambria" w:cs="Cambria"/>
          <w:b w:val="false"/>
          <w:bCs w:val="false"/>
          <w:i w:val="false"/>
          <w:iCs w:val="false"/>
          <w:sz w:val="22"/>
          <w:szCs w:val="22"/>
        </w:rPr>
        <w:t xml:space="preserve">) abschließen muss, zahlt keine MLS, weil diese nur für Medicare-Berechtigte ohne Krankenhausversicherung greift. Erst mit dem </w:t>
      </w:r>
      <w:r>
        <w:rPr>
          <w:rFonts w:eastAsia="Cambria" w:cs="Cambria"/>
          <w:b w:val="false"/>
          <w:bCs w:val="false"/>
          <w:i/>
          <w:iCs/>
          <w:sz w:val="22"/>
          <w:szCs w:val="22"/>
        </w:rPr>
        <w:t>Permanent-Resident</w:t>
      </w:r>
      <w:r>
        <w:rPr>
          <w:rFonts w:eastAsia="Cambria" w:cs="Cambria"/>
          <w:b w:val="false"/>
          <w:bCs w:val="false"/>
          <w:i w:val="false"/>
          <w:iCs w:val="false"/>
          <w:sz w:val="22"/>
          <w:szCs w:val="22"/>
        </w:rPr>
        <w:t>-Status und entsprechendem Einkommen wird die MLS relevant – dann lohnt sich der Vergleich, ob eine private Krankenhausversicherung nicht am Ende günstiger kommt als die Abgabe.</w:t>
      </w:r>
    </w:p>
    <w:p>
      <w:pPr>
        <w:pStyle w:val="Heading3"/>
        <w:keepNext w:val="true"/>
        <w:spacing w:before="280" w:after="100"/>
        <w:jc w:val="center"/>
        <w:rPr/>
      </w:pPr>
      <w:r>
        <w:rPr>
          <w:rFonts w:eastAsia="Amazon Ember" w:cs="Amazon Ember" w:ascii="Amazon Ember" w:hAnsi="Amazon Ember"/>
          <w:b/>
          <w:bCs/>
          <w:color w:val="0000FF"/>
          <w:sz w:val="36"/>
          <w:szCs w:val="36"/>
        </w:rPr>
        <w:t>Superannuation: die Pflichtvorsorge deines Arbeitgebers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Superannuation ist Australiens verpflichtende, kapitalgedeckte Altersvorsorge – am ehesten vergleichbar mit einer Mischung aus deutscher gesetzlicher Rente und betrieblicher Altersvorsorge, nur dass das Guthaben auf einem persönlichen Konto liegt und dir gehört. Dein Arbeitgeber zahlt den </w:t>
      </w:r>
      <w:r>
        <w:rPr>
          <w:rFonts w:eastAsia="Cambria" w:cs="Cambria"/>
          <w:b w:val="false"/>
          <w:bCs w:val="false"/>
          <w:i/>
          <w:iCs/>
          <w:sz w:val="22"/>
          <w:szCs w:val="22"/>
        </w:rPr>
        <w:t>Superannuation Guarantee</w:t>
      </w:r>
      <w:r>
        <w:rPr>
          <w:rFonts w:eastAsia="Cambria" w:cs="Cambria"/>
          <w:b w:val="false"/>
          <w:bCs w:val="false"/>
          <w:i w:val="false"/>
          <w:iCs w:val="false"/>
          <w:sz w:val="22"/>
          <w:szCs w:val="22"/>
        </w:rPr>
        <w:t xml:space="preserve"> (SG) obendrauf zu deinem Gehalt in einen Superfonds ein, seit dem 1. Juli 2025 in Höhe von 12,0 % deines gewöhnlichen Arbeitsentgelts – die letzte gesetzlich vorgesehene Erhöhungsstufe, weitere automatische Steigerungen sind derzeit nicht terminiert. Ab dem 1. Juli 2026 gilt außerdem „Payday Super“: Arbeitgeber müssen die Beiträge zeitgleich mit dem Lohn überweisen, nicht mehr gesammelt im Quartal.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Binnen 28 Tagen nach Arbeitsbeginn erhältst du vom Arbeitgeber ein Formular zur Fondswahl. Wählst du keinen eigenen Fonds, sucht der Arbeitgeber zunächst nach einem bereits vorhandenen, bei der ATO hinterlegten Fonds aus einem früheren Job (</w:t>
      </w:r>
      <w:r>
        <w:rPr>
          <w:rFonts w:eastAsia="Cambria" w:cs="Cambria"/>
          <w:b w:val="false"/>
          <w:bCs w:val="false"/>
          <w:i/>
          <w:iCs/>
          <w:sz w:val="22"/>
          <w:szCs w:val="22"/>
        </w:rPr>
        <w:t>Stapled Fund</w:t>
      </w:r>
      <w:r>
        <w:rPr>
          <w:rFonts w:eastAsia="Cambria" w:cs="Cambria"/>
          <w:b w:val="false"/>
          <w:bCs w:val="false"/>
          <w:i w:val="false"/>
          <w:iCs w:val="false"/>
          <w:sz w:val="22"/>
          <w:szCs w:val="22"/>
        </w:rPr>
        <w:t>); existiert keiner, greift der betriebliche Standardfonds. Es lohnt sich, aktiv zu wählen, statt es dem Zufall zu überlassen – ein Fondswechsel später ist möglich, aber mit Aufwand verbunden.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Superannuation ist dein Geld, kein freiwilliges Extra des Arbeitgebers und keine Sozialabgabe, die im System verschwindet. Der reguläre Zugriff ist erst ab dem sogenannten </w:t>
            </w:r>
            <w:r>
              <w:rPr>
                <w:rFonts w:eastAsia="Cambria" w:cs="Cambria"/>
                <w:b w:val="false"/>
                <w:bCs w:val="false"/>
                <w:i/>
                <w:iCs/>
                <w:sz w:val="20"/>
                <w:szCs w:val="20"/>
              </w:rPr>
              <w:t>Preservation Age</w:t>
            </w:r>
            <w:r>
              <w:rPr>
                <w:rFonts w:eastAsia="Cambria" w:cs="Cambria"/>
                <w:b w:val="false"/>
                <w:bCs w:val="false"/>
                <w:i w:val="false"/>
                <w:iCs w:val="false"/>
                <w:sz w:val="20"/>
                <w:szCs w:val="20"/>
              </w:rPr>
              <w:t xml:space="preserve"> möglich, einheitlich 60 Jahre für alle nach 1964 Geborenen – für die meisten Neueinwanderer also erst in ferner Zukunft.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Wegzug: Was mit der Superannuation passiert (DASP)</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Australien als Steuerausländer dauerhaft verlässt und das Visum aufgibt, kann sich das angesparte Superguthaben auszahlen lassen – der </w:t>
      </w:r>
      <w:r>
        <w:rPr>
          <w:rFonts w:eastAsia="Cambria" w:cs="Cambria"/>
          <w:b w:val="false"/>
          <w:bCs w:val="false"/>
          <w:i/>
          <w:iCs/>
          <w:sz w:val="22"/>
          <w:szCs w:val="22"/>
        </w:rPr>
        <w:t>Departing Australia Superannuation Payment</w:t>
      </w:r>
      <w:r>
        <w:rPr>
          <w:rFonts w:eastAsia="Cambria" w:cs="Cambria"/>
          <w:b w:val="false"/>
          <w:bCs w:val="false"/>
          <w:i w:val="false"/>
          <w:iCs w:val="false"/>
          <w:sz w:val="22"/>
          <w:szCs w:val="22"/>
        </w:rPr>
        <w:t xml:space="preserve"> (DASP). Der Haken liegt im Steuersatz: 65 % auf den steuerpflichtigen Anteil für (ehemalige) Inhaber eines Working-Holiday-Visums (417/462), sobald irgendein Teil des Guthabens aus einer solchen Beschäftigungsperiode stammt, auch wenn später ein anderes Visum galt; 35 % für die meisten anderen befristeten Aufenthaltstitel. Diese Steuer wird final einbehalten, eine Erstattung über die reguläre Steuererklärung gibt es nicht.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Von zwölf Prozent Pflichtbeitrag, die über Monate oder Jahre angespart wurden, bleiben bei der Working-Holiday-DASP-Steuer nur gut ein Drittel übrig, wenn du das Land endgültig verlässt. Rechne das realistisch in deine Reisekasse ein – der Kontostand im Super-Fonds ist beim Abflug deutlich weniger wert, als er auf dem Papier aussieht.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Nina Voss kommt mit einem Working-Holiday-Visum (417 — für deutsche Staatsangehörige die einzige Working-Holiday-Kategorie, 462 gilt nur für andere Länder) nach Sydney und jobbt zunächst in der Gastronomie und auf einer Farm in Queensland. Über eineinhalb Jahre sammelt sich auf ihrem Superfonds ein kleines Guthaben aus den 12 % Arbeitgeberbeiträgen an. Als sie später über einen gefundenen Arbeitgeber auf ein Skilled-Visum wechselt und in Sydney bleiben will, lässt sie das Guthaben unangetastet weiterlaufen – gut so, denn selbst der Teil aus der Skilled-Phase würde bei einer Ausreise mit dem hohen 65-%-Satz belegt, sobald der Fonds Working-Holiday-Beiträge enthält. Erst mit einer Green-Card-ähnlichen, dauerhaften Aufenthaltserlaubnis entfällt das DASP-Thema endgültig.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Bankkonto eröffnen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australische Privatkundenmarkt wird von vier Großbanken dominiert: Commonwealth Bank (CommBank), Westpac, NAB und ANZ. Wie früh du ein Konto eröffnen kannst, unterscheidet sich merklich: CommBank ermöglicht die Online-Eröffnung bis zu 14 Tage vor der Einreise, Westpac bereits bis zu 12 Monate vorab, NAB dagegen erst nach der Ankunft vor Ort. Nach der Einreise verlangen alle vier Banken eine persönliche Identifizierung in der Filiale, den sogenannten „100-Punkte-ID-Check“ (in der Regel Pass, Visumsnachweis und ein weiteres Ausweisdokument).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Eröffne dein Konto, wenn möglich, online, bevor du fliegst. Dann bist du vom ersten Arbeitstag an zahlungsfähig, statt in der ersten, ohnehin turbulenten Woche noch einen Bankbesuch einschieben zu müssen.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ohne feste australische Adresse und ohne TFN lässt sich meist ein Interimskonto eröffnen. Reiche die TFN aber zügig nach: Ohne sie behält die Bank auf Zinserträge dieselbe hohe Vorsteuer ein wie der Arbeitgeber auf den Lohn. Kontoführungsgebühren der Standardkonten lassen sich bei allen vier Großbanken meist durch eine Mindesteinzahlung, das Alter unter 25 oder 30 Jahren oder Studierendenstatus vermeiden; die genauen Bedingungen ändern sich häufig und lohnen einen Vergleich direkt auf den Bank-Websites vor der Wahl.</w:t>
      </w:r>
    </w:p>
    <w:p>
      <w:pPr>
        <w:pStyle w:val="Heading3"/>
        <w:keepNext w:val="true"/>
        <w:spacing w:before="280" w:after="100"/>
        <w:jc w:val="center"/>
        <w:rPr/>
      </w:pPr>
      <w:r>
        <w:rPr>
          <w:rFonts w:eastAsia="Amazon Ember" w:cs="Amazon Ember" w:ascii="Amazon Ember" w:hAnsi="Amazon Ember"/>
          <w:b/>
          <w:bCs/>
          <w:color w:val="0000FF"/>
          <w:sz w:val="36"/>
          <w:szCs w:val="36"/>
        </w:rPr>
        <w:t>Kreditwürdigkeit aufbauen: das australische Auskunftssystem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Wie in den meisten Ländern zählt deine deutsche Schufa-Historie in Australien nichts – du startest ohne jede lokale Kredithistorie, unabhängig davon, wie makellos dein deutsches Zahlungsverhalten war. Drei Auskunfteien – Equifax, Experian und Illion – führen jeweils eigene Kreditauskünfte mit unterschiedlichen Skalen (Equifax 0–1.200, Experian und Illion 0–1.000 Punkte) und teils unterschiedlichen Werten, weil nicht jeder Anbieter an jede Auskunftei meldet. Seit der Einführung des </w:t>
      </w:r>
      <w:r>
        <w:rPr>
          <w:rFonts w:eastAsia="Cambria" w:cs="Cambria"/>
          <w:b w:val="false"/>
          <w:bCs w:val="false"/>
          <w:i/>
          <w:iCs/>
          <w:sz w:val="22"/>
          <w:szCs w:val="22"/>
        </w:rPr>
        <w:t>Comprehensive Credit Reporting</w:t>
      </w:r>
      <w:r>
        <w:rPr>
          <w:rFonts w:eastAsia="Cambria" w:cs="Cambria"/>
          <w:b w:val="false"/>
          <w:bCs w:val="false"/>
          <w:i w:val="false"/>
          <w:iCs w:val="false"/>
          <w:sz w:val="22"/>
          <w:szCs w:val="22"/>
        </w:rPr>
        <w:t xml:space="preserve"> (umfassende Kreditauskunft, seit 2018 möglich, seit 2022 branchenweit Standard) zählen nicht mehr nur negative Einträge wie Zahlungsausfälle, sondern auch pünktliche Zahlungen positiv in den Score ein – für Neuankömmlinge ohne jede Historie ein Vorteil, weil sich eine saubere Zahlungsweise entsprechend schnell bemerkbar macht.</w:t>
      </w:r>
    </w:p>
    <w:tbl>
      <w:tblPr>
        <w:tblW w:w="6480" w:type="dxa"/>
        <w:jc w:val="left"/>
        <w:tblInd w:w="0" w:type="dxa"/>
        <w:tblLayout w:type="fixed"/>
        <w:tblCellMar>
          <w:top w:w="50" w:type="dxa"/>
          <w:left w:w="80" w:type="dxa"/>
          <w:bottom w:w="50" w:type="dxa"/>
          <w:right w:w="80" w:type="dxa"/>
        </w:tblCellMar>
      </w:tblPr>
      <w:tblGrid>
        <w:gridCol w:w="1113"/>
        <w:gridCol w:w="2178"/>
        <w:gridCol w:w="3189"/>
      </w:tblGrid>
      <w:tr>
        <w:trPr>
          <w:tblHeader w:val="true"/>
          <w:cantSplit w:val="true"/>
        </w:trPr>
        <w:tc>
          <w:tcPr>
            <w:tcW w:w="111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Merkmal</w:t>
            </w:r>
          </w:p>
        </w:tc>
        <w:tc>
          <w:tcPr>
            <w:tcW w:w="217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Schufa (Deutschland)</w:t>
            </w:r>
          </w:p>
        </w:tc>
        <w:tc>
          <w:tcPr>
            <w:tcW w:w="318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Kreditauskunft (Australien)</w:t>
            </w:r>
          </w:p>
        </w:tc>
      </w:tr>
      <w:tr>
        <w:trPr>
          <w:cantSplit w:val="true"/>
        </w:trPr>
        <w:tc>
          <w:tcPr>
            <w:tcW w:w="11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Auskunfteien</w:t>
            </w:r>
          </w:p>
        </w:tc>
        <w:tc>
          <w:tcPr>
            <w:tcW w:w="21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 Kern eine, die Schufa dominiert</w:t>
            </w:r>
          </w:p>
        </w:tc>
        <w:tc>
          <w:tcPr>
            <w:tcW w:w="31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drei parallele Bureaus (Equifax, Experian, Illion), mit abweichenden Werten</w:t>
            </w:r>
          </w:p>
        </w:tc>
      </w:tr>
      <w:tr>
        <w:trPr>
          <w:cantSplit w:val="true"/>
        </w:trPr>
        <w:tc>
          <w:tcPr>
            <w:tcW w:w="11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Skala</w:t>
            </w:r>
          </w:p>
        </w:tc>
        <w:tc>
          <w:tcPr>
            <w:tcW w:w="21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0–100 % (Wahrscheinlichkeit)</w:t>
            </w:r>
          </w:p>
        </w:tc>
        <w:tc>
          <w:tcPr>
            <w:tcW w:w="31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 nach Bureau unterschiedlich (z. B. 0–1.200 bei Equifax)</w:t>
            </w:r>
          </w:p>
        </w:tc>
      </w:tr>
      <w:tr>
        <w:trPr>
          <w:cantSplit w:val="true"/>
        </w:trPr>
        <w:tc>
          <w:tcPr>
            <w:tcW w:w="11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Beim Umzug nach Australien</w:t>
            </w:r>
          </w:p>
        </w:tc>
        <w:tc>
          <w:tcPr>
            <w:tcW w:w="21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zählt nicht, kein Import der Historie</w:t>
            </w:r>
          </w:p>
        </w:tc>
        <w:tc>
          <w:tcPr>
            <w:tcW w:w="31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Start ohne jede Historie, unabhängig von der deutschen Bonität</w:t>
            </w:r>
          </w:p>
        </w:tc>
      </w:tr>
      <w:tr>
        <w:trPr>
          <w:cantSplit w:val="true"/>
        </w:trPr>
        <w:tc>
          <w:tcPr>
            <w:tcW w:w="11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zählt</w:t>
            </w:r>
          </w:p>
        </w:tc>
        <w:tc>
          <w:tcPr>
            <w:tcW w:w="21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 allem Zahlungsausfälle</w:t>
            </w:r>
          </w:p>
        </w:tc>
        <w:tc>
          <w:tcPr>
            <w:tcW w:w="31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seit CCR auch positive Zahlungshistorie</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Praktisch beginnst du den Aufbau am besten mit einem laufenden Girokonto samt Debitkarte, pünktlich bezahlten Mobilfunk- und Internetrechnungen und, sobald möglich, einer ersten Kreditkarte mit niedrigem Limit bei deiner Hausbank. Auch pünktlich bezahlte Miete kann über manche Vermieter-Plattformen inzwischen an die Auskunfteien gemeldet werden. Seit Juni 2025 fallen auch Ratenkäufe nach dem Prinzip „jetzt kaufen, später zahlen“ (</w:t>
      </w:r>
      <w:r>
        <w:rPr>
          <w:rFonts w:eastAsia="Cambria" w:cs="Cambria"/>
          <w:b w:val="false"/>
          <w:bCs w:val="false"/>
          <w:i/>
          <w:iCs/>
          <w:sz w:val="22"/>
          <w:szCs w:val="22"/>
        </w:rPr>
        <w:t>Buy Now, Pay Later</w:t>
      </w:r>
      <w:r>
        <w:rPr>
          <w:rFonts w:eastAsia="Cambria" w:cs="Cambria"/>
          <w:b w:val="false"/>
          <w:bCs w:val="false"/>
          <w:i w:val="false"/>
          <w:iCs w:val="false"/>
          <w:sz w:val="22"/>
          <w:szCs w:val="22"/>
        </w:rPr>
        <w:t>, BNPL) unter die reguläre Kreditprüfung; verpasste Raten landen dann ebenso in der Akte wie eine verpasste Kreditkartenrate. Verzichte in den ersten Monaten auf mehrere gleichzeitige Kreditanträge – jede Anfrage hinterlässt eine Spur in der Akte und kann den Score kurzfristig drücken.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Eine kostenlose Auskunft über den eigenen Score kannst du bei allen drei Bureaus regelmäßig anfordern. Prüfe sie in den ersten Monaten in Australien bewusst, um Fehler früh zu erkennen und zu korrigieren.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Steuererklärung: Fristen und Ablauf</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reguläre Frist für die Selbstveranlagung über das Online-Portal </w:t>
      </w:r>
      <w:r>
        <w:rPr>
          <w:rFonts w:eastAsia="Cambria" w:cs="Cambria"/>
          <w:b w:val="false"/>
          <w:bCs w:val="false"/>
          <w:i/>
          <w:iCs/>
          <w:sz w:val="22"/>
          <w:szCs w:val="22"/>
        </w:rPr>
        <w:t>myGov</w:t>
      </w:r>
      <w:r>
        <w:rPr>
          <w:rFonts w:eastAsia="Cambria" w:cs="Cambria"/>
          <w:b w:val="false"/>
          <w:bCs w:val="false"/>
          <w:i w:val="false"/>
          <w:iCs w:val="false"/>
          <w:sz w:val="22"/>
          <w:szCs w:val="22"/>
        </w:rPr>
        <w:t>/</w:t>
      </w:r>
      <w:r>
        <w:rPr>
          <w:rFonts w:eastAsia="Cambria" w:cs="Cambria"/>
          <w:b w:val="false"/>
          <w:bCs w:val="false"/>
          <w:i/>
          <w:iCs/>
          <w:sz w:val="22"/>
          <w:szCs w:val="22"/>
        </w:rPr>
        <w:t>myTax</w:t>
      </w:r>
      <w:r>
        <w:rPr>
          <w:rFonts w:eastAsia="Cambria" w:cs="Cambria"/>
          <w:b w:val="false"/>
          <w:bCs w:val="false"/>
          <w:i w:val="false"/>
          <w:iCs w:val="false"/>
          <w:sz w:val="22"/>
          <w:szCs w:val="22"/>
        </w:rPr>
        <w:t xml:space="preserve"> ist der 31. Oktober; 2026 fällt dieser Termin für das Finanzjahr 2025–26 auf einen Samstag und verschiebt sich auf Montag, den 2. November 2026. Wer vor dem 31. Oktober einen registrierten Steuerberater (</w:t>
      </w:r>
      <w:r>
        <w:rPr>
          <w:rFonts w:eastAsia="Cambria" w:cs="Cambria"/>
          <w:b w:val="false"/>
          <w:bCs w:val="false"/>
          <w:i/>
          <w:iCs/>
          <w:sz w:val="22"/>
          <w:szCs w:val="22"/>
        </w:rPr>
        <w:t>Tax Agent</w:t>
      </w:r>
      <w:r>
        <w:rPr>
          <w:rFonts w:eastAsia="Cambria" w:cs="Cambria"/>
          <w:b w:val="false"/>
          <w:bCs w:val="false"/>
          <w:i w:val="false"/>
          <w:iCs w:val="false"/>
          <w:sz w:val="22"/>
          <w:szCs w:val="22"/>
        </w:rPr>
        <w:t>) beauftragt, erhält meist eine Fristverlängerung bis zum 15. Mai 2027, mit Kulanz bis 5. Juni 2027, sofern offene Beträge fristgerecht beglichen werden. Eine gewisse Großzügigkeit bei verpassten Terminen ist der ATO dagegen nicht nachzusagen: Die Versäumnisgebühr beträgt 364 AUD je angefangene 28 Tage Verspätung, gedeckelt bei 1.820 AUD für Einzelpersonen.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Deine erste vollständige Steuererklärung wird typischerweise erst im auf die Einreise folgenden Finanzjahr fällig. Bewahre in der Zwischenzeit Gehaltsabrechnungen, den Jahresabschluss deines Arbeitgebers und Belege für berufsbezogene Ausgaben sorgfältig auf – das erspart im Oktober viel Sucherei.</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erklärt das System und nennt Richtwerte. Es ersetzt keine Rechts- oder Steuerberatung. Ob du als Ansässiger oder Steuerausländer giltst, wie sich ein Statuswechsel im selben Finanzjahr auswirkt und wie das Doppelbesteuerungsabkommen zwischen Deutschland und Australien mit deutschem Einkommen, Mieteinnahmen oder der gesetzlichen Rente umgeht, kann im Einzelfall stark abweichen. Lass das von einem australischen Steuerberater prüfen, der die deutsche Seite kennt oder sich mit einem deutschen Steuerberater abstimmt.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TFN-Beantragung ist kostenlos und meist zügig erledigt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TFN 47 % Lohnabzug – ein teurer Fehlstart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Steuerfreier Grundbetrag von 18.200 AUD für Ansässige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Working-Holiday-Reisende zahlen ab dem ersten Dollar 15 %</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Superannuation gehört dir und wächst mit jedem Gehalt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 Wegzug frisst die DASP-Steuer bis zu 65 % des Guthabens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Comprehensive Credit Reporting belohnt pünktliches Zahlen schnell</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Start ohne jede australische Kredithistorie, Schufa zählt nicht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Bankkonto teils schon vor der Einreise online eröffenbar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Vollständige Identifizierung erst persönlich in der Filiale möglich</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Beantrage die TFN in deiner ersten Woche in Australien und trage die 28-Tage-Frist für den regulären Lohnsteuerabzug in deinen Kalender ein. Eröffne dein Bankkonto möglichst schon vor der Einreise online, wähle bei Arbeitsbeginn aktiv einen Superfonds, statt die Standardlösung laufen zu lassen, und baue mit pünktlichen Rechnungen und einer ersten Kreditkarte gezielt deine australische Kreditwürdigkeit auf. Kläre früh, ob dein Einkommen die Schwelle zur Medicare Levy Surcharge erreicht und ob sich eine private Krankenhausversicherung dadurch lohnt.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Tax File Number (TFN) beantragt, Antragsweg (myID online oder Australia-Post-Interview) geklärt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28-Tage-Frist für die TFN-Vorlage beim Arbeitgeber notiert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Steuerlichen Status geprüft: Ansässiger, Steuerausländer oder Working-Holiday-Tarif</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Bankkonto eröffnet (online vor Einreise oder in der Filiale mit 100-Punkte-ID-Check)</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Superfonds bei Arbeitsbeginn aktiv gewählt statt Standardfonds übernommen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geplanter Ausreise: DASP-Steuerfolgen für die Superannuation eingeplant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Erste Kreditkarte mit niedrigem Limit beantragt, Rechnungen pünktlich beglichen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 Kreditauskunft bei Equifax, Experian und Illion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Einkommen mit den Schwellen der Medicare Levy Surcharge abgeglichen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Frist für die Steuererklärung (31. Oktober bzw. mit Steuerberater später) im Kalender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hyperlink r:id="rId457">
        <w:r>
          <w:rPr>
            <w:rStyle w:val="ListLabel113"/>
            <w:rFonts w:eastAsia="Cambria" w:cs="Cambria"/>
            <w:b w:val="false"/>
            <w:bCs w:val="false"/>
            <w:i w:val="false"/>
            <w:iCs w:val="false"/>
            <w:color w:val="0563C1"/>
            <w:sz w:val="22"/>
            <w:szCs w:val="22"/>
            <w:u w:val="single"/>
          </w:rPr>
          <w:t>ato.gov.au</w:t>
        </w:r>
      </w:hyperlink>
      <w:r>
        <w:rPr>
          <w:rFonts w:eastAsia="Cambria" w:cs="Cambria"/>
          <w:b w:val="false"/>
          <w:bCs w:val="false"/>
          <w:i w:val="false"/>
          <w:iCs w:val="false"/>
          <w:sz w:val="22"/>
          <w:szCs w:val="22"/>
        </w:rPr>
        <w:t xml:space="preserve"> – Tax File Number, Steuersätze, Medicare Levy und Surcharge, Superannuation, DASP</w:t>
      </w:r>
    </w:p>
    <w:p>
      <w:pPr>
        <w:pStyle w:val="ListParagraph"/>
        <w:numPr>
          <w:ilvl w:val="0"/>
          <w:numId w:val="1"/>
        </w:numPr>
        <w:spacing w:lineRule="exact" w:line="288" w:before="0" w:after="60"/>
        <w:rPr/>
      </w:pPr>
      <w:hyperlink r:id="rId458">
        <w:r>
          <w:rPr>
            <w:rStyle w:val="ListLabel113"/>
            <w:rFonts w:eastAsia="Cambria" w:cs="Cambria"/>
            <w:b w:val="false"/>
            <w:bCs w:val="false"/>
            <w:i w:val="false"/>
            <w:iCs w:val="false"/>
            <w:color w:val="0563C1"/>
            <w:sz w:val="22"/>
            <w:szCs w:val="22"/>
            <w:u w:val="single"/>
          </w:rPr>
          <w:t>servicesaustralia.gov.au</w:t>
        </w:r>
      </w:hyperlink>
      <w:r>
        <w:rPr>
          <w:rFonts w:eastAsia="Cambria" w:cs="Cambria"/>
          <w:b w:val="false"/>
          <w:bCs w:val="false"/>
          <w:i w:val="false"/>
          <w:iCs w:val="false"/>
          <w:sz w:val="22"/>
          <w:szCs w:val="22"/>
        </w:rPr>
        <w:t xml:space="preserve"> – Centrelink, Medicare-Anmeldung</w:t>
      </w:r>
    </w:p>
    <w:p>
      <w:pPr>
        <w:pStyle w:val="ListParagraph"/>
        <w:numPr>
          <w:ilvl w:val="0"/>
          <w:numId w:val="1"/>
        </w:numPr>
        <w:spacing w:lineRule="exact" w:line="288" w:before="0" w:after="60"/>
        <w:rPr/>
      </w:pPr>
      <w:hyperlink r:id="rId459">
        <w:r>
          <w:rPr>
            <w:rStyle w:val="ListLabel113"/>
            <w:rFonts w:eastAsia="Cambria" w:cs="Cambria"/>
            <w:b w:val="false"/>
            <w:bCs w:val="false"/>
            <w:i w:val="false"/>
            <w:iCs w:val="false"/>
            <w:color w:val="0563C1"/>
            <w:sz w:val="22"/>
            <w:szCs w:val="22"/>
            <w:u w:val="single"/>
          </w:rPr>
          <w:t>moneysmart.gov.au</w:t>
        </w:r>
      </w:hyperlink>
      <w:r>
        <w:rPr>
          <w:rFonts w:eastAsia="Cambria" w:cs="Cambria"/>
          <w:b w:val="false"/>
          <w:bCs w:val="false"/>
          <w:i w:val="false"/>
          <w:iCs w:val="false"/>
          <w:sz w:val="22"/>
          <w:szCs w:val="22"/>
        </w:rPr>
        <w:t xml:space="preserve"> – unabhängige Verbraucherinformation der Finanzaufsicht ASIC, u. a. zu Kreditauskünften</w:t>
      </w:r>
    </w:p>
    <w:p>
      <w:pPr>
        <w:pStyle w:val="ListParagraph"/>
        <w:numPr>
          <w:ilvl w:val="0"/>
          <w:numId w:val="1"/>
        </w:numPr>
        <w:spacing w:lineRule="exact" w:line="288" w:before="0" w:after="60"/>
        <w:rPr/>
      </w:pPr>
      <w:hyperlink r:id="rId460">
        <w:r>
          <w:rPr>
            <w:rStyle w:val="ListLabel113"/>
            <w:rFonts w:eastAsia="Cambria" w:cs="Cambria"/>
            <w:b w:val="false"/>
            <w:bCs w:val="false"/>
            <w:i w:val="false"/>
            <w:iCs w:val="false"/>
            <w:color w:val="0563C1"/>
            <w:sz w:val="22"/>
            <w:szCs w:val="22"/>
            <w:u w:val="single"/>
          </w:rPr>
          <w:t>equifax.com.au</w:t>
        </w:r>
      </w:hyperlink>
      <w:r>
        <w:rPr>
          <w:rFonts w:eastAsia="Cambria" w:cs="Cambria"/>
          <w:b w:val="false"/>
          <w:bCs w:val="false"/>
          <w:i w:val="false"/>
          <w:iCs w:val="false"/>
          <w:sz w:val="22"/>
          <w:szCs w:val="22"/>
        </w:rPr>
        <w:t xml:space="preserve"> / </w:t>
      </w:r>
      <w:hyperlink r:id="rId461">
        <w:r>
          <w:rPr>
            <w:rStyle w:val="ListLabel113"/>
            <w:rFonts w:eastAsia="Cambria" w:cs="Cambria"/>
            <w:b w:val="false"/>
            <w:bCs w:val="false"/>
            <w:i w:val="false"/>
            <w:iCs w:val="false"/>
            <w:color w:val="0563C1"/>
            <w:sz w:val="22"/>
            <w:szCs w:val="22"/>
            <w:u w:val="single"/>
          </w:rPr>
          <w:t>experian.com.au</w:t>
        </w:r>
      </w:hyperlink>
      <w:r>
        <w:rPr>
          <w:rFonts w:eastAsia="Cambria" w:cs="Cambria"/>
          <w:b w:val="false"/>
          <w:bCs w:val="false"/>
          <w:i w:val="false"/>
          <w:iCs w:val="false"/>
          <w:sz w:val="22"/>
          <w:szCs w:val="22"/>
        </w:rPr>
        <w:t xml:space="preserve"> / </w:t>
      </w:r>
      <w:hyperlink r:id="rId462">
        <w:r>
          <w:rPr>
            <w:rStyle w:val="ListLabel113"/>
            <w:rFonts w:eastAsia="Cambria" w:cs="Cambria"/>
            <w:b w:val="false"/>
            <w:bCs w:val="false"/>
            <w:i w:val="false"/>
            <w:iCs w:val="false"/>
            <w:color w:val="0563C1"/>
            <w:sz w:val="22"/>
            <w:szCs w:val="22"/>
            <w:u w:val="single"/>
          </w:rPr>
          <w:t>illion.com.au</w:t>
        </w:r>
      </w:hyperlink>
      <w:r>
        <w:rPr>
          <w:rFonts w:eastAsia="Cambria" w:cs="Cambria"/>
          <w:b w:val="false"/>
          <w:bCs w:val="false"/>
          <w:i w:val="false"/>
          <w:iCs w:val="false"/>
          <w:sz w:val="22"/>
          <w:szCs w:val="22"/>
        </w:rPr>
        <w:t xml:space="preserve"> – kostenlose Kreditauskunft</w:t>
      </w:r>
    </w:p>
    <w:p>
      <w:pPr>
        <w:pStyle w:val="ListParagraph"/>
        <w:numPr>
          <w:ilvl w:val="0"/>
          <w:numId w:val="1"/>
        </w:numPr>
        <w:spacing w:lineRule="exact" w:line="288" w:before="0" w:after="60"/>
        <w:rPr/>
      </w:pPr>
      <w:hyperlink r:id="rId463">
        <w:r>
          <w:rPr>
            <w:rStyle w:val="ListLabel113"/>
            <w:rFonts w:eastAsia="Cambria" w:cs="Cambria"/>
            <w:b w:val="false"/>
            <w:bCs w:val="false"/>
            <w:i w:val="false"/>
            <w:iCs w:val="false"/>
            <w:color w:val="0563C1"/>
            <w:sz w:val="22"/>
            <w:szCs w:val="22"/>
            <w:u w:val="single"/>
          </w:rPr>
          <w:t>commbank.com.au</w:t>
        </w:r>
      </w:hyperlink>
      <w:r>
        <w:rPr>
          <w:rFonts w:eastAsia="Cambria" w:cs="Cambria"/>
          <w:b w:val="false"/>
          <w:bCs w:val="false"/>
          <w:i w:val="false"/>
          <w:iCs w:val="false"/>
          <w:sz w:val="22"/>
          <w:szCs w:val="22"/>
        </w:rPr>
        <w:t xml:space="preserve"> / </w:t>
      </w:r>
      <w:hyperlink r:id="rId464">
        <w:r>
          <w:rPr>
            <w:rStyle w:val="ListLabel113"/>
            <w:rFonts w:eastAsia="Cambria" w:cs="Cambria"/>
            <w:b w:val="false"/>
            <w:bCs w:val="false"/>
            <w:i w:val="false"/>
            <w:iCs w:val="false"/>
            <w:color w:val="0563C1"/>
            <w:sz w:val="22"/>
            <w:szCs w:val="22"/>
            <w:u w:val="single"/>
          </w:rPr>
          <w:t>westpac.com.au</w:t>
        </w:r>
      </w:hyperlink>
      <w:r>
        <w:rPr>
          <w:rFonts w:eastAsia="Cambria" w:cs="Cambria"/>
          <w:b w:val="false"/>
          <w:bCs w:val="false"/>
          <w:i w:val="false"/>
          <w:iCs w:val="false"/>
          <w:sz w:val="22"/>
          <w:szCs w:val="22"/>
        </w:rPr>
        <w:t xml:space="preserve"> / </w:t>
      </w:r>
      <w:hyperlink r:id="rId465">
        <w:r>
          <w:rPr>
            <w:rStyle w:val="ListLabel113"/>
            <w:rFonts w:eastAsia="Cambria" w:cs="Cambria"/>
            <w:b w:val="false"/>
            <w:bCs w:val="false"/>
            <w:i w:val="false"/>
            <w:iCs w:val="false"/>
            <w:color w:val="0563C1"/>
            <w:sz w:val="22"/>
            <w:szCs w:val="22"/>
            <w:u w:val="single"/>
          </w:rPr>
          <w:t>nab.com.au</w:t>
        </w:r>
      </w:hyperlink>
      <w:r>
        <w:rPr>
          <w:rFonts w:eastAsia="Cambria" w:cs="Cambria"/>
          <w:b w:val="false"/>
          <w:bCs w:val="false"/>
          <w:i w:val="false"/>
          <w:iCs w:val="false"/>
          <w:sz w:val="22"/>
          <w:szCs w:val="22"/>
        </w:rPr>
        <w:t xml:space="preserve"> / </w:t>
      </w:r>
      <w:hyperlink r:id="rId466">
        <w:r>
          <w:rPr>
            <w:rStyle w:val="ListLabel113"/>
            <w:rFonts w:eastAsia="Cambria" w:cs="Cambria"/>
            <w:b w:val="false"/>
            <w:bCs w:val="false"/>
            <w:i w:val="false"/>
            <w:iCs w:val="false"/>
            <w:color w:val="0563C1"/>
            <w:sz w:val="22"/>
            <w:szCs w:val="22"/>
            <w:u w:val="single"/>
          </w:rPr>
          <w:t>anz.com.au</w:t>
        </w:r>
      </w:hyperlink>
      <w:r>
        <w:rPr>
          <w:rFonts w:eastAsia="Cambria" w:cs="Cambria"/>
          <w:b w:val="false"/>
          <w:bCs w:val="false"/>
          <w:i w:val="false"/>
          <w:iCs w:val="false"/>
          <w:sz w:val="22"/>
          <w:szCs w:val="22"/>
        </w:rPr>
        <w:t xml:space="preserve"> – Kontoeröffnung für Neuankömmlinge</w:t>
      </w:r>
    </w:p>
    <w:p>
      <w:pPr>
        <w:pStyle w:val="ListParagraph"/>
        <w:numPr>
          <w:ilvl w:val="0"/>
          <w:numId w:val="1"/>
        </w:numPr>
        <w:spacing w:lineRule="exact" w:line="288" w:before="0" w:after="60"/>
        <w:rPr/>
      </w:pPr>
      <w:hyperlink r:id="rId467">
        <w:r>
          <w:rPr>
            <w:rStyle w:val="ListLabel113"/>
            <w:rFonts w:eastAsia="Cambria" w:cs="Cambria"/>
            <w:b w:val="false"/>
            <w:bCs w:val="false"/>
            <w:i w:val="false"/>
            <w:iCs w:val="false"/>
            <w:color w:val="0563C1"/>
            <w:sz w:val="22"/>
            <w:szCs w:val="22"/>
            <w:u w:val="single"/>
          </w:rPr>
          <w:t>mygov.au</w:t>
        </w:r>
      </w:hyperlink>
      <w:r>
        <w:rPr>
          <w:rFonts w:eastAsia="Cambria" w:cs="Cambria"/>
          <w:b w:val="false"/>
          <w:bCs w:val="false"/>
          <w:i w:val="false"/>
          <w:iCs w:val="false"/>
          <w:sz w:val="22"/>
          <w:szCs w:val="22"/>
        </w:rPr>
        <w:t xml:space="preserve"> – Online-Portal für Steuererklärung und Behördengänge</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Schnell ändern sich: Steuersätze und -schwellen (jährlich zum 1. Juli), Medicare-Levy-Surcharge-Schwellen, Superannuation-Sätze, DASP-Regeln und Kontoführungsgebühren der Banken. Prüfe vor jeder Entscheidung die aktuellen Werte auf ato.gov.au und den genannten Bank- und Auskunftei-Websites.</w:t>
            </w:r>
          </w:p>
        </w:tc>
      </w:tr>
    </w:tbl>
    <w:p>
      <w:pPr>
        <w:pStyle w:val="Normal"/>
        <w:spacing w:lineRule="exact" w:line="220" w:before="0" w:after="0"/>
        <w:rPr/>
      </w:pPr>
      <w:r>
        <w:rPr/>
      </w:r>
      <w:r>
        <w:br w:type="page"/>
      </w:r>
    </w:p>
    <w:p>
      <w:pPr>
        <w:pStyle w:val="Heading2"/>
        <w:keepNext w:val="true"/>
        <w:spacing w:before="0" w:after="300"/>
        <w:jc w:val="center"/>
        <w:rPr/>
      </w:pPr>
      <w:bookmarkStart w:id="118" w:name="__RefHeading___Toc56547_3769931028"/>
      <w:bookmarkStart w:id="119" w:name="tau08"/>
      <w:bookmarkEnd w:id="118"/>
      <w:r>
        <w:rPr>
          <w:rFonts w:eastAsia="Amazon Ember" w:cs="Amazon Ember" w:ascii="Amazon Ember" w:hAnsi="Amazon Ember"/>
          <w:b/>
          <w:bCs/>
          <w:color w:val="0000FF"/>
          <w:sz w:val="36"/>
          <w:szCs w:val="36"/>
        </w:rPr>
        <w:t>Australien: Das Gesundheitssystem</w:t>
      </w:r>
      <w:bookmarkEnd w:id="119"/>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aus einem EU-Land nach Australien zieht, geht gern automatisch von einer Art Grundabsicherung aus – Europa hat doch für fast alles ein Abkommen, oder? Genau an dieser Selbstverständlichkeit hängt eine der teuersten Fehlannahmen für deutsche Auswanderer: Anders als Bürger der Niederlande, Belgiens oder Italiens haben Deutsche in Australien keinen automatischen Zugang zum staatlichen Gesundheitssystem. Wer das erst im Wartezimmer merkt, hat ein Problem, das sich mit ein wenig Vorbereitung vollständig vermeiden lässt. Dieses Kapitel erklärt, wie das System funktioniert, wer davon profitiert – und was für alle anderen zwingend nötig ist.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iCs/>
                <w:sz w:val="20"/>
                <w:szCs w:val="20"/>
              </w:rPr>
              <w:t>Medicare</w:t>
            </w:r>
            <w:r>
              <w:rPr>
                <w:rFonts w:eastAsia="Cambria" w:cs="Cambria"/>
                <w:b w:val="false"/>
                <w:bCs w:val="false"/>
                <w:i w:val="false"/>
                <w:iCs w:val="false"/>
                <w:sz w:val="20"/>
                <w:szCs w:val="20"/>
              </w:rPr>
              <w:t xml:space="preserve"> ist Australiens staatliches Krankenversicherungssystem, mitfinanziert über die </w:t>
            </w:r>
            <w:r>
              <w:rPr>
                <w:rFonts w:eastAsia="Cambria" w:cs="Cambria"/>
                <w:b w:val="false"/>
                <w:bCs w:val="false"/>
                <w:i/>
                <w:iCs/>
                <w:sz w:val="20"/>
                <w:szCs w:val="20"/>
              </w:rPr>
              <w:t>Medicare Levy</w:t>
            </w:r>
            <w:r>
              <w:rPr>
                <w:rFonts w:eastAsia="Cambria" w:cs="Cambria"/>
                <w:b w:val="false"/>
                <w:bCs w:val="false"/>
                <w:i w:val="false"/>
                <w:iCs w:val="false"/>
                <w:sz w:val="20"/>
                <w:szCs w:val="20"/>
              </w:rPr>
              <w:t xml:space="preserve"> (2,0 % des zu versteuernden Einkommens) – aber nicht jeder, der in Australien lebt, hat Zugang dazu.</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Australien hat mit elf Ländern ein </w:t>
            </w:r>
            <w:r>
              <w:rPr>
                <w:rFonts w:eastAsia="Cambria" w:cs="Cambria"/>
                <w:b w:val="false"/>
                <w:bCs w:val="false"/>
                <w:i/>
                <w:iCs/>
                <w:sz w:val="20"/>
                <w:szCs w:val="20"/>
              </w:rPr>
              <w:t>Reciprocal Health Care Agreement</w:t>
            </w:r>
            <w:r>
              <w:rPr>
                <w:rFonts w:eastAsia="Cambria" w:cs="Cambria"/>
                <w:b w:val="false"/>
                <w:bCs w:val="false"/>
                <w:i w:val="false"/>
                <w:iCs w:val="false"/>
                <w:sz w:val="20"/>
                <w:szCs w:val="20"/>
              </w:rPr>
              <w:t xml:space="preserve"> (RHCA, ein zwischenstaatliches Gegenseitigkeitsabkommen zur medizinischen Grundversorgung), darunter die Niederlande, Belgien und Italien. </w:t>
            </w:r>
            <w:r>
              <w:rPr>
                <w:rFonts w:eastAsia="Cambria" w:cs="Cambria"/>
                <w:b/>
                <w:bCs/>
                <w:i w:val="false"/>
                <w:iCs w:val="false"/>
                <w:sz w:val="20"/>
                <w:szCs w:val="20"/>
              </w:rPr>
              <w:t>Deutschland gehört nicht dazu.</w:t>
            </w:r>
          </w:p>
          <w:p>
            <w:pPr>
              <w:pStyle w:val="ListParagraph"/>
              <w:numPr>
                <w:ilvl w:val="0"/>
                <w:numId w:val="1"/>
              </w:numPr>
              <w:spacing w:lineRule="exact" w:line="264" w:before="0" w:after="50"/>
              <w:rPr/>
            </w:pPr>
            <w:r>
              <w:rPr>
                <w:rFonts w:eastAsia="Cambria" w:cs="Cambria"/>
                <w:b w:val="false"/>
                <w:bCs w:val="false"/>
                <w:i/>
                <w:iCs/>
                <w:sz w:val="20"/>
                <w:szCs w:val="20"/>
              </w:rPr>
              <w:t>Permanent Residents</w:t>
            </w:r>
            <w:r>
              <w:rPr>
                <w:rFonts w:eastAsia="Cambria" w:cs="Cambria"/>
                <w:b w:val="false"/>
                <w:bCs w:val="false"/>
                <w:i w:val="false"/>
                <w:iCs w:val="false"/>
                <w:sz w:val="20"/>
                <w:szCs w:val="20"/>
              </w:rPr>
              <w:t xml:space="preserve"> (PR, Inhaber einer unbefristeten Aufenthaltserlaubnis; etwa nach Subclass 189, 190 oder 191) können sich ab dem Ankunftstag bei Medicare anmelden.</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Inhaber befristeter Visa – Working Holiday, Studium, die meisten Arbeitsvisa – brauchen zwingend eine private Versicherung: </w:t>
            </w:r>
            <w:r>
              <w:rPr>
                <w:rFonts w:eastAsia="Cambria" w:cs="Cambria"/>
                <w:b w:val="false"/>
                <w:bCs w:val="false"/>
                <w:i/>
                <w:iCs/>
                <w:sz w:val="20"/>
                <w:szCs w:val="20"/>
              </w:rPr>
              <w:t>Overseas Visitor Health Cover</w:t>
            </w:r>
            <w:r>
              <w:rPr>
                <w:rFonts w:eastAsia="Cambria" w:cs="Cambria"/>
                <w:b w:val="false"/>
                <w:bCs w:val="false"/>
                <w:i w:val="false"/>
                <w:iCs w:val="false"/>
                <w:sz w:val="20"/>
                <w:szCs w:val="20"/>
              </w:rPr>
              <w:t xml:space="preserve"> (OVHC) oder, für Studierende, </w:t>
            </w:r>
            <w:r>
              <w:rPr>
                <w:rFonts w:eastAsia="Cambria" w:cs="Cambria"/>
                <w:b w:val="false"/>
                <w:bCs w:val="false"/>
                <w:i/>
                <w:iCs/>
                <w:sz w:val="20"/>
                <w:szCs w:val="20"/>
              </w:rPr>
              <w:t>Overseas Student Health Cover</w:t>
            </w:r>
            <w:r>
              <w:rPr>
                <w:rFonts w:eastAsia="Cambria" w:cs="Cambria"/>
                <w:b w:val="false"/>
                <w:bCs w:val="false"/>
                <w:i w:val="false"/>
                <w:iCs w:val="false"/>
                <w:sz w:val="20"/>
                <w:szCs w:val="20"/>
              </w:rPr>
              <w:t xml:space="preserve"> (OSHC).</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Wer gut verdient, Medicare-berechtigt ist, aber keine private Krankenhausversicherung hat, zahlt obendrein die </w:t>
            </w:r>
            <w:r>
              <w:rPr>
                <w:rFonts w:eastAsia="Cambria" w:cs="Cambria"/>
                <w:b w:val="false"/>
                <w:bCs w:val="false"/>
                <w:i/>
                <w:iCs/>
                <w:sz w:val="20"/>
                <w:szCs w:val="20"/>
              </w:rPr>
              <w:t>Medicare Levy Surcharge</w:t>
            </w:r>
            <w:r>
              <w:rPr>
                <w:rFonts w:eastAsia="Cambria" w:cs="Cambria"/>
                <w:b w:val="false"/>
                <w:bCs w:val="false"/>
                <w:i w:val="false"/>
                <w:iCs w:val="false"/>
                <w:sz w:val="20"/>
                <w:szCs w:val="20"/>
              </w:rPr>
              <w:t>.</w:t>
            </w:r>
          </w:p>
          <w:p>
            <w:pPr>
              <w:pStyle w:val="ListParagraph"/>
              <w:numPr>
                <w:ilvl w:val="0"/>
                <w:numId w:val="1"/>
              </w:numPr>
              <w:spacing w:lineRule="exact" w:line="264" w:before="0" w:after="50"/>
              <w:rPr/>
            </w:pPr>
            <w:r>
              <w:rPr>
                <w:rFonts w:eastAsia="Cambria" w:cs="Cambria"/>
                <w:b w:val="false"/>
                <w:bCs w:val="false"/>
                <w:i w:val="false"/>
                <w:iCs w:val="false"/>
                <w:sz w:val="20"/>
                <w:szCs w:val="20"/>
              </w:rPr>
              <w:t>Zahnbehandlung für Erwachsene und die meisten Sehhilfen deckt Medicare grundsätzlich nicht ab.</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Medicare: das staatliche System, kurz erklärt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Medicare ist Australiens staatliches Krankenversicherungssystem – die australische Antwort auf die Frage, wie ein Land ohne deutsches GKV-Modell trotzdem eine gewisse Grundversorgung für alle sicherstellt. Finanziert wird es unter anderem über die Medicare Levy, eine pauschale Abgabe von 2,0 % des zu versteuernden Einkommens, die Ansässige mit Medicare-Zugang zusätzlich zur normalen Einkommensteuer zahlen; bei niedrigem Einkommen (2026–27 unterhalb von rund 28.011 AUD) entfällt sie ganz oder teilweise. Wer keinen Medicare-Zugang hat, zahlt konsequenterweise auch keine Medicare Levy.</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Anders als die deutsche GKV ist Medicare kein System aus konkurrierenden Kassen, sondern eine einzige staatliche Einrichtung, verwaltet von Services Australia. Berechtigte erhalten eine Medicare-Karte, mit der sie Arztbesuche und Behandlungen in öffentlichen Krankenhäusern abrechnen. Wie beim deutschen System deckt Medicare die medizinische Grundversorgung ab; wie in vielen Ländern mit gemischten Systemen bleiben Zahnbehandlungen für Erwachsene, die meisten Sehhilfen und einige weitere Leistungen außen vor (dazu später mehr).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Medicare ist an die Staatsangehörigkeit oder den Aufenthaltsstatus geknüpft, nicht einfach an den Wohnort. Wer in Australien lebt, arbeitet und Steuern zahlt, ist deshalb nicht automatisch Medicare-berechtigt – das ist der zentrale Unterschied zur deutschen Logik, in der die Versicherungspflicht am Wohnsitz und der Beschäftigung hängt.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entscheidende Unterschied: Deutschland hat kein Abkommen mit Australien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den eingeschränkten Zugang von Besuchern und befristeten Visuminhabern zu Medicare gibt es einen einzigen Schlüssel: das RHCA. Australien hat solche Abkommen mit genau elf Ländern geschlossen: dem Vereinigten Königreich, Irland, Neuseeland, Schweden, den Niederlanden, Finnland, Norwegen, Belgien, Slowenien, Malta und Italien. Staatsangehörige dieser Länder erhalten während eines befristeten Aufenthalts eingeschränkten Zugang zu medizinisch notwendiger Behandlung über Medicare, ganz ohne eigene australische Aufenthaltserlaubnis auf Dauer.</w:t>
      </w:r>
    </w:p>
    <w:p>
      <w:pPr>
        <w:pStyle w:val="Normal"/>
        <w:keepNext w:val="false"/>
        <w:keepLines w:val="false"/>
        <w:spacing w:lineRule="exact" w:line="288" w:before="0" w:after="140"/>
        <w:jc w:val="left"/>
        <w:rPr/>
      </w:pPr>
      <w:r>
        <w:rPr>
          <w:rFonts w:eastAsia="Cambria" w:cs="Cambria"/>
          <w:b/>
          <w:bCs/>
          <w:i w:val="false"/>
          <w:iCs w:val="false"/>
          <w:sz w:val="22"/>
          <w:szCs w:val="22"/>
        </w:rPr>
        <w:t>Deutschland steht nicht auf dieser Liste.</w:t>
      </w:r>
      <w:r>
        <w:rPr>
          <w:rFonts w:eastAsia="Cambria" w:cs="Cambria"/>
          <w:b w:val="false"/>
          <w:bCs w:val="false"/>
          <w:i w:val="false"/>
          <w:iCs w:val="false"/>
          <w:sz w:val="22"/>
          <w:szCs w:val="22"/>
        </w:rPr>
        <w:t xml:space="preserve"> Das ist keine Lücke, die sich demnächst schließt, sondern seit Jahren unveränderter Stand – und ausgerechnet deshalb ein Irrtum, der sich hartnäckig hält: Wer aus einem RHCA-Land wie den Niederlanden oder Belgien nach Australien zieht, hat es in dieser Hinsicht spürbar leichter als jemand aus Deutschland, obwohl beide EU-Bürger sind und innerhalb Europas ähnliche Rechte genießen. Diese Logik überträgt sich nicht automatisch auf Australien; die beiden Systeme haben schlicht keinen entsprechenden Vertrag miteinander.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Viele deutsche Auswanderer nehmen an, dass zumindest ein Mindestmaß an Absicherung über zwischenstaatliche Abkommen automatisch mitkommt, so wie es innerhalb der EU mit der Europäischen Krankenversicherungskarte funktioniert. Tatsächlich gibt es zwischen Deutschland und Australien kein solches Abkommen, und die Europäische Krankenversicherungskarte gilt ohnehin nur innerhalb der EU sowie in einigen weiteren europäischen Staaten – für Australien ist sie wertlos. Praktisch bedeutet das: Jeder Tag ohne gültige private Absicherung ist ein Tag mit vollem finanziellem Risiko, unabhängig davon, wie gesund du dich fühlst, wenn das Flugzeug landet.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Verlass dich nicht auf Erzählungen von Bekannten aus anderen EU-Ländern, die von unkompliziertem Medicare-Zugang berichten. Was für niederländische, belgische oder italienische Nachbarn gilt, gilt für dich als Deutschen nicht – frage im Zweifel nicht Bekannte, sondern direkt Services Australia oder deine Versicherung.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Wer Medicare bekommt – und wer nicht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Praxis zählt vor allem der Aufenthaltsstatus, nicht die gute Absicht. Diese Übersicht ordnet die wichtigsten Situationen ein:</w:t>
      </w:r>
    </w:p>
    <w:tbl>
      <w:tblPr>
        <w:tblW w:w="6480" w:type="dxa"/>
        <w:jc w:val="left"/>
        <w:tblInd w:w="0" w:type="dxa"/>
        <w:tblLayout w:type="fixed"/>
        <w:tblCellMar>
          <w:top w:w="50" w:type="dxa"/>
          <w:left w:w="80" w:type="dxa"/>
          <w:bottom w:w="50" w:type="dxa"/>
          <w:right w:w="80" w:type="dxa"/>
        </w:tblCellMar>
      </w:tblPr>
      <w:tblGrid>
        <w:gridCol w:w="2428"/>
        <w:gridCol w:w="1506"/>
        <w:gridCol w:w="2546"/>
      </w:tblGrid>
      <w:tr>
        <w:trPr>
          <w:tblHeader w:val="true"/>
          <w:cantSplit w:val="true"/>
        </w:trPr>
        <w:tc>
          <w:tcPr>
            <w:tcW w:w="242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Status</w:t>
            </w:r>
          </w:p>
        </w:tc>
        <w:tc>
          <w:tcPr>
            <w:tcW w:w="150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Medicare-Zugang</w:t>
            </w:r>
          </w:p>
        </w:tc>
        <w:tc>
          <w:tcPr>
            <w:tcW w:w="254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du brauchst</w:t>
            </w:r>
          </w:p>
        </w:tc>
      </w:tr>
      <w:tr>
        <w:trPr>
          <w:cantSplit w:val="true"/>
        </w:trPr>
        <w:tc>
          <w:tcPr>
            <w:tcW w:w="24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Permanent Resident (z. B. Subclass 189, 190, 191)</w:t>
            </w:r>
          </w:p>
        </w:tc>
        <w:tc>
          <w:tcPr>
            <w:tcW w:w="15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ab Ankunft mit gültigem PR-Visum</w:t>
            </w:r>
          </w:p>
        </w:tc>
        <w:tc>
          <w:tcPr>
            <w:tcW w:w="25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Anmeldung bei Services Australia</w:t>
            </w:r>
          </w:p>
        </w:tc>
      </w:tr>
      <w:tr>
        <w:trPr>
          <w:cantSplit w:val="true"/>
        </w:trPr>
        <w:tc>
          <w:tcPr>
            <w:tcW w:w="24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Working Holiday (417)</w:t>
            </w:r>
          </w:p>
        </w:tc>
        <w:tc>
          <w:tcPr>
            <w:tcW w:w="15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w:t>
            </w:r>
          </w:p>
        </w:tc>
        <w:tc>
          <w:tcPr>
            <w:tcW w:w="25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OVHC ab Ankunftstag</w:t>
            </w:r>
          </w:p>
        </w:tc>
      </w:tr>
      <w:tr>
        <w:trPr>
          <w:cantSplit w:val="true"/>
        </w:trPr>
        <w:tc>
          <w:tcPr>
            <w:tcW w:w="24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Skilled-Arbeitsvisum (z. B. 482)</w:t>
            </w:r>
          </w:p>
        </w:tc>
        <w:tc>
          <w:tcPr>
            <w:tcW w:w="15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w:t>
            </w:r>
          </w:p>
        </w:tc>
        <w:tc>
          <w:tcPr>
            <w:tcW w:w="25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OVHC, vom Arbeitgeber teils bezuschusst</w:t>
            </w:r>
          </w:p>
        </w:tc>
      </w:tr>
      <w:tr>
        <w:trPr>
          <w:cantSplit w:val="true"/>
        </w:trPr>
        <w:tc>
          <w:tcPr>
            <w:tcW w:w="24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Student (500)</w:t>
            </w:r>
          </w:p>
        </w:tc>
        <w:tc>
          <w:tcPr>
            <w:tcW w:w="15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w:t>
            </w:r>
          </w:p>
        </w:tc>
        <w:tc>
          <w:tcPr>
            <w:tcW w:w="25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OSHC, bereits bei Visumantrag nachzuweisen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meisten befristeten Visa-Inhaber – ausdrücklich einschließlich Subclass 482 und 500 – sind also nicht Medicare-berechtigt, sofern keine Ausnahme per Ministerial Order greift oder ein RHCA-Land einschlägig ist, was für Deutsche nicht der Fall ist. Das betrifft in der Praxis fast jeden Weg, den ein deutscher Auswanderer typischerweise zuerst geht: Working Holiday, Studium, der arbeitgebergesponserte Einstieg über ein Skilled-Visum. Erst mit einem tatsächlich bewilligten Permanent-Resident-Status – sei es direkt über den Punktetest oder später über den Umstieg von einem befristeten Arbeitsvisum – öffnet sich Medicare.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Wechsel von befristetem Visum zu Permanent Residence ist auch ein Wechsel im Gesundheitssystem. Bis zur Bewilligung der PR bleibt die private Versicherung Pflicht, selbst wenn der PR-Antrag längst läuft – erst der bewilligte Status zählt, nicht die Antragstellung.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Medicare Levy und Medicare Levy Surcharge, kurz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Sobald du Medicare-berechtigt bist – meist also erst mit PR-Status –, wird die Medicare Levy Teil deiner Steuerrechnung: pauschal 2,0 % des zu versteuernden Einkommens, mit Ermäßigung bei niedrigem Einkommen. Gut verdienende Medicare-Berechtigte ohne private Krankenhausversicherung zahlen obendrein die Medicare Levy Surcharge (MLS) von 1,0 bis 1,5 %, je nach Einkommen; die genauen Schwellen und die volle Systematik erklärt das </w:t>
      </w:r>
      <w:hyperlink w:anchor="tau07">
        <w:r>
          <w:rPr>
            <w:rStyle w:val="ListLabel113"/>
            <w:rFonts w:eastAsia="Cambria" w:cs="Cambria"/>
            <w:b w:val="false"/>
            <w:bCs w:val="false"/>
            <w:i w:val="false"/>
            <w:iCs w:val="false"/>
            <w:color w:val="0563C1"/>
            <w:sz w:val="22"/>
            <w:szCs w:val="22"/>
            <w:u w:val="single"/>
          </w:rPr>
          <w:t>Kapitel zu Steuer-ID, Bank und Kredit in diesem Teil</w:t>
        </w:r>
      </w:hyperlink>
      <w:r>
        <w:rPr>
          <w:rFonts w:eastAsia="Cambria" w:cs="Cambria"/>
          <w:b w:val="false"/>
          <w:bCs w:val="false"/>
          <w:i w:val="false"/>
          <w:iCs w:val="false"/>
          <w:sz w:val="22"/>
          <w:szCs w:val="22"/>
        </w:rPr>
        <w:t xml:space="preserve"> im Detail.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Neuankömmlinge auf befristetem Visum ist die MLS in der Praxis kein Thema, denn sie greift nur bei Medicare-Berechtigten, und wer stattdessen zwingend OVHC oder OSHC abschließt, zahlt sie nicht. Relevant wird sie erst mit PR-Status und entsprechendem Einkommen – dann lohnt sich der Vergleich, ob eine private Krankenhausversicherung nicht ohnehin günstiger kommt als die Abgabe.</w:t>
      </w:r>
    </w:p>
    <w:p>
      <w:pPr>
        <w:pStyle w:val="Heading3"/>
        <w:keepNext w:val="true"/>
        <w:spacing w:before="280" w:after="100"/>
        <w:jc w:val="center"/>
        <w:rPr/>
      </w:pPr>
      <w:r>
        <w:rPr>
          <w:rFonts w:eastAsia="Amazon Ember" w:cs="Amazon Ember" w:ascii="Amazon Ember" w:hAnsi="Amazon Ember"/>
          <w:b/>
          <w:bCs/>
          <w:color w:val="0000FF"/>
          <w:sz w:val="36"/>
          <w:szCs w:val="36"/>
        </w:rPr>
        <w:t>Private Absicherung: OVHC und OSHC</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alle, die noch keinen Medicare-Zugang haben, ist private Absicherung keine Option, sondern in den meisten Fällen direkt an das Visum geknüpft. Zwei Produkte sind hier maßgeblich.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OVHC richtet sich an die meisten befristeten, nicht-studentischen Visa – darunter Skilled-Arbeitsvisa wie Subclass 482, aber auch andere befristete Kategorien. Für Subclass-482-Inhaber verlangt Home Affairs den Nachweis bei jeder Einreise nach Australien. Die Prämien schwanken stark nach Alter, Anbieter und Deckungsumfang: Einstiegsprodukte beginnen bei rund 72,50 AUD im Monat mit einem Selbstbehalt von 500 AUD, marktüblich liegt eine Einzelperson eher bei 80 bis 150 AUD im Monat.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OSHC ist für Inhaber eines Student Visa (Subclass 500) während der gesamten Studiendauer verpflichtend und muss schon bei der Visumantragstellung nachgewiesen werden – ohne OSHC-Bestätigung kommt der Antrag gar nicht erst durch. Die Kosten liegen bei rund 500 bis 700 AUD im Jahr für eine Einzelperson, abhängig vom Anbieter.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Wichtig für beide Produkte: Beide sind keine Medicare-Ersatzkarte, sondern private Versicherungsverträge mit eigenem Netzwerk, eigenen Bedingungen und eigenem Kleingedrucktem. Vergleiche vor dem Abschluss, was genau abgedeckt ist – ambulante Behandlung, Krankenhausaufenthalt, Rücktransport – und ob Vorerkrankungen ausgeschlossen sind. Working-Holiday-Reisende sind rechtlich nicht in jedem Fall so eindeutig zum Abschluss verpflichtet wie etwa Studierende oder bestimmte Arbeitsvisa-Inhaber, sollten aber angesichts des fehlenden Medicare-Zugangs trotzdem nicht ohne Versicherung reisen.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Schließe OVHC oder OSHC schon von Deutschland aus ab, mit Beginn zum Ankunftstag – dann besteht ab der Landung durchgehend Versicherungsschutz, ohne Lücke zwischen Abflug und dem ersten möglichen Vertragsbeginn vor Ort.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Nina Voss kommt mit dem Working-Holiday-Visum (Subclass 417) nach Sydney und schließt sich noch in Hamburg eine OVHC ab, die am Tag ihrer Landung beginnt. Ein Sturz beim Surfen an der Bondi Beach in der dritten Woche – eine Beule, ein verstauchtes Handgelenk, ein Röntgenbild in einer Klinik – wird über die Police abgerechnet, bis auf einen kleinen Selbstbehalt. Ohne Medicare-Karte hätte sie die gesamte Rechnung allein tragen müssen; mit der rechtzeitig abgeschlossenen Versicherung bleibt vom Schreck vor allem die Geschichte für den nächsten Videocall nach Hause übrig. (Fiktives Beispiel.)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Medicare anmelden: der Ablauf für Permanent Residents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mit einem bewilligten PR-Visum einreist, kann die Medicare-Anmeldung als einen der ersten Behördenwege erledigen. Die Anmeldung läuft persönlich bei einem Service-Center von Services Australia, nicht online: Mitzubringen sind der Reisepass, der Nachweis über das bewilligte Visum (die Bewilligungsmitteilung von Home Affairs oder der entsprechende Eintrag im ImmiAccount) sowie ein Adressnachweis. Eine feste, langfristige Adresse ist dafür nicht zwingend nötig – auch die Adresse der Übergangsunterkunft kann reichen, solange sie belegbar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der Anmeldung erhältst du eine Medicare-Nummer, die Karte selbst kommt anschließend per Post nach. Bis sie eintrifft, gilt die Nummer bereits als Nachweis der Berechtigung; bewahre die Anmeldebestätigung deshalb griffbereit auf, etwa als Foto auf dem Handy. Melde neben dir selbst auch Partner und Kinder gleich mit an, sie laufen in Australien in der Regel über einen gemeinsamen Familieneintrag, ähnlich wie bei der Krankenversicherungskarte in Deutschland, nur eben ohne Kassenwahl.</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Medicare-Anmeldung ersetzt nicht automatisch eine bereits laufende private Versicherung aus Deutschland oder eine Übergangs-OVHC. Kündige diese erst, wenn die Medicare-Berechtigung tatsächlich bestätigt ist – die Bearbeitung kann einige Tage dauern, und eine Deckungslücke dazwischen ist unnötig.</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Reinhardt meldet sich in der zweiten Woche nach der Ankunft in Melbourne bei einem Service-Center von Services Australia für Medicare an – Pässe, die Bewilligungsmitteilung zum Subclass-189-Visum und die Buchungsbestätigung der ersten Mietwohnung als Adressnachweis reichen aus. Die Medicare-Karten kommen wenig später per Post. Sandra, von Beruf Krankenpflegerin, ist überrascht, wie viel sie über das System erst vor Ort lernt: Dass der Kinderarzt für Emil und Clara nach Terminvereinbarung direkt mit Medicare abrechnet, findet sie erst beim dritten Anruf heraus – auf die Idee, überhaupt danach zu fragen, wäre sie in Deutschland nie gekommen, weil sich diese Frage dort schlicht nicht stellt. (Fiktives Beispiel.)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Beim Arzt und im Krankenhaus: Bulk Billing, Gap und Wartelisten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Ist der Medicare-Zugang einmal da, unterscheidet sich der Praxisalltag deutlich vom deutschen System. Hausärzte (</w:t>
      </w:r>
      <w:r>
        <w:rPr>
          <w:rFonts w:eastAsia="Cambria" w:cs="Cambria"/>
          <w:b w:val="false"/>
          <w:bCs w:val="false"/>
          <w:i/>
          <w:iCs/>
          <w:sz w:val="22"/>
          <w:szCs w:val="22"/>
        </w:rPr>
        <w:t>General Practitioners</w:t>
      </w:r>
      <w:r>
        <w:rPr>
          <w:rFonts w:eastAsia="Cambria" w:cs="Cambria"/>
          <w:b w:val="false"/>
          <w:bCs w:val="false"/>
          <w:i w:val="false"/>
          <w:iCs w:val="false"/>
          <w:sz w:val="22"/>
          <w:szCs w:val="22"/>
        </w:rPr>
        <w:t xml:space="preserve">, GPs) rechnen entweder per </w:t>
      </w:r>
      <w:r>
        <w:rPr>
          <w:rFonts w:eastAsia="Cambria" w:cs="Cambria"/>
          <w:b w:val="false"/>
          <w:bCs w:val="false"/>
          <w:i/>
          <w:iCs/>
          <w:sz w:val="22"/>
          <w:szCs w:val="22"/>
        </w:rPr>
        <w:t>Bulk Billing</w:t>
      </w:r>
      <w:r>
        <w:rPr>
          <w:rFonts w:eastAsia="Cambria" w:cs="Cambria"/>
          <w:b w:val="false"/>
          <w:bCs w:val="false"/>
          <w:i w:val="false"/>
          <w:iCs w:val="false"/>
          <w:sz w:val="22"/>
          <w:szCs w:val="22"/>
        </w:rPr>
        <w:t xml:space="preserve"> direkt mit Medicare ab – dann zahlst du beim Termin nichts dazu – oder sie verlangen eine eigene Gebühr, von der Medicare nur einen Teil erstattet; die Differenz (</w:t>
      </w:r>
      <w:r>
        <w:rPr>
          <w:rFonts w:eastAsia="Cambria" w:cs="Cambria"/>
          <w:b w:val="false"/>
          <w:bCs w:val="false"/>
          <w:i/>
          <w:iCs/>
          <w:sz w:val="22"/>
          <w:szCs w:val="22"/>
        </w:rPr>
        <w:t>Gap</w:t>
      </w:r>
      <w:r>
        <w:rPr>
          <w:rFonts w:eastAsia="Cambria" w:cs="Cambria"/>
          <w:b w:val="false"/>
          <w:bCs w:val="false"/>
          <w:i w:val="false"/>
          <w:iCs w:val="false"/>
          <w:sz w:val="22"/>
          <w:szCs w:val="22"/>
        </w:rPr>
        <w:t>) trägst du selbst. Ob eine Praxis bulk-billt, ist von Praxis zu Praxis unterschiedlich und ändert sich, frage deshalb am Telefon nach, bevor du einen Termin buchst, statt es erst am Empfang zu erfahren.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Öffentliche Krankenhäuser behandeln Medicare-Berechtigte für viele Leistungen kostenfrei, planbare, nicht dringende Eingriffe laufen dort aber über Wartelisten, die je nach Bundesstaat und Eingriff spürbar lang werden können. Genau hier setzt private Krankenhausversicherung an, die viele Australier zusätzlich zu Medicare abschließen – sie ermöglicht die freie Wahl von Arzt und privater Klinik sowie meist kürzere Wartezeiten bei planbaren Operationen – wer sie nicht hat und gut verdient, zahlt dafür wie beschrieben die Medicare Levy Surcharge.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Notfälle gilt in Australien der Notruf </w:t>
      </w:r>
      <w:r>
        <w:rPr>
          <w:rFonts w:eastAsia="Cambria" w:cs="Cambria"/>
          <w:b w:val="false"/>
          <w:bCs w:val="false"/>
          <w:i/>
          <w:iCs/>
          <w:sz w:val="22"/>
          <w:szCs w:val="22"/>
        </w:rPr>
        <w:t>Triple Zero</w:t>
      </w:r>
      <w:r>
        <w:rPr>
          <w:rFonts w:eastAsia="Cambria" w:cs="Cambria"/>
          <w:b w:val="false"/>
          <w:bCs w:val="false"/>
          <w:i w:val="false"/>
          <w:iCs w:val="false"/>
          <w:sz w:val="22"/>
          <w:szCs w:val="22"/>
        </w:rPr>
        <w:t xml:space="preserve"> (000), der Polizei, Feuerwehr und Rettungsdienst gleichermaßen erreicht. Öffentliche Notaufnahmen (</w:t>
      </w:r>
      <w:r>
        <w:rPr>
          <w:rFonts w:eastAsia="Cambria" w:cs="Cambria"/>
          <w:b w:val="false"/>
          <w:bCs w:val="false"/>
          <w:i/>
          <w:iCs/>
          <w:sz w:val="22"/>
          <w:szCs w:val="22"/>
        </w:rPr>
        <w:t>Emergency Department</w:t>
      </w:r>
      <w:r>
        <w:rPr>
          <w:rFonts w:eastAsia="Cambria" w:cs="Cambria"/>
          <w:b w:val="false"/>
          <w:bCs w:val="false"/>
          <w:i w:val="false"/>
          <w:iCs w:val="false"/>
          <w:sz w:val="22"/>
          <w:szCs w:val="22"/>
        </w:rPr>
        <w:t>, die Notaufnahme) behandeln unabhängig vom Versicherungsstatus, die Abrechnung folgt im Nachgang – für Medicare-Berechtigte über Medicare, für alle anderen über die private Versicherung oder, ohne beides, als Eigenrechnung.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OVHC und OSHC sind keine Medicare-Ersatzkarte fürs öffentliche System, sondern greifen meist bei privater ambulanter und stationärer Behandlung. Sie ersetzen nicht in jedem Fall den vollen Zugang zum öffentlichen Krankenhaussystem, den Medicare-Berechtigte haben. Kläre vor einem geplanten Eingriff mit deiner Versicherung, was konkret gedeckt ist.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Zahn, Augen, Psychotherapie: was Medicare nicht abdeckt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Wie in vielen Ländern mit gemischten Gesundheitssystemen deckt Medicare Zahnbehandlungen für Erwachsene grundsätzlich nicht ab, ebenso wenig die meisten Sehhilfen. Wer das absichern möchte, schließt einen zusätzlichen privaten </w:t>
      </w:r>
      <w:r>
        <w:rPr>
          <w:rFonts w:eastAsia="Cambria" w:cs="Cambria"/>
          <w:b w:val="false"/>
          <w:bCs w:val="false"/>
          <w:i/>
          <w:iCs/>
          <w:sz w:val="22"/>
          <w:szCs w:val="22"/>
        </w:rPr>
        <w:t>Extras</w:t>
      </w:r>
      <w:r>
        <w:rPr>
          <w:rFonts w:eastAsia="Cambria" w:cs="Cambria"/>
          <w:b w:val="false"/>
          <w:bCs w:val="false"/>
          <w:i w:val="false"/>
          <w:iCs w:val="false"/>
          <w:sz w:val="22"/>
          <w:szCs w:val="22"/>
        </w:rPr>
        <w:t>-Tarif ab, oft im selben Paket wie die private Krankenhausversicherung, aber als eigener Baustein mit eigenen Jahreshöchstgrenzen. Ohne eine solche Zusatzversicherung zahlst du Kontrolluntersuchung, Füllung oder Brille komplett selbst.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Psychologische und psychotherapeutische Behandlung ist über Medicare in eingeschränktem Umfang zugänglich: Mit einer Überweisung vom Hausarzt (einem sogenannten </w:t>
      </w:r>
      <w:r>
        <w:rPr>
          <w:rFonts w:eastAsia="Cambria" w:cs="Cambria"/>
          <w:b w:val="false"/>
          <w:bCs w:val="false"/>
          <w:i/>
          <w:iCs/>
          <w:sz w:val="22"/>
          <w:szCs w:val="22"/>
        </w:rPr>
        <w:t>Mental Health Treatment Plan</w:t>
      </w:r>
      <w:r>
        <w:rPr>
          <w:rFonts w:eastAsia="Cambria" w:cs="Cambria"/>
          <w:b w:val="false"/>
          <w:bCs w:val="false"/>
          <w:i w:val="false"/>
          <w:iCs w:val="false"/>
          <w:sz w:val="22"/>
          <w:szCs w:val="22"/>
        </w:rPr>
        <w:t>, einem Behandlungsplan für psychische Gesundheit) übernimmt Medicare einen begrenzten Teil der Kosten für eine festgelegte Anzahl an Sitzungen pro Jahr; alles darüber hinaus läuft über Eigenkosten oder eine private Zusatzversicherung. Für Inhaber von OVHC oder OSHC ist die psychologische Versorgung noch enger begrenzt und im Einzelfall bei der jeweiligen Police nachzulesen.</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Medicare deckt medizinische Grundversorgung für Berechtigte weitgehend kostenfrei</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Deutschland hat kein Gegenseitigkeitsabkommen mit Australien – kein automatischer Zugang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Permanent Residents sind ab Ankunft anmeldefähig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Befristete Visa-Inhaber brauchen durchgehend private OVHC oder OSHC</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OVHC und OSHC lassen sich schon von Deutschland aus abschließen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Zahnbehandlung und die meisten Sehhilfen bleiben privat zu zahlen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Notaufnahmen behandeln unabhängig vom Versicherungsstatus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Wartelisten im öffentlichen System bei planbaren Eingriffen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Kläre vor dem Abflug, ob dein Visumtyp einen Medicare-Zugang erlaubt oder ob eine private Versicherung Pflicht ist, und schließe OVHC oder OSHC bei Bedarf schon von Deutschland aus mit Beginn zum Ankunftstag ab. Bei PR-Status steht die persönliche Medicare-Anmeldung bei Services Australia ganz oben auf der Liste der ersten Behördenwege. Kläre außerdem früh, welche Zusatzversicherung für Zahn und Augen sich lohnt, statt das auf später zu verschieben.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Visumtyp und daraus folgenden Medicare-Status vor dem Abflug geklärt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befristetem Visum: OVHC oder OSHC abgeschlossen, Beginn zum Ankunftstag</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PR-Status: Medicare-Anmeldung bei Services Australia in den ersten Wochen eingeplant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Pass, Visumsnachweis und Adressnachweis für die Medicare-Anmeldung bereitgelegt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Geprüft, ob und wann die Medicare Levy Surcharge relevant werden könnte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Hausarztpraxis gesucht und nach Bulk Billing gefragt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Zusatzversicherung für Zahn und Augen verglichen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Notruf Triple Zero (000) und nächstgelegene Notaufnahme notiert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Services Australia — Medicare-Anmeldung, Reciprocal Health Care Agreements: </w:t>
      </w:r>
      <w:hyperlink r:id="rId468">
        <w:r>
          <w:rPr>
            <w:rStyle w:val="ListLabel113"/>
            <w:rFonts w:eastAsia="Cambria" w:cs="Cambria"/>
            <w:b w:val="false"/>
            <w:bCs w:val="false"/>
            <w:i w:val="false"/>
            <w:iCs w:val="false"/>
            <w:color w:val="0563C1"/>
            <w:sz w:val="22"/>
            <w:szCs w:val="22"/>
            <w:u w:val="single"/>
          </w:rPr>
          <w:t>servicesaustralia.gov.au</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Australian Taxation Office — Medicare Levy und Surcharge: </w:t>
      </w:r>
      <w:hyperlink r:id="rId469">
        <w:r>
          <w:rPr>
            <w:rStyle w:val="ListLabel113"/>
            <w:rFonts w:eastAsia="Cambria" w:cs="Cambria"/>
            <w:b w:val="false"/>
            <w:bCs w:val="false"/>
            <w:i w:val="false"/>
            <w:iCs w:val="false"/>
            <w:color w:val="0563C1"/>
            <w:sz w:val="22"/>
            <w:szCs w:val="22"/>
            <w:u w:val="single"/>
          </w:rPr>
          <w:t>ato.gov.au</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Department of Home Affairs — visumbedingte Gesundheitsversicherung (OVHC, OSHC): </w:t>
      </w:r>
      <w:hyperlink r:id="rId470">
        <w:r>
          <w:rPr>
            <w:rStyle w:val="ListLabel113"/>
            <w:rFonts w:eastAsia="Cambria" w:cs="Cambria"/>
            <w:b w:val="false"/>
            <w:bCs w:val="false"/>
            <w:i w:val="false"/>
            <w:iCs w:val="false"/>
            <w:color w:val="0563C1"/>
            <w:sz w:val="22"/>
            <w:szCs w:val="22"/>
            <w:u w:val="single"/>
          </w:rPr>
          <w:t>immi.homeaffairs.gov.au</w:t>
        </w:r>
      </w:hyperlink>
    </w:p>
    <w:p>
      <w:pPr>
        <w:pStyle w:val="ListParagraph"/>
        <w:numPr>
          <w:ilvl w:val="0"/>
          <w:numId w:val="1"/>
        </w:numPr>
        <w:spacing w:lineRule="exact" w:line="288" w:before="0" w:after="60"/>
        <w:rPr/>
      </w:pPr>
      <w:hyperlink r:id="rId471">
        <w:r>
          <w:rPr>
            <w:rStyle w:val="ListLabel113"/>
            <w:rFonts w:eastAsia="Cambria" w:cs="Cambria"/>
            <w:b w:val="false"/>
            <w:bCs w:val="false"/>
            <w:i w:val="false"/>
            <w:iCs w:val="false"/>
            <w:color w:val="0563C1"/>
            <w:sz w:val="22"/>
            <w:szCs w:val="22"/>
            <w:u w:val="single"/>
          </w:rPr>
          <w:t>privatehealth.gov.au</w:t>
        </w:r>
      </w:hyperlink>
      <w:r>
        <w:rPr>
          <w:rFonts w:eastAsia="Cambria" w:cs="Cambria"/>
          <w:b w:val="false"/>
          <w:bCs w:val="false"/>
          <w:i w:val="false"/>
          <w:iCs w:val="false"/>
          <w:sz w:val="22"/>
          <w:szCs w:val="22"/>
        </w:rPr>
        <w:t xml:space="preserve"> — unabhängiger Vergleich privater Krankenversicherungen (Private Health Insurance Ombudsman)</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Deutsche Vertretungen in Australien: </w:t>
      </w:r>
      <w:hyperlink r:id="rId472">
        <w:r>
          <w:rPr>
            <w:rStyle w:val="ListLabel113"/>
            <w:rFonts w:eastAsia="Cambria" w:cs="Cambria"/>
            <w:b w:val="false"/>
            <w:bCs w:val="false"/>
            <w:i w:val="false"/>
            <w:iCs w:val="false"/>
            <w:color w:val="0563C1"/>
            <w:sz w:val="22"/>
            <w:szCs w:val="22"/>
            <w:u w:val="single"/>
          </w:rPr>
          <w:t>australien.diplo.de</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schnell: die RHCA-Länderliste, Medicare-Levy- und Surcharge-Schwellen (jährlich zum 1. Juli angepasst), OVHC- und OSHC-Prämien sowie die genauen Bedingungen einzelner Versicherer. Prüfe vor jeder Entscheidung die aktuellen Seiten von Services Australia und der ATO sowie die Police deines gewählten Versicherers.</w:t>
            </w:r>
          </w:p>
        </w:tc>
      </w:tr>
    </w:tbl>
    <w:p>
      <w:pPr>
        <w:pStyle w:val="Normal"/>
        <w:spacing w:lineRule="exact" w:line="220" w:before="0" w:after="0"/>
        <w:rPr/>
      </w:pPr>
      <w:r>
        <w:rPr/>
      </w:r>
      <w:r>
        <w:br w:type="page"/>
      </w:r>
    </w:p>
    <w:p>
      <w:pPr>
        <w:pStyle w:val="Heading2"/>
        <w:keepNext w:val="true"/>
        <w:spacing w:before="0" w:after="300"/>
        <w:jc w:val="center"/>
        <w:rPr/>
      </w:pPr>
      <w:bookmarkStart w:id="120" w:name="__RefHeading___Toc56549_3769931028"/>
      <w:bookmarkStart w:id="121" w:name="tau09"/>
      <w:bookmarkEnd w:id="120"/>
      <w:r>
        <w:rPr>
          <w:rFonts w:eastAsia="Amazon Ember" w:cs="Amazon Ember" w:ascii="Amazon Ember" w:hAnsi="Amazon Ember"/>
          <w:b/>
          <w:bCs/>
          <w:color w:val="0000FF"/>
          <w:sz w:val="36"/>
          <w:szCs w:val="36"/>
        </w:rPr>
        <w:t>Australien: Wohnen und die besten Orte zum Leben</w:t>
      </w:r>
      <w:bookmarkEnd w:id="121"/>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Samstagvormittag steht die Menge nicht vor der Kirche, sondern vor einem Reihenhaus in Melbourne: Der Auktionator ruft Gebote, jemand hebt die Hand, das Haus wechselt binnen zwanzig Minuten den Besitzer – ganz ohne Notartermin, ganz ohne die gemütliche deutsche Bedenkzeit. Wer aus Deutschland kommt, wo ein Immobilienkauf gern Monate dauert, lernt hier schnell: In Australien geht vieles fixer, manches unübersichtlicher – und beim Wohnort entscheiden am Ende nicht nur Job und Budget, sondern auch, ob du eher mit Buschfeuer, Flusshochwasser oder schlicht beständig hohen Mieten leben willst.</w:t>
      </w:r>
    </w:p>
    <w:tbl>
      <w:tblPr>
        <w:tblW w:w="6480" w:type="dxa"/>
        <w:jc w:val="left"/>
        <w:tblInd w:w="0" w:type="dxa"/>
        <w:tblLayout w:type="fixed"/>
        <w:tblCellMar>
          <w:top w:w="110" w:type="dxa"/>
          <w:left w:w="200" w:type="dxa"/>
          <w:bottom w:w="80" w:type="dxa"/>
          <w:right w:w="160" w:type="dxa"/>
        </w:tblCellMar>
      </w:tblPr>
      <w:tblGrid>
        <w:gridCol w:w="6480"/>
      </w:tblGrid>
      <w:tr>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Mieten läuft über Online-Portale und offene Besichtigungen mit vielen Mitbewerbern; die Kaution (</w:t>
            </w:r>
            <w:r>
              <w:rPr>
                <w:rFonts w:eastAsia="Cambria" w:cs="Cambria"/>
                <w:b w:val="false"/>
                <w:bCs w:val="false"/>
                <w:i/>
                <w:iCs/>
                <w:sz w:val="20"/>
                <w:szCs w:val="20"/>
              </w:rPr>
              <w:t>Bond</w:t>
            </w:r>
            <w:r>
              <w:rPr>
                <w:rFonts w:eastAsia="Cambria" w:cs="Cambria"/>
                <w:b w:val="false"/>
                <w:bCs w:val="false"/>
                <w:i w:val="false"/>
                <w:iCs w:val="false"/>
                <w:sz w:val="20"/>
                <w:szCs w:val="20"/>
              </w:rPr>
              <w:t>) beträgt meist vier Wochen Miete und wird bei einer staatlichen Kautionsstelle hinterlegt, nicht beim Vermieter.</w:t>
            </w:r>
          </w:p>
          <w:p>
            <w:pPr>
              <w:pStyle w:val="ListParagraph"/>
              <w:numPr>
                <w:ilvl w:val="0"/>
                <w:numId w:val="1"/>
              </w:numPr>
              <w:spacing w:lineRule="exact" w:line="264" w:before="0" w:after="50"/>
              <w:rPr/>
            </w:pPr>
            <w:r>
              <w:rPr>
                <w:rFonts w:eastAsia="Cambria" w:cs="Cambria"/>
                <w:b w:val="false"/>
                <w:bCs w:val="false"/>
                <w:i w:val="false"/>
                <w:iCs w:val="false"/>
                <w:sz w:val="20"/>
                <w:szCs w:val="20"/>
              </w:rPr>
              <w:t>Bestandsimmobilien dürfen Ausländer und befristete Visa-Inhaber seit 1. April 2025 bis mindestens 30. Juni 2029 grundsätzlich nicht kaufen (FIRB-Verbot); Neubauten bleiben mit Genehmigung möglich.</w:t>
            </w:r>
          </w:p>
          <w:p>
            <w:pPr>
              <w:pStyle w:val="ListParagraph"/>
              <w:numPr>
                <w:ilvl w:val="0"/>
                <w:numId w:val="1"/>
              </w:numPr>
              <w:spacing w:lineRule="exact" w:line="264" w:before="0" w:after="50"/>
              <w:rPr/>
            </w:pPr>
            <w:r>
              <w:rPr>
                <w:rFonts w:eastAsia="Cambria" w:cs="Cambria"/>
                <w:b w:val="false"/>
                <w:bCs w:val="false"/>
                <w:i w:val="false"/>
                <w:iCs w:val="false"/>
                <w:sz w:val="20"/>
                <w:szCs w:val="20"/>
              </w:rPr>
              <w:t>Wer keine Permanent Residence hat, zahlt beim Kauf zusätzlich einen Foreign-Buyer-Zuschlag auf die Grunderwerbsteuer (</w:t>
            </w:r>
            <w:r>
              <w:rPr>
                <w:rFonts w:eastAsia="Cambria" w:cs="Cambria"/>
                <w:b w:val="false"/>
                <w:bCs w:val="false"/>
                <w:i/>
                <w:iCs/>
                <w:sz w:val="20"/>
                <w:szCs w:val="20"/>
              </w:rPr>
              <w:t>Stamp Duty</w:t>
            </w:r>
            <w:r>
              <w:rPr>
                <w:rFonts w:eastAsia="Cambria" w:cs="Cambria"/>
                <w:b w:val="false"/>
                <w:bCs w:val="false"/>
                <w:i w:val="false"/>
                <w:iCs w:val="false"/>
                <w:sz w:val="20"/>
                <w:szCs w:val="20"/>
              </w:rPr>
              <w:t>) von 7–9 % des Kaufpreises, je nach Bundesstaat.</w:t>
            </w:r>
          </w:p>
          <w:p>
            <w:pPr>
              <w:pStyle w:val="ListParagraph"/>
              <w:numPr>
                <w:ilvl w:val="0"/>
                <w:numId w:val="1"/>
              </w:numPr>
              <w:spacing w:lineRule="exact" w:line="264" w:before="0" w:after="50"/>
              <w:rPr/>
            </w:pPr>
            <w:r>
              <w:rPr>
                <w:rFonts w:eastAsia="Cambria" w:cs="Cambria"/>
                <w:b w:val="false"/>
                <w:bCs w:val="false"/>
                <w:i w:val="false"/>
                <w:iCs w:val="false"/>
                <w:sz w:val="20"/>
                <w:szCs w:val="20"/>
              </w:rPr>
              <w:t>Wer mit einem Permanent-Visum wie dem Skilled Independent Visa (Subclass 189) einreist, gilt ab dem ersten Tag nicht als „foreign person“ – Stamp-Duty-Zuschlag und FIRB-Verbot entfallen.</w:t>
            </w:r>
          </w:p>
          <w:p>
            <w:pPr>
              <w:pStyle w:val="ListParagraph"/>
              <w:numPr>
                <w:ilvl w:val="0"/>
                <w:numId w:val="1"/>
              </w:numPr>
              <w:spacing w:lineRule="exact" w:line="264" w:before="0" w:after="50"/>
              <w:rPr/>
            </w:pPr>
            <w:r>
              <w:rPr>
                <w:rFonts w:eastAsia="Cambria" w:cs="Cambria"/>
                <w:b w:val="false"/>
                <w:bCs w:val="false"/>
                <w:i w:val="false"/>
                <w:iCs w:val="false"/>
                <w:sz w:val="20"/>
                <w:szCs w:val="20"/>
              </w:rPr>
              <w:t>Sydney ist am teuersten und bietet die meisten Jobs; Melbourne ist beim Kauf inzwischen die günstigste der vier großen Städte; Perth und Adelaide zahlen in Bergbau und Verteidigung Spitzengehälter.</w:t>
            </w:r>
          </w:p>
          <w:p>
            <w:pPr>
              <w:pStyle w:val="ListParagraph"/>
              <w:numPr>
                <w:ilvl w:val="0"/>
                <w:numId w:val="1"/>
              </w:numPr>
              <w:spacing w:lineRule="exact" w:line="264" w:before="0" w:after="50"/>
              <w:rPr/>
            </w:pPr>
            <w:r>
              <w:rPr>
                <w:rFonts w:eastAsia="Cambria" w:cs="Cambria"/>
                <w:b w:val="false"/>
                <w:bCs w:val="false"/>
                <w:i w:val="false"/>
                <w:iCs w:val="false"/>
                <w:sz w:val="20"/>
                <w:szCs w:val="20"/>
              </w:rPr>
              <w:t>Jede Stadt trägt ihr eigenes Naturgefahren-Profil – Buschfeuer, Flusshochwasser oder beides –, das du vor dem Kauf mit einer Versicherung klärst, nicht danach.</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Mieten: Bond, Besichtigung, Vertrag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Wohnungssuche läuft fast ausschließlich online, allen voran über die Portale Domain und realestate.com.au – funktional vergleichbar mit deutschen Immobilienportalen, nur mit mehr Fotos vom Garten und weniger Angaben zur Heizungsart. Statt Einzelterminen gibt es meist offene Besichtigungen (</w:t>
      </w:r>
      <w:r>
        <w:rPr>
          <w:rFonts w:eastAsia="Cambria" w:cs="Cambria"/>
          <w:b w:val="false"/>
          <w:bCs w:val="false"/>
          <w:i/>
          <w:iCs/>
          <w:sz w:val="22"/>
          <w:szCs w:val="22"/>
        </w:rPr>
        <w:t>Open for Inspection</w:t>
      </w:r>
      <w:r>
        <w:rPr>
          <w:rFonts w:eastAsia="Cambria" w:cs="Cambria"/>
          <w:b w:val="false"/>
          <w:bCs w:val="false"/>
          <w:i w:val="false"/>
          <w:iCs w:val="false"/>
          <w:sz w:val="22"/>
          <w:szCs w:val="22"/>
        </w:rPr>
        <w:t>), oft nur fünfzehn bis dreißig Minuten am Samstagvormittag, bei denen ein halbes Dutzend Bewerber gleichzeitig durch dieselbe Wohnung läuft. Wer die Wohnung will, bewirbt sich direkt danach online, mit Einkommensnachweis, Referenzen früherer Vermieter und oft einem kurzen Anschreiben; in begehrten Lagen entscheidet die Hausverwaltung (</w:t>
      </w:r>
      <w:r>
        <w:rPr>
          <w:rFonts w:eastAsia="Cambria" w:cs="Cambria"/>
          <w:b w:val="false"/>
          <w:bCs w:val="false"/>
          <w:i/>
          <w:iCs/>
          <w:sz w:val="22"/>
          <w:szCs w:val="22"/>
        </w:rPr>
        <w:t>Property Manager</w:t>
      </w:r>
      <w:r>
        <w:rPr>
          <w:rFonts w:eastAsia="Cambria" w:cs="Cambria"/>
          <w:b w:val="false"/>
          <w:bCs w:val="false"/>
          <w:i w:val="false"/>
          <w:iCs w:val="false"/>
          <w:sz w:val="22"/>
          <w:szCs w:val="22"/>
        </w:rPr>
        <w:t>, die für den Eigentümer die Vermietung abwickelt) noch am selben Tag. Der Eigentümer zahlt die Vermittlungsprovision, nicht der Mieter – anders als bei vielen deutschen Maklerwohnungen.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Bei der Wohnungsart lohnt ein zweiter Blick auf die Bezeichnung: Ein </w:t>
      </w:r>
      <w:r>
        <w:rPr>
          <w:rFonts w:eastAsia="Cambria" w:cs="Cambria"/>
          <w:b w:val="false"/>
          <w:bCs w:val="false"/>
          <w:i/>
          <w:iCs/>
          <w:sz w:val="22"/>
          <w:szCs w:val="22"/>
        </w:rPr>
        <w:t>House</w:t>
      </w:r>
      <w:r>
        <w:rPr>
          <w:rFonts w:eastAsia="Cambria" w:cs="Cambria"/>
          <w:b w:val="false"/>
          <w:bCs w:val="false"/>
          <w:i w:val="false"/>
          <w:iCs w:val="false"/>
          <w:sz w:val="22"/>
          <w:szCs w:val="22"/>
        </w:rPr>
        <w:t xml:space="preserve"> ist ein frei- oder aneinandergebautes Einfamilienhaus mit eigenem Garten, eine </w:t>
      </w:r>
      <w:r>
        <w:rPr>
          <w:rFonts w:eastAsia="Cambria" w:cs="Cambria"/>
          <w:b w:val="false"/>
          <w:bCs w:val="false"/>
          <w:i/>
          <w:iCs/>
          <w:sz w:val="22"/>
          <w:szCs w:val="22"/>
        </w:rPr>
        <w:t>Townhouse</w:t>
      </w:r>
      <w:r>
        <w:rPr>
          <w:rFonts w:eastAsia="Cambria" w:cs="Cambria"/>
          <w:b w:val="false"/>
          <w:bCs w:val="false"/>
          <w:i w:val="false"/>
          <w:iCs w:val="false"/>
          <w:sz w:val="22"/>
          <w:szCs w:val="22"/>
        </w:rPr>
        <w:t xml:space="preserve"> ein Reihenhaus, eine </w:t>
      </w:r>
      <w:r>
        <w:rPr>
          <w:rFonts w:eastAsia="Cambria" w:cs="Cambria"/>
          <w:b w:val="false"/>
          <w:bCs w:val="false"/>
          <w:i/>
          <w:iCs/>
          <w:sz w:val="22"/>
          <w:szCs w:val="22"/>
        </w:rPr>
        <w:t>Unit</w:t>
      </w:r>
      <w:r>
        <w:rPr>
          <w:rFonts w:eastAsia="Cambria" w:cs="Cambria"/>
          <w:b w:val="false"/>
          <w:bCs w:val="false"/>
          <w:i w:val="false"/>
          <w:iCs w:val="false"/>
          <w:sz w:val="22"/>
          <w:szCs w:val="22"/>
        </w:rPr>
        <w:t xml:space="preserve"> oder </w:t>
      </w:r>
      <w:r>
        <w:rPr>
          <w:rFonts w:eastAsia="Cambria" w:cs="Cambria"/>
          <w:b w:val="false"/>
          <w:bCs w:val="false"/>
          <w:i/>
          <w:iCs/>
          <w:sz w:val="22"/>
          <w:szCs w:val="22"/>
        </w:rPr>
        <w:t>Apartment</w:t>
      </w:r>
      <w:r>
        <w:rPr>
          <w:rFonts w:eastAsia="Cambria" w:cs="Cambria"/>
          <w:b w:val="false"/>
          <w:bCs w:val="false"/>
          <w:i w:val="false"/>
          <w:iCs w:val="false"/>
          <w:sz w:val="22"/>
          <w:szCs w:val="22"/>
        </w:rPr>
        <w:t xml:space="preserve"> eine Eigentumswohnung in einem Mehrfamilienhaus. Die Zahl der Schlafzimmer steht meist direkt im Inserat („3-bed, 2-bath“); Wohn- und Esszimmer zählen, wie im US-Teil dieses Buches beschrieben, nicht mit.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Kaution (</w:t>
      </w:r>
      <w:r>
        <w:rPr>
          <w:rFonts w:eastAsia="Cambria" w:cs="Cambria"/>
          <w:b w:val="false"/>
          <w:bCs w:val="false"/>
          <w:i/>
          <w:iCs/>
          <w:sz w:val="22"/>
          <w:szCs w:val="22"/>
        </w:rPr>
        <w:t>Bond</w:t>
      </w:r>
      <w:r>
        <w:rPr>
          <w:rFonts w:eastAsia="Cambria" w:cs="Cambria"/>
          <w:b w:val="false"/>
          <w:bCs w:val="false"/>
          <w:i w:val="false"/>
          <w:iCs w:val="false"/>
          <w:sz w:val="22"/>
          <w:szCs w:val="22"/>
        </w:rPr>
        <w:t>) liegt in den meisten Bundesstaaten bei vier Wochen Miete, in South Australia bei sechs Wochen, sobald die Wochenmiete über 800 AUD liegt, in Western Australia ist sie ab 1.200 AUD Wochenmiete frei verhandelbar. Anders als in Deutschland zahlst du sie nicht an den Vermieter, sondern an eine staatliche Kautionsstelle – in New South Wales etwa Rental Bonds Online von NSW Fair Trading –, die sie bis zum Auszug treuhänderisch verwahrt. Ein Streit über die Rückzahlung landet damit vor einer Behörde, nicht in einer stillen Absprache zwischen Mieter und Vermieter. Mietverträge laufen meist sechs bis zwölf Monate; danach folgt entweder eine Verlängerung oder ein formloser Zeitmietvertrag (</w:t>
      </w:r>
      <w:r>
        <w:rPr>
          <w:rFonts w:eastAsia="Cambria" w:cs="Cambria"/>
          <w:b w:val="false"/>
          <w:bCs w:val="false"/>
          <w:i/>
          <w:iCs/>
          <w:sz w:val="22"/>
          <w:szCs w:val="22"/>
        </w:rPr>
        <w:t>Periodic Lease</w:t>
      </w:r>
      <w:r>
        <w:rPr>
          <w:rFonts w:eastAsia="Cambria" w:cs="Cambria"/>
          <w:b w:val="false"/>
          <w:bCs w:val="false"/>
          <w:i w:val="false"/>
          <w:iCs w:val="false"/>
          <w:sz w:val="22"/>
          <w:szCs w:val="22"/>
        </w:rPr>
        <w:t>), der mit einer Kündigungsfrist beider Seiten endet.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Mietmarkt ist 2026 in allen Landeshauptstädten auf Rekordniveau, Sydney mit Abstand am teuersten. Wer sich bewirbt, sollte alle Unterlagen vorbereitet haben, bevor die Besichtigung überhaupt beginnt: Wartezeiten von mehreren Wochen bis zur Zusage sind selten – meist ist eine gefragte Wohnung binnen weniger Tage vergeben, manchmal noch am Tag der Besichtigung.</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In Melbourne ist die Miete für Häuser inzwischen günstiger als für Wohnungen (rund 580 AUD gegenüber 600 AUD pro Woche) – ungewöhnlich im Städtevergleich und leicht zu übersehen. Vergleiche beide Wohnungstypen, statt dich vorab auf einen festzulegen; die erste Preisspanne im Kopf stimmt nicht überall.</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Nina Voss (fiktives Beispiel) kommt mit einem Working-Holiday-Visum (417) nach Sydney und sucht ein WG-Zimmer in Bondi. Bei der ersten offenen Besichtigung stehen vierzehn weitere Bewerber im Flur; die Zusage kommt noch am selben Abend per E-Mail, weil Nina Gehaltsnachweise, ein Empfehlungsschreiben ihrer Hamburger Vermieterin und einen Ausweis schon vorbereitet hochgeladen hatte. Die Kaution von vier Wochen Miete überweist sie nicht an ihre Mitbewohnerin, sondern über Rental Bonds Online direkt an die Kautionsstelle von New South Wales. Ein Jahr später bekommt sie über ihren neuen Arbeitgeber ein Skilled-Visum und zieht in eine eigene Einzimmerwohnung – und lernt dabei, wie stark allein der Sprung vom WG-Zimmer zur eigenen Wohnung die Miete verändert.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Kaufen: Stamp Duty, FIRB und Permanent Residence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Kauf selbst läuft anders ab als in Deutschland: Es gibt keinen Notartermin, sondern eine auf Immobilienrecht spezialisierte Fachperson (</w:t>
      </w:r>
      <w:r>
        <w:rPr>
          <w:rFonts w:eastAsia="Cambria" w:cs="Cambria"/>
          <w:b w:val="false"/>
          <w:bCs w:val="false"/>
          <w:i/>
          <w:iCs/>
          <w:sz w:val="22"/>
          <w:szCs w:val="22"/>
        </w:rPr>
        <w:t>Conveyancer</w:t>
      </w:r>
      <w:r>
        <w:rPr>
          <w:rFonts w:eastAsia="Cambria" w:cs="Cambria"/>
          <w:b w:val="false"/>
          <w:bCs w:val="false"/>
          <w:i w:val="false"/>
          <w:iCs w:val="false"/>
          <w:sz w:val="22"/>
          <w:szCs w:val="22"/>
        </w:rPr>
        <w:t>, teils auch ein Anwalt), die den Vertrag prüft, Grundbuchauszüge einholt und die Übergabe (</w:t>
      </w:r>
      <w:r>
        <w:rPr>
          <w:rFonts w:eastAsia="Cambria" w:cs="Cambria"/>
          <w:b w:val="false"/>
          <w:bCs w:val="false"/>
          <w:i/>
          <w:iCs/>
          <w:sz w:val="22"/>
          <w:szCs w:val="22"/>
        </w:rPr>
        <w:t>Settlement</w:t>
      </w:r>
      <w:r>
        <w:rPr>
          <w:rFonts w:eastAsia="Cambria" w:cs="Cambria"/>
          <w:b w:val="false"/>
          <w:bCs w:val="false"/>
          <w:i w:val="false"/>
          <w:iCs w:val="false"/>
          <w:sz w:val="22"/>
          <w:szCs w:val="22"/>
        </w:rPr>
        <w:t>) abwickelt. Häuser werden entweder freihändig verkauft (</w:t>
      </w:r>
      <w:r>
        <w:rPr>
          <w:rFonts w:eastAsia="Cambria" w:cs="Cambria"/>
          <w:b w:val="false"/>
          <w:bCs w:val="false"/>
          <w:i/>
          <w:iCs/>
          <w:sz w:val="22"/>
          <w:szCs w:val="22"/>
        </w:rPr>
        <w:t>Private Treaty</w:t>
      </w:r>
      <w:r>
        <w:rPr>
          <w:rFonts w:eastAsia="Cambria" w:cs="Cambria"/>
          <w:b w:val="false"/>
          <w:bCs w:val="false"/>
          <w:i w:val="false"/>
          <w:iCs w:val="false"/>
          <w:sz w:val="22"/>
          <w:szCs w:val="22"/>
        </w:rPr>
        <w:t>, mit Verhandlung wie in Deutschland) oder öffentlich versteigert (</w:t>
      </w:r>
      <w:r>
        <w:rPr>
          <w:rFonts w:eastAsia="Cambria" w:cs="Cambria"/>
          <w:b w:val="false"/>
          <w:bCs w:val="false"/>
          <w:i/>
          <w:iCs/>
          <w:sz w:val="22"/>
          <w:szCs w:val="22"/>
        </w:rPr>
        <w:t>Auction</w:t>
      </w:r>
      <w:r>
        <w:rPr>
          <w:rFonts w:eastAsia="Cambria" w:cs="Cambria"/>
          <w:b w:val="false"/>
          <w:bCs w:val="false"/>
          <w:i w:val="false"/>
          <w:iCs w:val="false"/>
          <w:sz w:val="22"/>
          <w:szCs w:val="22"/>
        </w:rPr>
        <w:t>) – vor allem in Melbourne und Sydney eine eigene Institution: Der Auktionator steht auf der Veranda, die Bieter auf dem Gehweg, und wer den Zuschlag bekommt, hat in diesem Moment einen bindenden Vertrag unterschrieben, meist ganz ohne Rücktrittsrecht. Beim freihändigen Verkauf gibt es dagegen üblicherweise eine gesetzliche Rücktrittsfrist (</w:t>
      </w:r>
      <w:r>
        <w:rPr>
          <w:rFonts w:eastAsia="Cambria" w:cs="Cambria"/>
          <w:b w:val="false"/>
          <w:bCs w:val="false"/>
          <w:i/>
          <w:iCs/>
          <w:sz w:val="22"/>
          <w:szCs w:val="22"/>
        </w:rPr>
        <w:t>Cooling-off Period</w:t>
      </w:r>
      <w:r>
        <w:rPr>
          <w:rFonts w:eastAsia="Cambria" w:cs="Cambria"/>
          <w:b w:val="false"/>
          <w:bCs w:val="false"/>
          <w:i w:val="false"/>
          <w:iCs w:val="false"/>
          <w:sz w:val="22"/>
          <w:szCs w:val="22"/>
        </w:rPr>
        <w:t>) von wenigen Werktagen nach Vertragsunterzeichnung – in New South Wales fünf Werktage –, in der ein Rücktritt nur gegen eine kleine Vertragsstrafe möglich ist; die genaue Frist und Strafe regelt jeder Bundesstaat anders. Üblich ist eine Anzahlung von rund 10 % des Kaufpreises bei Vertragsunterzeichnung, die eine Treuhandstelle bis zur Übergabe verwahrt.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ohne australische Kredithistorie finanzieren will, merkt schnell: Nicht jede Bank finanziert Käufer mit befristetem Visum, und wer finanziert, verlangt oft eine höhere Anzahlung als bei Staatsbürgern oder Permanent Residents – teils 20 % oder mehr, dazu den Nachweis eines stabilen Einkommens in Australien. Frage früh bei mehreren Banken oder einem Hypothekenmakler (</w:t>
      </w:r>
      <w:r>
        <w:rPr>
          <w:rFonts w:eastAsia="Cambria" w:cs="Cambria"/>
          <w:b w:val="false"/>
          <w:bCs w:val="false"/>
          <w:i/>
          <w:iCs/>
          <w:sz w:val="22"/>
          <w:szCs w:val="22"/>
        </w:rPr>
        <w:t>Mortgage Broker</w:t>
      </w:r>
      <w:r>
        <w:rPr>
          <w:rFonts w:eastAsia="Cambria" w:cs="Cambria"/>
          <w:b w:val="false"/>
          <w:bCs w:val="false"/>
          <w:i w:val="false"/>
          <w:iCs w:val="false"/>
          <w:sz w:val="22"/>
          <w:szCs w:val="22"/>
        </w:rPr>
        <w:t>) nach den konkreten Bedingungen für deinen Visumtyp, bevor du dich in eine Auktion mit fester Kaufabsicht begibst.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ausländische Käufer kommt seit dem 1. April 2025 eine deutliche Hürde hinzu: Ausländer und Inhaber befristeter Visa dürfen bis mindestens 30. Juni 2029 keine Bestandsimmobilien (</w:t>
      </w:r>
      <w:r>
        <w:rPr>
          <w:rFonts w:eastAsia="Cambria" w:cs="Cambria"/>
          <w:b w:val="false"/>
          <w:bCs w:val="false"/>
          <w:i/>
          <w:iCs/>
          <w:sz w:val="22"/>
          <w:szCs w:val="22"/>
        </w:rPr>
        <w:t>Established Dwellings</w:t>
      </w:r>
      <w:r>
        <w:rPr>
          <w:rFonts w:eastAsia="Cambria" w:cs="Cambria"/>
          <w:b w:val="false"/>
          <w:bCs w:val="false"/>
          <w:i w:val="false"/>
          <w:iCs w:val="false"/>
          <w:sz w:val="22"/>
          <w:szCs w:val="22"/>
        </w:rPr>
        <w:t>) mehr kaufen – ein Verbot, das die australische Prüfbehörde für Auslandsinvestitionen (</w:t>
      </w:r>
      <w:r>
        <w:rPr>
          <w:rFonts w:eastAsia="Cambria" w:cs="Cambria"/>
          <w:b w:val="false"/>
          <w:bCs w:val="false"/>
          <w:i/>
          <w:iCs/>
          <w:sz w:val="22"/>
          <w:szCs w:val="22"/>
        </w:rPr>
        <w:t>Foreign Investment Review Board</w:t>
      </w:r>
      <w:r>
        <w:rPr>
          <w:rFonts w:eastAsia="Cambria" w:cs="Cambria"/>
          <w:b w:val="false"/>
          <w:bCs w:val="false"/>
          <w:i w:val="false"/>
          <w:iCs w:val="false"/>
          <w:sz w:val="22"/>
          <w:szCs w:val="22"/>
        </w:rPr>
        <w:t>, FIRB) durchsetzt. Eine Ausnahme gilt für Inhaber befristeter Visa, die selbst darin wohnen wollen: Diese dürfen eine einzige Bestandsimmobilie als eigenen Hauptwohnsitz erwerben, müssen sie aber spätestens drei Monate nach Ablauf des Visums oder nach der Ausreise wieder verkaufen. Neubauten und unbebaute Grundstücke bleiben über einen FIRB-Antrag käuflich; die Gebühr dafür liegt seit dem 1. Juli 2026 gestaffelt nach Kaufpreis bei 15.600 AUD (bis 1 Mio. AUD), 31.300 AUD (bis 2 Mio. AUD) oder 62.600 AUD (bis 3 Mio. AUD).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Zusätzlich erhebt jeder Bundesstaat beim Immobilienkauf eine gestaffelte Grunderwerbsteuer (</w:t>
      </w:r>
      <w:r>
        <w:rPr>
          <w:rFonts w:eastAsia="Cambria" w:cs="Cambria"/>
          <w:b w:val="false"/>
          <w:bCs w:val="false"/>
          <w:i/>
          <w:iCs/>
          <w:sz w:val="22"/>
          <w:szCs w:val="22"/>
        </w:rPr>
        <w:t>Stamp Duty</w:t>
      </w:r>
      <w:r>
        <w:rPr>
          <w:rFonts w:eastAsia="Cambria" w:cs="Cambria"/>
          <w:b w:val="false"/>
          <w:bCs w:val="false"/>
          <w:i w:val="false"/>
          <w:iCs w:val="false"/>
          <w:sz w:val="22"/>
          <w:szCs w:val="22"/>
        </w:rPr>
        <w:t>); wer nicht australischer Staatsbürger oder Permanent Resident ist, zahlt obendrauf einen Foreign-Buyer-Zuschlag auf den vollen Kaufpreis: 9 % in New South Wales, 8 % in Victoria, Tasmanien und Queensland, 7 % in Western Australia und South Australia (Stand 2026). Bei einem Haus für 900.000 AUD in Sydney sind das allein 81.000 AUD obendrein zur regulären Steuer.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Ob du als „foreign person“ giltst, hängt am Visumstatus, nicht am Pass oder an der gefühlten Zugehörigkeit. Wer mit einem Permanent-Visum wie dem Skilled Independent Visa (Subclass 189) einreist, ist von der ersten Sekunde an Permanent Resident – FIRB-Verbot und Stamp-Duty-Zuschlag gelten dann nicht. Wer dagegen mit einem befristeten Skilled-Visum kommt, zählt so lange als „foreign person“, bis eine unbefristete Aufenthaltserlaubnis vorliegt – unabhängig davon, wie lange er schon in Australien lebt oder ob er hier bereits Steuern zahlt.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Verstöße gegen das FIRB-Verbot sind kein Kavaliersdelikt – die Behörde kann den Kauf rückabwickeln lassen. Prüfe vor jedem Gebot oder jeder Unterschrift, ob die Immobilie unter die Established-Dwelling-Regel fällt und ob dein Visumstatus dich überhaupt zum Kauf berechtigt; im Zweifel klärt das ein auf FIRB spezialisierter Conveyancer oder Anwalt vorab, nicht du selbst im Eifer der Auktion.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Reinhardt (fiktives Beispiel) zieht mit dem Skilled Independent Visa (Subclass 189) nach Melbourne – und damit von Anfang an mit Permanent Residence. Thomas und Sandra mieten die ersten Monate in Richmond, während sie Schuldistrikte für Emil (10) und Clara (6) vergleichen. Als sie nach einem Jahr ein Reihenhaus für 780.000 AUD kaufen, zahlen sie die reguläre Stamp Duty, aber keinen Foreign-Buyer-Zuschlag und brauchen keine FIRB-Genehmigung. Ein früherer Kollege aus Sandras Krankenhaus, der mit einem befristeten Arbeitgebervisum nach Australien kam, hätte für dasselbe Haus rund 62.400 AUD mehr drauflegen müssen (8 % Zuschlag in Victoria). Der Unterschied liegt allein im Visumtyp, nicht im Einkommen oder in der Aufenthaltsdauer.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besten Orte zum Leben: Klima, Naturgefahren, Kosten, Jobmarkt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„beste“ Stadt gibt es nicht – nur die, die zu deinem Beruf, deinem Budget und deiner Risikobereitschaft passt. Verbreiteter Irrtum: „Sydney ist teuer, der Rest ist günstig.“ Tatsächlich haben Perth, Brisbane und Adelaide beim Kaufpreis zuletzt kräftig aufgeholt und liegen inzwischen über Melbourne – Perth allein legte binnen eines Jahres um 15,6 % zu. Was für Deutsche zusätzlich gewöhnungsbedürftig ist: Jede Stadt trägt ihr eigenes Naturgefahren-Risiko – nicht als exotische Randnotiz, sondern als Posten, den deine Versicherung jedes Jahr neu bepreist. Rechne über Miete oder Kaufpreis hinaus außerdem mit den üblichen Fixkosten für Auto, Strom und Kinderbetreuung; sie unterscheiden sich zwischen den Städten spürbar weniger stark als Miete und Kaufpreis, gehören aber ebenso in deine Budgetrechnung.</w:t>
      </w:r>
    </w:p>
    <w:p>
      <w:pPr>
        <w:pStyle w:val="Normal"/>
        <w:keepNext w:val="false"/>
        <w:keepLines w:val="false"/>
        <w:spacing w:lineRule="exact" w:line="288" w:before="0" w:after="140"/>
        <w:jc w:val="left"/>
        <w:rPr/>
      </w:pPr>
      <w:r>
        <w:rPr>
          <w:rFonts w:eastAsia="Cambria" w:cs="Cambria"/>
          <w:b/>
          <w:bCs/>
          <w:i w:val="false"/>
          <w:iCs w:val="false"/>
          <w:sz w:val="22"/>
          <w:szCs w:val="22"/>
        </w:rPr>
        <w:t>Sydney (New South Wales)</w:t>
      </w:r>
      <w:r>
        <w:rPr>
          <w:rFonts w:eastAsia="Cambria" w:cs="Cambria"/>
          <w:b w:val="false"/>
          <w:bCs w:val="false"/>
          <w:i w:val="false"/>
          <w:iCs w:val="false"/>
          <w:sz w:val="22"/>
          <w:szCs w:val="22"/>
        </w:rPr>
        <w:t xml:space="preserve"> ist subtropisch-warm, mit heißen, teils schwülen Sommern – und einer Buschfeuergefahr, die bis an die Vorstädte reicht: Eine Studie der Landesregierung rechnet für das Einzugsgebiet der Stadt bis 2050 mit bis zu 24 % mehr Buschfeuern auf bis zu 35 % größerer Fläche. Dafür ist Sydney mit Abstand der teuerste Wohnort Australiens: Häuser kosten im Schnitt 850 AUD Miete pro Woche, Wohnungen 780 AUD, der Kaufmedian liegt bei 1.222.718 AUD. Der Jobmarkt gleicht das teilweise aus – über 300.000 offene Stellen, Schwerpunkt Finanzen, IT und Gesundheit, mit besonders starker Nachfrage nach Cybersecurity-Fachkräften.</w:t>
      </w:r>
    </w:p>
    <w:p>
      <w:pPr>
        <w:pStyle w:val="Normal"/>
        <w:keepNext w:val="false"/>
        <w:keepLines w:val="false"/>
        <w:spacing w:lineRule="exact" w:line="288" w:before="0" w:after="140"/>
        <w:jc w:val="left"/>
        <w:rPr/>
      </w:pPr>
      <w:r>
        <w:rPr>
          <w:rFonts w:eastAsia="Cambria" w:cs="Cambria"/>
          <w:b/>
          <w:bCs/>
          <w:i w:val="false"/>
          <w:iCs w:val="false"/>
          <w:sz w:val="22"/>
          <w:szCs w:val="22"/>
        </w:rPr>
        <w:t>Melbourne (Victoria)</w:t>
      </w:r>
      <w:r>
        <w:rPr>
          <w:rFonts w:eastAsia="Cambria" w:cs="Cambria"/>
          <w:b w:val="false"/>
          <w:bCs w:val="false"/>
          <w:i w:val="false"/>
          <w:iCs w:val="false"/>
          <w:sz w:val="22"/>
          <w:szCs w:val="22"/>
        </w:rPr>
        <w:t xml:space="preserve"> ist ozeanisch-gemäßigt, aber launisch: „Four seasons in one day“ ist keine Übertreibung, sondern beschreibt, wie durchziehende Kaltluft-Pools mehrfach täglich zwischen Sonne, Regen, Hagel und plötzlichem Temperatursturz wechseln lassen. Buschfeuerrisiko besteht vor allem im Umland bei Hitzewellen, die auch in der Stadt selbst über 40 °C erreichen können. Beim Kauf ist Melbourne inzwischen die günstigste der vier großen Städte (Kaufmedian 786.718 AUD, −4,7 % zum Vorjahr) und wurde damit von Brisbane, Perth und Adelaide im Preisniveau überholt – bei Hausmieten mit rund 580 AUD pro Woche ebenfalls am günstigsten, während Wohnungsmieten mit 600 AUD auf Rekordniveau liegen. Der Jobmarkt bietet rund 220.000 Stellen in IT, Gesundheit, Infrastruktur und Kreativwirtschaft, dazu einen etablierten Biotech-Standort.</w:t>
      </w:r>
    </w:p>
    <w:p>
      <w:pPr>
        <w:pStyle w:val="Normal"/>
        <w:keepNext w:val="false"/>
        <w:keepLines w:val="false"/>
        <w:spacing w:lineRule="exact" w:line="288" w:before="0" w:after="140"/>
        <w:jc w:val="left"/>
        <w:rPr/>
      </w:pPr>
      <w:r>
        <w:rPr>
          <w:rFonts w:eastAsia="Cambria" w:cs="Cambria"/>
          <w:b/>
          <w:bCs/>
          <w:i w:val="false"/>
          <w:iCs w:val="false"/>
          <w:sz w:val="22"/>
          <w:szCs w:val="22"/>
        </w:rPr>
        <w:t>Brisbane (Queensland)</w:t>
      </w:r>
      <w:r>
        <w:rPr>
          <w:rFonts w:eastAsia="Cambria" w:cs="Cambria"/>
          <w:b w:val="false"/>
          <w:bCs w:val="false"/>
          <w:i w:val="false"/>
          <w:iCs w:val="false"/>
          <w:sz w:val="22"/>
          <w:szCs w:val="22"/>
        </w:rPr>
        <w:t xml:space="preserve"> ist subtropisch, mit heißen, feuchten Sommern und kräftigen Gewittern – und einem Flusshochwasser-Risiko, das zum sonnigen Ruf der Stadt schlecht passt: Die Flut vom Februar 2022 in Südost-Queensland zählt mit rund 9,6 Mrd. AUD Sachschaden zu den schwersten Flutkatastrophen des Landes, dazu kommen gelegentliche Ausläufer tropischer Zyklone aus dem Norden. Mieten liegen bei 700 AUD (Haus) und 660 AUD (Wohnung) pro Woche, beide auf Rekordniveau; der Kaufmedian stieg zuletzt um 10,8 % auf 1.080.142 AUD – der stärkste Anstieg der sechs großen Metros. Ein Grund ist der Bauboom vor den Olympischen Spielen 2032: Der Arbeitskräftemangel am Bau soll von rund 27.200 Beschäftigten (2026/27) auf bis zu 46.000 (2028/29) steigen, mit entsprechender Nachfrage nach Ingenieuren und Technikern.</w:t>
      </w:r>
    </w:p>
    <w:p>
      <w:pPr>
        <w:pStyle w:val="Normal"/>
        <w:keepNext w:val="false"/>
        <w:keepLines w:val="false"/>
        <w:spacing w:lineRule="exact" w:line="288" w:before="0" w:after="140"/>
        <w:jc w:val="left"/>
        <w:rPr/>
      </w:pPr>
      <w:r>
        <w:rPr>
          <w:rFonts w:eastAsia="Cambria" w:cs="Cambria"/>
          <w:b/>
          <w:bCs/>
          <w:i w:val="false"/>
          <w:iCs w:val="false"/>
          <w:sz w:val="22"/>
          <w:szCs w:val="22"/>
        </w:rPr>
        <w:t>Perth (Western Australia)</w:t>
      </w:r>
      <w:r>
        <w:rPr>
          <w:rFonts w:eastAsia="Cambria" w:cs="Cambria"/>
          <w:b w:val="false"/>
          <w:bCs w:val="false"/>
          <w:i w:val="false"/>
          <w:iCs w:val="false"/>
          <w:sz w:val="22"/>
          <w:szCs w:val="22"/>
        </w:rPr>
        <w:t xml:space="preserve"> ist mediterran: Jeder Sommer ist verlässlich heiß und trocken, mit regelmäßig über 35 °C und kaum Niederschlag. Buschfeuer gehören praktisch zu jedem Sommer, und die Zahl der Tage über 40 °C hat sich im letzten Jahrhundert mehr als verdoppelt. Mieten liegen bei rund 750 AUD pro Woche für Häuser, der Kaufmedian stieg zuletzt mit 15,6 % so stark wie in keiner anderen der sechs großen Metros, auf 999.987 AUD. Der Jobmarkt wird vom Bergbau dominiert – Eisenerz in der Pilbara-Region, dazu bedeutende Goldminen –, und der anhaltende Mangel an qualifizierten Ingenieuren treibt die Gehälter: Ein </w:t>
      </w:r>
      <w:r>
        <w:rPr>
          <w:rFonts w:eastAsia="Cambria" w:cs="Cambria"/>
          <w:b w:val="false"/>
          <w:bCs w:val="false"/>
          <w:i/>
          <w:iCs/>
          <w:sz w:val="22"/>
          <w:szCs w:val="22"/>
        </w:rPr>
        <w:t>Mining Engineer</w:t>
      </w:r>
      <w:r>
        <w:rPr>
          <w:rFonts w:eastAsia="Cambria" w:cs="Cambria"/>
          <w:b w:val="false"/>
          <w:bCs w:val="false"/>
          <w:i w:val="false"/>
          <w:iCs w:val="false"/>
          <w:sz w:val="22"/>
          <w:szCs w:val="22"/>
        </w:rPr>
        <w:t xml:space="preserve"> verdient im Schnitt 155.000 AUD im Jahr, mit </w:t>
      </w:r>
      <w:r>
        <w:rPr>
          <w:rFonts w:eastAsia="Cambria" w:cs="Cambria"/>
          <w:b w:val="false"/>
          <w:bCs w:val="false"/>
          <w:i/>
          <w:iCs/>
          <w:sz w:val="22"/>
          <w:szCs w:val="22"/>
        </w:rPr>
        <w:t>Fly-in-Fly-out</w:t>
      </w:r>
      <w:r>
        <w:rPr>
          <w:rFonts w:eastAsia="Cambria" w:cs="Cambria"/>
          <w:b w:val="false"/>
          <w:bCs w:val="false"/>
          <w:i w:val="false"/>
          <w:iCs w:val="false"/>
          <w:sz w:val="22"/>
          <w:szCs w:val="22"/>
        </w:rPr>
        <w:t>-Zulagen (Unterkunft, Verpflegung und Zuschläge für den Wechsel zwischen Wohnort und entlegener Mine) oft 30.000 bis 60.000 AUD mehr.</w:t>
      </w:r>
    </w:p>
    <w:p>
      <w:pPr>
        <w:pStyle w:val="Normal"/>
        <w:keepNext w:val="false"/>
        <w:keepLines w:val="false"/>
        <w:spacing w:lineRule="exact" w:line="288" w:before="0" w:after="140"/>
        <w:jc w:val="left"/>
        <w:rPr/>
      </w:pPr>
      <w:r>
        <w:rPr>
          <w:rFonts w:eastAsia="Cambria" w:cs="Cambria"/>
          <w:b/>
          <w:bCs/>
          <w:i w:val="false"/>
          <w:iCs w:val="false"/>
          <w:sz w:val="22"/>
          <w:szCs w:val="22"/>
        </w:rPr>
        <w:t>Adelaide (South Australia)</w:t>
      </w:r>
      <w:r>
        <w:rPr>
          <w:rFonts w:eastAsia="Cambria" w:cs="Cambria"/>
          <w:b w:val="false"/>
          <w:bCs w:val="false"/>
          <w:i w:val="false"/>
          <w:iCs w:val="false"/>
          <w:sz w:val="22"/>
          <w:szCs w:val="22"/>
        </w:rPr>
        <w:t xml:space="preserve"> ist ebenfalls mediterran und verzeichnet den geringsten Jahresniederschlag aller australischen Landeshauptstädte – entsprechend anfällig für lange Trockenperioden und Hitzewellen über 40 °C, die zusammen mit rasch wechselndem „Whiplash“-Wetter (schneller Wechsel zwischen Starkregen und Dürre) das Buschfeuerrisiko im Umland erhöhen. Beim Wohnen ist Adelaide mittleres bis gehobenes Terrain: Hausmiete rund 650 AUD pro Woche, Wohnungsmiete mit 520 AUD die günstigste der sechs großen Metros, Kaufmedian 937.207 AUD. Der Jobmarkt wächst vor allem in der Verteidigungsindustrie und im Schiffbau: Der Ausbau der Osborne Naval Shipyard soll bis 2030 bis zu 5.000 zusätzliche Stellen in Südaustralien schaffen, gesucht werden vor allem Schweißer, Fertigungsspezialisten und Ingenieure.</w:t>
      </w:r>
    </w:p>
    <w:p>
      <w:pPr>
        <w:pStyle w:val="Normal"/>
        <w:keepNext w:val="false"/>
        <w:keepLines w:val="false"/>
        <w:spacing w:lineRule="exact" w:line="288" w:before="0" w:after="140"/>
        <w:jc w:val="left"/>
        <w:rPr/>
      </w:pPr>
      <w:r>
        <w:rPr>
          <w:rFonts w:eastAsia="Cambria" w:cs="Cambria"/>
          <w:b/>
          <w:bCs/>
          <w:i w:val="false"/>
          <w:iCs w:val="false"/>
          <w:sz w:val="22"/>
          <w:szCs w:val="22"/>
        </w:rPr>
        <w:t>Canberra (Australian Capital Territory)</w:t>
      </w:r>
      <w:r>
        <w:rPr>
          <w:rFonts w:eastAsia="Cambria" w:cs="Cambria"/>
          <w:b w:val="false"/>
          <w:bCs w:val="false"/>
          <w:i w:val="false"/>
          <w:iCs w:val="false"/>
          <w:sz w:val="22"/>
          <w:szCs w:val="22"/>
        </w:rPr>
        <w:t xml:space="preserve"> liegt als einzige der sechs Städte nicht an der Küste und hat ein deutlich kontinentaleres Klima: heiße, trockene Sommer, kalte Winter mit Frost. Das Buschfeuerrisiko ist real und historisch belegt – die Feuersbrunst vom Januar 2003 tötete vier Menschen, verletzte über 435, erzwang 5.000 Evakuierungen und verbrannte rund 70 % der Weide-, Wald- und Naturschutzflächen des Territoriums. Beim Wohnen ist Canberra das stabilste der sechs Metros: Hausmiete rund 700 AUD pro Woche, Kaufmedian 864.998 AUD, zuletzt nahezu unverändert. Der mit Abstand größte Arbeitgeber ist der australische Bundesöffentliche Dienst, der 2026 allerdings unter Spardruck steht – die Arbeitslosigkeit im Territorium stieg von 3,0 % Ende 2024 auf 4,4 % im Mai 2026. Nachfrage bleibt hoch in Steuer-Compliance, Verteidigung, Energie- und Umweltregulierung sowie Altenpflege.</w:t>
      </w:r>
    </w:p>
    <w:tbl>
      <w:tblPr>
        <w:tblW w:w="6480" w:type="dxa"/>
        <w:jc w:val="left"/>
        <w:tblInd w:w="0" w:type="dxa"/>
        <w:tblLayout w:type="fixed"/>
        <w:tblCellMar>
          <w:top w:w="50" w:type="dxa"/>
          <w:left w:w="80" w:type="dxa"/>
          <w:bottom w:w="50" w:type="dxa"/>
          <w:right w:w="80" w:type="dxa"/>
        </w:tblCellMar>
      </w:tblPr>
      <w:tblGrid>
        <w:gridCol w:w="949"/>
        <w:gridCol w:w="2099"/>
        <w:gridCol w:w="1773"/>
        <w:gridCol w:w="1658"/>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Stadt</w:t>
            </w:r>
          </w:p>
        </w:tc>
        <w:tc>
          <w:tcPr>
            <w:tcW w:w="209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Klima und Naturgefahr</w:t>
            </w:r>
          </w:p>
        </w:tc>
        <w:tc>
          <w:tcPr>
            <w:tcW w:w="177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Kosten (Miete Haus/Woche · Kaufmedian)</w:t>
            </w:r>
          </w:p>
        </w:tc>
        <w:tc>
          <w:tcPr>
            <w:tcW w:w="165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Jobmarkt-Stärke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Sydney</w:t>
            </w:r>
          </w:p>
        </w:tc>
        <w:tc>
          <w:tcPr>
            <w:tcW w:w="20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subtropisch, Buschfeuer am Stadtrand</w:t>
            </w:r>
          </w:p>
        </w:tc>
        <w:tc>
          <w:tcPr>
            <w:tcW w:w="17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850 AUD · 1.222.718 AUD</w:t>
            </w:r>
          </w:p>
        </w:tc>
        <w:tc>
          <w:tcPr>
            <w:tcW w:w="16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Finanzen, IT, Cybersecurity</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Melbourne</w:t>
            </w:r>
          </w:p>
        </w:tc>
        <w:tc>
          <w:tcPr>
            <w:tcW w:w="20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ozeanisch, wechselhaft, Hitzewellen im Umland</w:t>
            </w:r>
          </w:p>
        </w:tc>
        <w:tc>
          <w:tcPr>
            <w:tcW w:w="17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580 AUD · 786.718 AUD</w:t>
            </w:r>
          </w:p>
        </w:tc>
        <w:tc>
          <w:tcPr>
            <w:tcW w:w="16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Tech, Gesundheit, Kreativwirtschaft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Brisbane</w:t>
            </w:r>
          </w:p>
        </w:tc>
        <w:tc>
          <w:tcPr>
            <w:tcW w:w="20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subtropisch, Flusshochwasser, Zyklonausläufer</w:t>
            </w:r>
          </w:p>
        </w:tc>
        <w:tc>
          <w:tcPr>
            <w:tcW w:w="17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700 AUD · 1.080.142 AUD</w:t>
            </w:r>
          </w:p>
        </w:tc>
        <w:tc>
          <w:tcPr>
            <w:tcW w:w="16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Bauboom Olympia 2032</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Perth</w:t>
            </w:r>
          </w:p>
        </w:tc>
        <w:tc>
          <w:tcPr>
            <w:tcW w:w="20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mediterran, Buschfeuer jeden Sommer</w:t>
            </w:r>
          </w:p>
        </w:tc>
        <w:tc>
          <w:tcPr>
            <w:tcW w:w="17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750 AUD · 999.987 AUD</w:t>
            </w:r>
          </w:p>
        </w:tc>
        <w:tc>
          <w:tcPr>
            <w:tcW w:w="16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Bergbau (Pilbara, Gold)</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Adelaide</w:t>
            </w:r>
          </w:p>
        </w:tc>
        <w:tc>
          <w:tcPr>
            <w:tcW w:w="20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mediterran, trockenste Hauptstadt</w:t>
            </w:r>
          </w:p>
        </w:tc>
        <w:tc>
          <w:tcPr>
            <w:tcW w:w="17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650 AUD · 937.207 AUD</w:t>
            </w:r>
          </w:p>
        </w:tc>
        <w:tc>
          <w:tcPr>
            <w:tcW w:w="16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Verteidigung, Schiffbau</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Canberra</w:t>
            </w:r>
          </w:p>
        </w:tc>
        <w:tc>
          <w:tcPr>
            <w:tcW w:w="20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kontinental-binnenländisch, Buschfeuer (2003)</w:t>
            </w:r>
          </w:p>
        </w:tc>
        <w:tc>
          <w:tcPr>
            <w:tcW w:w="17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700 AUD · 864.998 AUD</w:t>
            </w:r>
          </w:p>
        </w:tc>
        <w:tc>
          <w:tcPr>
            <w:tcW w:w="16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Bundesverwaltung</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Naturgefahren sind in Australien kein Randthema, sondern ein Kostenfaktor: Versicherer bepreisen Buschfeuer-, Flut- und Zyklonrisiko in die Jahresprämie ein, und in einzelnen Hochrisikolagen wird eine Immobilie nur schwer oder zu hohen Kosten versicherbar. Hol dir vor dem Kauf ein konkretes Angebot für genau dieses Grundstück – nicht erst danach, wenn der Vertrag schon unterschrieben ist.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Kaution liegt treuhänderisch bei einer Behörde, nicht beim Vermieter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Mietmarkt in allen Hauptstädten auf Rekordniveau, hohe Konkurrenz bei Besichtigungen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Permanent-Resident-Visa wie Subclass 189 sparen sofort Stamp-Duty-Zuschlag und FIRB-Aufwand</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Befristete Visa-Inhaber dürfen bis mindestens 2029 kaum Bestandsimmobilien kaufen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Melbourne, Brisbane, Perth und Adelaide bieten spürbar günstigeren Wohnraum als Sydney</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Foreign-Buyer-Zuschlag von 7–9 % trifft, wer noch keine Permanent Residence hat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Bergbau, Verteidigung und der Olympia-Bauboom schaffen gut bezahlte Nischenjobs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Diese Jobs sind meist an eine einzelne Stadt oder Region gebunden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Kaufprozess mit Auktion und Conveyancer ist oft schneller als in Deutschland</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Kaum Bedenkzeit bei Versteigerungen, kurze Cooling-off-Frist beim freihändigen Kauf</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Jede Stadt hat ein gut dokumentiertes Naturgefahren-Profil, das sich recherchieren lässt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Buschfeuer, Flut oder Zyklon können Versicherbarkeit und -kosten merklich beeinflussen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Vergleiche vor der Zusage nicht nur das Gehalt, sondern die Kombination aus Miet- oder Kaufniveau, Jobmarkt in deinem Berufsfeld und Naturgefahren-Profil der Zielstadt. Kläre früh, welchen Visumstatus du beim Umzug hast – er entscheidet, ob FIRB-Verbot und Stamp-Duty-Zuschlag für dich überhaupt gelten, und ob eine Bank dich ohne australische Kredithistorie finanziert. Miete zunächst, auch wenn ein Kauf verlockt: Du lernst Viertel und Schuldistrikt aus eigener Erfahrung kennen und musst dich nicht unter Zeitdruck durch eine Versteigerung hetzen lassen, deren Zuschlag – anders als in Deutschland – sofort bindet.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Visumstatus geklärt: Permanent Resident oder „foreign person“ im Sinne des FIRB?</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befristetem Visum geprüft, ob überhaupt eine Bestandsimmobilie infrage kommt oder nur ein Neubau mit FIRB-Genehmigung</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Foreign-Buyer-Zuschlag des Zielbundesstaats in die Kaufpreisrechnung eingerechnet (7–9 %)</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Unterlagen für Mietbewerbungen vorbereitet: Einkommensnachweis, Referenzen, Ausweis</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Kautionsstelle (Bond-Behörde) des Bundesstaats recherchiert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Naturgefahren-Profil der Zielstadt mit einem konkreten Versicherungsangebot abgeglichen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Miet- und Kaufpreise mehrerer Städte im eigenen Berufsfeld verglichen, nicht nur Sydney oder Melbourne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Kaufabsicht: Conveyancer oder Immobilienanwalt kontaktiert, Cooling-off-Regeln des Bundesstaats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Finanzierungsbedingungen für den eigenen Visumtyp bei mindestens zwei Banken erfragt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Entschieden, mindestens die ersten sechs bis zwölf Monate zu mieten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Foreign Investment Review Board — FIRB-Regeln, Established-Dwelling-Verbot (</w:t>
      </w:r>
      <w:hyperlink r:id="rId473">
        <w:r>
          <w:rPr>
            <w:rStyle w:val="ListLabel113"/>
            <w:rFonts w:eastAsia="Cambria" w:cs="Cambria"/>
            <w:b w:val="false"/>
            <w:bCs w:val="false"/>
            <w:i w:val="false"/>
            <w:iCs w:val="false"/>
            <w:color w:val="0563C1"/>
            <w:sz w:val="22"/>
            <w:szCs w:val="22"/>
            <w:u w:val="single"/>
          </w:rPr>
          <w:t>firb.gov.au</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Australian Taxation Office — Gebühren und Fristen für Auslandsinvestitionen (</w:t>
      </w:r>
      <w:hyperlink r:id="rId474">
        <w:r>
          <w:rPr>
            <w:rStyle w:val="ListLabel113"/>
            <w:rFonts w:eastAsia="Cambria" w:cs="Cambria"/>
            <w:b w:val="false"/>
            <w:bCs w:val="false"/>
            <w:i w:val="false"/>
            <w:iCs w:val="false"/>
            <w:color w:val="0563C1"/>
            <w:sz w:val="22"/>
            <w:szCs w:val="22"/>
            <w:u w:val="single"/>
          </w:rPr>
          <w:t>ato.gov.au</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NSW Fair Trading — Mietrecht, Rental Bonds Online (</w:t>
      </w:r>
      <w:hyperlink r:id="rId475">
        <w:r>
          <w:rPr>
            <w:rStyle w:val="ListLabel113"/>
            <w:rFonts w:eastAsia="Cambria" w:cs="Cambria"/>
            <w:b w:val="false"/>
            <w:bCs w:val="false"/>
            <w:i w:val="false"/>
            <w:iCs w:val="false"/>
            <w:color w:val="0563C1"/>
            <w:sz w:val="22"/>
            <w:szCs w:val="22"/>
            <w:u w:val="single"/>
          </w:rPr>
          <w:t>fairtrading.nsw.gov.au</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Domain Rental Report und Cotality Home Value Index — aktuelle Miet- und Kaufpreise (</w:t>
      </w:r>
      <w:hyperlink r:id="rId476">
        <w:r>
          <w:rPr>
            <w:rStyle w:val="ListLabel113"/>
            <w:rFonts w:eastAsia="Cambria" w:cs="Cambria"/>
            <w:b w:val="false"/>
            <w:bCs w:val="false"/>
            <w:i w:val="false"/>
            <w:iCs w:val="false"/>
            <w:color w:val="0563C1"/>
            <w:sz w:val="22"/>
            <w:szCs w:val="22"/>
            <w:u w:val="single"/>
          </w:rPr>
          <w:t>domain.com.au</w:t>
        </w:r>
      </w:hyperlink>
      <w:r>
        <w:rPr>
          <w:rFonts w:eastAsia="Cambria" w:cs="Cambria"/>
          <w:b w:val="false"/>
          <w:bCs w:val="false"/>
          <w:i w:val="false"/>
          <w:iCs w:val="false"/>
          <w:sz w:val="22"/>
          <w:szCs w:val="22"/>
        </w:rPr>
        <w:t xml:space="preserve">, </w:t>
      </w:r>
      <w:hyperlink r:id="rId477">
        <w:r>
          <w:rPr>
            <w:rStyle w:val="ListLabel113"/>
            <w:rFonts w:eastAsia="Cambria" w:cs="Cambria"/>
            <w:b w:val="false"/>
            <w:bCs w:val="false"/>
            <w:i w:val="false"/>
            <w:iCs w:val="false"/>
            <w:color w:val="0563C1"/>
            <w:sz w:val="22"/>
            <w:szCs w:val="22"/>
            <w:u w:val="single"/>
          </w:rPr>
          <w:t>cotality.com</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Deutsche Botschaft Canberra und Generalkonsulat Sydney — Vertretungen vor Ort (</w:t>
      </w:r>
      <w:hyperlink r:id="rId478">
        <w:r>
          <w:rPr>
            <w:rStyle w:val="ListLabel113"/>
            <w:rFonts w:eastAsia="Cambria" w:cs="Cambria"/>
            <w:b w:val="false"/>
            <w:bCs w:val="false"/>
            <w:i w:val="false"/>
            <w:iCs w:val="false"/>
            <w:color w:val="0563C1"/>
            <w:sz w:val="22"/>
            <w:szCs w:val="22"/>
            <w:u w:val="single"/>
          </w:rPr>
          <w:t>australien.diplo.de</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(Schreibdatum 23. September 2026). Miet- und Kaufpreise ändern sich quartalsweise spürbar, ebenso die Foreign-Buyer-Zuschläge, die FIRB-Gebühren (turnusmäßig zum 1. Juli angepasst) und die Frist des Established-Dwelling-Verbots (aktuell bis 30. Juni 2029 befristet). Prüfe vor jeder Entscheidung die offiziellen Seiten und aktuelle Marktberichte.</w:t>
            </w:r>
          </w:p>
        </w:tc>
      </w:tr>
    </w:tbl>
    <w:p>
      <w:pPr>
        <w:pStyle w:val="Normal"/>
        <w:spacing w:lineRule="exact" w:line="220" w:before="0" w:after="0"/>
        <w:rPr/>
      </w:pPr>
      <w:r>
        <w:rPr/>
      </w:r>
      <w:r>
        <w:br w:type="page"/>
      </w:r>
    </w:p>
    <w:p>
      <w:pPr>
        <w:pStyle w:val="Heading2"/>
        <w:keepNext w:val="true"/>
        <w:spacing w:before="0" w:after="300"/>
        <w:jc w:val="center"/>
        <w:rPr/>
      </w:pPr>
      <w:bookmarkStart w:id="122" w:name="__RefHeading___Toc56551_3769931028"/>
      <w:bookmarkStart w:id="123" w:name="tau10"/>
      <w:bookmarkEnd w:id="122"/>
      <w:r>
        <w:rPr>
          <w:rFonts w:eastAsia="Amazon Ember" w:cs="Amazon Ember" w:ascii="Amazon Ember" w:hAnsi="Amazon Ember"/>
          <w:b/>
          <w:bCs/>
          <w:color w:val="0000FF"/>
          <w:sz w:val="36"/>
          <w:szCs w:val="36"/>
        </w:rPr>
        <w:t>Australien: Führerschein, Auto und Verkehrsregeln</w:t>
      </w:r>
      <w:bookmarkEnd w:id="123"/>
    </w:p>
    <w:p>
      <w:pPr>
        <w:pStyle w:val="Normal"/>
        <w:keepNext w:val="false"/>
        <w:keepLines w:val="false"/>
        <w:spacing w:lineRule="exact" w:line="288" w:before="0" w:after="140"/>
        <w:jc w:val="left"/>
        <w:rPr/>
      </w:pPr>
      <w:r>
        <w:rPr>
          <w:rFonts w:eastAsia="Cambria" w:cs="Cambria"/>
          <w:b w:val="false"/>
          <w:bCs w:val="false"/>
          <w:i w:val="false"/>
          <w:iCs w:val="false"/>
          <w:sz w:val="22"/>
          <w:szCs w:val="22"/>
        </w:rPr>
        <w:t>Du sitzt zum ersten Mal hinter dem Lenkrad eines australischen Mietwagens, tastest routiniert nach dem Blinkerhebel links – und lässt stattdessen die Scheibenwischer trocken über die Windschutzscheibe quietschen. Der Beifahrer sagt nichts, aber sein Blick sagt alles. Am ersten Kreisverkehr fährst du aus tiefstem Reflex gegen den Uhrzeigersinn los, bis ein höflicher, aber bestimmter Hupton dich zurückholt. Willkommen in einem Land, das seine Straßenseite nie gewechselt hat – nur du musst es jetzt tun. Führerschein, Auto und Verkehrsregeln hängen in Australien eng zusammen, und wer die wichtigsten Unterschiede vor dem ersten Start kennt, erspart sich die teuersten Überraschungen.</w:t>
      </w:r>
    </w:p>
    <w:tbl>
      <w:tblPr>
        <w:tblW w:w="6480" w:type="dxa"/>
        <w:jc w:val="left"/>
        <w:tblInd w:w="0" w:type="dxa"/>
        <w:tblLayout w:type="fixed"/>
        <w:tblCellMar>
          <w:top w:w="110" w:type="dxa"/>
          <w:left w:w="200" w:type="dxa"/>
          <w:bottom w:w="80" w:type="dxa"/>
          <w:right w:w="160" w:type="dxa"/>
        </w:tblCellMar>
      </w:tblPr>
      <w:tblGrid>
        <w:gridCol w:w="6480"/>
      </w:tblGrid>
      <w:tr>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Wichtigster Unterschied zu Deutschland: Australien fährt auf der linken Straßenseite. Kreisverkehre laufen im Uhrzeigersinn, Blinker und Scheibenwischer sitzen bei vielen Fahrzeugen vertauscht, und die Eingewöhnung braucht ein paar Tage bewusste Aufmerksamkeit.</w:t>
            </w:r>
          </w:p>
          <w:p>
            <w:pPr>
              <w:pStyle w:val="ListParagraph"/>
              <w:numPr>
                <w:ilvl w:val="0"/>
                <w:numId w:val="1"/>
              </w:numPr>
              <w:spacing w:lineRule="exact" w:line="264" w:before="0" w:after="50"/>
              <w:rPr/>
            </w:pPr>
            <w:r>
              <w:rPr>
                <w:rFonts w:eastAsia="Cambria" w:cs="Cambria"/>
                <w:b w:val="false"/>
                <w:bCs w:val="false"/>
                <w:i w:val="false"/>
                <w:iCs w:val="false"/>
                <w:sz w:val="20"/>
                <w:szCs w:val="20"/>
              </w:rPr>
              <w:t>Der Führerschein-Umtausch ist Sache der Bundesstaaten: In Victoria, Queensland, South Australia, Tasmanien und im ACT fährst du mit gültigem deutschem Führerschein als befristeter Visuminhaber zeitlich unbegrenzt, in New South Wales nur 6 Monate, im Northern Territory 3 Monate; Western Australia verlangt den Umtausch binnen 3 Monaten von allen.</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Die Alkoholgrenze liegt bei 0,05 % BAC (Blutalkoholkonzentration) für volle Lizenzen, bei 0,00 % für Fahranfänger – und wird durch </w:t>
            </w:r>
            <w:r>
              <w:rPr>
                <w:rFonts w:eastAsia="Cambria" w:cs="Cambria"/>
                <w:b w:val="false"/>
                <w:bCs w:val="false"/>
                <w:i/>
                <w:iCs/>
                <w:sz w:val="20"/>
                <w:szCs w:val="20"/>
              </w:rPr>
              <w:t>Random Breath Testing</w:t>
            </w:r>
            <w:r>
              <w:rPr>
                <w:rFonts w:eastAsia="Cambria" w:cs="Cambria"/>
                <w:b w:val="false"/>
                <w:bCs w:val="false"/>
                <w:i w:val="false"/>
                <w:iCs w:val="false"/>
                <w:sz w:val="20"/>
                <w:szCs w:val="20"/>
              </w:rPr>
              <w:t xml:space="preserve"> (RBT) mit rund 15 Millionen Tests im Jahr flächendeckend kontrolliert.</w:t>
            </w:r>
          </w:p>
          <w:p>
            <w:pPr>
              <w:pStyle w:val="ListParagraph"/>
              <w:numPr>
                <w:ilvl w:val="0"/>
                <w:numId w:val="1"/>
              </w:numPr>
              <w:spacing w:lineRule="exact" w:line="264" w:before="0" w:after="50"/>
              <w:rPr/>
            </w:pPr>
            <w:r>
              <w:rPr>
                <w:rFonts w:eastAsia="Cambria" w:cs="Cambria"/>
                <w:b w:val="false"/>
                <w:bCs w:val="false"/>
                <w:i w:val="false"/>
                <w:iCs w:val="false"/>
                <w:sz w:val="20"/>
                <w:szCs w:val="20"/>
              </w:rPr>
              <w:t>Mobile Speed Cameras stehen in mehreren Bundesstaaten unmarkiert am Straßenrand, und Bußgelder fürs Handy am Steuer erreichen je nach Bundesstaat vierstellige Beträge.</w:t>
            </w:r>
          </w:p>
          <w:p>
            <w:pPr>
              <w:pStyle w:val="ListParagraph"/>
              <w:numPr>
                <w:ilvl w:val="0"/>
                <w:numId w:val="1"/>
              </w:numPr>
              <w:spacing w:lineRule="exact" w:line="264" w:before="0" w:after="50"/>
              <w:rPr/>
            </w:pPr>
            <w:r>
              <w:rPr>
                <w:rFonts w:eastAsia="Cambria" w:cs="Cambria"/>
                <w:b w:val="false"/>
                <w:bCs w:val="false"/>
                <w:i w:val="false"/>
                <w:iCs w:val="false"/>
                <w:sz w:val="20"/>
                <w:szCs w:val="20"/>
              </w:rPr>
              <w:t>Das Demerit-Points-System ist streng gestaffelt: Volle Lizenzen verlieren sie bei 11 bis 13 Punkten binnen drei Jahren, Fahranfänger schon bei 4.</w:t>
            </w:r>
          </w:p>
          <w:p>
            <w:pPr>
              <w:pStyle w:val="ListParagraph"/>
              <w:numPr>
                <w:ilvl w:val="0"/>
                <w:numId w:val="1"/>
              </w:numPr>
              <w:spacing w:lineRule="exact" w:line="264" w:before="0" w:after="50"/>
              <w:rPr/>
            </w:pPr>
            <w:r>
              <w:rPr>
                <w:rFonts w:eastAsia="Cambria" w:cs="Cambria"/>
                <w:b w:val="false"/>
                <w:bCs w:val="false"/>
                <w:i w:val="false"/>
                <w:iCs w:val="false"/>
                <w:sz w:val="20"/>
                <w:szCs w:val="20"/>
              </w:rPr>
              <w:t>Im Outback zählen Kängurus zu den größten Unfallrisiken, und die Entfernungen zwischen Städten sind so groß, dass Pausenplanung Pflicht ist, nicht Kür.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wichtigste Punkt: Linksverkehr im Alltag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Australien fährt links, mit rechtsgesteuerten Fahrzeugen – ein Erbe der britischen Kolonialzeit, das nie zur Debatte stand und auch nie zur Debatte stehen wird. Für deutsche Neuankömmlinge ist das der strukturell größte Umstellungspunkt am ganzen Thema Auto: Es ändert sich nicht nur eine Tempo-Einheit oder eine Vorfahrtsregel, sondern die gesamte körperliche Routine des Fahrens.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Im Alltag zeigt sich das an vielen kleinen Stellen gleichzeitig. Kreisverkehre werden im Uhrzeigersinn durchfahren, nicht gegen ihn. Blinker- und Scheibenwischerhebel sitzen je nach Fahrzeug und Hersteller oft vertauscht, weil die Fahrerposition gespiegelt ist – der Griff zum falschen Hebel ist so verlässlich wie harmlos, aber er passiert praktisch jedem in der ersten Woche. Beim Linksabbiegen und an Kreuzungen wird typischerweise vergessen, zuerst nach rechts zu schauen, weil der Gegenverkehr aus der „falschen“ Richtung kommt; genau das gilt als eine der häufigsten Fehlerquellen für Neuankömmlinge in den ersten Tagen und Wochen. Auf mehrspurigen Straßen fährst du möglichst weit links, überholt wird rechts – exakt umgekehrt zur deutschen Regel.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Dazu kommt eine australische Besonderheit, die mit dem Linksverkehr nichts zu tun hat, aber ebenfalls neu ist: An unbeschilderten Kreuzungen ohne Ampeln oder Markierungen (und die keine T-Kreuzung sind) hat grundsätzlich das von rechts kommende Fahrzeug Vorfahrt, unabhängig davon, ob es abbiegt oder geradeaus fährt. Treffen zwei Fahrzeuge gleichzeitig ein, muss das Fahrzeug von links dem Fahrzeug von rechts weichen. Das Prinzip ähnelt dem deutschen „rechts vor links“, ist aber konsequenter: Es zählt allein die Position, nicht die Fahrtrichtung. An unbeschilderten T-Kreuzungen gilt eine eigene Regel: Wer von der endenden Straße kommt (dem „Fuß“ des T), muss dem durchgehenden Verkehr auf der Straße am „Balken“ des T Vorfahrt gewähren – dieses Prinzip gilt in Australien schon deutlich länger als im benachbarten Neuseeland, das eine vergleichbare Regel erst 2012 eingeführt hat.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Übe die ersten Fahrten möglichst auf einem leeren Parkplatz oder in einer ruhigen Wohnstraße, bevor du dich in den Stadtverkehr wagst – besonders Kreisverkehre und Linksabbiegen an belebten Kreuzungen. Der Fehler mit der falschen Fahrspur passiert nicht aus Leichtsinn, sondern aus Jahrzehnten eingeübter Reflexe, die sich nicht per Willenskraft, sondern nur durch Wiederholung umgewöhnen lassen.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Reinhardt (fiktives Beispiel) kauft in ihrer dritten Woche in Melbourne einen gebrauchten Kombi. Thomas nimmt sich extra einen Vormittag frei, um auf einem leeren Parkplatz das Linksfahren zu üben – und greift beim ersten Abbiegen trotzdem routiniert nach dem Blinkerhebel links, während rechts die Scheibenwischer über die trockene Scheibe quietschen. Sandra findet das nicht halb so komisch wie ihre eigene erste Kreisverkehr-Runde, in der sie entschlossen gegen den Uhrzeigersinn losfährt, bis ein höflicher Hupton sie umdirigiert. Nach zwei Wochen sitzt der Griff zum richtigen Hebel, und der Kreisverkehr ist nur noch Routine – die Anekdote bleibt der Familie trotzdem noch lange erhalten.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Nicht das Fahren an sich ist in Australien das Problem, sondern die ersten reflexhaften Sekunden – Blinker, Schulterblick, Kreisverkehr, der Blick zuerst nach rechts. Nach ein bis zwei Wochen bewusster Übung wird daraus Routine, danach denkst du nicht mehr darüber nach.</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Führerschein-Umtausch: Sache der Bundesstaaten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Wie schon beim US-Teil dieses Buches gilt auch in Australien: Für den Führerschein ist nicht die Bundesregierung zuständig, sondern jeder Bundesstaat und jedes Territorium für sich. Deutschland gehört zu einer Gruppe von rund 28 Ländern, deren Führerscheine in allen australischen Bundesstaaten ohne praktische oder theoretische Fahrprüfung umgetauscht werden – ein reiner Verwaltungsvorgang, sofern der deutsche Führerschein auf Englisch vorliegt oder durch eine amtliche Übersetzung beziehungsweise einen </w:t>
      </w:r>
      <w:r>
        <w:rPr>
          <w:rFonts w:eastAsia="Cambria" w:cs="Cambria"/>
          <w:b w:val="false"/>
          <w:bCs w:val="false"/>
          <w:i/>
          <w:iCs/>
          <w:sz w:val="22"/>
          <w:szCs w:val="22"/>
        </w:rPr>
        <w:t>Internationalen Führerschein</w:t>
      </w:r>
      <w:r>
        <w:rPr>
          <w:rFonts w:eastAsia="Cambria" w:cs="Cambria"/>
          <w:b w:val="false"/>
          <w:bCs w:val="false"/>
          <w:i w:val="false"/>
          <w:iCs w:val="false"/>
          <w:sz w:val="22"/>
          <w:szCs w:val="22"/>
        </w:rPr>
        <w:t xml:space="preserve"> (IDP, eine mehrsprachige Zusatzurkunde zum nationalen Führerschein) ergänzt wird.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zuständige Behörde heißt zudem nicht überall gleich, was die Suche nach der richtigen Anlaufstelle erschwert: In Victoria ist es VicRoads beziehungsweise das Department of Transport, in New South Wales Transport for NSW (Service NSW), in Queensland das Department of Transport and Main Roads (TMR), in South Australia Service SA, in Western Australia das Department of Transport. Im Buch steht der Einfachheit halber „DMV-Äquivalent“ dafür, wenn allgemein von der Führerscheinbehörde die Rede ist. Deutlich uneinheitlicher als der Name sind ohnehin die Fristen, bis wann du überhaupt umtauschen musst:</w:t>
      </w:r>
    </w:p>
    <w:tbl>
      <w:tblPr>
        <w:tblW w:w="6480" w:type="dxa"/>
        <w:jc w:val="left"/>
        <w:tblInd w:w="0" w:type="dxa"/>
        <w:tblLayout w:type="fixed"/>
        <w:tblCellMar>
          <w:top w:w="50" w:type="dxa"/>
          <w:left w:w="80" w:type="dxa"/>
          <w:bottom w:w="50" w:type="dxa"/>
          <w:right w:w="80" w:type="dxa"/>
        </w:tblCellMar>
      </w:tblPr>
      <w:tblGrid>
        <w:gridCol w:w="2096"/>
        <w:gridCol w:w="2703"/>
        <w:gridCol w:w="1681"/>
      </w:tblGrid>
      <w:tr>
        <w:trPr>
          <w:tblHeader w:val="true"/>
          <w:cantSplit w:val="true"/>
        </w:trPr>
        <w:tc>
          <w:tcPr>
            <w:tcW w:w="209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Bundesstaat/Territorium</w:t>
            </w:r>
          </w:p>
        </w:tc>
        <w:tc>
          <w:tcPr>
            <w:tcW w:w="270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Regel für befristete Visa-Inhaber</w:t>
            </w:r>
          </w:p>
        </w:tc>
        <w:tc>
          <w:tcPr>
            <w:tcW w:w="168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Frist für Permanent Residents/Staatsbürger</w:t>
            </w:r>
          </w:p>
        </w:tc>
      </w:tr>
      <w:tr>
        <w:trPr>
          <w:cantSplit w:val="true"/>
        </w:trPr>
        <w:tc>
          <w:tcPr>
            <w:tcW w:w="20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Victoria, Queensland, South Australia, Tasmanien, ACT</w:t>
            </w:r>
          </w:p>
        </w:tc>
        <w:tc>
          <w:tcPr>
            <w:tcW w:w="27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zeitlich unbegrenzt mit gültigem deutschem Führerschein</w:t>
            </w:r>
          </w:p>
        </w:tc>
        <w:tc>
          <w:tcPr>
            <w:tcW w:w="16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 d. R. 3 Monate nach Wohnsitznahme</w:t>
            </w:r>
          </w:p>
        </w:tc>
      </w:tr>
      <w:tr>
        <w:trPr>
          <w:cantSplit w:val="true"/>
        </w:trPr>
        <w:tc>
          <w:tcPr>
            <w:tcW w:w="20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 South Wales</w:t>
            </w:r>
          </w:p>
        </w:tc>
        <w:tc>
          <w:tcPr>
            <w:tcW w:w="27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 Monate ab Wohnsitznahme</w:t>
            </w:r>
          </w:p>
        </w:tc>
        <w:tc>
          <w:tcPr>
            <w:tcW w:w="16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 Monate</w:t>
            </w:r>
          </w:p>
        </w:tc>
      </w:tr>
      <w:tr>
        <w:trPr>
          <w:cantSplit w:val="true"/>
        </w:trPr>
        <w:tc>
          <w:tcPr>
            <w:tcW w:w="20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Northern Territory</w:t>
            </w:r>
          </w:p>
        </w:tc>
        <w:tc>
          <w:tcPr>
            <w:tcW w:w="27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 Monate ab Wohnsitznahme</w:t>
            </w:r>
          </w:p>
        </w:tc>
        <w:tc>
          <w:tcPr>
            <w:tcW w:w="16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 Monate</w:t>
            </w:r>
          </w:p>
        </w:tc>
      </w:tr>
      <w:tr>
        <w:trPr>
          <w:cantSplit w:val="true"/>
        </w:trPr>
        <w:tc>
          <w:tcPr>
            <w:tcW w:w="20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Western Australia</w:t>
            </w:r>
          </w:p>
        </w:tc>
        <w:tc>
          <w:tcPr>
            <w:tcW w:w="27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 Monate ab Wohnsitznahme, unabhängig vom Visumstatus</w:t>
            </w:r>
          </w:p>
        </w:tc>
        <w:tc>
          <w:tcPr>
            <w:tcW w:w="16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 Monate</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„Der deutsche Führerschein gilt doch, solange das Visum läuft.“ Tatsächlich ist die Frist an den Wohnsitz gekoppelt, nicht an das Visum – und sie beginnt bei jedem Umzug innerhalb Australiens neu zu laufen. Wer von einem kulanten Bundesstaat wie Victoria nach New South Wales oder Western Australia zieht, sollte die dortige Frist ab dem Tag der Wohnsitznahme neu prüfen, statt sich auf die alte Regel zu verlassen.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die Umtauschfrist seines Bundesstaats verpasst, fährt ohne gültige Lizenz – mit Folgen für Bußgelder, Versicherungsschutz im Schadensfall und im schlimmsten Fall den Aufenthaltsstatus. Prüfe die Frist deines Zielbundesstaats direkt bei der zuständigen Behörde, bevor du fliegst, nicht danach.</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Beantrage die englische Übersetzung oder den IDP schon in Deutschland bei deiner Führerscheinstelle – vor Ort in Australien geht das nicht rückwirkend. Beim Umtausch selbst verlangt das jeweilige Amt meist Reisepass, Visumsnachweis, Adressnachweis und den deutschen Führerschein im Original; manche Behörden behalten die deutsche Karte ein, weshalb sich eine Kopie vorher lohnt.</w:t>
      </w:r>
    </w:p>
    <w:p>
      <w:pPr>
        <w:pStyle w:val="Heading3"/>
        <w:keepNext w:val="true"/>
        <w:spacing w:before="280" w:after="100"/>
        <w:jc w:val="center"/>
        <w:rPr/>
      </w:pPr>
      <w:r>
        <w:rPr>
          <w:rFonts w:eastAsia="Amazon Ember" w:cs="Amazon Ember" w:ascii="Amazon Ember" w:hAnsi="Amazon Ember"/>
          <w:b/>
          <w:bCs/>
          <w:color w:val="0000FF"/>
          <w:sz w:val="36"/>
          <w:szCs w:val="36"/>
        </w:rPr>
        <w:t>Autokauf und Kfz-Versicherung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Eine Kfz-Haftpflicht-Basisversicherung, die </w:t>
      </w:r>
      <w:r>
        <w:rPr>
          <w:rFonts w:eastAsia="Cambria" w:cs="Cambria"/>
          <w:b w:val="false"/>
          <w:bCs w:val="false"/>
          <w:i/>
          <w:iCs/>
          <w:sz w:val="22"/>
          <w:szCs w:val="22"/>
        </w:rPr>
        <w:t>Compulsory Third Party</w:t>
      </w:r>
      <w:r>
        <w:rPr>
          <w:rFonts w:eastAsia="Cambria" w:cs="Cambria"/>
          <w:b w:val="false"/>
          <w:bCs w:val="false"/>
          <w:i w:val="false"/>
          <w:iCs w:val="false"/>
          <w:sz w:val="22"/>
          <w:szCs w:val="22"/>
        </w:rPr>
        <w:t>-Versicherung (CTP, umgangssprachlich in New South Wales „Green Slip“), ist in jedem Bundesstaat und Territorium Pflicht für die Zulassung und deckt Personenschäden Dritter bei Unfällen ab. In Victoria ist sie automatisch Teil der Zulassungsgebühr; in New South Wales, Queensland, South Australia und im ACT wählst du die Police separat bei einem lizenzierten Versicherer, bevor überhaupt eine Zulassung möglich ist. Zusätzlicher Schutz für Schäden am eigenen Fahrzeug oder durch Diebstahl (</w:t>
      </w:r>
      <w:r>
        <w:rPr>
          <w:rFonts w:eastAsia="Cambria" w:cs="Cambria"/>
          <w:b w:val="false"/>
          <w:bCs w:val="false"/>
          <w:i/>
          <w:iCs/>
          <w:sz w:val="22"/>
          <w:szCs w:val="22"/>
        </w:rPr>
        <w:t>Comprehensive</w:t>
      </w:r>
      <w:r>
        <w:rPr>
          <w:rFonts w:eastAsia="Cambria" w:cs="Cambria"/>
          <w:b w:val="false"/>
          <w:bCs w:val="false"/>
          <w:i w:val="false"/>
          <w:iCs w:val="false"/>
          <w:sz w:val="22"/>
          <w:szCs w:val="22"/>
        </w:rPr>
        <w:t xml:space="preserve"> bzw. </w:t>
      </w:r>
      <w:r>
        <w:rPr>
          <w:rFonts w:eastAsia="Cambria" w:cs="Cambria"/>
          <w:b w:val="false"/>
          <w:bCs w:val="false"/>
          <w:i/>
          <w:iCs/>
          <w:sz w:val="22"/>
          <w:szCs w:val="22"/>
        </w:rPr>
        <w:t>Third Party Property Damage</w:t>
      </w:r>
      <w:r>
        <w:rPr>
          <w:rFonts w:eastAsia="Cambria" w:cs="Cambria"/>
          <w:b w:val="false"/>
          <w:bCs w:val="false"/>
          <w:i w:val="false"/>
          <w:iCs w:val="false"/>
          <w:sz w:val="22"/>
          <w:szCs w:val="22"/>
        </w:rPr>
        <w:t>, entspricht Voll- beziehungsweise Teilkasko) ist freiwillig, aber marktüblich; konkrete Prämienhöhen hängen stark von Fahrzeug, Wohnort und Fahrerprofil ab und lohnen einen Vergleich mehrerer Angebote.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Beim Gebrauchtwagenkauf lohnt ein zweiter Blick auf den Bundesstaat: Nur Victoria und Queensland verlangen gesetzlich ein </w:t>
      </w:r>
      <w:r>
        <w:rPr>
          <w:rFonts w:eastAsia="Cambria" w:cs="Cambria"/>
          <w:b w:val="false"/>
          <w:bCs w:val="false"/>
          <w:i/>
          <w:iCs/>
          <w:sz w:val="22"/>
          <w:szCs w:val="22"/>
        </w:rPr>
        <w:t>Roadworthy Certificate</w:t>
      </w:r>
      <w:r>
        <w:rPr>
          <w:rFonts w:eastAsia="Cambria" w:cs="Cambria"/>
          <w:b w:val="false"/>
          <w:bCs w:val="false"/>
          <w:i w:val="false"/>
          <w:iCs w:val="false"/>
          <w:sz w:val="22"/>
          <w:szCs w:val="22"/>
        </w:rPr>
        <w:t xml:space="preserve"> (eine Zustandsprüfung des Fahrzeugs) beim Verkauf, mit Kosten von rund 80 bis 150 AUD (in Victoria eher rund 200 AUD) und einer Gültigkeit von meist 30 Tagen. In New South Wales, Western Australia, South Australia und Tasmanien gibt es diese Pflicht nicht – hier lohnt sich eine unabhängige Inspektion vor dem Kauf besonders, weil niemand sonst für den technischen Zustand geradesteht.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Kaufst du außerhalb von Victoria oder Queensland, lass das Fahrzeug vor dem Kauf von einer unabhängigen Werkstatt prüfen – die Kosten dafür liegen deutlich unter dem, was ein übersehener Mangel später kostet. Und hole für die Versicherung mindestens zwei bis drei Angebote mit identischer Deckung ein, denn die Preisunterschiede zwischen Anbietern sind spürbar.</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Zulassung selbst (umgangssprachlich </w:t>
      </w:r>
      <w:r>
        <w:rPr>
          <w:rFonts w:eastAsia="Cambria" w:cs="Cambria"/>
          <w:b w:val="false"/>
          <w:bCs w:val="false"/>
          <w:i/>
          <w:iCs/>
          <w:sz w:val="22"/>
          <w:szCs w:val="22"/>
        </w:rPr>
        <w:t>Rego</w:t>
      </w:r>
      <w:r>
        <w:rPr>
          <w:rFonts w:eastAsia="Cambria" w:cs="Cambria"/>
          <w:b w:val="false"/>
          <w:bCs w:val="false"/>
          <w:i w:val="false"/>
          <w:iCs w:val="false"/>
          <w:sz w:val="22"/>
          <w:szCs w:val="22"/>
        </w:rPr>
        <w:t xml:space="preserve">, kurz für </w:t>
      </w:r>
      <w:r>
        <w:rPr>
          <w:rFonts w:eastAsia="Cambria" w:cs="Cambria"/>
          <w:b w:val="false"/>
          <w:bCs w:val="false"/>
          <w:i/>
          <w:iCs/>
          <w:sz w:val="22"/>
          <w:szCs w:val="22"/>
        </w:rPr>
        <w:t>Registration</w:t>
      </w:r>
      <w:r>
        <w:rPr>
          <w:rFonts w:eastAsia="Cambria" w:cs="Cambria"/>
          <w:b w:val="false"/>
          <w:bCs w:val="false"/>
          <w:i w:val="false"/>
          <w:iCs w:val="false"/>
          <w:sz w:val="22"/>
          <w:szCs w:val="22"/>
        </w:rPr>
        <w:t>) läuft über dieselbe Landesbehörde, die auch den Führerschein ausstellt. Beim Händlerkauf übernimmt der Verkäufer die Ummeldung meist automatisch; beim Privatkauf überträgst du das Kennzeichen selbst online oder vor Ort, gegen Vorlage von Kaufvertrag, gültiger CTP-Versicherung und einem Identitätsnachweis. Anders als beim deutschen TÜV gibt es keine bundesweit einheitliche Hauptuntersuchung; ob und wie oft eine technische Prüfung fällig wird, entscheidet – wieder einmal – der Bundesstaat. Die Verlängerung läuft in der Regel jährlich und wird meist automatisch per Brief oder SMS angekündigt, bezahlt wird online.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Zulassungskosten inklusive CTP reichen je nach Bundesstaat und Fahrzeug von wenigen hundert bis über 1.000 AUD im Jahr – eine grobe Richtgröße, keine feste Zahl, die du beim zuständigen Amt deines Bundesstaats konkret erfragst.</w:t>
      </w:r>
    </w:p>
    <w:p>
      <w:pPr>
        <w:pStyle w:val="Heading3"/>
        <w:keepNext w:val="true"/>
        <w:spacing w:before="280" w:after="100"/>
        <w:jc w:val="center"/>
        <w:rPr/>
      </w:pPr>
      <w:r>
        <w:rPr>
          <w:rFonts w:eastAsia="Amazon Ember" w:cs="Amazon Ember" w:ascii="Amazon Ember" w:hAnsi="Amazon Ember"/>
          <w:b/>
          <w:bCs/>
          <w:color w:val="0000FF"/>
          <w:sz w:val="36"/>
          <w:szCs w:val="36"/>
        </w:rPr>
        <w:t>Alkohol am Steuer und die Kultur der Random Breath Tests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Inhaber einer vollen Lizenz gilt bundesweit einheitlich eine Grenze von 0,05 % BAC (</w:t>
      </w:r>
      <w:r>
        <w:rPr>
          <w:rFonts w:eastAsia="Cambria" w:cs="Cambria"/>
          <w:b w:val="false"/>
          <w:bCs w:val="false"/>
          <w:i/>
          <w:iCs/>
          <w:sz w:val="22"/>
          <w:szCs w:val="22"/>
        </w:rPr>
        <w:t>Blood Alcohol Concentration</w:t>
      </w:r>
      <w:r>
        <w:rPr>
          <w:rFonts w:eastAsia="Cambria" w:cs="Cambria"/>
          <w:b w:val="false"/>
          <w:bCs w:val="false"/>
          <w:i w:val="false"/>
          <w:iCs w:val="false"/>
          <w:sz w:val="22"/>
          <w:szCs w:val="22"/>
        </w:rPr>
        <w:t xml:space="preserve">, Blutalkoholkonzentration) – niedriger als die deutschen 0,5 Promille. Für Lern- und Anfängerfahrer mit </w:t>
      </w:r>
      <w:r>
        <w:rPr>
          <w:rFonts w:eastAsia="Cambria" w:cs="Cambria"/>
          <w:b w:val="false"/>
          <w:bCs w:val="false"/>
          <w:i/>
          <w:iCs/>
          <w:sz w:val="22"/>
          <w:szCs w:val="22"/>
        </w:rPr>
        <w:t>P-Plates</w:t>
      </w:r>
      <w:r>
        <w:rPr>
          <w:rFonts w:eastAsia="Cambria" w:cs="Cambria"/>
          <w:b w:val="false"/>
          <w:bCs w:val="false"/>
          <w:i w:val="false"/>
          <w:iCs w:val="false"/>
          <w:sz w:val="22"/>
          <w:szCs w:val="22"/>
        </w:rPr>
        <w:t xml:space="preserve"> (der Kennzeichnung für Fahranfänger, vergleichbar der deutschen Probezeit) gilt bundesweit 0,00 %: Jede messbare Menge Alkohol ist ein Verstoß, unabhängig von tatsächlicher Beeinträchtigung.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Was diese Zahl im Alltag deutlich greifbarer macht als in Deutschland, ist die Kontrolldichte. </w:t>
      </w:r>
      <w:r>
        <w:rPr>
          <w:rFonts w:eastAsia="Cambria" w:cs="Cambria"/>
          <w:b w:val="false"/>
          <w:bCs w:val="false"/>
          <w:i/>
          <w:iCs/>
          <w:sz w:val="22"/>
          <w:szCs w:val="22"/>
        </w:rPr>
        <w:t>Random Breath Testing</w:t>
      </w:r>
      <w:r>
        <w:rPr>
          <w:rFonts w:eastAsia="Cambria" w:cs="Cambria"/>
          <w:b w:val="false"/>
          <w:bCs w:val="false"/>
          <w:i w:val="false"/>
          <w:iCs w:val="false"/>
          <w:sz w:val="22"/>
          <w:szCs w:val="22"/>
        </w:rPr>
        <w:t xml:space="preserve"> (RBT, verdachtsunabhängige Atemalkoholkontrolle direkt auf der Straße) ist seit der Einführung in New South Wales 1982 ein fester Bestandteil der australischen Verkehrssicherheitskultur: Landesweit werden inzwischen rund 15 Millionen Atemtests pro Jahr durchgeführt, gegenüber 2,1 Millionen im Jahr 1997/98. New South Wales Police allein führt über 4 Millionen Tests im Jahr durch und meldete zum 40. Jahrestag der RBT 2022 kumuliert 123 Millionen Tests und 1 Million Festnahmen seit Einführung. Wissenschaftlich wird RBT mit geschätzt 5.279 verhinderten Verkehrstoten allein in vier australischen Bundesstaaten in Verbindung gebracht.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Praktisch heißt das: Kontrollstellen, an denen reihenweise Fahrzeuge ohne konkreten Anlass zum Atemtest herausgewunken werden, begegnen dir im Lauf eines Jahres so gut wie sicher – meist am Straßenrand, oft abends oder am Wochenende, manchmal auch tagsüber. Das ist kein Zeichen, dass etwas Besonderes vorgefallen ist, sondern schlicht Alltag.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In Australien ist es der Normalfall, nicht die Ausnahme, im Lauf eines Jahres mindestens einmal in eine Random-Breath-Test-Kontrolle zu geraten. Führerschein und Ausweis griffbereit zu haben, gehört ebenso zur Routine wie der Sicherheitsgurt.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Mobile Speed Cameras, Handy-Verbot und das Punktesystem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Über 7.300 Kamerastandorte, fest und mobil, werden australienweit erfasst – New South Wales allein zählt rund 640 mobile Standorte. Wie sichtbar diese Kameras sind, entscheidet der Bundesstaat: Victoria, South Australia und Western Australia betreiben verdeckte mobile Blitzer ohne Warnschilder, New South Wales schreibt dagegen drei Warnschilder vor Ort und danach vor, Queensland arbeitet seit 2015 überwiegend verdeckt. Toleranzschwellen liegen in den meisten Staaten inoffiziell bei rund 2 bis 3 km/h über dem Limit; nur Victoria hat das offiziell festgelegt, während New South Wales inzwischen beinahe jede messbare Überschreitung verfolgt.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Handynutzung am Steuer wird teuer geahndet, mit deutlichen Unterschieden zwischen den Bundesstaaten: In New South Wales kostet ein Verstoß 362 bis 481 AUD und 5 bis 10 Demeritpunkte, in Victoria seit einer Anhebung 2026 mindestens 577 AUD (bis 1.731 AUD je nach Verstoß) und 4 Punkte, in Queensland 1.161 AUD und 4 Punkte. Verschiedene Quellen bezeichnen jeweils ihren eigenen Bundesstaat als den mit der höchsten Strafe – Fakt ist: Alle drei liegen deutlich über dem, was in Deutschland für dasselbe Vergehen fällig wird. KI-gestützte Erkennungskameras für Handynutzung sind inzwischen in New South Wales, Victoria und Queensland im Einsatz und erkennen die Handhaltung durch die Windschutzscheibe automatisch.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w:t>
      </w:r>
      <w:r>
        <w:rPr>
          <w:rFonts w:eastAsia="Cambria" w:cs="Cambria"/>
          <w:b w:val="false"/>
          <w:bCs w:val="false"/>
          <w:i/>
          <w:iCs/>
          <w:sz w:val="22"/>
          <w:szCs w:val="22"/>
        </w:rPr>
        <w:t>Demerit-Points</w:t>
      </w:r>
      <w:r>
        <w:rPr>
          <w:rFonts w:eastAsia="Cambria" w:cs="Cambria"/>
          <w:b w:val="false"/>
          <w:bCs w:val="false"/>
          <w:i w:val="false"/>
          <w:iCs w:val="false"/>
          <w:sz w:val="22"/>
          <w:szCs w:val="22"/>
        </w:rPr>
        <w:t>-System (Punktesystem für Verkehrsverstöße) staffelt sich nach Lizenztyp und Bundesstaat: In New South Wales verlierst du bei voller Lizenz 13 Punkte in drei Jahren, als P2-Fahrer 7, als P1-Fahrer oder Lernfahrer nur 4. Victoria setzt die Grenze für volle Lizenzen bei 11 Punkten in drei Jahren, das ACT bei 12 für volle und 4 für Lern- beziehungsweise Probationary-Lizenzen. Ist die Grenze erreicht, drohen Sperre oder alternativ ein „Good Behaviour“-Zeitraum mit strengeren Auflagen.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einziger Handyverstoß kann bei knappem Punktestand schon zur Sperre führen, besonders bei P-Plate-Fahrern mit ihrer niedrigen Schwelle. Rechne Bußgeld und Punktabzug realistisch mit ein, bevor du zum Telefon greifst – eine kurze Nachricht ist selten die Fahrerlaubnis wert.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Große Distanzen: Outback, Kängurus und Tempolimits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Tempolimits regelt jeder Bundesstaat für sich, ohne bundeseinheitliches Regime. Als Faustregel gilt innerorts 50 km/h, außerorts 100 km/h, sofern nicht anders beschildert. New South Wales erlaubt auf Motorways oft 110 km/h, Victoria bleibt auf vergleichbaren Straßen häufiger bei 100 km/h, Queensland mischt beide Werte je nach Straße. Im Northern Territory gelten auf dem Stuart und dem Barkly Highway aktuell bis zu 130 km/h – frühere Abschnitte ganz ohne Limit wurden zwischenzeitlich mehrfach politisch geändert, weshalb sich der genaue Status vor einer Fahrt direkt bei der Verkehrsbehörde des Northern Territory lohnt zu prüfen. Ein Vorschlag, das ländliche Standardtempo von 100 auf 80 oder 70 km/h zu senken, wurde nach öffentlichem Widerstand bislang nicht umgesetzt.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eigentliche Herausforderung im Outback sind aber selten die Tempolimits, sondern die Entfernungen selbst – und was auf diesen Strecken plötzlich auf der Fahrbahn steht. Kängurus und Wallabys verursachen rund 90 % aller Tierunfälle in Australien; Tierkollisionen machen insgesamt etwa 5 % aller tödlichen Unfälle aus. Eine CSIRO-Studie auf einem 21,2 Kilometer langen Outback-Highway-Abschnitt in West-New-South-Wales zählte binnen sechs Monaten 125 tote Kängurus – hochgerechnet auf einen 390 Kilometer langen Abschnitt ergäbe das über 5.000 getötete Wirbeltiere pro Jahr. Die meisten Kollisionen ereignen sich zwischen 17 und 22 Uhr, wenn Kängurus aktiv werden und das Licht schwindet; im Northern Territory gehen laut einer Auswertung 78,9 % aller Tierkollisionen des Territoriums auf Outback-Gebiete zurück. South Australia meldete laut einem Bericht vom 9. November 2025 einen Anstieg der Känguru-Kollisionen auf regionalen Straßen um rund 40 %.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Dazu kommen </w:t>
      </w:r>
      <w:r>
        <w:rPr>
          <w:rFonts w:eastAsia="Cambria" w:cs="Cambria"/>
          <w:b w:val="false"/>
          <w:bCs w:val="false"/>
          <w:i/>
          <w:iCs/>
          <w:sz w:val="22"/>
          <w:szCs w:val="22"/>
        </w:rPr>
        <w:t>Roadtrains</w:t>
      </w:r>
      <w:r>
        <w:rPr>
          <w:rFonts w:eastAsia="Cambria" w:cs="Cambria"/>
          <w:b w:val="false"/>
          <w:bCs w:val="false"/>
          <w:i w:val="false"/>
          <w:iCs w:val="false"/>
          <w:sz w:val="22"/>
          <w:szCs w:val="22"/>
        </w:rPr>
        <w:t xml:space="preserve"> – mehrgliedrige Lkw-Züge, teils über 50 Meter lang –, die auf Outback-Highways alltäglich sind und wegen ihrer Länge einen deutlich größeren Überholweg brauchen als jeder Lkw, den du aus Deutschland kennst. Überholst du einen Roadtrain, brauchst du eine lange, wirklich freie Gerade – im Zweifel lieber einmal zu oft warten als knapp einscheren.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Faustregel für lange Strecken: nicht in der Dämmerung oder nachts fahren, wenn es sich vermeiden lässt, regelmäßig Pausen einplanen, ausreichend Wasser mitführen und den Tank nie unter einem Viertel füllen lassen, bevor die nächste Tankstelle Hunderte Kilometer entfernt liegt. Auf vielen Outback-Strecken gibt es über weite Abschnitte keinen Mobilfunkempfang; wer regelmäßig abgelegene Routen fährt, informiert vorher jemanden über die geplante Strecke und Ankunftszeit und überlegt, ob sich ein Satellitenkommunikationsgerät für den Notfall lohnt. Ein Ersatzreifen in fahrbereitem Zustand ist im Outback kein nettes Extra, sondern die letzte Absicherung, bevor aus einer Reifenpanne ein echtes Problem wird – gerade dort, wo die Distanz zur nächsten Werkstatt in Autostunden, nicht in Kilometern gedacht wird.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Nina Voss (fiktives Beispiel) leiht sich zwischen zwei Jobs einen Gebrauchtwagen und fährt mit einer Freundin von Sydney Richtung Outback. Auf dem Rückweg, kurz nach Sonnenuntergang, taucht ohne Vorwarnung ein Känguru mitten auf der Fahrbahn auf; nur eine Vollbremsung verhindert Schlimmeres. Von da an fährt sie zwischen Dämmerung und Sonnenaufgang nicht mehr, sondern plant lange Pausen ein und bricht lieber vor Tagesanbruch neu auf. Auf der Rückfahrt hält sie eine Random-Breath-Test-Kontrolle an einer unscheinbaren Straßensperre an – kurzer Atemtest, ein knappes „Have a good night“, weiter geht’s. Für Nina ist es die erste von mehreren solchen Kontrollen in diesem Jahr; Ausweis und Führerschein liegen seitdem griffbereit im Handschuhfach.</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Führerschein-Umtausch läuft in den meisten Bundesstaaten ohne Prüfung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Fristen und Regeln unterscheiden sich stark, ein Umzug setzt die Uhr neu</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Straßen und Fernstraßen sind gut ausgebaut und meist mautfrei</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Riesige Entfernungen zwischen Städten, im Outback kaum Handyempfang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RBT-Kontrollen machen Alkohol am Steuer sichtbar unattraktiv</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Verdachtsunabhängige Kontrollen sind für Neuankömmlinge gewöhnungsbedürftig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CTP-Pflichtversicherung deckt Personenschäden von Beginn an ab</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Zusatzversicherung und Roadworthy-Prüfung sind je Bundesstaat unterschiedlich geregelt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Kreisverkehr, Vorfahrt und Tempolimits folgen klaren, lernbaren Regeln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Linksverkehr erfordert echte Umgewöhnung, Fehler passieren vor allem in den ersten Wochen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Mobile Speed Cameras und KI-Erkennung erhöhen die Verkehrssicherheit spürbar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Bußgelder fürs Handy am Steuer erreichen vierstellige Beträge</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ListParagraph"/>
        <w:numPr>
          <w:ilvl w:val="0"/>
          <w:numId w:val="231"/>
        </w:numPr>
        <w:spacing w:lineRule="exact" w:line="288" w:before="0" w:after="60"/>
        <w:rPr/>
      </w:pPr>
      <w:r>
        <w:rPr>
          <w:rFonts w:eastAsia="Cambria" w:cs="Cambria"/>
          <w:b w:val="false"/>
          <w:bCs w:val="false"/>
          <w:i w:val="false"/>
          <w:iCs w:val="false"/>
          <w:sz w:val="22"/>
          <w:szCs w:val="22"/>
        </w:rPr>
        <w:t>Vor dem Abflug: Umtauschfrist und Prüfungspflicht deines Zielbundesstaats klären, englische Übersetzung oder IDP beantragen.</w:t>
      </w:r>
    </w:p>
    <w:p>
      <w:pPr>
        <w:pStyle w:val="ListParagraph"/>
        <w:numPr>
          <w:ilvl w:val="0"/>
          <w:numId w:val="232"/>
        </w:numPr>
        <w:spacing w:lineRule="exact" w:line="288" w:before="0" w:after="60"/>
        <w:rPr/>
      </w:pPr>
      <w:r>
        <w:rPr>
          <w:rFonts w:eastAsia="Cambria" w:cs="Cambria"/>
          <w:b w:val="false"/>
          <w:bCs w:val="false"/>
          <w:i w:val="false"/>
          <w:iCs w:val="false"/>
          <w:sz w:val="22"/>
          <w:szCs w:val="22"/>
        </w:rPr>
        <w:t>In der ersten Woche: Erste Fahrten auf ruhigen Strecken üben, CTP-Versicherung klären, Termin bei der zuständigen Behörde vereinbaren.</w:t>
      </w:r>
    </w:p>
    <w:p>
      <w:pPr>
        <w:pStyle w:val="ListParagraph"/>
        <w:numPr>
          <w:ilvl w:val="0"/>
          <w:numId w:val="233"/>
        </w:numPr>
        <w:spacing w:lineRule="exact" w:line="288" w:before="0" w:after="60"/>
        <w:rPr/>
      </w:pPr>
      <w:r>
        <w:rPr>
          <w:rFonts w:eastAsia="Cambria" w:cs="Cambria"/>
          <w:b w:val="false"/>
          <w:bCs w:val="false"/>
          <w:i w:val="false"/>
          <w:iCs w:val="false"/>
          <w:sz w:val="22"/>
          <w:szCs w:val="22"/>
        </w:rPr>
        <w:t>Vor dem Autokauf: Bei Bedarf unabhängige Fahrzeuginspektion organisieren und mehrere Versicherungsangebote vergleichen.</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Umtauschfrist deines Zielbundesstaats bei der zuständigen Verkehrsbehörde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Englische Übersetzung des Führerscheins oder Internationalen Führerschein (IDP) vor der Abreise beantragt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Erste Fahrten in ruhiger Umgebung eingeplant, v. a. Kreisverkehre und Linksabbiegen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CTP-Pflichtversicherung geklärt (in Victoria automatisch, sonst separat zu wählen)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Gebrauchtwagenkauf außerhalb Victoria/Queensland unabhängige Inspektion eingeplant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Mindestens zwei bis drei Versicherungsangebote mit identischer Deckung eingeholt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Ausweis und Führerschein für Random-Breath-Test-Kontrollen griffbereit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Handy-Regeln des Bundesstaats gekannt und Halterung fürs Fahrzeug besorgt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Eigenen Demerit-Punktestand und dessen Schwelle im Zielbundesstaat notiert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Outback-Fahrten mit Pausen, Wasser und möglichst viel Tageslicht 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Umzug zwischen Bundesstaaten neue Umtauschfrist ab Wohnsitzwechsel geprüft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Verkehrsbehörden der Bundesstaaten — Führerschein-Umtausch, Fristen: </w:t>
      </w:r>
      <w:hyperlink r:id="rId479">
        <w:r>
          <w:rPr>
            <w:rStyle w:val="ListLabel113"/>
            <w:rFonts w:eastAsia="Cambria" w:cs="Cambria"/>
            <w:b w:val="false"/>
            <w:bCs w:val="false"/>
            <w:i w:val="false"/>
            <w:iCs w:val="false"/>
            <w:color w:val="0563C1"/>
            <w:sz w:val="22"/>
            <w:szCs w:val="22"/>
            <w:u w:val="single"/>
          </w:rPr>
          <w:t>transport.vic.gov.au</w:t>
        </w:r>
      </w:hyperlink>
      <w:r>
        <w:rPr>
          <w:rFonts w:eastAsia="Cambria" w:cs="Cambria"/>
          <w:b w:val="false"/>
          <w:bCs w:val="false"/>
          <w:i w:val="false"/>
          <w:iCs w:val="false"/>
          <w:sz w:val="22"/>
          <w:szCs w:val="22"/>
        </w:rPr>
        <w:t xml:space="preserve">, </w:t>
      </w:r>
      <w:hyperlink r:id="rId480">
        <w:r>
          <w:rPr>
            <w:rStyle w:val="ListLabel113"/>
            <w:rFonts w:eastAsia="Cambria" w:cs="Cambria"/>
            <w:b w:val="false"/>
            <w:bCs w:val="false"/>
            <w:i w:val="false"/>
            <w:iCs w:val="false"/>
            <w:color w:val="0563C1"/>
            <w:sz w:val="22"/>
            <w:szCs w:val="22"/>
            <w:u w:val="single"/>
          </w:rPr>
          <w:t>service.nsw.gov.au</w:t>
        </w:r>
      </w:hyperlink>
      <w:r>
        <w:rPr>
          <w:rFonts w:eastAsia="Cambria" w:cs="Cambria"/>
          <w:b w:val="false"/>
          <w:bCs w:val="false"/>
          <w:i w:val="false"/>
          <w:iCs w:val="false"/>
          <w:sz w:val="22"/>
          <w:szCs w:val="22"/>
        </w:rPr>
        <w:t xml:space="preserve">, </w:t>
      </w:r>
      <w:hyperlink r:id="rId481">
        <w:r>
          <w:rPr>
            <w:rStyle w:val="ListLabel113"/>
            <w:rFonts w:eastAsia="Cambria" w:cs="Cambria"/>
            <w:b w:val="false"/>
            <w:bCs w:val="false"/>
            <w:i w:val="false"/>
            <w:iCs w:val="false"/>
            <w:color w:val="0563C1"/>
            <w:sz w:val="22"/>
            <w:szCs w:val="22"/>
            <w:u w:val="single"/>
          </w:rPr>
          <w:t>tmr.qld.gov.au</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Deutsche Vertretungen in Australien — Führerschein, IDP: </w:t>
      </w:r>
      <w:hyperlink r:id="rId482">
        <w:r>
          <w:rPr>
            <w:rStyle w:val="ListLabel113"/>
            <w:rFonts w:eastAsia="Cambria" w:cs="Cambria"/>
            <w:b w:val="false"/>
            <w:bCs w:val="false"/>
            <w:i w:val="false"/>
            <w:iCs w:val="false"/>
            <w:color w:val="0563C1"/>
            <w:sz w:val="22"/>
            <w:szCs w:val="22"/>
            <w:u w:val="single"/>
          </w:rPr>
          <w:t>australien.diplo.de</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Austroads — Tempolimits, Verkehrsregeln im Ländervergleich: </w:t>
      </w:r>
      <w:hyperlink r:id="rId483">
        <w:r>
          <w:rPr>
            <w:rStyle w:val="ListLabel113"/>
            <w:rFonts w:eastAsia="Cambria" w:cs="Cambria"/>
            <w:b w:val="false"/>
            <w:bCs w:val="false"/>
            <w:i w:val="false"/>
            <w:iCs w:val="false"/>
            <w:color w:val="0563C1"/>
            <w:sz w:val="22"/>
            <w:szCs w:val="22"/>
            <w:u w:val="single"/>
          </w:rPr>
          <w:t>austroads.gov.au</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New South Wales Police / Bundesstaats-Polizeibehörden — Random Breath Testing: </w:t>
      </w:r>
      <w:hyperlink r:id="rId484">
        <w:r>
          <w:rPr>
            <w:rStyle w:val="ListLabel113"/>
            <w:rFonts w:eastAsia="Cambria" w:cs="Cambria"/>
            <w:b w:val="false"/>
            <w:bCs w:val="false"/>
            <w:i w:val="false"/>
            <w:iCs w:val="false"/>
            <w:color w:val="0563C1"/>
            <w:sz w:val="22"/>
            <w:szCs w:val="22"/>
            <w:u w:val="single"/>
          </w:rPr>
          <w:t>nsw.gov.au</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Kangaroo Management Taskforce, CSIRO — Wildtierunfälle im Outback: </w:t>
      </w:r>
      <w:hyperlink r:id="rId485">
        <w:r>
          <w:rPr>
            <w:rStyle w:val="ListLabel113"/>
            <w:rFonts w:eastAsia="Cambria" w:cs="Cambria"/>
            <w:b w:val="false"/>
            <w:bCs w:val="false"/>
            <w:i w:val="false"/>
            <w:iCs w:val="false"/>
            <w:color w:val="0563C1"/>
            <w:sz w:val="22"/>
            <w:szCs w:val="22"/>
            <w:u w:val="single"/>
          </w:rPr>
          <w:t>kangaroomanagementtaskforce.com.au</w:t>
        </w:r>
      </w:hyperlink>
      <w:r>
        <w:rPr>
          <w:rFonts w:eastAsia="Cambria" w:cs="Cambria"/>
          <w:b w:val="false"/>
          <w:bCs w:val="false"/>
          <w:i w:val="false"/>
          <w:iCs w:val="false"/>
          <w:sz w:val="22"/>
          <w:szCs w:val="22"/>
        </w:rPr>
        <w:t xml:space="preserve">, </w:t>
      </w:r>
      <w:hyperlink r:id="rId486">
        <w:r>
          <w:rPr>
            <w:rStyle w:val="ListLabel113"/>
            <w:rFonts w:eastAsia="Cambria" w:cs="Cambria"/>
            <w:b w:val="false"/>
            <w:bCs w:val="false"/>
            <w:i w:val="false"/>
            <w:iCs w:val="false"/>
            <w:color w:val="0563C1"/>
            <w:sz w:val="22"/>
            <w:szCs w:val="22"/>
            <w:u w:val="single"/>
          </w:rPr>
          <w:t>csiro.au</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Motorclubs — Praxisratgeber für Neuankömmlinge: </w:t>
      </w:r>
      <w:hyperlink r:id="rId487">
        <w:r>
          <w:rPr>
            <w:rStyle w:val="ListLabel113"/>
            <w:rFonts w:eastAsia="Cambria" w:cs="Cambria"/>
            <w:b w:val="false"/>
            <w:bCs w:val="false"/>
            <w:i w:val="false"/>
            <w:iCs w:val="false"/>
            <w:color w:val="0563C1"/>
            <w:sz w:val="22"/>
            <w:szCs w:val="22"/>
            <w:u w:val="single"/>
          </w:rPr>
          <w:t>nrma.com.au</w:t>
        </w:r>
      </w:hyperlink>
      <w:r>
        <w:rPr>
          <w:rFonts w:eastAsia="Cambria" w:cs="Cambria"/>
          <w:b w:val="false"/>
          <w:bCs w:val="false"/>
          <w:i w:val="false"/>
          <w:iCs w:val="false"/>
          <w:sz w:val="22"/>
          <w:szCs w:val="22"/>
        </w:rPr>
        <w:t xml:space="preserve">, </w:t>
      </w:r>
      <w:hyperlink r:id="rId488">
        <w:r>
          <w:rPr>
            <w:rStyle w:val="ListLabel113"/>
            <w:rFonts w:eastAsia="Cambria" w:cs="Cambria"/>
            <w:b w:val="false"/>
            <w:bCs w:val="false"/>
            <w:i w:val="false"/>
            <w:iCs w:val="false"/>
            <w:color w:val="0563C1"/>
            <w:sz w:val="22"/>
            <w:szCs w:val="22"/>
            <w:u w:val="single"/>
          </w:rPr>
          <w:t>racv.com.au</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Schnell ändern sich: Führerschein-Umtauschfristen und -listen je Bundesstaat, Bußgelder und Demerit-Punkte-Schwellen, Tempolimits (v. a. am Stuart Highway im Northern Territory) und die Sichtbarkeits-Regeln für Mobile Speed Cameras. Prüfe vor jeder Entscheidung die Seite der Verkehrsbehörde deines Zielbundesstaats.</w:t>
            </w:r>
          </w:p>
        </w:tc>
      </w:tr>
    </w:tbl>
    <w:p>
      <w:pPr>
        <w:pStyle w:val="Normal"/>
        <w:spacing w:lineRule="exact" w:line="220" w:before="0" w:after="0"/>
        <w:rPr/>
      </w:pPr>
      <w:r>
        <w:rPr/>
      </w:r>
      <w:r>
        <w:br w:type="page"/>
      </w:r>
    </w:p>
    <w:p>
      <w:pPr>
        <w:pStyle w:val="Heading2"/>
        <w:keepNext w:val="true"/>
        <w:spacing w:before="0" w:after="300"/>
        <w:jc w:val="center"/>
        <w:rPr/>
      </w:pPr>
      <w:bookmarkStart w:id="124" w:name="__RefHeading___Toc56553_3769931028"/>
      <w:bookmarkStart w:id="125" w:name="tau11"/>
      <w:bookmarkEnd w:id="124"/>
      <w:r>
        <w:rPr>
          <w:rFonts w:eastAsia="Amazon Ember" w:cs="Amazon Ember" w:ascii="Amazon Ember" w:hAnsi="Amazon Ember"/>
          <w:b/>
          <w:bCs/>
          <w:color w:val="0000FF"/>
          <w:sz w:val="36"/>
          <w:szCs w:val="36"/>
        </w:rPr>
        <w:t>Australien: Alltagskultur und Umgangsformen</w:t>
      </w:r>
      <w:bookmarkEnd w:id="125"/>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Nachbar über den Gartenzaun ruft dir ein fröhliches „G’day, mate!“ zu, obwohl ihr euch noch nie richtig vorgestellt habt. Du überlegst kurz, ob „mate“ jetzt bedeutet, dass ihr befreundet seid, befreundet werden solltet, oder ob es schlicht das australische Äquivalent zum deutschen Kopfnicken im Treppenhaus ist. Die ehrliche Antwort: ein bisschen von allem – und genau das macht die australischen Umgangsformen für Deutsche anfangs schwerer einzuordnen, als sie tatsächlich sind. Nicht weil sie kompliziert wären, sondern weil sie so beiläufig daherkommen, dass man sie leicht unterschätzt.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Australische Umgangsformen sind betont informell: Vornamen statt Titel, „mate“ für fast jeden, flache Hierarchien selbst gegenüber Fremden und Vorgesetzten.</w:t>
            </w:r>
          </w:p>
          <w:p>
            <w:pPr>
              <w:pStyle w:val="ListParagraph"/>
              <w:numPr>
                <w:ilvl w:val="0"/>
                <w:numId w:val="1"/>
              </w:numPr>
              <w:spacing w:lineRule="exact" w:line="264" w:before="0" w:after="50"/>
              <w:rPr/>
            </w:pPr>
            <w:r>
              <w:rPr>
                <w:rFonts w:eastAsia="Cambria" w:cs="Cambria"/>
                <w:b w:val="false"/>
                <w:bCs w:val="false"/>
                <w:i w:val="false"/>
                <w:iCs w:val="false"/>
                <w:sz w:val="20"/>
                <w:szCs w:val="20"/>
              </w:rPr>
              <w:t>Direktheit gilt schnell als unhöflich; Konflikte werden eher umschifft oder mit Humor entschärft – deutsche Sachlichkeit kommt hier oft härter an, als sie gemeint ist.</w:t>
            </w:r>
          </w:p>
          <w:p>
            <w:pPr>
              <w:pStyle w:val="ListParagraph"/>
              <w:numPr>
                <w:ilvl w:val="0"/>
                <w:numId w:val="1"/>
              </w:numPr>
              <w:spacing w:lineRule="exact" w:line="264" w:before="0" w:after="50"/>
              <w:rPr/>
            </w:pPr>
            <w:r>
              <w:rPr>
                <w:rFonts w:eastAsia="Cambria" w:cs="Cambria"/>
                <w:b w:val="false"/>
                <w:bCs w:val="false"/>
                <w:i w:val="false"/>
                <w:iCs w:val="false"/>
                <w:sz w:val="20"/>
                <w:szCs w:val="20"/>
              </w:rPr>
              <w:t>„</w:t>
            </w:r>
            <w:r>
              <w:rPr>
                <w:rFonts w:eastAsia="Cambria" w:cs="Cambria"/>
                <w:b w:val="false"/>
                <w:bCs w:val="false"/>
                <w:i w:val="false"/>
                <w:iCs w:val="false"/>
                <w:sz w:val="20"/>
                <w:szCs w:val="20"/>
              </w:rPr>
              <w:t>No worries“ und „She’ll be right“ sind mehr als Floskeln – sie beschreiben eine Grundhaltung, über die du dich erst wunderst und die du dann zu schätzen lernst.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Einladungen sind locker, aber nicht beliebig: </w:t>
            </w:r>
            <w:r>
              <w:rPr>
                <w:rFonts w:eastAsia="Cambria" w:cs="Cambria"/>
                <w:b w:val="false"/>
                <w:bCs w:val="false"/>
                <w:i/>
                <w:iCs/>
                <w:sz w:val="20"/>
                <w:szCs w:val="20"/>
              </w:rPr>
              <w:t>BYO</w:t>
            </w:r>
            <w:r>
              <w:rPr>
                <w:rFonts w:eastAsia="Cambria" w:cs="Cambria"/>
                <w:b w:val="false"/>
                <w:bCs w:val="false"/>
                <w:i w:val="false"/>
                <w:iCs w:val="false"/>
                <w:sz w:val="20"/>
                <w:szCs w:val="20"/>
              </w:rPr>
              <w:t xml:space="preserve"> (</w:t>
            </w:r>
            <w:r>
              <w:rPr>
                <w:rFonts w:eastAsia="Cambria" w:cs="Cambria"/>
                <w:b w:val="false"/>
                <w:bCs w:val="false"/>
                <w:i/>
                <w:iCs/>
                <w:sz w:val="20"/>
                <w:szCs w:val="20"/>
              </w:rPr>
              <w:t>Bring Your Own</w:t>
            </w:r>
            <w:r>
              <w:rPr>
                <w:rFonts w:eastAsia="Cambria" w:cs="Cambria"/>
                <w:b w:val="false"/>
                <w:bCs w:val="false"/>
                <w:i w:val="false"/>
                <w:iCs w:val="false"/>
                <w:sz w:val="20"/>
                <w:szCs w:val="20"/>
              </w:rPr>
              <w:t>, eigene Getränke mitbringen) ist beim Barbecue die Regel, „We should catch up sometime“ dagegen selten wörtlich gemeint.</w:t>
            </w:r>
          </w:p>
          <w:p>
            <w:pPr>
              <w:pStyle w:val="ListParagraph"/>
              <w:numPr>
                <w:ilvl w:val="0"/>
                <w:numId w:val="1"/>
              </w:numPr>
              <w:spacing w:lineRule="exact" w:line="264" w:before="0" w:after="50"/>
              <w:rPr/>
            </w:pPr>
            <w:r>
              <w:rPr>
                <w:rFonts w:eastAsia="Cambria" w:cs="Cambria"/>
                <w:b w:val="false"/>
                <w:bCs w:val="false"/>
                <w:i w:val="false"/>
                <w:iCs w:val="false"/>
                <w:sz w:val="20"/>
                <w:szCs w:val="20"/>
              </w:rPr>
              <w:t>Small Talk läuft über Wetter, Sport und Wochenende, so gut wie nie über Gehalt, Herkunftsdetails oder ernste Themen beim ersten Treffen.</w:t>
            </w:r>
          </w:p>
          <w:p>
            <w:pPr>
              <w:pStyle w:val="ListParagraph"/>
              <w:numPr>
                <w:ilvl w:val="0"/>
                <w:numId w:val="1"/>
              </w:numPr>
              <w:spacing w:lineRule="exact" w:line="264" w:before="0" w:after="50"/>
              <w:rPr/>
            </w:pPr>
            <w:r>
              <w:rPr>
                <w:rFonts w:eastAsia="Cambria" w:cs="Cambria"/>
                <w:b w:val="false"/>
                <w:bCs w:val="false"/>
                <w:i w:val="false"/>
                <w:iCs w:val="false"/>
                <w:sz w:val="20"/>
                <w:szCs w:val="20"/>
              </w:rPr>
              <w:t>Die Entfernung zu Deutschland ist mehr als eine Zahl auf der Landkarte: Ohne Direktflug und mit über 20 Stunden Reisezeit liegt Australien gefühlt weiter weg als jedes andere Land in diesem Buch.</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t>
      </w:r>
      <w:r>
        <w:rPr>
          <w:rFonts w:eastAsia="Amazon Ember" w:cs="Amazon Ember" w:ascii="Amazon Ember" w:hAnsi="Amazon Ember"/>
          <w:b/>
          <w:bCs/>
          <w:color w:val="0000FF"/>
          <w:sz w:val="36"/>
          <w:szCs w:val="36"/>
        </w:rPr>
        <w:t>Mate“ und die flache Hierarchie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Wort „mate“ hörst du in Australien gegenüber Fremden, Kollegen, der Verkäuferin an der Supermarktkasse und, glaubt man den einschlägigen Beobachtungen, gelegentlich auch gegenüber Hunden. Es signalisiert Zugänglichkeit und Freundlichkeit, nicht zwangsläufig Nähe. Vornamen sind die Regel, auch gegenüber Vorgesetzten; formelle Hierarchien und Titel spielen im Alltag eine spürbar kleinere Rolle als in Deutschland – mehr zur Arbeitswelt im Speziellen steht im </w:t>
      </w:r>
      <w:hyperlink w:anchor="tau14">
        <w:r>
          <w:rPr>
            <w:rStyle w:val="ListLabel113"/>
            <w:rFonts w:eastAsia="Cambria" w:cs="Cambria"/>
            <w:b w:val="false"/>
            <w:bCs w:val="false"/>
            <w:i w:val="false"/>
            <w:iCs w:val="false"/>
            <w:color w:val="0563C1"/>
            <w:sz w:val="22"/>
            <w:szCs w:val="22"/>
            <w:u w:val="single"/>
          </w:rPr>
          <w:t>Kapitel zur Arbeitswelt</w:t>
        </w:r>
      </w:hyperlink>
      <w:r>
        <w:rPr>
          <w:rFonts w:eastAsia="Cambria" w:cs="Cambria"/>
          <w:b w:val="false"/>
          <w:bCs w:val="false"/>
          <w:i w:val="false"/>
          <w:iCs w:val="false"/>
          <w:sz w:val="22"/>
          <w:szCs w:val="22"/>
        </w:rPr>
        <w:t>, hier geht es um den Alltag außerhalb des Büros.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aus Deutschland kommt, wo der Titel auf der Visitenkarte fast so wichtig wirkt wie der Name selbst, empfindet die erste Begegnung mit einer Geschäftsführerin, die sich schlicht als „Sam“ vorstellt, als kleinen Kulturschock. Der zweite folgt, wenn klar wird, dass Sam das genauso meint, wie sie es sagt: Auch akademische und berufliche Titel treten im Alltag schnell hinter den Vornamen zurück, selbst wenn sie im beruflichen Kontext weiterhin genannt werden. Diese Informalität ist kein Zeichen von Respektlosigkeit, sondern Ausdruck des sogenannten </w:t>
      </w:r>
      <w:r>
        <w:rPr>
          <w:rFonts w:eastAsia="Cambria" w:cs="Cambria"/>
          <w:b w:val="false"/>
          <w:bCs w:val="false"/>
          <w:i/>
          <w:iCs/>
          <w:sz w:val="22"/>
          <w:szCs w:val="22"/>
        </w:rPr>
        <w:t>„Mateship“</w:t>
      </w:r>
      <w:r>
        <w:rPr>
          <w:rFonts w:eastAsia="Cambria" w:cs="Cambria"/>
          <w:b w:val="false"/>
          <w:bCs w:val="false"/>
          <w:i w:val="false"/>
          <w:iCs w:val="false"/>
          <w:sz w:val="22"/>
          <w:szCs w:val="22"/>
        </w:rPr>
        <w:t xml:space="preserve"> – eines Ideals von Gleichheit und gegenseitiger Unterstützung, das sich durch die australische Alltagskultur zieht wie ein roter Faden, der nirgends offiziell verlegt wurde, aber überall gegenwärtig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dazugehörige Begrüßung lautet meist „How ya going?“ oder „G’day“ – beides eher ein Gruß als eine echte Frage nach dem Befinden, ganz ähnlich wie das amerikanische „How are you?“, nur eine Idee lässiger im Ton. Eine kurze, positive Antwort reicht, eine ausführliche Schilderung des eigenen Tages wirkt an der Supermarktkasse eher deplatziert als sympathisch.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t>
            </w:r>
            <w:r>
              <w:rPr>
                <w:rFonts w:eastAsia="Cambria" w:cs="Cambria"/>
                <w:b w:val="false"/>
                <w:bCs w:val="false"/>
                <w:i w:val="false"/>
                <w:iCs w:val="false"/>
                <w:sz w:val="20"/>
                <w:szCs w:val="20"/>
              </w:rPr>
              <w:t xml:space="preserve">Mate“ zu sein heißt nicht, Freund zu sein. Die Informalität gilt für so gut wie jede Begegnung, unabhängig davon, ob daraus etwas Tieferes wird. Verwechsle die entspannte Anrede nicht mit echter Nähe – wie du aus Bekanntschaften tatsächliche Freundschaften machst, steht im </w:t>
            </w:r>
            <w:hyperlink w:anchor="tau12">
              <w:r>
                <w:rPr>
                  <w:rStyle w:val="ListLabel116"/>
                  <w:rFonts w:eastAsia="Cambria" w:cs="Cambria"/>
                  <w:b w:val="false"/>
                  <w:bCs w:val="false"/>
                  <w:i w:val="false"/>
                  <w:iCs w:val="false"/>
                  <w:color w:val="0563C1"/>
                  <w:sz w:val="20"/>
                  <w:szCs w:val="20"/>
                  <w:u w:val="single"/>
                </w:rPr>
                <w:t>Kapitel zum Freundefinden</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Small Talk: Wetter, Sport, Wochenende – nie Gehalt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Small Talk erfüllt in Australien eine andere Funktion als in Deutschland. Wo ein direkter Einstieg ins eigentliche Thema hierzulande nicht als unhöflich gilt, baut Small Talk in Australien erst das Vertrauen auf, auf dem alles Weitere ruht. Wetter, Sport (vor allem, welches Team du unterstützt oder eben nicht), Wochenendpläne und Urlaubsziele sind das übliche Repertoire; Gehalt, Miethöhe, Herkunftsdetails über die Nationalität hinaus und Politik bleiben bei ersten Begegnungen außen vor.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Viele Deutsche halten Small Talk für bloße Zeitverschwendung vor dem eigentlichen Anliegen. Tatsächlich ist er in Australien selbst das Anliegen: Wer zu schnell zur Sache kommt, wirkt reserviert, manchmal sogar arrogant. Ein paar Sätze über das Wetter oder das vergangene Wochenende sind keine Nebensache, sondern die Eintrittskarte für alles, was danach kommt – auch im Geschäftlichen.</w:t>
      </w:r>
    </w:p>
    <w:tbl>
      <w:tblPr>
        <w:tblW w:w="6480" w:type="dxa"/>
        <w:jc w:val="left"/>
        <w:tblInd w:w="0" w:type="dxa"/>
        <w:tblLayout w:type="fixed"/>
        <w:tblCellMar>
          <w:top w:w="50" w:type="dxa"/>
          <w:left w:w="80" w:type="dxa"/>
          <w:bottom w:w="50" w:type="dxa"/>
          <w:right w:w="80" w:type="dxa"/>
        </w:tblCellMar>
      </w:tblPr>
      <w:tblGrid>
        <w:gridCol w:w="1128"/>
        <w:gridCol w:w="1710"/>
        <w:gridCol w:w="1804"/>
        <w:gridCol w:w="1837"/>
      </w:tblGrid>
      <w:tr>
        <w:trPr>
          <w:tblHeader w:val="true"/>
          <w:cantSplit w:val="true"/>
        </w:trPr>
        <w:tc>
          <w:tcPr>
            <w:tcW w:w="112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Situation</w:t>
            </w:r>
          </w:p>
        </w:tc>
        <w:tc>
          <w:tcPr>
            <w:tcW w:w="171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In Deutschland</w:t>
            </w:r>
          </w:p>
        </w:tc>
        <w:tc>
          <w:tcPr>
            <w:tcW w:w="180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In Australien</w:t>
            </w:r>
          </w:p>
        </w:tc>
        <w:tc>
          <w:tcPr>
            <w:tcW w:w="183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Tipp</w:t>
            </w:r>
          </w:p>
        </w:tc>
      </w:tr>
      <w:tr>
        <w:trPr>
          <w:cantSplit w:val="true"/>
        </w:trPr>
        <w:tc>
          <w:tcPr>
            <w:tcW w:w="1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Gespräch beginnen</w:t>
            </w:r>
          </w:p>
        </w:tc>
        <w:tc>
          <w:tcPr>
            <w:tcW w:w="17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Direkt zum Thema</w:t>
            </w:r>
          </w:p>
        </w:tc>
        <w:tc>
          <w:tcPr>
            <w:tcW w:w="18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Erst Small Talk, dann zur Sache</w:t>
            </w:r>
          </w:p>
        </w:tc>
        <w:tc>
          <w:tcPr>
            <w:tcW w:w="18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bis zwei Sätze Small Talk einplanen</w:t>
            </w:r>
          </w:p>
        </w:tc>
      </w:tr>
      <w:tr>
        <w:trPr>
          <w:cantSplit w:val="true"/>
        </w:trPr>
        <w:tc>
          <w:tcPr>
            <w:tcW w:w="1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Frage nach dem Befinden</w:t>
            </w:r>
          </w:p>
        </w:tc>
        <w:tc>
          <w:tcPr>
            <w:tcW w:w="17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Ehrliche, ausführliche Antwort erwartet</w:t>
            </w:r>
          </w:p>
        </w:tc>
        <w:tc>
          <w:tcPr>
            <w:tcW w:w="18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Kurze, positive Standardantwort</w:t>
            </w:r>
          </w:p>
        </w:tc>
        <w:tc>
          <w:tcPr>
            <w:tcW w:w="18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Good thanks, and you?“ genügt</w:t>
            </w:r>
          </w:p>
        </w:tc>
      </w:tr>
      <w:tr>
        <w:trPr>
          <w:cantSplit w:val="true"/>
        </w:trPr>
        <w:tc>
          <w:tcPr>
            <w:tcW w:w="1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Themenwahl bei Fremden</w:t>
            </w:r>
          </w:p>
        </w:tc>
        <w:tc>
          <w:tcPr>
            <w:tcW w:w="17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Weiter gefasst, auch Persönliches</w:t>
            </w:r>
          </w:p>
        </w:tc>
        <w:tc>
          <w:tcPr>
            <w:tcW w:w="18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Wetter, Sport, Wochenende, Urlaub</w:t>
            </w:r>
          </w:p>
        </w:tc>
        <w:tc>
          <w:tcPr>
            <w:tcW w:w="18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Gehalt und Politik meiden</w:t>
            </w:r>
          </w:p>
        </w:tc>
      </w:tr>
      <w:tr>
        <w:trPr>
          <w:cantSplit w:val="true"/>
        </w:trPr>
        <w:tc>
          <w:tcPr>
            <w:tcW w:w="1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Direkte Kritik</w:t>
            </w:r>
          </w:p>
        </w:tc>
        <w:tc>
          <w:tcPr>
            <w:tcW w:w="17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Sachlich und offen</w:t>
            </w:r>
          </w:p>
        </w:tc>
        <w:tc>
          <w:tcPr>
            <w:tcW w:w="180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Verpackt, oft mit Humor entschärft</w:t>
            </w:r>
          </w:p>
        </w:tc>
        <w:tc>
          <w:tcPr>
            <w:tcW w:w="18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Erst loben, dann vorsichtig einwenden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Sprache im Alltag: Abkürzungen und der eigene Wortschatz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Australisches Englisch verkürzt mit Vorliebe fast jedes Wort und hängt ein „-o“ oder „-ie“ an: Aus </w:t>
      </w:r>
      <w:r>
        <w:rPr>
          <w:rFonts w:eastAsia="Cambria" w:cs="Cambria"/>
          <w:b w:val="false"/>
          <w:bCs w:val="false"/>
          <w:i/>
          <w:iCs/>
          <w:sz w:val="22"/>
          <w:szCs w:val="22"/>
        </w:rPr>
        <w:t>afternoon</w:t>
      </w:r>
      <w:r>
        <w:rPr>
          <w:rFonts w:eastAsia="Cambria" w:cs="Cambria"/>
          <w:b w:val="false"/>
          <w:bCs w:val="false"/>
          <w:i w:val="false"/>
          <w:iCs w:val="false"/>
          <w:sz w:val="22"/>
          <w:szCs w:val="22"/>
        </w:rPr>
        <w:t xml:space="preserve"> (Nachmittag) wird „arvo“, aus </w:t>
      </w:r>
      <w:r>
        <w:rPr>
          <w:rFonts w:eastAsia="Cambria" w:cs="Cambria"/>
          <w:b w:val="false"/>
          <w:bCs w:val="false"/>
          <w:i/>
          <w:iCs/>
          <w:sz w:val="22"/>
          <w:szCs w:val="22"/>
        </w:rPr>
        <w:t>service station</w:t>
      </w:r>
      <w:r>
        <w:rPr>
          <w:rFonts w:eastAsia="Cambria" w:cs="Cambria"/>
          <w:b w:val="false"/>
          <w:bCs w:val="false"/>
          <w:i w:val="false"/>
          <w:iCs w:val="false"/>
          <w:sz w:val="22"/>
          <w:szCs w:val="22"/>
        </w:rPr>
        <w:t xml:space="preserve"> (Tankstelle) „servo“, aus </w:t>
      </w:r>
      <w:r>
        <w:rPr>
          <w:rFonts w:eastAsia="Cambria" w:cs="Cambria"/>
          <w:b w:val="false"/>
          <w:bCs w:val="false"/>
          <w:i/>
          <w:iCs/>
          <w:sz w:val="22"/>
          <w:szCs w:val="22"/>
        </w:rPr>
        <w:t>breakfast</w:t>
      </w:r>
      <w:r>
        <w:rPr>
          <w:rFonts w:eastAsia="Cambria" w:cs="Cambria"/>
          <w:b w:val="false"/>
          <w:bCs w:val="false"/>
          <w:i w:val="false"/>
          <w:iCs w:val="false"/>
          <w:sz w:val="22"/>
          <w:szCs w:val="22"/>
        </w:rPr>
        <w:t xml:space="preserve"> „brekkie“, aus </w:t>
      </w:r>
      <w:r>
        <w:rPr>
          <w:rFonts w:eastAsia="Cambria" w:cs="Cambria"/>
          <w:b w:val="false"/>
          <w:bCs w:val="false"/>
          <w:i/>
          <w:iCs/>
          <w:sz w:val="22"/>
          <w:szCs w:val="22"/>
        </w:rPr>
        <w:t>mosquito</w:t>
      </w:r>
      <w:r>
        <w:rPr>
          <w:rFonts w:eastAsia="Cambria" w:cs="Cambria"/>
          <w:b w:val="false"/>
          <w:bCs w:val="false"/>
          <w:i w:val="false"/>
          <w:iCs w:val="false"/>
          <w:sz w:val="22"/>
          <w:szCs w:val="22"/>
        </w:rPr>
        <w:t xml:space="preserve"> „mozzie“, aus </w:t>
      </w:r>
      <w:r>
        <w:rPr>
          <w:rFonts w:eastAsia="Cambria" w:cs="Cambria"/>
          <w:b w:val="false"/>
          <w:bCs w:val="false"/>
          <w:i/>
          <w:iCs/>
          <w:sz w:val="22"/>
          <w:szCs w:val="22"/>
        </w:rPr>
        <w:t>McDonald’s</w:t>
      </w:r>
      <w:r>
        <w:rPr>
          <w:rFonts w:eastAsia="Cambria" w:cs="Cambria"/>
          <w:b w:val="false"/>
          <w:bCs w:val="false"/>
          <w:i w:val="false"/>
          <w:iCs w:val="false"/>
          <w:sz w:val="22"/>
          <w:szCs w:val="22"/>
        </w:rPr>
        <w:t xml:space="preserve"> schlicht „Maccas“. Ein </w:t>
      </w:r>
      <w:r>
        <w:rPr>
          <w:rFonts w:eastAsia="Cambria" w:cs="Cambria"/>
          <w:b w:val="false"/>
          <w:bCs w:val="false"/>
          <w:i/>
          <w:iCs/>
          <w:sz w:val="22"/>
          <w:szCs w:val="22"/>
        </w:rPr>
        <w:t>ute</w:t>
      </w:r>
      <w:r>
        <w:rPr>
          <w:rFonts w:eastAsia="Cambria" w:cs="Cambria"/>
          <w:b w:val="false"/>
          <w:bCs w:val="false"/>
          <w:i w:val="false"/>
          <w:iCs w:val="false"/>
          <w:sz w:val="22"/>
          <w:szCs w:val="22"/>
        </w:rPr>
        <w:t xml:space="preserve"> (von </w:t>
      </w:r>
      <w:r>
        <w:rPr>
          <w:rFonts w:eastAsia="Cambria" w:cs="Cambria"/>
          <w:b w:val="false"/>
          <w:bCs w:val="false"/>
          <w:i/>
          <w:iCs/>
          <w:sz w:val="22"/>
          <w:szCs w:val="22"/>
        </w:rPr>
        <w:t>utility vehicle</w:t>
      </w:r>
      <w:r>
        <w:rPr>
          <w:rFonts w:eastAsia="Cambria" w:cs="Cambria"/>
          <w:b w:val="false"/>
          <w:bCs w:val="false"/>
          <w:i w:val="false"/>
          <w:iCs w:val="false"/>
          <w:sz w:val="22"/>
          <w:szCs w:val="22"/>
        </w:rPr>
        <w:t xml:space="preserve">) ist ein Pick-up, eine </w:t>
      </w:r>
      <w:r>
        <w:rPr>
          <w:rFonts w:eastAsia="Cambria" w:cs="Cambria"/>
          <w:b w:val="false"/>
          <w:bCs w:val="false"/>
          <w:i/>
          <w:iCs/>
          <w:sz w:val="22"/>
          <w:szCs w:val="22"/>
        </w:rPr>
        <w:t>esky</w:t>
      </w:r>
      <w:r>
        <w:rPr>
          <w:rFonts w:eastAsia="Cambria" w:cs="Cambria"/>
          <w:b w:val="false"/>
          <w:bCs w:val="false"/>
          <w:i w:val="false"/>
          <w:iCs w:val="false"/>
          <w:sz w:val="22"/>
          <w:szCs w:val="22"/>
        </w:rPr>
        <w:t xml:space="preserve"> eine Kühlbox für den Ausflug an den Strand oder zum Barbecue – der ursprüngliche Markenname eines einzelnen Herstellers ist längst zum Gattungsbegriff für jede Kühlbox geworden, ganz ähnlich wie „Tempo“ in Deutschland für Taschentücher. Wer diese Abkürzungen kennt, versteht Alltagsgespräche leichter; wer sie selbst zu forciert verwendet, bevor sie einem in Fleisch und Blut übergegangen sind, klingt schnell bemüht statt entspannt.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paar dieser Abkürzungen vorab zu lernen, kostet nichts und erspart dir in den ersten Wochen etliche kurze Verständnispausen im Gespräch – die Verkäuferin an der „servo“-Kasse schaltet nicht extra auf Hochenglisch um, nur weil du gerade erst angekommen bist.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Australisches Englisch vor der Abreise trainieren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Schulenglisch ist meist britisch geprägt; der australische Alltagston mit seinem Slang und seiner Sprechmelodie klingt anfangs trotzdem ungewohnt. Bücher mit einfacher, dialoggetriebener Prosa helfen mehr als Grammatikhefte: Thriller von Stephen King, John Grisham oder Lee Child lesen sich schnell und bauen Wortschatz nebenbei auf; für den australischen Alltagston eignet sich zusätzlich Liane Moriarty (etwa „Big Little Lies“), die in typisch australischer Vorstadt-Kulisse spielt. Auf YouTube zeigt die „Accent Expert“-Reihe von WIRED (Dialektcoach Erik Singer, Kanal youtube.com/@wired, Suchbegriff „Accent Expert“) anschaulich, woran du australisches, amerikanisches und britisches Englisch unterscheidest.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Filme und Serien im Originalton schulen das Ohr am besten: „The Castle“ (australischer Kult-Klassiker voller Alltagsslang) und die Netflix-Serie „Heartbreak High“ (Teenager-Slang von heute) sind gute Startpunkte; die Kinderserie „Bluey“ läuft auf Disney+ Deutschland mit wählbarer englischer Originaltonspur und eignet sich, mit sehr einfachem Englisch, auch für Erwachsene zum Einhören. Prüfe die aktuelle Verfügbarkeit auf JustWatch.de, da Streaming-Kataloge sich laufend ändern. Stelle Untertitel wenn möglich auf Englisch statt Deutsch, und schau dir eine Serie, die du schon auf Deutsch kennst, noch einmal im englischen Original an – die bekannte Handlung senkt die Einstiegshürde erheblich. Wer lieber strukturiert lernt: „Telekolleg Englisch“ (ARD-alpha, 51 kostenlose Lektionen in der ARD-Mediathek, ardalpha.de) ist weniger unterhaltsam, aber solide.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Nichts davon kostet extra, wenn du ohnehin ein Streaming-Abo hast oder eine Mediathek nutzt – der Umstieg auf Originalton ist reine Gewöhnungssache, kein zusätzliches Budget.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Kinder gilt eine andere, altersabhängige Auswahl – Serien, Bücher und eine konkrete Umgewöhnungstechnik dazu stehen im </w:t>
      </w:r>
      <w:hyperlink w:anchor="tau13">
        <w:r>
          <w:rPr>
            <w:rStyle w:val="ListLabel113"/>
            <w:rFonts w:eastAsia="Cambria" w:cs="Cambria"/>
            <w:b w:val="false"/>
            <w:bCs w:val="false"/>
            <w:i w:val="false"/>
            <w:iCs w:val="false"/>
            <w:color w:val="0563C1"/>
            <w:sz w:val="22"/>
            <w:szCs w:val="22"/>
            <w:u w:val="single"/>
          </w:rPr>
          <w:t>Kapitel zu Kindern, Schule und Sprache</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w:t>
      </w:r>
      <w:r>
        <w:rPr>
          <w:rFonts w:eastAsia="Amazon Ember" w:cs="Amazon Ember" w:ascii="Amazon Ember" w:hAnsi="Amazon Ember"/>
          <w:b/>
          <w:bCs/>
          <w:color w:val="0000FF"/>
          <w:sz w:val="36"/>
          <w:szCs w:val="36"/>
        </w:rPr>
        <w:t>No worries“, Understatement und der eigene Humor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t>
      </w:r>
      <w:r>
        <w:rPr>
          <w:rFonts w:eastAsia="Cambria" w:cs="Cambria"/>
          <w:b w:val="false"/>
          <w:bCs w:val="false"/>
          <w:i w:val="false"/>
          <w:iCs w:val="false"/>
          <w:sz w:val="22"/>
          <w:szCs w:val="22"/>
        </w:rPr>
        <w:t>No worries“ und „She’ll be right“ (sinngemäß: „Das wird schon wieder“) sind in Australien weniger Redewendung als Lebensphilosophie. Probleme werden selten dramatisiert, selbst dann nicht, wenn sie es objektiv wären – ein Understatement, das britische Wurzeln verrät und sich wie ein feines Gegengewicht zur deutschen Neigung anfühlt, jede Herausforderung erst einmal in ihrer vollen Tragweite zu benennen. Ein verstauchter Knöchel wird zu „a bit of a rough trot“ heruntergespielt, eine ausgefallene Klimaanlage bei 38 Grad zu „not ideal“. Wer aus Deutschland kommt und beim ersten Mal glaubt, es handle sich tatsächlich nur um eine Kleinigkeit, lernt schnell, genauer hinzuhören, was hinter der beiläufigen Formulierung steckt.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 dieser Grundhaltung gehört auch der Humor: viel Selbstironie, viel liebevolles Necken untereinander (auf Englisch manchmal „to have a go at someone“ genannt), das unter Freunden als Zuneigungsbeweis gilt, für Außenstehende aber zunächst schwer von echter Kritik zu unterscheiden ist. Die Grenze verläuft dort, wo aus dem Necken echte Häme wird – dann hört der Spaß auch für Australier auf. Ein weiteres, oft beschriebenes Muster ist eine Zurückhaltung gegenüber demonstrativem Erfolg: Wer zu offensichtlich mit Leistung oder Besitz prahlt, wird gern eine Nummer kleiner gemacht – eine Neigung zur Bescheidenheit, die dem deutschen Understatement gar nicht so fremd ist, nur mit mehr Humor verpackt.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Understatement ist kein Zeichen dafür, dass ein Problem klein ist, sondern dafür, wie Australier über Probleme sprechen. Nimm „not too bad“ nicht automatisch wörtlich, sondern frage im Zweifel freundlich nach.</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Diese Gelassenheit zeigt sich auch im Umgang mit den klimatischen Risiken des Landes. Die Buschfeuersaison, meist von Spätfrühling bis Ende Sommer, ist ein reales, medial präsentes Thema – das Extremereignis „Black Summer“ 2019/2020 mit rund 19 bis 24 Millionen Hektar verbrannter Fläche, über 3.000 zerstörten Häusern und mindestens 33 Todesopfern bleibt vielen im Gedächtnis. Trotzdem wird im Alltag selten mit spürbarer Alarmstimmung darüber gesprochen; ein gepackter Notfallrucksack und ein bekannter Fluchtweg gehören in gefährdeten Regionen für viele Haushalte einfach zur Grundausstattung, ohne dass ständig laut darüber geredet würde. Verwechsle diese Gelassenheit aber nicht mit Sorglosigkeit: Informiere dich über das Risiko deiner Region und nimm offizielle Warnungen ernst, auch wenn der Nachbar dabei bemerkenswert entspannt wirkt.</w:t>
      </w:r>
    </w:p>
    <w:p>
      <w:pPr>
        <w:pStyle w:val="Heading3"/>
        <w:keepNext w:val="true"/>
        <w:spacing w:before="280" w:after="100"/>
        <w:jc w:val="center"/>
        <w:rPr/>
      </w:pPr>
      <w:r>
        <w:rPr>
          <w:rFonts w:eastAsia="Amazon Ember" w:cs="Amazon Ember" w:ascii="Amazon Ember" w:hAnsi="Amazon Ember"/>
          <w:b/>
          <w:bCs/>
          <w:color w:val="0000FF"/>
          <w:sz w:val="36"/>
          <w:szCs w:val="36"/>
        </w:rPr>
        <w:t>Kleidungsstil und die entspannte Bürokratie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Formelle Kleidung ist im australischen Alltag eher die Ausnahme als die Regel. In vielen Büros gilt „business casual“ auch dort, wo in Deutschland ein Anzug erwartet würde, und Flip-Flops – in Australien „thongs“ genannt, ein Wort, das anderswo etwas ganz anderes bedeutet und für manche Verwechslung sorgt – sind selbst beim Einkaufen oder auf dem Weg zur Bank ein völlig normaler Anblick. Wer sich für den ersten Behördengang bewusst „ordentlich“ anzieht, fällt eher auf, als dass es honoriert wird.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Dieselbe Gelassenheit gilt oft für Termine: Ein Handwerker mit einem angekündigten Zeitfenster von „irgendwann zwischen 9 und 13 Uhr“ ist keine Ausnahme, sondern eher die Regel, und Behördengänge dauern gefühlt einen Tick länger, als die Ankündigung vermuten ließ – beides wird mit derselben „she’ll be right“-Gelassenheit hingenommen, mit der auch sonst auf Verzögerungen reagiert wird.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Die entspannte Grundhaltung gilt für Wartezeiten und Kleidungsfragen, nicht für Fristen mit rechtlicher Bindung. Visumsauflagen, Steuertermine und Einwanderungsfristen verzeihen kein „she’ll be right“ – hier zählt der Kalender, nicht das Bauchgefühl. Mehr zu Fristen im Einwanderungsprozess im </w:t>
            </w:r>
            <w:hyperlink w:anchor="tau05">
              <w:r>
                <w:rPr>
                  <w:rStyle w:val="ListLabel116"/>
                  <w:rFonts w:eastAsia="Cambria" w:cs="Cambria"/>
                  <w:b w:val="false"/>
                  <w:bCs w:val="false"/>
                  <w:i w:val="false"/>
                  <w:iCs w:val="false"/>
                  <w:color w:val="0563C1"/>
                  <w:sz w:val="20"/>
                  <w:szCs w:val="20"/>
                  <w:u w:val="single"/>
                </w:rPr>
                <w:t>Kapitel zum Antrag</w:t>
              </w:r>
            </w:hyperlink>
            <w:r>
              <w:rPr>
                <w:rFonts w:eastAsia="Cambria" w:cs="Cambria"/>
                <w:b w:val="false"/>
                <w:bCs w:val="false"/>
                <w:i w:val="false"/>
                <w:iCs w:val="false"/>
                <w:sz w:val="20"/>
                <w:szCs w:val="20"/>
              </w:rPr>
              <w:t xml:space="preserve"> und im </w:t>
            </w:r>
            <w:hyperlink w:anchor="tau02">
              <w:r>
                <w:rPr>
                  <w:rStyle w:val="ListLabel116"/>
                  <w:rFonts w:eastAsia="Cambria" w:cs="Cambria"/>
                  <w:b w:val="false"/>
                  <w:bCs w:val="false"/>
                  <w:i w:val="false"/>
                  <w:iCs w:val="false"/>
                  <w:color w:val="0563C1"/>
                  <w:sz w:val="20"/>
                  <w:szCs w:val="20"/>
                  <w:u w:val="single"/>
                </w:rPr>
                <w:t>Kapitel zu den Einwanderungswegen</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Einladungen: BYO, Barbecue und die Sache mit „We should catch up“</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Barbecue, kurz „barbie“, ist die zentrale australische Sozialveranstaltung – im eigenen Garten, im Park oder am Strand, oft mit öffentlich zugänglichen Grillplätzen, die kostenlos genutzt werden können. Wer eingeladen wird, bringt in aller Regel etwas mit: </w:t>
      </w:r>
      <w:r>
        <w:rPr>
          <w:rFonts w:eastAsia="Cambria" w:cs="Cambria"/>
          <w:b w:val="false"/>
          <w:bCs w:val="false"/>
          <w:i/>
          <w:iCs/>
          <w:sz w:val="22"/>
          <w:szCs w:val="22"/>
        </w:rPr>
        <w:t>BYO</w:t>
      </w:r>
      <w:r>
        <w:rPr>
          <w:rFonts w:eastAsia="Cambria" w:cs="Cambria"/>
          <w:b w:val="false"/>
          <w:bCs w:val="false"/>
          <w:i w:val="false"/>
          <w:iCs w:val="false"/>
          <w:sz w:val="22"/>
          <w:szCs w:val="22"/>
        </w:rPr>
        <w:t xml:space="preserve"> steht für </w:t>
      </w:r>
      <w:r>
        <w:rPr>
          <w:rFonts w:eastAsia="Cambria" w:cs="Cambria"/>
          <w:b w:val="false"/>
          <w:bCs w:val="false"/>
          <w:i/>
          <w:iCs/>
          <w:sz w:val="22"/>
          <w:szCs w:val="22"/>
        </w:rPr>
        <w:t>Bring Your Own</w:t>
      </w:r>
      <w:r>
        <w:rPr>
          <w:rFonts w:eastAsia="Cambria" w:cs="Cambria"/>
          <w:b w:val="false"/>
          <w:bCs w:val="false"/>
          <w:i w:val="false"/>
          <w:iCs w:val="false"/>
          <w:sz w:val="22"/>
          <w:szCs w:val="22"/>
        </w:rPr>
        <w:t xml:space="preserve"> und bedeutet meistens eigene Getränke, gelegentlich auch das eigene Fleisch zum Grillen. Das ist kein Geiz des Gastgebers, sondern gelebte Gleichheit: Jeder trägt bei, niemand ist nur Bewirteter.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An der Bar gilt ein ähnliches Prinzip, das „Shout“: In einer Runde Freunde kauft reihum jeder eine Bestellung für alle, statt dass jeder für sich zahlt. Wer eine Runde auslässt, ohne selbst einmal „dran zu sein“, fällt unangenehm auf – auch hier zählt die stille Erwartung von Gegenseitigkeit mehr als jede ausdrückliche Regel.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Einladungen selbst lohnt Vorsicht mit der wörtlichen Auslegung: „We should catch up sometime“ ist, ganz ähnlich wie im amerikanischen Sprachgebrauch, oft nur eine höfliche Geste und keine konkrete Verabredung. Wer es ernst meint, schlägt einen Tag und einen Ort vor. Umgekehrt sind spontane Einladungen unter Nachbarn und Kollegen häufiger als in Deutschland: Ein „Come round for a barbie on Saturday“ am Donnerstag ist völlig normal und keineswegs unhöflich kurzfristig gemeint.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Reinhardt (fiktives Beispiel) wird in ihrer zweiten Woche in Melbourne von den Nachbarn zu einem Barbecue am Samstag eingeladen – mit dem Zusatz „just bring a few drinks“. Thomas kauft sicherheitshalber für die ganze Familie plus Reserve ein, Sandra fragt vorsichtshalber nach, ob sie auch etwas zum Essen beisteuern sollen; die Antwort ist ein entspanntes „Nah, we’re right, mate“. Am Grill lernt Thomas das Prinzip des „Shout“ an der improvisierten Bierkiste kennen, als ein Nachbar wortlos die nächste Runde aus der Kühlbox holt und erwartungsvoll in seine Richtung schaut. Emil und Clara sind nach einer Stunde mit den Nachbarskindern im Garten verschwunden – für Kinder, stellt Sandra fest, ist die Sprache der Freundschaft ohnehin universell.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Direktheit trifft Lässigkeit: typische Missverständnisse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deutsche Gewohnheit, ein Problem beim Namen zu nennen, kommt in Australien leicht härter an als beabsichtigt. „Das funktioniert so nicht“ ist in Deutschland eine Sachaussage; in Australien hört mancher darin eine persönliche Zurechtweisung. Kritik wird lieber verpackt, oft mit einer Frage oder einem beiläufigen Scherz eingeleitet, bevor der eigentliche Punkt kommt. Umgekehrt bedeuten Formulierungen wie „That’s certainly one way of doing it“ oder ein zu freundliches „Yeah, maybe“ nicht automatisch Zustimmung – manchmal ist genau das Gegenteil gemeint, nur eben höflich verpackt.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sprachliches Kuriosum, das Neuankömmlinge zuverlässig verwirrt, ist die Doppeldeutigkeit von „yeah, nah“ und „nah, yeah“: Ersteres läuft meist auf ein Nein hinaus, das erst höflich mit Zustimmung eingeleitet wird, Letzteres eher auf ein Ja nach kurzem Zögern. Ähnlich vorsichtig zu lesen sind Sätze wie „It’s not the worst idea“ (eher zurückhaltende Zustimmung als Lob) oder ein zu schnelles „Sure, sounds good“ auf einen Vorschlag, der eigentlich noch einmal überdacht werden sollte. Wer sich nicht sicher ist, was gerade gemeint war, fragt am besten direkt, aber freundlich nach – das gilt als völlig legitim und wird nicht als Schwäche ausgelegt, eher im Gegenteil: als Zeichen, dass man zuhört.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Verlass dich nicht allein auf den Wortlaut, wenn eine Aussage ungewöhnlich vorsichtig oder auffällig freundlich formuliert ist. Der Ton und das, was nicht gesagt wird, tragen in Australien oft mehr Bedeutung als in Deutschland. Im Zweifel eine konkrete Nachfrage stellen, statt die Andeutung zu überinterpretieren oder zu ignorieren.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Distanz zur Heimat: mehr als eine Zeitzone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Frankfurt und Sydney trennen rund 16.479 Kilometer Luftlinie. Es gibt keinen Direktflug; die Gesamtreisezeit mit Umstieg liegt je nach Route, etwa über Singapur, Dubai oder Doha, realistisch bei 21 bis 24 Stunden. Die Zeitverschiebung schwankt zwischen 8 und 10 Stunden, je nachdem, ob und wo gerade Sommer- oder Winterzeit gilt – beide Länder wechseln zu unterschiedlichen Terminen, was die Kopfrechnung vor jedem Anruf nach Hause zusätzlich erschwert.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Diese Entfernung ist mehr als eine Reisekosten- oder Zeitplanungsfrage. Ein spontanes Wochenende bei den Eltern, wie es innerhalb Europas möglich wäre, ist von Australien aus schlicht keine Option, sondern eine mehrtägige Reiseplanung mit entsprechendem Preis. Wichtige Familienereignisse – ein runder Geburtstag, eine Operation, ein Todesfall – lassen sich nicht eben mal mit dem Auto erreichen. Dieser Faktor wird von vielen Auswanderern nach eigener Beobachtung deutlich unterschätzt, wenn die Entscheidung für Australien fällt, und ebenso stark überschätzt, wenn sie längst angekommen sind und sich ein Alltag eingespielt hat, der Videoanrufe und seltene, dafür längere Heimatbesuche zur neuen Normalität macht.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Was hilft, ist Routine statt Zufall: ein fester Wochentermin für den Videoanruf, der nicht bei jeder Terminüberschneidung verschoben wird, und ein realistischer Plan für ein bis zwei längere Heimatbesuche im Jahr, statt auf die Gelegenheit zu warten, die sich über 16.000 Kilometer selten spontan ergibt. Wer das von Anfang an einplant, statt es dem Zufall zu überlassen, erlebt die Distanz als kalkulierbaren Teil des neuen Alltags und nicht als ständige, unausgesprochene Enttäuschung.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Anders als bei einem Umzug innerhalb Europas ist ein spontaner Kurzbesuch in Deutschland aus Australien keine Option, sondern eine Reise, die Wochen im Voraus geplant wird. Das ist zuerst ein emotionaler Faktor und erst in zweiter Linie eine Kostenfrage – plane beides bewusst ein, statt es zu verdrängen.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Nina Voss (fiktives Beispiel) verabredet sich in ihren ersten Wochen in Sydney mehrfach mit neuen Bekannten aus dem Working-Holiday-Kreis, die alle „yeah, we should totally hang out again“ sagen und danach tagelang nichts von sich hören lassen. Erst als eine Kollegin ihr konkret einen Ort und eine Uhrzeit für den Freitagabend vorschlägt, merkt Nina den Unterschied zwischen Höflichkeitsfloskel und echter Einladung. Beim ersten Telefonat mit ihrer Mutter in Hamburg rechnet sie sich verkehrt: Statt des erwarteten Vormittags ruft sie mitten in der Nacht an – die Zeitverschiebung braucht, wie sie feststellt, mehr Übung als jede neue Vokabel.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Informeller Umgangston senkt die Hemmschwelle für den ersten Kontakt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Mate“ zu sein heißt nicht automatisch, Freund zu sein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Entspannte Grundhaltung erleichtert das Ankommen im Alltag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No worries“ kann echte Probleme unter den Teppich kehren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Small Talk über Wetter und Sport ist überall ein einfacher Einstieg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Persönliche Themen wie Gehalt oder Herkunft bleiben lange tabu</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Einladungen sind unkompliziert, BYO senkt die Hürde mitzukommen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We should catch up sometime“ bleibt oft folgenlose Höflichkeit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Kritik wird selten mit voller Härte ausgesprochen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Indirekte Kritik ist für Deutsche schwer zu entschlüsseln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Videoanrufe und seltene, lange Heimatbesuche schaffen eigene Rituale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Spontane Kurzbesuche in Deutschland sind praktisch unmöglich</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ListParagraph"/>
        <w:numPr>
          <w:ilvl w:val="0"/>
          <w:numId w:val="234"/>
        </w:numPr>
        <w:spacing w:lineRule="exact" w:line="288" w:before="0" w:after="60"/>
        <w:rPr/>
      </w:pPr>
      <w:r>
        <w:rPr>
          <w:rFonts w:eastAsia="Cambria" w:cs="Cambria"/>
          <w:b w:val="false"/>
          <w:bCs w:val="false"/>
          <w:i w:val="false"/>
          <w:iCs w:val="false"/>
          <w:sz w:val="22"/>
          <w:szCs w:val="22"/>
        </w:rPr>
        <w:t>Vor dem Umzug: Erwartungen an Freundschaft und Nähe realistisch anpassen, spontane Heimatbesuche gedanklich abschreiben.</w:t>
      </w:r>
    </w:p>
    <w:p>
      <w:pPr>
        <w:pStyle w:val="ListParagraph"/>
        <w:numPr>
          <w:ilvl w:val="0"/>
          <w:numId w:val="235"/>
        </w:numPr>
        <w:spacing w:lineRule="exact" w:line="288" w:before="0" w:after="60"/>
        <w:rPr/>
      </w:pPr>
      <w:r>
        <w:rPr>
          <w:rFonts w:eastAsia="Cambria" w:cs="Cambria"/>
          <w:b w:val="false"/>
          <w:bCs w:val="false"/>
          <w:i w:val="false"/>
          <w:iCs w:val="false"/>
          <w:sz w:val="22"/>
          <w:szCs w:val="22"/>
        </w:rPr>
        <w:t>In den ersten Wochen: Small Talk aktiv üben, Einladungen zu Barbecue oder Bar verbindlich annehmen und selbst aussprechen.</w:t>
      </w:r>
    </w:p>
    <w:p>
      <w:pPr>
        <w:pStyle w:val="ListParagraph"/>
        <w:numPr>
          <w:ilvl w:val="0"/>
          <w:numId w:val="236"/>
        </w:numPr>
        <w:spacing w:lineRule="exact" w:line="288" w:before="0" w:after="60"/>
        <w:rPr/>
      </w:pPr>
      <w:r>
        <w:rPr>
          <w:rFonts w:eastAsia="Cambria" w:cs="Cambria"/>
          <w:b w:val="false"/>
          <w:bCs w:val="false"/>
          <w:i w:val="false"/>
          <w:iCs w:val="false"/>
          <w:sz w:val="22"/>
          <w:szCs w:val="22"/>
        </w:rPr>
        <w:t>Laufend: Bei Unsicherheit über den Ton einer Aussage freundlich nachfragen, statt zu spekulieren.</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Erwartungen an Tempo und Tiefe neuer Bekanntschaften realistisch angepasst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Small-Talk-Themen (Wetter, Sport, Wochenende) parat, Tabuthemen (Gehalt, Politik) gemieden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BYO- und Shout-Prinzip bei Einladungen und Barbecues verstanden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vager Einladung „We should catch up“ selbst einen Tag und Ort vorgeschlagen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Auf „yeah, nah“ und ähnliche Wendungen geachtet, im Zweifel nachgefragt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Zeitverschiebung zu Deutschland (8 bis 10 Stunden, je nach Sommer-/Winterzeit) für Anrufe notiert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Reisezeit und Kosten für einen Heimatbesuch (21 bis 24 Stunden, kein Direktflug) realistisch eingeplant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Regelmäßige Videoanruf-Termine mit Familie und Freunden in Deutschland verabredet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der Abreise: ein bis zwei Serien oder Filme im australischen Originalton angeschaut, Untertitel auf Englisch umgestellt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SBS Cultural Atlas — Kommunikationsstil und Alltagskultur in Australien: </w:t>
      </w:r>
      <w:hyperlink r:id="rId489">
        <w:r>
          <w:rPr>
            <w:rStyle w:val="ListLabel113"/>
            <w:rFonts w:eastAsia="Cambria" w:cs="Cambria"/>
            <w:b w:val="false"/>
            <w:bCs w:val="false"/>
            <w:i w:val="false"/>
            <w:iCs w:val="false"/>
            <w:color w:val="0563C1"/>
            <w:sz w:val="22"/>
            <w:szCs w:val="22"/>
            <w:u w:val="single"/>
          </w:rPr>
          <w:t>culturalatlas.sbs.com.au</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Deutsche Botschaft Canberra und Generalkonsulate in Australien — Leben vor Ort: </w:t>
      </w:r>
      <w:hyperlink r:id="rId490">
        <w:r>
          <w:rPr>
            <w:rStyle w:val="ListLabel113"/>
            <w:rFonts w:eastAsia="Cambria" w:cs="Cambria"/>
            <w:b w:val="false"/>
            <w:bCs w:val="false"/>
            <w:i w:val="false"/>
            <w:iCs w:val="false"/>
            <w:color w:val="0563C1"/>
            <w:sz w:val="22"/>
            <w:szCs w:val="22"/>
            <w:u w:val="single"/>
          </w:rPr>
          <w:t>australien.diplo.de</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Fair Work Ombudsman — Umgangsformen und Umgangsregeln am Arbeitsplatz: </w:t>
      </w:r>
      <w:hyperlink r:id="rId491">
        <w:r>
          <w:rPr>
            <w:rStyle w:val="ListLabel113"/>
            <w:rFonts w:eastAsia="Cambria" w:cs="Cambria"/>
            <w:b w:val="false"/>
            <w:bCs w:val="false"/>
            <w:i w:val="false"/>
            <w:iCs w:val="false"/>
            <w:color w:val="0563C1"/>
            <w:sz w:val="22"/>
            <w:szCs w:val="22"/>
            <w:u w:val="single"/>
          </w:rPr>
          <w:t>fairwork.gov.au</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Tourism Australia — Alltag und Umgangsformen für Neuankömmlinge: </w:t>
      </w:r>
      <w:hyperlink r:id="rId492">
        <w:r>
          <w:rPr>
            <w:rStyle w:val="ListLabel113"/>
            <w:rFonts w:eastAsia="Cambria" w:cs="Cambria"/>
            <w:b w:val="false"/>
            <w:bCs w:val="false"/>
            <w:i w:val="false"/>
            <w:iCs w:val="false"/>
            <w:color w:val="0563C1"/>
            <w:sz w:val="22"/>
            <w:szCs w:val="22"/>
            <w:u w:val="single"/>
          </w:rPr>
          <w:t>australia.com</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WIRED — „Accent Expert“-Reihe mit Dialektcoach Erik Singer: </w:t>
      </w:r>
      <w:hyperlink r:id="rId493">
        <w:r>
          <w:rPr>
            <w:rStyle w:val="ListLabel113"/>
            <w:rFonts w:eastAsia="Cambria" w:cs="Cambria"/>
            <w:b w:val="false"/>
            <w:bCs w:val="false"/>
            <w:i w:val="false"/>
            <w:iCs w:val="false"/>
            <w:color w:val="0563C1"/>
            <w:sz w:val="22"/>
            <w:szCs w:val="22"/>
            <w:u w:val="single"/>
          </w:rPr>
          <w:t>youtube.com/@wired</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ARD-alpha — Telekolleg Englisch, kostenlose Sprachkurse: </w:t>
      </w:r>
      <w:hyperlink r:id="rId494">
        <w:r>
          <w:rPr>
            <w:rStyle w:val="ListLabel113"/>
            <w:rFonts w:eastAsia="Cambria" w:cs="Cambria"/>
            <w:b w:val="false"/>
            <w:bCs w:val="false"/>
            <w:i w:val="false"/>
            <w:iCs w:val="false"/>
            <w:color w:val="0563C1"/>
            <w:sz w:val="22"/>
            <w:szCs w:val="22"/>
            <w:u w:val="single"/>
          </w:rPr>
          <w:t>ardalpha.de</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JustWatch — aktuelle Streaming-Verfügbarkeit in Deutschland prüfen: </w:t>
      </w:r>
      <w:hyperlink r:id="rId495">
        <w:r>
          <w:rPr>
            <w:rStyle w:val="ListLabel113"/>
            <w:rFonts w:eastAsia="Cambria" w:cs="Cambria"/>
            <w:b w:val="false"/>
            <w:bCs w:val="false"/>
            <w:i w:val="false"/>
            <w:iCs w:val="false"/>
            <w:color w:val="0563C1"/>
            <w:sz w:val="22"/>
            <w:szCs w:val="22"/>
            <w:u w:val="single"/>
          </w:rPr>
          <w:t>justwatch.de</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 kulturellen Beobachtungen in diesem Kapitel sind allgemeine Tendenzen, keine Statistik – regionale und individuelle Unterschiede innerhalb Australiens sind groß, und eine Generation Australier tickt nicht wie die andere. Flugverbindungen, Reisezeiten und Zeitverschiebung ändern sich; prüfe sie vor jeder konkreten Reiseplanung neu.</w:t>
            </w:r>
          </w:p>
        </w:tc>
      </w:tr>
    </w:tbl>
    <w:p>
      <w:pPr>
        <w:pStyle w:val="Normal"/>
        <w:spacing w:lineRule="exact" w:line="220" w:before="0" w:after="0"/>
        <w:rPr/>
      </w:pPr>
      <w:r>
        <w:rPr/>
      </w:r>
      <w:r>
        <w:br w:type="page"/>
      </w:r>
    </w:p>
    <w:p>
      <w:pPr>
        <w:pStyle w:val="Heading2"/>
        <w:keepNext w:val="true"/>
        <w:spacing w:before="0" w:after="300"/>
        <w:jc w:val="center"/>
        <w:rPr/>
      </w:pPr>
      <w:bookmarkStart w:id="126" w:name="__RefHeading___Toc56555_3769931028"/>
      <w:bookmarkStart w:id="127" w:name="tau12"/>
      <w:bookmarkEnd w:id="126"/>
      <w:r>
        <w:rPr>
          <w:rFonts w:eastAsia="Amazon Ember" w:cs="Amazon Ember" w:ascii="Amazon Ember" w:hAnsi="Amazon Ember"/>
          <w:b/>
          <w:bCs/>
          <w:color w:val="0000FF"/>
          <w:sz w:val="36"/>
          <w:szCs w:val="36"/>
        </w:rPr>
        <w:t>Australien: Freunde finden und der Kulturschock der großen Distanz</w:t>
      </w:r>
      <w:bookmarkEnd w:id="127"/>
    </w:p>
    <w:p>
      <w:pPr>
        <w:pStyle w:val="Normal"/>
        <w:keepNext w:val="false"/>
        <w:keepLines w:val="false"/>
        <w:spacing w:lineRule="exact" w:line="288" w:before="0" w:after="140"/>
        <w:jc w:val="left"/>
        <w:rPr/>
      </w:pPr>
      <w:r>
        <w:rPr>
          <w:rFonts w:eastAsia="Cambria" w:cs="Cambria"/>
          <w:b w:val="false"/>
          <w:bCs w:val="false"/>
          <w:i w:val="false"/>
          <w:iCs w:val="false"/>
          <w:sz w:val="22"/>
          <w:szCs w:val="22"/>
        </w:rPr>
        <w:t>„</w:t>
      </w:r>
      <w:r>
        <w:rPr>
          <w:rFonts w:eastAsia="Cambria" w:cs="Cambria"/>
          <w:b w:val="false"/>
          <w:bCs w:val="false"/>
          <w:i w:val="false"/>
          <w:iCs w:val="false"/>
          <w:sz w:val="22"/>
          <w:szCs w:val="22"/>
        </w:rPr>
        <w:t>How ya going, mate?“ ruft der Nachbar über den Zaun, während er den Rasen mäht – etwas, das er hier ganzjährig tut, weil ihm kein Winter eine Pause gönnt. Du überlegst kurz, wie ausführlich die Antwort ausfallen soll, und lernst in diesem Moment die erste Lektion des australischen Alltags: Die Frage ist kein echtes Interesse an deinem Befinden, sondern ein Gruß, und „Good thanks, yourself?“ reicht vollkommen. Die zweite Lektion kommt meist erst nachts, wenn du im Kopf durchrechnest, wie spät es gerade in Köln oder Hamburg ist, und merkst: Freunde finden und Heimweh aushalten sind in Australien zwei Seiten derselben, ziemlich weiten Reise.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Australische Freundlichkeit öffnet die erste Tür sehr leicht, sagt aber wenig über eine echte Freundschaft aus; Tiefe entsteht durch Wiederholung, nicht durch das erste nette Gespräch.</w:t>
            </w:r>
          </w:p>
          <w:p>
            <w:pPr>
              <w:pStyle w:val="ListParagraph"/>
              <w:numPr>
                <w:ilvl w:val="0"/>
                <w:numId w:val="1"/>
              </w:numPr>
              <w:spacing w:lineRule="exact" w:line="264" w:before="0" w:after="50"/>
              <w:rPr/>
            </w:pPr>
            <w:r>
              <w:rPr>
                <w:rFonts w:eastAsia="Cambria" w:cs="Cambria"/>
                <w:b w:val="false"/>
                <w:bCs w:val="false"/>
                <w:i w:val="false"/>
                <w:iCs w:val="false"/>
                <w:sz w:val="20"/>
                <w:szCs w:val="20"/>
              </w:rPr>
              <w:t>Sportvereine, freiwillige Feuerwehr und Katastrophenschutz, Nachbarschaft und Kinder sind die schnellsten Wege zu festen Kontakten.</w:t>
            </w:r>
          </w:p>
          <w:p>
            <w:pPr>
              <w:pStyle w:val="ListParagraph"/>
              <w:numPr>
                <w:ilvl w:val="0"/>
                <w:numId w:val="1"/>
              </w:numPr>
              <w:spacing w:lineRule="exact" w:line="264" w:before="0" w:after="50"/>
              <w:rPr/>
            </w:pPr>
            <w:r>
              <w:rPr>
                <w:rFonts w:eastAsia="Cambria" w:cs="Cambria"/>
                <w:b w:val="false"/>
                <w:bCs w:val="false"/>
                <w:i w:val="false"/>
                <w:iCs w:val="false"/>
                <w:sz w:val="20"/>
                <w:szCs w:val="20"/>
              </w:rPr>
              <w:t>Deutsche Vertretungen, Goethe-Institute und deutsche Schulen konzentrieren sich auf Sydney und Melbourne; in anderen Großstädten bleibt vor allem die eigene Initiative.</w:t>
            </w:r>
          </w:p>
          <w:p>
            <w:pPr>
              <w:pStyle w:val="ListParagraph"/>
              <w:numPr>
                <w:ilvl w:val="0"/>
                <w:numId w:val="1"/>
              </w:numPr>
              <w:spacing w:lineRule="exact" w:line="264" w:before="0" w:after="50"/>
              <w:rPr/>
            </w:pPr>
            <w:r>
              <w:rPr>
                <w:rFonts w:eastAsia="Cambria" w:cs="Cambria"/>
                <w:b w:val="false"/>
                <w:bCs w:val="false"/>
                <w:i w:val="false"/>
                <w:iCs w:val="false"/>
                <w:sz w:val="20"/>
                <w:szCs w:val="20"/>
              </w:rPr>
              <w:t>Australien liegt für deutsche Verhältnisse ungewöhnlich weit weg: keine Direktflüge, 21 bis 24 Stunden Reisezeit, 8 bis 10 Stunden Zeitverschiebung – das prägt Heimweh anders als in näher gelegenen Zielländern.</w:t>
            </w:r>
          </w:p>
          <w:p>
            <w:pPr>
              <w:pStyle w:val="ListParagraph"/>
              <w:numPr>
                <w:ilvl w:val="0"/>
                <w:numId w:val="1"/>
              </w:numPr>
              <w:spacing w:lineRule="exact" w:line="264" w:before="0" w:after="50"/>
              <w:rPr/>
            </w:pPr>
            <w:r>
              <w:rPr>
                <w:rFonts w:eastAsia="Cambria" w:cs="Cambria"/>
                <w:b w:val="false"/>
                <w:bCs w:val="false"/>
                <w:i w:val="false"/>
                <w:iCs w:val="false"/>
                <w:sz w:val="20"/>
                <w:szCs w:val="20"/>
              </w:rPr>
              <w:t>Die kritischsten Monate sind meist der dritte bis sechste, dazu das erste Weihnachtsfest in Badehose statt am beschneiten Tannenbaum.</w:t>
            </w:r>
          </w:p>
          <w:p>
            <w:pPr>
              <w:pStyle w:val="ListParagraph"/>
              <w:numPr>
                <w:ilvl w:val="0"/>
                <w:numId w:val="1"/>
              </w:numPr>
              <w:spacing w:lineRule="exact" w:line="264" w:before="0" w:after="50"/>
              <w:rPr/>
            </w:pPr>
            <w:r>
              <w:rPr>
                <w:rFonts w:eastAsia="Cambria" w:cs="Cambria"/>
                <w:b w:val="false"/>
                <w:bCs w:val="false"/>
                <w:i w:val="false"/>
                <w:iCs w:val="false"/>
                <w:sz w:val="20"/>
                <w:szCs w:val="20"/>
              </w:rPr>
              <w:t>Wer isoliert lebt oder ernsthaft belastet ist, findet in Australien erreichbare Hilfe, auch auf Deutsch.</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Mateship und Understatement: Wie Australier Nähe zeigen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Deutsche gelten in Alltagsgesprächen häufig als direkt und sachbezogen; Australier kommunizieren eher entspannt, indirekt und ausgesprochen konfliktscheu – eine Meinungsverschiedenheit wird gern mit einem Scherz entschärft statt mit einem Widerspruch ausgetragen. </w:t>
      </w:r>
      <w:r>
        <w:rPr>
          <w:rFonts w:eastAsia="Cambria" w:cs="Cambria"/>
          <w:b w:val="false"/>
          <w:bCs w:val="false"/>
          <w:i/>
          <w:iCs/>
          <w:sz w:val="22"/>
          <w:szCs w:val="22"/>
        </w:rPr>
        <w:t>Mate</w:t>
      </w:r>
      <w:r>
        <w:rPr>
          <w:rFonts w:eastAsia="Cambria" w:cs="Cambria"/>
          <w:b w:val="false"/>
          <w:bCs w:val="false"/>
          <w:i w:val="false"/>
          <w:iCs w:val="false"/>
          <w:sz w:val="22"/>
          <w:szCs w:val="22"/>
        </w:rPr>
        <w:t xml:space="preserve"> (wörtlich „Kumpel“, in Wirklichkeit eine Anrede für praktisch jeden – Kollegen, Verkäuferinnen, gelegentlich sogar den eigenen Hund) signalisiert Zugänglichkeit, nicht Freundschaft. Vornamen sind selbst gegenüber Vorgesetzten üblich, und wer im Bewerbungsgespräch versehentlich „Mr. Smith“ sagt, erntet eher ein amüsiertes Stirnrunzeln als Respekt.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Australier reden jeden an und sind so entspannt, da hat man schnell Freunde. Tatsächlich ist genau das die Falle, in die viele Neuankömmlinge laufen: Der erste Kontakt gelingt bemerkenswert leicht, der Weg von dort zur echten Freundschaft ist aber nicht kürzer als in Deutschland – nur die erste Tür schwingt williger auf. „We should catch up sometime“ ist eine Höflichkeitsformel, kein Termin; wer daraus einen machen will, braucht wie überall ein konkretes Datum, keinen vagen Wunsch.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britisch geprägte Humor dieses Länder-Teils zeigt sich hier besonders deutlich: Wo ein Deutscher sagen würde „Das war heute chaotisch“, sagt ein Australier eher „Bit of a day, that“ – und meint damit womöglich, dass gerade die Küche abgebrannt ist. Wer diese Untertreibung nicht mitbekommt, hält jede Krise für eine Kleinigkeit und wundert sich später, warum niemand um Hilfe gebeten hat. Sicherer Gesprächsstoff für den Anfang sind Wetter, Sport – vor allem die eigene Lieblingsmannschaft – und der letzte Urlaub; Gehalt, Politik und die eigene Steuererklärung bleiben, ähnlich wie in Deutschland, eher hintenan.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offenes „G’day“ ist ein Türöffner, keine Einladung ins Wohnzimmer. Nimm die erste Freundlichkeit dankbar an, aber erwarte die eigentliche Freundschaft erst nach mehreren Wiederholungen.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Eng damit verwandt ist das </w:t>
      </w:r>
      <w:r>
        <w:rPr>
          <w:rFonts w:eastAsia="Cambria" w:cs="Cambria"/>
          <w:b w:val="false"/>
          <w:bCs w:val="false"/>
          <w:i/>
          <w:iCs/>
          <w:sz w:val="22"/>
          <w:szCs w:val="22"/>
        </w:rPr>
        <w:t>Tall Poppy Syndrome</w:t>
      </w:r>
      <w:r>
        <w:rPr>
          <w:rFonts w:eastAsia="Cambria" w:cs="Cambria"/>
          <w:b w:val="false"/>
          <w:bCs w:val="false"/>
          <w:i w:val="false"/>
          <w:iCs w:val="false"/>
          <w:sz w:val="22"/>
          <w:szCs w:val="22"/>
        </w:rPr>
        <w:t xml:space="preserve"> (wörtlich „Syndrom der hohen Mohnblume“): Wer zu offensichtlich mit Erfolg, Titel oder Gehalt prahlt, wird in Australien nicht bewundert, sondern sozial „gestutzt“ – meist mit einem trockenen Kommentar statt mit offener Kritik. Für deutsche Fachkräfte, die aus einer Kultur kommen, in der der eigene Titel schon auf der Visitenkarte für Respekt sorgt, ist das eine Umstellung: Der Ingenieur, der seinen Doktortitel beim Grillabend beiläufig fallen lässt, erntet eher ein amüsiertes „Ooh, fancy“ als Anerkennung. Wer stattdessen die eigenen Pannen erzählt – der verkorkste erste Linksverkehr-Versuch, die falsch ausgesprochenen Ortsnamen –, kommt in Australien meist erheblich weiter als mit einer Erfolgsliste.</w:t>
      </w:r>
    </w:p>
    <w:p>
      <w:pPr>
        <w:pStyle w:val="Heading3"/>
        <w:keepNext w:val="true"/>
        <w:spacing w:before="280" w:after="100"/>
        <w:jc w:val="center"/>
        <w:rPr/>
      </w:pPr>
      <w:r>
        <w:rPr>
          <w:rFonts w:eastAsia="Amazon Ember" w:cs="Amazon Ember" w:ascii="Amazon Ember" w:hAnsi="Amazon Ember"/>
          <w:b/>
          <w:bCs/>
          <w:color w:val="0000FF"/>
          <w:sz w:val="36"/>
          <w:szCs w:val="36"/>
        </w:rPr>
        <w:t>Wo du Anschluss findest: Sport, Vereine, Nachbarschaft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Vereinswesen im deutschen Sinn – mit Satzung, Vorstand und Vereinsheim – ist in Australien selten; stattdessen dominieren Sportclubs, die zugleich soziale Zentren sind. Cricket ist im Sommer (Oktober bis März) überall präsent, im Winter wechselt es je nach Bundesstaat zu </w:t>
      </w:r>
      <w:r>
        <w:rPr>
          <w:rFonts w:eastAsia="Cambria" w:cs="Cambria"/>
          <w:b w:val="false"/>
          <w:bCs w:val="false"/>
          <w:i/>
          <w:iCs/>
          <w:sz w:val="22"/>
          <w:szCs w:val="22"/>
        </w:rPr>
        <w:t>Australian Football</w:t>
      </w:r>
      <w:r>
        <w:rPr>
          <w:rFonts w:eastAsia="Cambria" w:cs="Cambria"/>
          <w:b w:val="false"/>
          <w:bCs w:val="false"/>
          <w:i w:val="false"/>
          <w:iCs w:val="false"/>
          <w:sz w:val="22"/>
          <w:szCs w:val="22"/>
        </w:rPr>
        <w:t xml:space="preserve"> (AFL, mit Ursprüngen und größter Fangemeinde in Victoria, Western Australia und South Australia) oder </w:t>
      </w:r>
      <w:r>
        <w:rPr>
          <w:rFonts w:eastAsia="Cambria" w:cs="Cambria"/>
          <w:b w:val="false"/>
          <w:bCs w:val="false"/>
          <w:i/>
          <w:iCs/>
          <w:sz w:val="22"/>
          <w:szCs w:val="22"/>
        </w:rPr>
        <w:t>Rugby League</w:t>
      </w:r>
      <w:r>
        <w:rPr>
          <w:rFonts w:eastAsia="Cambria" w:cs="Cambria"/>
          <w:b w:val="false"/>
          <w:bCs w:val="false"/>
          <w:i w:val="false"/>
          <w:iCs w:val="false"/>
          <w:sz w:val="22"/>
          <w:szCs w:val="22"/>
        </w:rPr>
        <w:t xml:space="preserve"> (NRL, Schwerpunkt New South Wales und Queensland); </w:t>
      </w:r>
      <w:r>
        <w:rPr>
          <w:rFonts w:eastAsia="Cambria" w:cs="Cambria"/>
          <w:b w:val="false"/>
          <w:bCs w:val="false"/>
          <w:i/>
          <w:iCs/>
          <w:sz w:val="22"/>
          <w:szCs w:val="22"/>
        </w:rPr>
        <w:t>Netball</w:t>
      </w:r>
      <w:r>
        <w:rPr>
          <w:rFonts w:eastAsia="Cambria" w:cs="Cambria"/>
          <w:b w:val="false"/>
          <w:bCs w:val="false"/>
          <w:i w:val="false"/>
          <w:iCs w:val="false"/>
          <w:sz w:val="22"/>
          <w:szCs w:val="22"/>
        </w:rPr>
        <w:t xml:space="preserve"> zieht landesweit vor allem Frauen und Mädchen an Wochenenden auf die Plätze. Wer an der Küste lebt, findet in einem </w:t>
      </w:r>
      <w:r>
        <w:rPr>
          <w:rFonts w:eastAsia="Cambria" w:cs="Cambria"/>
          <w:b w:val="false"/>
          <w:bCs w:val="false"/>
          <w:i/>
          <w:iCs/>
          <w:sz w:val="22"/>
          <w:szCs w:val="22"/>
        </w:rPr>
        <w:t>Surf Life Saving Club</w:t>
      </w:r>
      <w:r>
        <w:rPr>
          <w:rFonts w:eastAsia="Cambria" w:cs="Cambria"/>
          <w:b w:val="false"/>
          <w:bCs w:val="false"/>
          <w:i w:val="false"/>
          <w:iCs w:val="false"/>
          <w:sz w:val="22"/>
          <w:szCs w:val="22"/>
        </w:rPr>
        <w:t xml:space="preserve"> eine typisch australische Kombination aus Rettungsschwimmer-Ausbildung, Wettkampfsport und Vereinsleben am Strand: Mitglieder patrouillieren ehrenamtlich die Strände und feiern danach gemeinsam im Clubhaus.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Eine zweite, sehr australische Tür ist der Katastrophenschutz: Die freiwillige </w:t>
      </w:r>
      <w:r>
        <w:rPr>
          <w:rFonts w:eastAsia="Cambria" w:cs="Cambria"/>
          <w:b w:val="false"/>
          <w:bCs w:val="false"/>
          <w:i/>
          <w:iCs/>
          <w:sz w:val="22"/>
          <w:szCs w:val="22"/>
        </w:rPr>
        <w:t>Rural Fire Service</w:t>
      </w:r>
      <w:r>
        <w:rPr>
          <w:rFonts w:eastAsia="Cambria" w:cs="Cambria"/>
          <w:b w:val="false"/>
          <w:bCs w:val="false"/>
          <w:i w:val="false"/>
          <w:iCs w:val="false"/>
          <w:sz w:val="22"/>
          <w:szCs w:val="22"/>
        </w:rPr>
        <w:t xml:space="preserve"> (RFS, ländliche Feuerwehr, in einzelnen Bundesstaaten unter anderem Namen organisiert) und der </w:t>
      </w:r>
      <w:r>
        <w:rPr>
          <w:rFonts w:eastAsia="Cambria" w:cs="Cambria"/>
          <w:b w:val="false"/>
          <w:bCs w:val="false"/>
          <w:i/>
          <w:iCs/>
          <w:sz w:val="22"/>
          <w:szCs w:val="22"/>
        </w:rPr>
        <w:t>State Emergency Service</w:t>
      </w:r>
      <w:r>
        <w:rPr>
          <w:rFonts w:eastAsia="Cambria" w:cs="Cambria"/>
          <w:b w:val="false"/>
          <w:bCs w:val="false"/>
          <w:i w:val="false"/>
          <w:iCs w:val="false"/>
          <w:sz w:val="22"/>
          <w:szCs w:val="22"/>
        </w:rPr>
        <w:t xml:space="preserve"> (SES, freiwilliger Katastrophenschutz für Stürme und Fluten) suchen laufend Mitglieder. Wer sich in einer Region mit Buschfeuer- oder Flutrisiko niederlässt (siehe das </w:t>
      </w:r>
      <w:hyperlink w:anchor="tau09">
        <w:r>
          <w:rPr>
            <w:rStyle w:val="ListLabel113"/>
            <w:rFonts w:eastAsia="Cambria" w:cs="Cambria"/>
            <w:b w:val="false"/>
            <w:bCs w:val="false"/>
            <w:i w:val="false"/>
            <w:iCs w:val="false"/>
            <w:color w:val="0563C1"/>
            <w:sz w:val="22"/>
            <w:szCs w:val="22"/>
            <w:u w:val="single"/>
          </w:rPr>
          <w:t>Kapitel zu Wohnen und den besten Orten in diesem Teil</w:t>
        </w:r>
      </w:hyperlink>
      <w:r>
        <w:rPr>
          <w:rFonts w:eastAsia="Cambria" w:cs="Cambria"/>
          <w:b w:val="false"/>
          <w:bCs w:val="false"/>
          <w:i w:val="false"/>
          <w:iCs w:val="false"/>
          <w:sz w:val="22"/>
          <w:szCs w:val="22"/>
        </w:rPr>
        <w:t>), lernt darüber ungewöhnlich schnell Nachbarn kennen, die ohnehin zusammenhalten müssen – eine Freundschaft, die im Ernstfall entsteht, hält oft länger als eine, die am Kaffeetisch begann.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In der Nachbarschaft ersetzt der </w:t>
      </w:r>
      <w:r>
        <w:rPr>
          <w:rFonts w:eastAsia="Cambria" w:cs="Cambria"/>
          <w:b w:val="false"/>
          <w:bCs w:val="false"/>
          <w:i/>
          <w:iCs/>
          <w:sz w:val="22"/>
          <w:szCs w:val="22"/>
        </w:rPr>
        <w:t>Nature Strip</w:t>
      </w:r>
      <w:r>
        <w:rPr>
          <w:rFonts w:eastAsia="Cambria" w:cs="Cambria"/>
          <w:b w:val="false"/>
          <w:bCs w:val="false"/>
          <w:i w:val="false"/>
          <w:iCs w:val="false"/>
          <w:sz w:val="22"/>
          <w:szCs w:val="22"/>
        </w:rPr>
        <w:t xml:space="preserve"> (der Grünstreifen zwischen Gehweg und Straße, den viele Anwohner gemeinsam pflegen und für spontane Plaudereien nutzen) den deutschen Gartenzaun; ein informelles „Barbie“ (</w:t>
      </w:r>
      <w:r>
        <w:rPr>
          <w:rFonts w:eastAsia="Cambria" w:cs="Cambria"/>
          <w:b w:val="false"/>
          <w:bCs w:val="false"/>
          <w:i/>
          <w:iCs/>
          <w:sz w:val="22"/>
          <w:szCs w:val="22"/>
        </w:rPr>
        <w:t>Barbecue</w:t>
      </w:r>
      <w:r>
        <w:rPr>
          <w:rFonts w:eastAsia="Cambria" w:cs="Cambria"/>
          <w:b w:val="false"/>
          <w:bCs w:val="false"/>
          <w:i w:val="false"/>
          <w:iCs w:val="false"/>
          <w:sz w:val="22"/>
          <w:szCs w:val="22"/>
        </w:rPr>
        <w:t xml:space="preserve">, Grillfest) am Wochenende ist die häufigste Einladung überhaupt und erwartet wenig mehr als eine Flasche Wein oder ein paar Getränke im Gepäck. Für Erwachsene ohne Kinder oder festen Sportverein bieten </w:t>
      </w:r>
      <w:r>
        <w:rPr>
          <w:rFonts w:eastAsia="Cambria" w:cs="Cambria"/>
          <w:b w:val="false"/>
          <w:bCs w:val="false"/>
          <w:i/>
          <w:iCs/>
          <w:sz w:val="22"/>
          <w:szCs w:val="22"/>
        </w:rPr>
        <w:t>TAFE</w:t>
      </w:r>
      <w:r>
        <w:rPr>
          <w:rFonts w:eastAsia="Cambria" w:cs="Cambria"/>
          <w:b w:val="false"/>
          <w:bCs w:val="false"/>
          <w:i w:val="false"/>
          <w:iCs w:val="false"/>
          <w:sz w:val="22"/>
          <w:szCs w:val="22"/>
        </w:rPr>
        <w:t>-Kurse (</w:t>
      </w:r>
      <w:r>
        <w:rPr>
          <w:rFonts w:eastAsia="Cambria" w:cs="Cambria"/>
          <w:b w:val="false"/>
          <w:bCs w:val="false"/>
          <w:i/>
          <w:iCs/>
          <w:sz w:val="22"/>
          <w:szCs w:val="22"/>
        </w:rPr>
        <w:t>Technical and Further Education</w:t>
      </w:r>
      <w:r>
        <w:rPr>
          <w:rFonts w:eastAsia="Cambria" w:cs="Cambria"/>
          <w:b w:val="false"/>
          <w:bCs w:val="false"/>
          <w:i w:val="false"/>
          <w:iCs w:val="false"/>
          <w:sz w:val="22"/>
          <w:szCs w:val="22"/>
        </w:rPr>
        <w:t>, die staatliche berufliche Weiterbildung, am ehesten mit der Volkshochschule vergleichbar) günstigen Zugang zu Gleichgesinnten, von Töpfern bis Spanisch. Wer allein und mit befristetem Visum unterwegs ist, findet zusätzlich über den Working-Holiday-Kreislauf aus Hostels, Farmarbeit und Backpacker-Touren schnell Bekanntschaften – nur wechselt diese Gruppe selbst ständig weiter, sodass feste Freundschaften hier besonders von eigener Beharrlichkeit abhängen.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der ersten Einladung hilft ein Blick auf die Formel „Bring a plate“ (wörtlich „bring einen Teller mit“), die auf Schulfesten, Nachbarschaftsfeiern und informellen Grillabenden praktisch überall auftaucht: Erwartet wird kein leerer Teller, sondern ein mitgebrachtes Gericht zum Teilen, ähnlich dem deutschen Buffet-Prinzip, nur ohne Absprache, wer was mitbringt. Ein selbst gebackener Kuchen oder Salat ist immer richtig; Nachfragen bei der Gastgeberin oder dem Gastgeber räumt jeden Zweifel aus.</w:t>
      </w:r>
    </w:p>
    <w:tbl>
      <w:tblPr>
        <w:tblW w:w="6480" w:type="dxa"/>
        <w:jc w:val="left"/>
        <w:tblInd w:w="0" w:type="dxa"/>
        <w:tblLayout w:type="fixed"/>
        <w:tblCellMar>
          <w:top w:w="50" w:type="dxa"/>
          <w:left w:w="80" w:type="dxa"/>
          <w:bottom w:w="50" w:type="dxa"/>
          <w:right w:w="80" w:type="dxa"/>
        </w:tblCellMar>
      </w:tblPr>
      <w:tblGrid>
        <w:gridCol w:w="2805"/>
        <w:gridCol w:w="3674"/>
      </w:tblGrid>
      <w:tr>
        <w:trPr>
          <w:tblHeader w:val="true"/>
          <w:cantSplit w:val="true"/>
        </w:trPr>
        <w:tc>
          <w:tcPr>
            <w:tcW w:w="280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Anlass</w:t>
            </w:r>
          </w:p>
        </w:tc>
        <w:tc>
          <w:tcPr>
            <w:tcW w:w="367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erwartet wird</w:t>
            </w:r>
          </w:p>
        </w:tc>
      </w:tr>
      <w:tr>
        <w:trPr>
          <w:cantSplit w:val="true"/>
        </w:trPr>
        <w:tc>
          <w:tcPr>
            <w:tcW w:w="28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Barbie“ am Nachbarhaus</w:t>
            </w:r>
          </w:p>
        </w:tc>
        <w:tc>
          <w:tcPr>
            <w:tcW w:w="36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Getränke oder eine Kleinigkeit zum Grillen</w:t>
            </w:r>
          </w:p>
        </w:tc>
      </w:tr>
      <w:tr>
        <w:trPr>
          <w:cantSplit w:val="true"/>
        </w:trPr>
        <w:tc>
          <w:tcPr>
            <w:tcW w:w="28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Bring a plate“ (Schulfest, Straßenfest)</w:t>
            </w:r>
          </w:p>
        </w:tc>
        <w:tc>
          <w:tcPr>
            <w:tcW w:w="36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mitgebrachtes Gericht zum Teilen</w:t>
            </w:r>
          </w:p>
        </w:tc>
      </w:tr>
      <w:tr>
        <w:trPr>
          <w:cantSplit w:val="true"/>
        </w:trPr>
        <w:tc>
          <w:tcPr>
            <w:tcW w:w="28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Einladung zum Abendessen</w:t>
            </w:r>
          </w:p>
        </w:tc>
        <w:tc>
          <w:tcPr>
            <w:tcW w:w="36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Wein, Dessert oder Blumen für die Gastgeber</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Selbst der Baumarkt wird in Australien zum sozialen Ort: Vor vielen Filialen der Kette Bunnings steht am Wochenende ein Grillstand, an dem Schulen, Sportvereine oder Feuerwehren Würstchen im Brot (</w:t>
      </w:r>
      <w:r>
        <w:rPr>
          <w:rFonts w:eastAsia="Cambria" w:cs="Cambria"/>
          <w:b w:val="false"/>
          <w:bCs w:val="false"/>
          <w:i/>
          <w:iCs/>
          <w:sz w:val="22"/>
          <w:szCs w:val="22"/>
        </w:rPr>
        <w:t>Sausage Sizzle</w:t>
      </w:r>
      <w:r>
        <w:rPr>
          <w:rFonts w:eastAsia="Cambria" w:cs="Cambria"/>
          <w:b w:val="false"/>
          <w:bCs w:val="false"/>
          <w:i w:val="false"/>
          <w:iCs w:val="false"/>
          <w:sz w:val="22"/>
          <w:szCs w:val="22"/>
        </w:rPr>
        <w:t xml:space="preserve">) für den guten Zweck verkaufen – ein paar Dollar, ein Plausch in der Schlange, und plötzlich kennst du den Namen des Vereins, der gerade sammelt. In Städten mit dünner deutscher Infrastruktur wie Perth oder Adelaide (siehe oben) lohnt sich außerdem ein zweiter Blick auf </w:t>
      </w:r>
      <w:r>
        <w:rPr>
          <w:rFonts w:eastAsia="Cambria" w:cs="Cambria"/>
          <w:b w:val="false"/>
          <w:bCs w:val="false"/>
          <w:i/>
          <w:iCs/>
          <w:sz w:val="22"/>
          <w:szCs w:val="22"/>
        </w:rPr>
        <w:t>InterNations</w:t>
      </w:r>
      <w:r>
        <w:rPr>
          <w:rFonts w:eastAsia="Cambria" w:cs="Cambria"/>
          <w:b w:val="false"/>
          <w:bCs w:val="false"/>
          <w:i w:val="false"/>
          <w:iCs w:val="false"/>
          <w:sz w:val="22"/>
          <w:szCs w:val="22"/>
        </w:rPr>
        <w:t>, ein Netzwerk für Zugewanderte aller Nationen mit lokalen Stammtischen, sowie auf die städtische Freizeitverwaltung (</w:t>
      </w:r>
      <w:r>
        <w:rPr>
          <w:rFonts w:eastAsia="Cambria" w:cs="Cambria"/>
          <w:b w:val="false"/>
          <w:bCs w:val="false"/>
          <w:i/>
          <w:iCs/>
          <w:sz w:val="22"/>
          <w:szCs w:val="22"/>
        </w:rPr>
        <w:t>Council</w:t>
      </w:r>
      <w:r>
        <w:rPr>
          <w:rFonts w:eastAsia="Cambria" w:cs="Cambria"/>
          <w:b w:val="false"/>
          <w:bCs w:val="false"/>
          <w:i w:val="false"/>
          <w:iCs w:val="false"/>
          <w:sz w:val="22"/>
          <w:szCs w:val="22"/>
        </w:rPr>
        <w:t>), die günstige Kurse und Ligen für Erwachsene anbietet.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Reinhardt (fiktiv) kommt mit dem Skilled Independent Visa nach Melbourne. Thomas meldet sich beim örtlichen Cricketclub an, in dem samstags die halbe Straße mitspielt; Sandra übernimmt nach einem halben Jahr eine Schicht im Elterncafé der Grundschule, die Emil (10) und Clara (6) besuchen. Am schnellsten öffnet sich aber die Tür über die Kinder: Emil wird bei Auskick angemeldet, dem spielerischen Einstiegsprogramm der australischen Football-Liga für Grundschulkinder, und binnen zweier Trainingsabende kennt Thomas drei Väter beim Vornamen. Aus „Wie war das Training?“ wird über die Wochen ein festes Bier danach – die Art Freundschaft, die mit einer Aktivität beginnt und erst später zu mehr wird.</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deutsche Community: Konsulate, Goethe-Institut, Landsleute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den direkten Draht zur alten Heimat sucht, findet ihn vor allem in Sydney und Melbourne – anderswo ist er dünn gesät. Das Generalkonsulat Sydney ist konsularisch für New South Wales, Queensland und praktisch ganz Australien außer dem Australian Capital Territory zuständig, dazu für mehrere Pazifikstaaten; die Botschaft in Canberra selbst übernimmt für Privatpersonen keine laufenden Konsulargeschäfte. Das Goethe-Institut Sydney (seit 1974, zuständig für New South Wales, das Australian Capital Territory, Queensland und das Northern Territory) und das Goethe-Institut Melbourne (seit 1972, zuständig für Victoria, Tasmanien, South Australia und Western Australia) bieten Sprachkurse, Filmabende und ein erstes Netzwerk. Wer mit Kindern zieht, findet in Sydney die German International School Sydney (gegründet 1989) und in Melbourne die Deutsche Schule Melbourne – beide zugleich Elternnetzwerk und Schule (mehr im </w:t>
      </w:r>
      <w:hyperlink w:anchor="tau13">
        <w:r>
          <w:rPr>
            <w:rStyle w:val="ListLabel113"/>
            <w:rFonts w:eastAsia="Cambria" w:cs="Cambria"/>
            <w:b w:val="false"/>
            <w:bCs w:val="false"/>
            <w:i w:val="false"/>
            <w:iCs w:val="false"/>
            <w:color w:val="0563C1"/>
            <w:sz w:val="22"/>
            <w:szCs w:val="22"/>
            <w:u w:val="single"/>
          </w:rPr>
          <w:t>Kapitel zu Kindern, Schule und Sprache in diesem Teil</w:t>
        </w:r>
      </w:hyperlink>
      <w:r>
        <w:rPr>
          <w:rFonts w:eastAsia="Cambria" w:cs="Cambria"/>
          <w:b w:val="false"/>
          <w:bCs w:val="false"/>
          <w:i w:val="false"/>
          <w:iCs w:val="false"/>
          <w:sz w:val="22"/>
          <w:szCs w:val="22"/>
        </w:rPr>
        <w:t>). In Perth, Adelaide, Brisbane und Canberra bleiben vor allem ehrenamtliche Konsularvertretungen und lose Stammtische, meist über Facebook- oder Meetup-Gruppen organisiert.</w:t>
      </w:r>
    </w:p>
    <w:tbl>
      <w:tblPr>
        <w:tblW w:w="6480" w:type="dxa"/>
        <w:jc w:val="left"/>
        <w:tblInd w:w="0" w:type="dxa"/>
        <w:tblLayout w:type="fixed"/>
        <w:tblCellMar>
          <w:top w:w="50" w:type="dxa"/>
          <w:left w:w="80" w:type="dxa"/>
          <w:bottom w:w="50" w:type="dxa"/>
          <w:right w:w="80" w:type="dxa"/>
        </w:tblCellMar>
      </w:tblPr>
      <w:tblGrid>
        <w:gridCol w:w="1152"/>
        <w:gridCol w:w="1909"/>
        <w:gridCol w:w="1743"/>
        <w:gridCol w:w="1675"/>
      </w:tblGrid>
      <w:tr>
        <w:trPr>
          <w:tblHeader w:val="true"/>
          <w:cantSplit w:val="true"/>
        </w:trPr>
        <w:tc>
          <w:tcPr>
            <w:tcW w:w="115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Stadt</w:t>
            </w:r>
          </w:p>
        </w:tc>
        <w:tc>
          <w:tcPr>
            <w:tcW w:w="190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Konsularische Vertretung</w:t>
            </w:r>
          </w:p>
        </w:tc>
        <w:tc>
          <w:tcPr>
            <w:tcW w:w="174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Goethe-Institut</w:t>
            </w:r>
          </w:p>
        </w:tc>
        <w:tc>
          <w:tcPr>
            <w:tcW w:w="167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Deutsche Schule</w:t>
            </w:r>
          </w:p>
        </w:tc>
      </w:tr>
      <w:tr>
        <w:trPr>
          <w:cantSplit w:val="true"/>
        </w:trPr>
        <w:tc>
          <w:tcPr>
            <w:tcW w:w="11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Sydney</w:t>
            </w:r>
          </w:p>
        </w:tc>
        <w:tc>
          <w:tcPr>
            <w:tcW w:w="19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Generalkonsulat</w:t>
            </w:r>
          </w:p>
        </w:tc>
        <w:tc>
          <w:tcPr>
            <w:tcW w:w="17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seit 1974</w:t>
            </w:r>
          </w:p>
        </w:tc>
        <w:tc>
          <w:tcPr>
            <w:tcW w:w="16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German International School Sydney</w:t>
            </w:r>
          </w:p>
        </w:tc>
      </w:tr>
      <w:tr>
        <w:trPr>
          <w:cantSplit w:val="true"/>
        </w:trPr>
        <w:tc>
          <w:tcPr>
            <w:tcW w:w="11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Melbourne</w:t>
            </w:r>
          </w:p>
        </w:tc>
        <w:tc>
          <w:tcPr>
            <w:tcW w:w="19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 Sydney/Honorarkonsuln</w:t>
            </w:r>
          </w:p>
        </w:tc>
        <w:tc>
          <w:tcPr>
            <w:tcW w:w="17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seit 1972</w:t>
            </w:r>
          </w:p>
        </w:tc>
        <w:tc>
          <w:tcPr>
            <w:tcW w:w="16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Schule Melbourne</w:t>
            </w:r>
          </w:p>
        </w:tc>
      </w:tr>
      <w:tr>
        <w:trPr>
          <w:cantSplit w:val="true"/>
        </w:trPr>
        <w:tc>
          <w:tcPr>
            <w:tcW w:w="11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Canberra</w:t>
            </w:r>
          </w:p>
        </w:tc>
        <w:tc>
          <w:tcPr>
            <w:tcW w:w="19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Botschaft (kein Privatkonsulat)</w:t>
            </w:r>
          </w:p>
        </w:tc>
        <w:tc>
          <w:tcPr>
            <w:tcW w:w="17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w:t>
            </w:r>
          </w:p>
        </w:tc>
        <w:tc>
          <w:tcPr>
            <w:tcW w:w="16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w:t>
            </w:r>
          </w:p>
        </w:tc>
      </w:tr>
      <w:tr>
        <w:trPr>
          <w:cantSplit w:val="true"/>
        </w:trPr>
        <w:tc>
          <w:tcPr>
            <w:tcW w:w="11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Brisbane, Perth, Adelaide</w:t>
            </w:r>
          </w:p>
        </w:tc>
        <w:tc>
          <w:tcPr>
            <w:tcW w:w="190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Honorarkonsuln</w:t>
            </w:r>
          </w:p>
        </w:tc>
        <w:tc>
          <w:tcPr>
            <w:tcW w:w="17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 (Zuständigkeit Sydney/Melbourne)</w:t>
            </w:r>
          </w:p>
        </w:tc>
        <w:tc>
          <w:tcPr>
            <w:tcW w:w="16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Suche schon vor dem Umzug nach „Germans in“ plus Zielstadt bei Meetup und Facebook. Landsleute kennen Ärzte, Schulen und Behördenwege aus erster Hand und ersparen dir Monate an Ausprobieren.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Kehrseite ist die deutsche Blase: gemütlich, aber wer nur unter Landsleuten bleibt, übt kein Alltagsenglisch und lernt vom eigentlichen Australien wenig kennen. Plane bewusst, dass mindestens die Hälfte deiner festen Termine unter Englischsprachigen stattfindet.</w:t>
      </w:r>
    </w:p>
    <w:p>
      <w:pPr>
        <w:pStyle w:val="Heading3"/>
        <w:keepNext w:val="true"/>
        <w:spacing w:before="280" w:after="100"/>
        <w:jc w:val="center"/>
        <w:rPr/>
      </w:pPr>
      <w:r>
        <w:rPr>
          <w:rFonts w:eastAsia="Amazon Ember" w:cs="Amazon Ember" w:ascii="Amazon Ember" w:hAnsi="Amazon Ember"/>
          <w:b/>
          <w:bCs/>
          <w:color w:val="0000FF"/>
          <w:sz w:val="36"/>
          <w:szCs w:val="36"/>
        </w:rPr>
        <w:t>Wenn ein Partner neu anfängt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Anders als bei manchen US-Visa dürfen Partnerinnen und Partner auf permanenten und den meisten befristeten australischen Visa in aller Regel von Anfang an arbeiten – das nimmt zumindest den rechtlichen Druck aus der Situation. Trotzdem trifft der Neustart häufig eine Person stärker als die andere: Während der Hauptantragsteller über den neuen Arbeitgeber sofort Kollegen und Struktur hat, muss der mitreisende Partner eigene Kontakte, eine eigene Zulassung im Beruf und oft ein neues Netzwerk von null aufbauen. Bei reglementierten Berufen wie der Pflege kommt hinzu, dass die australische Berufszulassung (etwa bei der </w:t>
      </w:r>
      <w:r>
        <w:rPr>
          <w:rFonts w:eastAsia="Cambria" w:cs="Cambria"/>
          <w:b w:val="false"/>
          <w:bCs w:val="false"/>
          <w:i/>
          <w:iCs/>
          <w:sz w:val="22"/>
          <w:szCs w:val="22"/>
        </w:rPr>
        <w:t>Australian Health Practitioner Regulation Agency</w:t>
      </w:r>
      <w:r>
        <w:rPr>
          <w:rFonts w:eastAsia="Cambria" w:cs="Cambria"/>
          <w:b w:val="false"/>
          <w:bCs w:val="false"/>
          <w:i w:val="false"/>
          <w:iCs w:val="false"/>
          <w:sz w:val="22"/>
          <w:szCs w:val="22"/>
        </w:rPr>
        <w:t>, kurz AHPRA, der zuständigen Zulassungsstelle für Gesundheitsberufe) einige Monate dauern kann, bevor die eigentliche Stellensuche überhaupt beginnt. Wer diese Wartezeit mit einem Kurs, einem Ehrenamt oder festen Terminen außerhalb der Wohnung überbrückt statt sie nur abzusitzen, baut nebenbei schon das Netzwerk auf, das die spätere Jobsuche erleichtert.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Warte mit dem Netzwerkaufbau nicht, bis die Berufszulassung durch ist. Wer die Wartemonate isoliert zu Hause verbringt, verstärkt genau die Talsohle, die im nächsten Abschnitt beschrieben wird – ein Kurs oder ein fester Wochentermin wirkt dagegen doppelt: gegen die Einsamkeit und für den späteren Berufseinstieg.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Kulturschock der Distanz: 16.000 Kilometer ohne Abkürzung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Was Australien von den anderen Zielen dieses Buches unterscheidet, ist vor allem die schiere Entfernung. Frankfurt und Sydney trennen rund 16.479 Kilometer Luftlinie, und einen Direktflug gibt es nicht: Über Singapur, Dubai oder Doha dauert die Reise inklusive Umstieg realistisch 21 bis 24 Stunden – ein „kurzer Sprung übers Wochenende nach Hause“ ist damit, nüchtern betrachtet, keine Option, die man ernsthaft erwägt, sondern eher eine Schlafentzugsübung mit Gepäck. Dazu kommt eine Zeitverschiebung von 8 bis 10 Stunden gegenüber Deutschland, je nachdem, welches der beiden Länder gerade seine eigene Sommer- oder Winterzeit hat: Während in Köln das Frühstücksei noch dampft, geht in Sydney oder Melbourne bereits das Licht aus. Ein spontaner Anruf wird so zur logistischen Übung, kein Zufallsprodukt eines freien Abends.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Diese Distanz verändert den Charakter des Heimwehs. In näher gelegenen Zielländern bleibt ein Wochenendbesuch theoretisch möglich, selbst wenn ihn kaum jemand tatsächlich bucht; in Australien fällt diese gedankliche Rückfahrkarte ganz weg, und ausgerechnet das macht für viele Neuankömmlinge den Unterschied. Wer in der Kulturschock-Talsohle – meist zwischen dem dritten und sechsten Monat – spontan ein Last-Minute-Ticket kauft, zahlt oft ein Vielfaches des Normalpreises für einen Flug, der wegen Jetlag und Kürze kaum erholsam ist.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Buche Heimatbesuche über Weihnachten oder andere große Feiertage Monate im Voraus, nicht im akuten Tief. Wer erst im November für Weihnachten sucht, findet entweder nichts oder zahlt den Aufpreis für die eigene Verzweiflung gleich mit.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der umgekehrte Fall verdient Vorbereitung: Wird zu Hause jemand plötzlich pflegebedürftig oder passiert ein Notfall, bedeutet die Distanz meist mindestens einen vollen Reisetag, bevor du überhaupt ankommst. Eine Vorsorgevollmacht für eine Person vor Ort in Deutschland und ein grober Plan, wer im Ernstfall organisiert, gehören deshalb früh auf die Liste – nicht erst, wenn nachts das Telefon klingelt.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Entfernung selbst lässt sich nicht wegorganisieren, wohl aber ihre Folgen: feste Rituale statt spontaner Nähe, geplante statt improvisierte Heimreisen, eine Vollmacht statt eines hastigen Anrufs im Notfall.</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Gegen das Gefühl der Ferne helfen kleine, verlässliche Rituale mehr als gute Vorsätze: ein fester Videoanruf zur gleichen Wochenzeit, trotz der Rechnerei mit der Zeitverschiebung; eine gemeinsame Gruppen-Chat-App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dann zwei Monate ausfällt.</w:t>
      </w:r>
    </w:p>
    <w:p>
      <w:pPr>
        <w:pStyle w:val="Heading3"/>
        <w:keepNext w:val="true"/>
        <w:spacing w:before="280" w:after="100"/>
        <w:jc w:val="center"/>
        <w:rPr/>
      </w:pPr>
      <w:r>
        <w:rPr>
          <w:rFonts w:eastAsia="Amazon Ember" w:cs="Amazon Ember" w:ascii="Amazon Ember" w:hAnsi="Amazon Ember"/>
          <w:b/>
          <w:bCs/>
          <w:color w:val="0000FF"/>
          <w:sz w:val="36"/>
          <w:szCs w:val="36"/>
        </w:rPr>
        <w:t>Wenn Heimweh bleibt: Phasen, verkehrte Jahreszeiten, Hilfe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Heimweh folgt auch in Australien einem einigermaßen vorhersehbaren Muster: Einer Anfangseuphorie folgt meist zwischen dem dritten und sechsten Monat eine Talsohle aus Erschöpfung und Zweifeln, bevor sich der Alltag ab etwa einem halben bis einem Jahr normalisiert. Was diese Talsohle in Australien zusätzlich würzt, ist die verkehrte Jahreszeit: Weihnachten fällt auf der Südhalbkugel mitten in den Hochsommer, mit Strand, Grillfleisch und Klimaanlage statt Schnee und Glühwein. Für die einen ist das ein hübsches Kuriosum, für andere – gerade im ersten Jahr – ein weiterer Stich, wenn Fotos vom verschneiten Weihnachtsmarkt zu Hause auf dem Handy aufploppen, während man selbst in Badeshorts am Grill steht.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allein und mit befristetem Visum kommt, erlebt eine andere Form der Isolation als Familien: kein Kollegium, kein Schulnetzwerk, oft ein wechselnder Kreis aus anderen Backpackern, der sich alle paar Wochen neu zusammensetzt. Wer dagegen mit Familie und unbefristetem Visum kommt, findet über Kinder und Arbeitgeber schneller Struktur, trägt aber die Verantwortung für den emotionalen Zustand aller Mitreisenden mit.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Nina Voss (fiktiv) kommt mit einem Working-Holiday-Visum nach Sydney, wohnt die ersten Wochen im Hostel in Bondi und wechselt danach mehrfach die WG. Nach drei Monaten hat sie viele nette Bekanntschaften, aber niemanden, den sie wirklich vermissen würde, wenn sie abreist – und genau das macht ihr an einem regnerischen Sonntagabend plötzlich zu schaffen. Sie meldet sich für einen festen Volleyball-Abend am Bondi Beach an und bleibt bewusst sechs Wochen bei derselben Gruppe, statt weiterzuziehen. Aus der losen Runde wird eine Mitbewohnerin, mit der sie später zusammenzieht, als sie über einen Arbeitgeber auf ein Skilled-Visum wechselt.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Bei anhaltender Erschöpfung, Schlafproblemen oder dem Gefühl, nicht mehr allein zurechtzukommen, ist professionelle Hilfe kein Zeichen des Scheiterns. Lifeline Australia ist rund um die Uhr unter 13 11 14 erreichbar, kostenlos und auf Englisch; für ein Gespräch auf Deutsch helfen Online-Verzeichnisse deutschsprachiger Therapeutinnen und Therapeuten oder eine Nachfrage in der deutschen Community vor Ort (siehe oben). Bei akuter Gefahr wählst du 000, den australischen Notruf.</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Kontakt zu Fremden gelingt schnell, Sportvereine und Nachbarschaft sind offene Türen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Schneller Kontakt heißt nicht automatisch tiefe Freundschaft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Freiwilligenarbeit bei RFS oder SES öffnet ungewöhnlich schnell feste Bindungen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Solche Ehrenämter setzen oft Wohnorte mit Buschfeuer- oder Flutrisiko voraus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Community in Sydney und Melbourne gut organisiert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 anderen Großstädten kaum deutsche Infrastruktur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Videotelefonie hält Kontakt trotz der Distanz aufrecht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Direktflüge, 21 bis 24 Stunden Reisezeit, hohe Preise bei Last-Minute-Buchungen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Entspannte, offene Umgangsformen erleichtern erste Kontakte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Indirekte Kommunikation macht Ablehnung oder echte Not schwer erkennbar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Professionelle Hilfe ist rund um die Uhr erreichbar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Große Zeitverschiebung erschwert spontane Nähe im Ernstfall</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Wähle vor dem Umzug einen Sportverein oder ein Ehrenamt in deiner Zielstadt aus, tritt den passenden Online-Gruppen bei und plane feste Rituale mit der Familie zu Hause trotz Zeitverschiebung ein. Bereite dich außerdem darauf vor, dass Heimatbesuche in Australien geplant statt spontan sind, und kläre die wichtigsten Notfallfragen, bevor du sie brauchst.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dem Umzug einen Sportclub, ein Ehrenamt (RFS, SES, Surf Life Saving) oder eine TAFE-Kursliste der Zielstadt recherchiert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Facebook- und Meetup-Gruppen „Germans in [Stadt]“ gesucht und beigetreten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Zuständiges Generalkonsulat und nächstes Goethe-Institut notiert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Festen Wochentermin für Kontakt nach Deutschland trotz Zeitverschiebung vereinbart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Heimatbesuch zu Weihnachten oder größeren Feiertagen früh gebucht, nicht im akuten Tief</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Vorsorgevollmacht für eine Person in Deutschland geklärt, bevor ein Notfall eintritt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Lifeline (13 11 14) und den Notruf 000 gespeichert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Vorgenommen, mindestens die Hälfte der festen Termine unter Englischsprachigen zu verbringen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Deutsche Botschaft Canberra und Generalkonsulat Sydney — Zuständigkeiten, Kontakt (</w:t>
      </w:r>
      <w:hyperlink r:id="rId496">
        <w:r>
          <w:rPr>
            <w:rStyle w:val="ListLabel113"/>
            <w:rFonts w:eastAsia="Cambria" w:cs="Cambria"/>
            <w:b w:val="false"/>
            <w:bCs w:val="false"/>
            <w:i w:val="false"/>
            <w:iCs w:val="false"/>
            <w:color w:val="0563C1"/>
            <w:sz w:val="22"/>
            <w:szCs w:val="22"/>
            <w:u w:val="single"/>
          </w:rPr>
          <w:t>australien.diplo.de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Goethe-Institut Australien — Standorte Sydney und Melbourne (</w:t>
      </w:r>
      <w:hyperlink r:id="rId497">
        <w:r>
          <w:rPr>
            <w:rStyle w:val="ListLabel113"/>
            <w:rFonts w:eastAsia="Cambria" w:cs="Cambria"/>
            <w:b w:val="false"/>
            <w:bCs w:val="false"/>
            <w:i w:val="false"/>
            <w:iCs w:val="false"/>
            <w:color w:val="0563C1"/>
            <w:sz w:val="22"/>
            <w:szCs w:val="22"/>
            <w:u w:val="single"/>
          </w:rPr>
          <w:t>goethe.de/ins/au</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Lifeline Australia — Krisenhilfe rund um die Uhr (</w:t>
      </w:r>
      <w:hyperlink r:id="rId498">
        <w:r>
          <w:rPr>
            <w:rStyle w:val="ListLabel113"/>
            <w:rFonts w:eastAsia="Cambria" w:cs="Cambria"/>
            <w:b w:val="false"/>
            <w:bCs w:val="false"/>
            <w:i w:val="false"/>
            <w:iCs w:val="false"/>
            <w:color w:val="0563C1"/>
            <w:sz w:val="22"/>
            <w:szCs w:val="22"/>
            <w:u w:val="single"/>
          </w:rPr>
          <w:t>lifeline.org.au</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Surf Life Saving Australia — Clubs und Mitgliedschaft (</w:t>
      </w:r>
      <w:hyperlink r:id="rId499">
        <w:r>
          <w:rPr>
            <w:rStyle w:val="ListLabel113"/>
            <w:rFonts w:eastAsia="Cambria" w:cs="Cambria"/>
            <w:b w:val="false"/>
            <w:bCs w:val="false"/>
            <w:i w:val="false"/>
            <w:iCs w:val="false"/>
            <w:color w:val="0563C1"/>
            <w:sz w:val="22"/>
            <w:szCs w:val="22"/>
            <w:u w:val="single"/>
          </w:rPr>
          <w:t>sls.com.au</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NSW Rural Fire Service und State Emergency Service — freiwillige Mitarbeit (</w:t>
      </w:r>
      <w:hyperlink r:id="rId500">
        <w:r>
          <w:rPr>
            <w:rStyle w:val="ListLabel113"/>
            <w:rFonts w:eastAsia="Cambria" w:cs="Cambria"/>
            <w:b w:val="false"/>
            <w:bCs w:val="false"/>
            <w:i w:val="false"/>
            <w:iCs w:val="false"/>
            <w:color w:val="0563C1"/>
            <w:sz w:val="22"/>
            <w:szCs w:val="22"/>
            <w:u w:val="single"/>
          </w:rPr>
          <w:t>rfs.nsw.gov.au</w:t>
        </w:r>
      </w:hyperlink>
      <w:r>
        <w:rPr>
          <w:rFonts w:eastAsia="Cambria" w:cs="Cambria"/>
          <w:b w:val="false"/>
          <w:bCs w:val="false"/>
          <w:i w:val="false"/>
          <w:iCs w:val="false"/>
          <w:sz w:val="22"/>
          <w:szCs w:val="22"/>
        </w:rPr>
        <w:t xml:space="preserve">, </w:t>
      </w:r>
      <w:hyperlink r:id="rId501">
        <w:r>
          <w:rPr>
            <w:rStyle w:val="ListLabel113"/>
            <w:rFonts w:eastAsia="Cambria" w:cs="Cambria"/>
            <w:b w:val="false"/>
            <w:bCs w:val="false"/>
            <w:i w:val="false"/>
            <w:iCs w:val="false"/>
            <w:color w:val="0563C1"/>
            <w:sz w:val="22"/>
            <w:szCs w:val="22"/>
            <w:u w:val="single"/>
          </w:rPr>
          <w:t>ses.nsw.gov.au</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Zuständigkeiten von Konsulaten und Goethe-Instituten, Flugverbindungen und -preise sowie Kontaktdaten von Hilfsangeboten. Prüfe vor jeder Entscheidung die aktuellen Angaben der genannten Stellen.</w:t>
            </w:r>
          </w:p>
        </w:tc>
      </w:tr>
    </w:tbl>
    <w:p>
      <w:pPr>
        <w:pStyle w:val="Normal"/>
        <w:spacing w:lineRule="exact" w:line="220" w:before="0" w:after="0"/>
        <w:rPr/>
      </w:pPr>
      <w:r>
        <w:rPr/>
      </w:r>
      <w:r>
        <w:br w:type="page"/>
      </w:r>
    </w:p>
    <w:p>
      <w:pPr>
        <w:pStyle w:val="Heading2"/>
        <w:keepNext w:val="true"/>
        <w:spacing w:before="0" w:after="300"/>
        <w:jc w:val="center"/>
        <w:rPr/>
      </w:pPr>
      <w:bookmarkStart w:id="128" w:name="__RefHeading___Toc56557_3769931028"/>
      <w:bookmarkStart w:id="129" w:name="tau13"/>
      <w:bookmarkEnd w:id="128"/>
      <w:r>
        <w:rPr>
          <w:rFonts w:eastAsia="Amazon Ember" w:cs="Amazon Ember" w:ascii="Amazon Ember" w:hAnsi="Amazon Ember"/>
          <w:b/>
          <w:bCs/>
          <w:color w:val="0000FF"/>
          <w:sz w:val="36"/>
          <w:szCs w:val="36"/>
        </w:rPr>
        <w:t>Australien: Kinder, Schule und Spracheingewöhnung</w:t>
      </w:r>
      <w:bookmarkEnd w:id="129"/>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Schulbeginn im neuen Jahr ist in Australien wörtlich gemeint: Während deutsche Klassenkameraden im Januar mitten im zweiten Schulhalbjahr stecken, startet Emil (10, fiktiv, Familie Reinhardt) sein erstes australisches Schuljahr am Ende des australischen Sommers – in kurzen Hosen und mit Sonnencreme im Ranzen statt mit Mütze und Schal. Für Eltern ist das mehr als eine Kuriosität: Der Zeitpunkt des Umzugs entscheidet mit, wie glatt der Schulwechsel gelingt.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Australiens Schuljahr läuft von Ende Januar/Anfang Februar bis Mitte Dezember, in vier Terms mit kurzen Pausen dazwischen – ein zentraler Unterschied zum deutschen Rhythmus, den du bei der Umzugsplanung nutzen solltest.</w:t>
            </w:r>
          </w:p>
          <w:p>
            <w:pPr>
              <w:pStyle w:val="ListParagraph"/>
              <w:numPr>
                <w:ilvl w:val="0"/>
                <w:numId w:val="1"/>
              </w:numPr>
              <w:spacing w:lineRule="exact" w:line="264" w:before="0" w:after="50"/>
              <w:rPr/>
            </w:pPr>
            <w:r>
              <w:rPr>
                <w:rFonts w:eastAsia="Cambria" w:cs="Cambria"/>
                <w:b w:val="false"/>
                <w:bCs w:val="false"/>
                <w:i w:val="false"/>
                <w:iCs w:val="false"/>
                <w:sz w:val="20"/>
                <w:szCs w:val="20"/>
              </w:rPr>
              <w:t>Primary School dauert meist von Kindergarten/Prep bis Year 6, Secondary School von Year 7 bis Year 12; jeder Bundesstaat zählt und benennt die Anfangsstufe leicht anders.</w:t>
            </w:r>
          </w:p>
          <w:p>
            <w:pPr>
              <w:pStyle w:val="ListParagraph"/>
              <w:numPr>
                <w:ilvl w:val="0"/>
                <w:numId w:val="1"/>
              </w:numPr>
              <w:spacing w:lineRule="exact" w:line="264" w:before="0" w:after="50"/>
              <w:rPr/>
            </w:pPr>
            <w:r>
              <w:rPr>
                <w:rFonts w:eastAsia="Cambria" w:cs="Cambria"/>
                <w:b w:val="false"/>
                <w:bCs w:val="false"/>
                <w:i w:val="false"/>
                <w:iCs w:val="false"/>
                <w:sz w:val="20"/>
                <w:szCs w:val="20"/>
              </w:rPr>
              <w:t>Rund 63 % der Kinder besuchen staatliche, kostenlose Schulen; katholische und unabhängige Privatschulen kosten von wenigen Tausend bis über 50.000 AUD im Jahr.</w:t>
            </w:r>
          </w:p>
          <w:p>
            <w:pPr>
              <w:pStyle w:val="ListParagraph"/>
              <w:numPr>
                <w:ilvl w:val="0"/>
                <w:numId w:val="1"/>
              </w:numPr>
              <w:spacing w:lineRule="exact" w:line="264" w:before="0" w:after="50"/>
              <w:rPr/>
            </w:pPr>
            <w:r>
              <w:rPr>
                <w:rFonts w:eastAsia="Cambria" w:cs="Cambria"/>
                <w:b w:val="false"/>
                <w:bCs w:val="false"/>
                <w:i w:val="false"/>
                <w:iCs w:val="false"/>
                <w:sz w:val="20"/>
                <w:szCs w:val="20"/>
              </w:rPr>
              <w:t>Öffentliche Schulen kommen ohne Statusprüfung aus, verlangen aber Wohnsitz-, Alters- und Impfnachweise.</w:t>
            </w:r>
          </w:p>
          <w:p>
            <w:pPr>
              <w:pStyle w:val="ListParagraph"/>
              <w:numPr>
                <w:ilvl w:val="0"/>
                <w:numId w:val="1"/>
              </w:numPr>
              <w:spacing w:lineRule="exact" w:line="264" w:before="0" w:after="50"/>
              <w:rPr/>
            </w:pPr>
            <w:r>
              <w:rPr>
                <w:rFonts w:eastAsia="Cambria" w:cs="Cambria"/>
                <w:b w:val="false"/>
                <w:bCs w:val="false"/>
                <w:i w:val="false"/>
                <w:iCs w:val="false"/>
                <w:sz w:val="20"/>
                <w:szCs w:val="20"/>
              </w:rPr>
              <w:t>Sprachförderung (EAL/D) ist an australischen Schulen Standard, nicht die Ausnahme – Kinder lernen meist deutlich schneller Englisch als ihre Eltern.</w:t>
            </w:r>
          </w:p>
          <w:p>
            <w:pPr>
              <w:pStyle w:val="ListParagraph"/>
              <w:numPr>
                <w:ilvl w:val="0"/>
                <w:numId w:val="1"/>
              </w:numPr>
              <w:spacing w:lineRule="exact" w:line="264" w:before="0" w:after="50"/>
              <w:rPr/>
            </w:pPr>
            <w:r>
              <w:rPr>
                <w:rFonts w:eastAsia="Cambria" w:cs="Cambria"/>
                <w:b w:val="false"/>
                <w:bCs w:val="false"/>
                <w:i w:val="false"/>
                <w:iCs w:val="false"/>
                <w:sz w:val="20"/>
                <w:szCs w:val="20"/>
              </w:rPr>
              <w:t>Deutsche Schulen und Sprachangebote gibt es fast nur in Sydney und Melbourne; anderswo bleibt vor allem die eigene Initiative zu Hause.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Aufbau des Schulsystems: Primary, Secondary und ein Flickenteppich der Bundesstaaten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Bildung ist in Australien, ähnlich wie in Deutschland, Ländersache – hier eben Sache der sechs Bundesstaaten und zwei Territorien, nicht eines Bundesministeriums. Ein nationaler Rahmenlehrplan (</w:t>
      </w:r>
      <w:r>
        <w:rPr>
          <w:rFonts w:eastAsia="Cambria" w:cs="Cambria"/>
          <w:b w:val="false"/>
          <w:bCs w:val="false"/>
          <w:i/>
          <w:iCs/>
          <w:sz w:val="22"/>
          <w:szCs w:val="22"/>
        </w:rPr>
        <w:t>Australian Curriculum</w:t>
      </w:r>
      <w:r>
        <w:rPr>
          <w:rFonts w:eastAsia="Cambria" w:cs="Cambria"/>
          <w:b w:val="false"/>
          <w:bCs w:val="false"/>
          <w:i w:val="false"/>
          <w:iCs w:val="false"/>
          <w:sz w:val="22"/>
          <w:szCs w:val="22"/>
        </w:rPr>
        <w:t>) sorgt für eine gewisse Einheitlichkeit; die konkrete Umsetzung, Stufenzählung und Bezeichnung bleiben aber Ländersache – ein Flickenteppich, an den sich deutsche Eltern erst gewöhnen müssen.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Aufbau folgt überall demselben Grundmuster: einem freiwilligen, aber weitverbreiteten Vorschuljahr (je nach Bundesstaat </w:t>
      </w:r>
      <w:r>
        <w:rPr>
          <w:rFonts w:eastAsia="Cambria" w:cs="Cambria"/>
          <w:b w:val="false"/>
          <w:bCs w:val="false"/>
          <w:i/>
          <w:iCs/>
          <w:sz w:val="22"/>
          <w:szCs w:val="22"/>
        </w:rPr>
        <w:t>Kindergarten</w:t>
      </w:r>
      <w:r>
        <w:rPr>
          <w:rFonts w:eastAsia="Cambria" w:cs="Cambria"/>
          <w:b w:val="false"/>
          <w:bCs w:val="false"/>
          <w:i w:val="false"/>
          <w:iCs w:val="false"/>
          <w:sz w:val="22"/>
          <w:szCs w:val="22"/>
        </w:rPr>
        <w:t xml:space="preserve">, </w:t>
      </w:r>
      <w:r>
        <w:rPr>
          <w:rFonts w:eastAsia="Cambria" w:cs="Cambria"/>
          <w:b w:val="false"/>
          <w:bCs w:val="false"/>
          <w:i/>
          <w:iCs/>
          <w:sz w:val="22"/>
          <w:szCs w:val="22"/>
        </w:rPr>
        <w:t>Prep</w:t>
      </w:r>
      <w:r>
        <w:rPr>
          <w:rFonts w:eastAsia="Cambria" w:cs="Cambria"/>
          <w:b w:val="false"/>
          <w:bCs w:val="false"/>
          <w:i w:val="false"/>
          <w:iCs w:val="false"/>
          <w:sz w:val="22"/>
          <w:szCs w:val="22"/>
        </w:rPr>
        <w:t xml:space="preserve">, </w:t>
      </w:r>
      <w:r>
        <w:rPr>
          <w:rFonts w:eastAsia="Cambria" w:cs="Cambria"/>
          <w:b w:val="false"/>
          <w:bCs w:val="false"/>
          <w:i/>
          <w:iCs/>
          <w:sz w:val="22"/>
          <w:szCs w:val="22"/>
        </w:rPr>
        <w:t>Foundation</w:t>
      </w:r>
      <w:r>
        <w:rPr>
          <w:rFonts w:eastAsia="Cambria" w:cs="Cambria"/>
          <w:b w:val="false"/>
          <w:bCs w:val="false"/>
          <w:i w:val="false"/>
          <w:iCs w:val="false"/>
          <w:sz w:val="22"/>
          <w:szCs w:val="22"/>
        </w:rPr>
        <w:t xml:space="preserve"> oder </w:t>
      </w:r>
      <w:r>
        <w:rPr>
          <w:rFonts w:eastAsia="Cambria" w:cs="Cambria"/>
          <w:b w:val="false"/>
          <w:bCs w:val="false"/>
          <w:i/>
          <w:iCs/>
          <w:sz w:val="22"/>
          <w:szCs w:val="22"/>
        </w:rPr>
        <w:t>Reception</w:t>
      </w:r>
      <w:r>
        <w:rPr>
          <w:rFonts w:eastAsia="Cambria" w:cs="Cambria"/>
          <w:b w:val="false"/>
          <w:bCs w:val="false"/>
          <w:i w:val="false"/>
          <w:iCs w:val="false"/>
          <w:sz w:val="22"/>
          <w:szCs w:val="22"/>
        </w:rPr>
        <w:t xml:space="preserve"> genannt) mit rund fünf Jahren, gefolgt von der </w:t>
      </w:r>
      <w:r>
        <w:rPr>
          <w:rFonts w:eastAsia="Cambria" w:cs="Cambria"/>
          <w:b w:val="false"/>
          <w:bCs w:val="false"/>
          <w:i/>
          <w:iCs/>
          <w:sz w:val="22"/>
          <w:szCs w:val="22"/>
        </w:rPr>
        <w:t>Primary School</w:t>
      </w:r>
      <w:r>
        <w:rPr>
          <w:rFonts w:eastAsia="Cambria" w:cs="Cambria"/>
          <w:b w:val="false"/>
          <w:bCs w:val="false"/>
          <w:i w:val="false"/>
          <w:iCs w:val="false"/>
          <w:sz w:val="22"/>
          <w:szCs w:val="22"/>
        </w:rPr>
        <w:t xml:space="preserve"> (Grundschule) bis Year 6 und der </w:t>
      </w:r>
      <w:r>
        <w:rPr>
          <w:rFonts w:eastAsia="Cambria" w:cs="Cambria"/>
          <w:b w:val="false"/>
          <w:bCs w:val="false"/>
          <w:i/>
          <w:iCs/>
          <w:sz w:val="22"/>
          <w:szCs w:val="22"/>
        </w:rPr>
        <w:t>Secondary School</w:t>
      </w:r>
      <w:r>
        <w:rPr>
          <w:rFonts w:eastAsia="Cambria" w:cs="Cambria"/>
          <w:b w:val="false"/>
          <w:bCs w:val="false"/>
          <w:i w:val="false"/>
          <w:iCs w:val="false"/>
          <w:sz w:val="22"/>
          <w:szCs w:val="22"/>
        </w:rPr>
        <w:t xml:space="preserve"> (weiterführende Schule) von Year 7 bis Year 12. New South Wales zählt dabei anders als die übrigen Staaten: Dort zählt das Vorschuljahr nicht als eigenes Year, weshalb ein Kind derselben Altersgruppe dort ein Jahr „niedriger“ nummeriert sein kann als etwa in Victoria oder Queensland. Für die Einstufung deines Kindes zählt am Ende ohnehin nicht die Zahl, sondern das Geburtsdatum im Vergleich zum landesweiten Stichtag, den jeder Bundesstaat selbst festlegt.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Den Abschluss der Schulzeit markiert kein bundesweit einheitliches Zeugnis, sondern ein Zertifikat je Bundesstaat: das </w:t>
      </w:r>
      <w:r>
        <w:rPr>
          <w:rFonts w:eastAsia="Cambria" w:cs="Cambria"/>
          <w:b w:val="false"/>
          <w:bCs w:val="false"/>
          <w:i/>
          <w:iCs/>
          <w:sz w:val="22"/>
          <w:szCs w:val="22"/>
        </w:rPr>
        <w:t>Higher School Certificate</w:t>
      </w:r>
      <w:r>
        <w:rPr>
          <w:rFonts w:eastAsia="Cambria" w:cs="Cambria"/>
          <w:b w:val="false"/>
          <w:bCs w:val="false"/>
          <w:i w:val="false"/>
          <w:iCs w:val="false"/>
          <w:sz w:val="22"/>
          <w:szCs w:val="22"/>
        </w:rPr>
        <w:t xml:space="preserve"> (HSC) in New South Wales, das </w:t>
      </w:r>
      <w:r>
        <w:rPr>
          <w:rFonts w:eastAsia="Cambria" w:cs="Cambria"/>
          <w:b w:val="false"/>
          <w:bCs w:val="false"/>
          <w:i/>
          <w:iCs/>
          <w:sz w:val="22"/>
          <w:szCs w:val="22"/>
        </w:rPr>
        <w:t>Victorian Certificate of Education</w:t>
      </w:r>
      <w:r>
        <w:rPr>
          <w:rFonts w:eastAsia="Cambria" w:cs="Cambria"/>
          <w:b w:val="false"/>
          <w:bCs w:val="false"/>
          <w:i w:val="false"/>
          <w:iCs w:val="false"/>
          <w:sz w:val="22"/>
          <w:szCs w:val="22"/>
        </w:rPr>
        <w:t xml:space="preserve"> (VCE) in Victoria, das </w:t>
      </w:r>
      <w:r>
        <w:rPr>
          <w:rFonts w:eastAsia="Cambria" w:cs="Cambria"/>
          <w:b w:val="false"/>
          <w:bCs w:val="false"/>
          <w:i/>
          <w:iCs/>
          <w:sz w:val="22"/>
          <w:szCs w:val="22"/>
        </w:rPr>
        <w:t>Queensland Certificate of Education</w:t>
      </w:r>
      <w:r>
        <w:rPr>
          <w:rFonts w:eastAsia="Cambria" w:cs="Cambria"/>
          <w:b w:val="false"/>
          <w:bCs w:val="false"/>
          <w:i w:val="false"/>
          <w:iCs w:val="false"/>
          <w:sz w:val="22"/>
          <w:szCs w:val="22"/>
        </w:rPr>
        <w:t xml:space="preserve"> (QCE) in Queensland und ähnliche Zertifikate in den übrigen Staaten – inhaltlich vergleichbar mit dem Abitur, aber ohne dessen bundesweite Einheitlichkeit. Für die Universitätszulassung zählt zusätzlich der </w:t>
      </w:r>
      <w:r>
        <w:rPr>
          <w:rFonts w:eastAsia="Cambria" w:cs="Cambria"/>
          <w:b w:val="false"/>
          <w:bCs w:val="false"/>
          <w:i/>
          <w:iCs/>
          <w:sz w:val="22"/>
          <w:szCs w:val="22"/>
        </w:rPr>
        <w:t>ATAR</w:t>
      </w:r>
      <w:r>
        <w:rPr>
          <w:rFonts w:eastAsia="Cambria" w:cs="Cambria"/>
          <w:b w:val="false"/>
          <w:bCs w:val="false"/>
          <w:i w:val="false"/>
          <w:iCs w:val="false"/>
          <w:sz w:val="22"/>
          <w:szCs w:val="22"/>
        </w:rPr>
        <w:t xml:space="preserve"> (</w:t>
      </w:r>
      <w:r>
        <w:rPr>
          <w:rFonts w:eastAsia="Cambria" w:cs="Cambria"/>
          <w:b w:val="false"/>
          <w:bCs w:val="false"/>
          <w:i/>
          <w:iCs/>
          <w:sz w:val="22"/>
          <w:szCs w:val="22"/>
        </w:rPr>
        <w:t>Australian Tertiary Admission Rank</w:t>
      </w:r>
      <w:r>
        <w:rPr>
          <w:rFonts w:eastAsia="Cambria" w:cs="Cambria"/>
          <w:b w:val="false"/>
          <w:bCs w:val="false"/>
          <w:i w:val="false"/>
          <w:iCs w:val="false"/>
          <w:sz w:val="22"/>
          <w:szCs w:val="22"/>
        </w:rPr>
        <w:t>), eine Rangzahl zwischen 0 und 99,95, die die Leistung eines Schülers relativ zum gesamten Jahrgang ausdrückt – ein Prinzip, das es in dieser Form in Deutschland nicht gibt und das sich beim ersten Elternabend gern zweimal erklären lässt.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Vergiss die Suche nach „der deutschen Klasse“ als Vergleichsgröße. Wichtiger als die Year-Zahl sind der Stichtag des jeweiligen Bundesstaats und das, was die Schule vor Ort über den Wissensstand deines Kindes sagt.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Zwei Alltagsdetails überraschen deutsche Familien fast immer: Erstens tragen australische Schulkinder, staatlich wie privat, fast überall eine Schuluniform – für Grundschulkinder meist ein einfaches Polohemd mit Schullogo und ein Sonnenhut (in vielen Bundesstaaten gilt an heißen Tagen eine strikte „No Hat, No Play“-Regel für die Pausen im Freien), für ältere Jahrgänge oft ein vollständigeres Set inklusive Sportuniform. Die Erstausstattung kostet, je nach Schule, gut und gern ein paar Hundert AUD, ist gebraucht über Second-Hand-Börsen der Schule aber deutlich günstiger zu bekommen. Zweitens ist „kostenlos“ bei staatlichen Schulen mit Einschränkung zu lesen: Der Unterricht selbst ist gebührenfrei, doch die meisten Schulen bitten Eltern jährlich um einen freiwilligen Schulbeitrag (</w:t>
      </w:r>
      <w:r>
        <w:rPr>
          <w:rFonts w:eastAsia="Cambria" w:cs="Cambria"/>
          <w:b w:val="false"/>
          <w:bCs w:val="false"/>
          <w:i/>
          <w:iCs/>
          <w:sz w:val="22"/>
          <w:szCs w:val="22"/>
        </w:rPr>
        <w:t>Voluntary Contribution</w:t>
      </w:r>
      <w:r>
        <w:rPr>
          <w:rFonts w:eastAsia="Cambria" w:cs="Cambria"/>
          <w:b w:val="false"/>
          <w:bCs w:val="false"/>
          <w:i w:val="false"/>
          <w:iCs w:val="false"/>
          <w:sz w:val="22"/>
          <w:szCs w:val="22"/>
        </w:rPr>
        <w:t>, oft im niedrigen dreistelligen AUD-Bereich) für Materialien, Exkursionen und Ausstattung – rechtlich freiwillig, sozial aber meist erwartet.</w:t>
      </w:r>
    </w:p>
    <w:p>
      <w:pPr>
        <w:pStyle w:val="Heading3"/>
        <w:keepNext w:val="true"/>
        <w:spacing w:before="280" w:after="100"/>
        <w:jc w:val="center"/>
        <w:rPr/>
      </w:pPr>
      <w:r>
        <w:rPr>
          <w:rFonts w:eastAsia="Amazon Ember" w:cs="Amazon Ember" w:ascii="Amazon Ember" w:hAnsi="Amazon Ember"/>
          <w:b/>
          <w:bCs/>
          <w:color w:val="0000FF"/>
          <w:sz w:val="36"/>
          <w:szCs w:val="36"/>
        </w:rPr>
        <w:t>Staatlich, katholisch oder unabhängig: drei Schulwelten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Anders als in den USA gibt es in Australien traditionell drei große Schulsektoren nebeneinander, und alle drei sind fest im Alltag verankert. Rund 63 % der Kinder besuchen staatliche </w:t>
      </w:r>
      <w:r>
        <w:rPr>
          <w:rFonts w:eastAsia="Cambria" w:cs="Cambria"/>
          <w:b w:val="false"/>
          <w:bCs w:val="false"/>
          <w:i/>
          <w:iCs/>
          <w:sz w:val="22"/>
          <w:szCs w:val="22"/>
        </w:rPr>
        <w:t>Public Schools</w:t>
      </w:r>
      <w:r>
        <w:rPr>
          <w:rFonts w:eastAsia="Cambria" w:cs="Cambria"/>
          <w:b w:val="false"/>
          <w:bCs w:val="false"/>
          <w:i w:val="false"/>
          <w:iCs w:val="false"/>
          <w:sz w:val="22"/>
          <w:szCs w:val="22"/>
        </w:rPr>
        <w:t xml:space="preserve">: kostenlos, konfessionsfrei, mit Aufnahme nach Wohnadresse – ganz ähnlich dem deutschen Prinzip „Schulbezirk bestimmt Schule“. Etwa 20 % gehen auf katholische </w:t>
      </w:r>
      <w:r>
        <w:rPr>
          <w:rFonts w:eastAsia="Cambria" w:cs="Cambria"/>
          <w:b w:val="false"/>
          <w:bCs w:val="false"/>
          <w:i/>
          <w:iCs/>
          <w:sz w:val="22"/>
          <w:szCs w:val="22"/>
        </w:rPr>
        <w:t>Systemic Schools</w:t>
      </w:r>
      <w:r>
        <w:rPr>
          <w:rFonts w:eastAsia="Cambria" w:cs="Cambria"/>
          <w:b w:val="false"/>
          <w:bCs w:val="false"/>
          <w:i w:val="false"/>
          <w:iCs w:val="false"/>
          <w:sz w:val="22"/>
          <w:szCs w:val="22"/>
        </w:rPr>
        <w:t xml:space="preserve">, die über das jeweilige Bistum organisiert sind und mit rund 4.000 bis 10.000 AUD Schulgeld pro Jahr merklich günstiger bleiben als unabhängige Privatschulen; ab dem dritten angemeldeten Kind einer Familie entfällt das Schulgeld bei vielen Diözesen. Die restlichen rund 17 % besuchen unabhängige </w:t>
      </w:r>
      <w:r>
        <w:rPr>
          <w:rFonts w:eastAsia="Cambria" w:cs="Cambria"/>
          <w:b w:val="false"/>
          <w:bCs w:val="false"/>
          <w:i/>
          <w:iCs/>
          <w:sz w:val="22"/>
          <w:szCs w:val="22"/>
        </w:rPr>
        <w:t>Independent Schools</w:t>
      </w:r>
      <w:r>
        <w:rPr>
          <w:rFonts w:eastAsia="Cambria" w:cs="Cambria"/>
          <w:b w:val="false"/>
          <w:bCs w:val="false"/>
          <w:i w:val="false"/>
          <w:iCs w:val="false"/>
          <w:sz w:val="22"/>
          <w:szCs w:val="22"/>
        </w:rPr>
        <w:t>, deren Schulgeld von rund 25.000 AUD bis, an renommierten Schulen der großen Städte, über 50.000 AUD im letzten Schuljahr reicht – ein Anteil, der in den letzten Jahren spürbar gewachsen ist, während der staatliche Sektor leicht schrumpft.</w:t>
      </w:r>
    </w:p>
    <w:tbl>
      <w:tblPr>
        <w:tblW w:w="6480" w:type="dxa"/>
        <w:jc w:val="left"/>
        <w:tblInd w:w="0" w:type="dxa"/>
        <w:tblLayout w:type="fixed"/>
        <w:tblCellMar>
          <w:top w:w="50" w:type="dxa"/>
          <w:left w:w="80" w:type="dxa"/>
          <w:bottom w:w="50" w:type="dxa"/>
          <w:right w:w="80" w:type="dxa"/>
        </w:tblCellMar>
      </w:tblPr>
      <w:tblGrid>
        <w:gridCol w:w="3052"/>
        <w:gridCol w:w="1303"/>
        <w:gridCol w:w="2125"/>
      </w:tblGrid>
      <w:tr>
        <w:trPr>
          <w:tblHeader w:val="true"/>
          <w:cantSplit w:val="true"/>
        </w:trPr>
        <w:tc>
          <w:tcPr>
            <w:tcW w:w="305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Schultyp</w:t>
            </w:r>
          </w:p>
        </w:tc>
        <w:tc>
          <w:tcPr>
            <w:tcW w:w="130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Anteil Schüler</w:t>
            </w:r>
          </w:p>
        </w:tc>
        <w:tc>
          <w:tcPr>
            <w:tcW w:w="212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Kosten pro Jahr</w:t>
            </w:r>
          </w:p>
        </w:tc>
      </w:tr>
      <w:tr>
        <w:trPr>
          <w:cantSplit w:val="true"/>
        </w:trPr>
        <w:tc>
          <w:tcPr>
            <w:tcW w:w="30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Public School (staatlich)</w:t>
            </w:r>
          </w:p>
        </w:tc>
        <w:tc>
          <w:tcPr>
            <w:tcW w:w="13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63 %</w:t>
            </w:r>
          </w:p>
        </w:tc>
        <w:tc>
          <w:tcPr>
            <w:tcW w:w="212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kostenlos</w:t>
            </w:r>
          </w:p>
        </w:tc>
      </w:tr>
      <w:tr>
        <w:trPr>
          <w:cantSplit w:val="true"/>
        </w:trPr>
        <w:tc>
          <w:tcPr>
            <w:tcW w:w="30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Catholic School (katholisch)</w:t>
            </w:r>
          </w:p>
        </w:tc>
        <w:tc>
          <w:tcPr>
            <w:tcW w:w="13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20 %</w:t>
            </w:r>
          </w:p>
        </w:tc>
        <w:tc>
          <w:tcPr>
            <w:tcW w:w="212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4.000–10.000 AUD</w:t>
            </w:r>
          </w:p>
        </w:tc>
      </w:tr>
      <w:tr>
        <w:trPr>
          <w:cantSplit w:val="true"/>
        </w:trPr>
        <w:tc>
          <w:tcPr>
            <w:tcW w:w="30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Independent School (unabhängig)</w:t>
            </w:r>
          </w:p>
        </w:tc>
        <w:tc>
          <w:tcPr>
            <w:tcW w:w="13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17 %</w:t>
            </w:r>
          </w:p>
        </w:tc>
        <w:tc>
          <w:tcPr>
            <w:tcW w:w="212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25.000–55.000 AUD</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Schulqualität gilt Ähnliches wie anderswo: Privatschulen erzielen im Schnitt bessere ATAR-Ergebnisse, doch ein erheblicher Teil dieses Vorsprungs erklärt sich eher durch die soziale Herkunft der Schülerschaft als durch bessere Lehre – die besten staatlichen Schulen mit Aufnahmeprüfung (</w:t>
      </w:r>
      <w:r>
        <w:rPr>
          <w:rFonts w:eastAsia="Cambria" w:cs="Cambria"/>
          <w:b w:val="false"/>
          <w:bCs w:val="false"/>
          <w:i/>
          <w:iCs/>
          <w:sz w:val="22"/>
          <w:szCs w:val="22"/>
        </w:rPr>
        <w:t>Selective Schools</w:t>
      </w:r>
      <w:r>
        <w:rPr>
          <w:rFonts w:eastAsia="Cambria" w:cs="Cambria"/>
          <w:b w:val="false"/>
          <w:bCs w:val="false"/>
          <w:i w:val="false"/>
          <w:iCs w:val="false"/>
          <w:sz w:val="22"/>
          <w:szCs w:val="22"/>
        </w:rPr>
        <w:t>, vor allem in New South Wales) übertreffen renommierte Privatschulen bei den Ergebnissen regelmäßig, und das kostenlos.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Bevor du eine teure Privatschule bezahlst, prüfe zuerst das staatliche Angebot deines Wohnorts. Auch ohne Spitzenplatz auf großen Bewertungsportalen kann die staatliche Schule um die Ecke der katholischen oder unabhängigen Alternative in nichts nachstehen.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Schuljahr beginnt verkehrt herum: der große Unterschied zu Deutschland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deutsche Familien ist dies wahrscheinlich die wichtigste praktische Erkenntnis dieses Kapitels: Das australische Schuljahr folgt der Südhalbkugel, nicht dem europäischen Rhythmus. Es beginnt Ende Januar oder Anfang Februar (der genaue Zeitpunkt variiert leicht nach Bundesstaat) und endet Mitte Dezember – mitten im australischen Sommer, während in Deutschland zur gleichen Zeit die Weihnachtsferien laufen. Statt zwei langer Halbjahre mit Sommer- und Winterferien gliedert sich das Jahr in vier </w:t>
      </w:r>
      <w:r>
        <w:rPr>
          <w:rFonts w:eastAsia="Cambria" w:cs="Cambria"/>
          <w:b w:val="false"/>
          <w:bCs w:val="false"/>
          <w:i/>
          <w:iCs/>
          <w:sz w:val="22"/>
          <w:szCs w:val="22"/>
        </w:rPr>
        <w:t>Terms</w:t>
      </w:r>
      <w:r>
        <w:rPr>
          <w:rFonts w:eastAsia="Cambria" w:cs="Cambria"/>
          <w:b w:val="false"/>
          <w:bCs w:val="false"/>
          <w:i w:val="false"/>
          <w:iCs w:val="false"/>
          <w:sz w:val="22"/>
          <w:szCs w:val="22"/>
        </w:rPr>
        <w:t xml:space="preserve"> von jeweils rund zehn Wochen, unterbrochen von zwei- bis dreiwöchigen Pausen; die längste Pause liegt zwischen Mitte Dezember und Ende Januar/Anfang Februar und übernimmt damit die Funktion der deutschen Sommerferien – nur eben eine Jahreszeit versetzt.</w:t>
      </w:r>
    </w:p>
    <w:tbl>
      <w:tblPr>
        <w:tblW w:w="6480" w:type="dxa"/>
        <w:jc w:val="left"/>
        <w:tblInd w:w="0" w:type="dxa"/>
        <w:tblLayout w:type="fixed"/>
        <w:tblCellMar>
          <w:top w:w="50" w:type="dxa"/>
          <w:left w:w="80" w:type="dxa"/>
          <w:bottom w:w="50" w:type="dxa"/>
          <w:right w:w="80" w:type="dxa"/>
        </w:tblCellMar>
      </w:tblPr>
      <w:tblGrid>
        <w:gridCol w:w="949"/>
        <w:gridCol w:w="3270"/>
        <w:gridCol w:w="2261"/>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Term</w:t>
            </w:r>
          </w:p>
        </w:tc>
        <w:tc>
          <w:tcPr>
            <w:tcW w:w="327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Ungefährer Zeitraum</w:t>
            </w:r>
          </w:p>
        </w:tc>
        <w:tc>
          <w:tcPr>
            <w:tcW w:w="226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Pause danach</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Term 1</w:t>
            </w:r>
          </w:p>
        </w:tc>
        <w:tc>
          <w:tcPr>
            <w:tcW w:w="32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Ende Januar/Anfang Februar – Ende März/Mitte April</w:t>
            </w:r>
          </w:p>
        </w:tc>
        <w:tc>
          <w:tcPr>
            <w:tcW w:w="22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2 Wochen (oft mit Ostern)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Term 2</w:t>
            </w:r>
          </w:p>
        </w:tc>
        <w:tc>
          <w:tcPr>
            <w:tcW w:w="32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Ende April – Ende Juni</w:t>
            </w:r>
          </w:p>
        </w:tc>
        <w:tc>
          <w:tcPr>
            <w:tcW w:w="22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2 Wochen (Winter)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Term 3</w:t>
            </w:r>
          </w:p>
        </w:tc>
        <w:tc>
          <w:tcPr>
            <w:tcW w:w="32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Mitte Juli – Mitte September</w:t>
            </w:r>
          </w:p>
        </w:tc>
        <w:tc>
          <w:tcPr>
            <w:tcW w:w="22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2 Wochen (Frühling)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Term 4</w:t>
            </w:r>
          </w:p>
        </w:tc>
        <w:tc>
          <w:tcPr>
            <w:tcW w:w="32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Anfang Oktober – Mitte Dezember</w:t>
            </w:r>
          </w:p>
        </w:tc>
        <w:tc>
          <w:tcPr>
            <w:tcW w:w="22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6 Wochen Sommerferien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genauen Daten legt jeder Bundesstaat einzeln fest und veröffentlicht sie auf der Website seiner Bildungsbehörde; sie unterscheiden sich von Jahr zu Jahr und zwischen den Staaten um bis zu zwei Wochen.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den Umzug selbst bedeutet das doppeltes Rechnen: Wer sein Kind mitten im deutschen Schuljahr, aber zu Beginn eines australischen Terms verpflanzt, erwischt einen vergleichsweise glatten Einstieg – die neue Klasse startet dann ebenfalls gerade neu oder ist zumindest noch nicht tief in einem Themenblock. Wer dagegen versucht, exakt zum deutschen Schuljahresende im Sommer umzuziehen, landet in Australien mitten in Term 2 oder 3, während die eigenen Kinder zu Hause gerade erst in die großen Ferien starten – ein doppelter Rhythmuswechsel, der zusätzlich verwirrt. Wenn der Zeitpunkt frei wählbar ist, spricht deshalb viel dafür, den Umzug auf die späten deutschen Herbst- oder frühen Wintermonate zu legen: Das Kind verpasst dann relativ wenig vom deutschen Schuljahr und startet in Australien fast punktgenau mit Term 1 im neuen Jahr.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Unterschätze die Wucht dieses Wechsels nicht, nur weil er banal klingt. Kinder, die ihren ersten australischen Sommer mit Weihnachten am Strand erleben, während zeitgleich die alten Schulfreunde in Deutschland einen Schneemann bauen, empfinden das oft intensiver als jeden anderen Kulturschock-Moment des ersten Jahres (mehr dazu im </w:t>
            </w:r>
            <w:hyperlink w:anchor="tau12">
              <w:r>
                <w:rPr>
                  <w:rStyle w:val="ListLabel116"/>
                  <w:rFonts w:eastAsia="Cambria" w:cs="Cambria"/>
                  <w:b w:val="false"/>
                  <w:bCs w:val="false"/>
                  <w:i w:val="false"/>
                  <w:iCs w:val="false"/>
                  <w:color w:val="0563C1"/>
                  <w:sz w:val="20"/>
                  <w:szCs w:val="20"/>
                  <w:u w:val="single"/>
                </w:rPr>
                <w:t>Kapitel zu Freunden und Kulturschock in diesem Teil</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Neben dem Termsystem gibt es landesweit standardisierte Tests: </w:t>
      </w:r>
      <w:r>
        <w:rPr>
          <w:rFonts w:eastAsia="Cambria" w:cs="Cambria"/>
          <w:b w:val="false"/>
          <w:bCs w:val="false"/>
          <w:i/>
          <w:iCs/>
          <w:sz w:val="22"/>
          <w:szCs w:val="22"/>
        </w:rPr>
        <w:t>NAPLAN</w:t>
      </w:r>
      <w:r>
        <w:rPr>
          <w:rFonts w:eastAsia="Cambria" w:cs="Cambria"/>
          <w:b w:val="false"/>
          <w:bCs w:val="false"/>
          <w:i w:val="false"/>
          <w:iCs w:val="false"/>
          <w:sz w:val="22"/>
          <w:szCs w:val="22"/>
        </w:rPr>
        <w:t xml:space="preserve"> (</w:t>
      </w:r>
      <w:r>
        <w:rPr>
          <w:rFonts w:eastAsia="Cambria" w:cs="Cambria"/>
          <w:b w:val="false"/>
          <w:bCs w:val="false"/>
          <w:i/>
          <w:iCs/>
          <w:sz w:val="22"/>
          <w:szCs w:val="22"/>
        </w:rPr>
        <w:t>National Assessment Program – Literacy and Numeracy</w:t>
      </w:r>
      <w:r>
        <w:rPr>
          <w:rFonts w:eastAsia="Cambria" w:cs="Cambria"/>
          <w:b w:val="false"/>
          <w:bCs w:val="false"/>
          <w:i w:val="false"/>
          <w:iCs w:val="false"/>
          <w:sz w:val="22"/>
          <w:szCs w:val="22"/>
        </w:rPr>
        <w:t>) prüft in Year 3, 5, 7 und 9 die Grundfertigkeiten in Lesen, Schreiben, Sprache und Mathematik. Die Ergebnisse dienen vor allem dem Vergleich zwischen Schulen, nicht der Versetzung des einzelnen Kindes, und neu zugewanderte Kinder werden in den ersten Jahren meist mit Rücksicht auf ihre Sprachentwicklung bewertet.</w:t>
      </w:r>
    </w:p>
    <w:p>
      <w:pPr>
        <w:pStyle w:val="Heading3"/>
        <w:keepNext w:val="true"/>
        <w:spacing w:before="280" w:after="100"/>
        <w:jc w:val="center"/>
        <w:rPr/>
      </w:pPr>
      <w:r>
        <w:rPr>
          <w:rFonts w:eastAsia="Amazon Ember" w:cs="Amazon Ember" w:ascii="Amazon Ember" w:hAnsi="Amazon Ember"/>
          <w:b/>
          <w:bCs/>
          <w:color w:val="0000FF"/>
          <w:sz w:val="36"/>
          <w:szCs w:val="36"/>
        </w:rPr>
        <w:t>Anmeldung: Unterlagen und Ablauf</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Anmeldung an einer staatlichen Schule läuft über die zuständige Bildungsbehörde des Bundesstaats oder direkt über die Schule vor Ort; ein bundesweit einheitliches Portal gibt es nicht. Gebraucht werden in aller Regel: ein Altersnachweis (Geburtsurkunde oder Reisepass), ein Wohnsitznachweis (Mietvertrag oder eine Rechnung mit der neuen Adresse), die Visumsdaten deines Kindes sowie ein Nachweis der bisherigen Impfungen. Wie ausführlich Letzterer geprüft wird und welche Formulare außerdem verlangt werden, legt jede Schule beziehungsweise jeder Bundesstaat im Detail selbst fest – frage frühzeitig direkt bei der Zielschule nach, statt dich auf Erfahrungsberichte anderer Familien zu verlassen. Zeugnisse der letzten Schuljahre, möglichst mit englischer Übersetzung, helfen der Schule bei der Einstufung, sind aber selten zwingend, weil ohnehin oft ein eigener Einstufungstest oder ein Gespräch mit der Schulleitung stattfindet.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Reinhardt (fiktiv) klärt vor dem Umzug nach Melbourne schriftlich mit zwei staatlichen Grundschulen, welche zu ihrer künftigen Adresse in Richmond gehört, und vereinbart für Emil (10) und Clara (6) je ein kurzes Einstufungsgespräch. Weil der Umzug im November stattfindet, starten beide Kinder erst mit dem regulären Term-1-Beginn im späten Januar. Für die Wochen davor meldet Sandra beide probeweise zu einem Ferienprogramm an, damit der Wechsel nicht mitten in ein fremdes, schon laufendes Schuljahr fällt, sondern mit einem sanften Übergang beginnt.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Vor der Schule: Kinderbetreuung und Randzeiten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Kinder unter dem Schulalter gibt es, anders als in Deutschland, kein flächendeckendes öffentliches Kita-Netz. Verbreitet sind private oder gemeinnützige </w:t>
      </w:r>
      <w:r>
        <w:rPr>
          <w:rFonts w:eastAsia="Cambria" w:cs="Cambria"/>
          <w:b w:val="false"/>
          <w:bCs w:val="false"/>
          <w:i/>
          <w:iCs/>
          <w:sz w:val="22"/>
          <w:szCs w:val="22"/>
        </w:rPr>
        <w:t>Long Day Care</w:t>
      </w:r>
      <w:r>
        <w:rPr>
          <w:rFonts w:eastAsia="Cambria" w:cs="Cambria"/>
          <w:b w:val="false"/>
          <w:bCs w:val="false"/>
          <w:i w:val="false"/>
          <w:iCs w:val="false"/>
          <w:sz w:val="22"/>
          <w:szCs w:val="22"/>
        </w:rPr>
        <w:t xml:space="preserve">-Zentren (ganztägige Kindertagesstätten) und </w:t>
      </w:r>
      <w:r>
        <w:rPr>
          <w:rFonts w:eastAsia="Cambria" w:cs="Cambria"/>
          <w:b w:val="false"/>
          <w:bCs w:val="false"/>
          <w:i/>
          <w:iCs/>
          <w:sz w:val="22"/>
          <w:szCs w:val="22"/>
        </w:rPr>
        <w:t>Family Day Care</w:t>
      </w:r>
      <w:r>
        <w:rPr>
          <w:rFonts w:eastAsia="Cambria" w:cs="Cambria"/>
          <w:b w:val="false"/>
          <w:bCs w:val="false"/>
          <w:i w:val="false"/>
          <w:iCs w:val="false"/>
          <w:sz w:val="22"/>
          <w:szCs w:val="22"/>
        </w:rPr>
        <w:t xml:space="preserve"> (Kindertagespflege in einem privaten Haushalt); die Bundesregierung bezuschusst beide Formen über die </w:t>
      </w:r>
      <w:r>
        <w:rPr>
          <w:rFonts w:eastAsia="Cambria" w:cs="Cambria"/>
          <w:b w:val="false"/>
          <w:bCs w:val="false"/>
          <w:i/>
          <w:iCs/>
          <w:sz w:val="22"/>
          <w:szCs w:val="22"/>
        </w:rPr>
        <w:t>Child Care Subsidy</w:t>
      </w:r>
      <w:r>
        <w:rPr>
          <w:rFonts w:eastAsia="Cambria" w:cs="Cambria"/>
          <w:b w:val="false"/>
          <w:bCs w:val="false"/>
          <w:i w:val="false"/>
          <w:iCs w:val="false"/>
          <w:sz w:val="22"/>
          <w:szCs w:val="22"/>
        </w:rPr>
        <w:t>, deren genaue Höhe von Einkommen, Betreuungsstunden und Betreuungsart abhängt und regelmäßig angepasst wird. Wartelisten für begehrte Zentren in Sydney und Melbourne sind lang; wer einen Platz zum gewünschten Zeitpunkt braucht, meldet sein Kind am besten schon Monate vor dem eigentlichen Umzug vor.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Auch nach der Einschulung endet die Betreuung nicht automatisch mit dem Schultag: Die meisten Grundschulen bieten oder vermitteln </w:t>
      </w:r>
      <w:r>
        <w:rPr>
          <w:rFonts w:eastAsia="Cambria" w:cs="Cambria"/>
          <w:b w:val="false"/>
          <w:bCs w:val="false"/>
          <w:i/>
          <w:iCs/>
          <w:sz w:val="22"/>
          <w:szCs w:val="22"/>
        </w:rPr>
        <w:t>Outside School Hours Care</w:t>
      </w:r>
      <w:r>
        <w:rPr>
          <w:rFonts w:eastAsia="Cambria" w:cs="Cambria"/>
          <w:b w:val="false"/>
          <w:bCs w:val="false"/>
          <w:i w:val="false"/>
          <w:iCs w:val="false"/>
          <w:sz w:val="22"/>
          <w:szCs w:val="22"/>
        </w:rPr>
        <w:t xml:space="preserve"> (OSHC), kostenpflichtige Betreuung vor und nach dem Unterricht sowie in einem Teil der Ferien. Wer beide Elternteile berufstätig hat, bucht OSHC am besten direkt bei der Schulanmeldung mit, statt es erst im laufenden Schuljahr nachzuholen – begehrte Plätze sind auch hier knapp.</w:t>
      </w:r>
    </w:p>
    <w:p>
      <w:pPr>
        <w:pStyle w:val="Heading3"/>
        <w:keepNext w:val="true"/>
        <w:spacing w:before="280" w:after="100"/>
        <w:jc w:val="center"/>
        <w:rPr/>
      </w:pPr>
      <w:r>
        <w:rPr>
          <w:rFonts w:eastAsia="Amazon Ember" w:cs="Amazon Ember" w:ascii="Amazon Ember" w:hAnsi="Amazon Ember"/>
          <w:b/>
          <w:bCs/>
          <w:color w:val="0000FF"/>
          <w:sz w:val="36"/>
          <w:szCs w:val="36"/>
        </w:rPr>
        <w:t>Spracheingewöhnung: EAL/D und wie Kinder (und Eltern) ankommen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Kinder lernen Englisch in aller Regel spürbar schneller als ihre Eltern – nicht, weil sie klüger wären, sondern weil Schule, Pausenhof und Fernsehen sie den ganzen Tag eintauchen, während Erwachsene oft zuerst im Job oder beim Small Talk mit Nachbarn üben müssen. Australische Schulen sind darauf eingerichtet: Sprachförderung heißt </w:t>
      </w:r>
      <w:r>
        <w:rPr>
          <w:rFonts w:eastAsia="Cambria" w:cs="Cambria"/>
          <w:b w:val="false"/>
          <w:bCs w:val="false"/>
          <w:i/>
          <w:iCs/>
          <w:sz w:val="22"/>
          <w:szCs w:val="22"/>
        </w:rPr>
        <w:t>EAL/D</w:t>
      </w:r>
      <w:r>
        <w:rPr>
          <w:rFonts w:eastAsia="Cambria" w:cs="Cambria"/>
          <w:b w:val="false"/>
          <w:bCs w:val="false"/>
          <w:i w:val="false"/>
          <w:iCs w:val="false"/>
          <w:sz w:val="22"/>
          <w:szCs w:val="22"/>
        </w:rPr>
        <w:t xml:space="preserve"> (</w:t>
      </w:r>
      <w:r>
        <w:rPr>
          <w:rFonts w:eastAsia="Cambria" w:cs="Cambria"/>
          <w:b w:val="false"/>
          <w:bCs w:val="false"/>
          <w:i/>
          <w:iCs/>
          <w:sz w:val="22"/>
          <w:szCs w:val="22"/>
        </w:rPr>
        <w:t>English as an Additional Language or Dialect</w:t>
      </w:r>
      <w:r>
        <w:rPr>
          <w:rFonts w:eastAsia="Cambria" w:cs="Cambria"/>
          <w:b w:val="false"/>
          <w:bCs w:val="false"/>
          <w:i w:val="false"/>
          <w:iCs w:val="false"/>
          <w:sz w:val="22"/>
          <w:szCs w:val="22"/>
        </w:rPr>
        <w:t>, Englisch als Zusatzsprache) und ist an Schulen mit Einwandereranteil eher Regel als Ausnahme, nicht das Sonderprogramm, das man aus Deutschland vielleicht erwartet. Je nach Bundesstaat und Sprachstand bekommt ein Kind zusätzlichen Unterricht in Kleingruppen, direkte Unterstützung im Klassenzimmer oder eine Kombination aus beidem; die Finanzierung richtet sich nach dem eingeschätzten Sprachniveau und wird nach standardisierten Stufen laufend angepasst. An Schulen mit besonders vielen neu zugewanderten Familien helfen mitunter zusätzlich zweisprachige Assistenzkräfte oder Verbindungspersonen zur Familie, die bei Elterngesprächen übersetzen.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Erwachsene sieht die Lage anders aus. Wer über ein Skilled-Visum einwandert, hat die Englischprüfung (meist IELTS, PTE oder TOEFL, mit Kosten von rund 300 bis 400 AUD je Test) ohnehin schon für den Visumsantrag hinter sich (siehe das </w:t>
      </w:r>
      <w:hyperlink w:anchor="tau03">
        <w:r>
          <w:rPr>
            <w:rStyle w:val="ListLabel113"/>
            <w:rFonts w:eastAsia="Cambria" w:cs="Cambria"/>
            <w:b w:val="false"/>
            <w:bCs w:val="false"/>
            <w:i w:val="false"/>
            <w:iCs w:val="false"/>
            <w:color w:val="0563C1"/>
            <w:sz w:val="22"/>
            <w:szCs w:val="22"/>
            <w:u w:val="single"/>
          </w:rPr>
          <w:t>Kapitel zum Arbeitsweg in diesem Teil</w:t>
        </w:r>
      </w:hyperlink>
      <w:r>
        <w:rPr>
          <w:rFonts w:eastAsia="Cambria" w:cs="Cambria"/>
          <w:b w:val="false"/>
          <w:bCs w:val="false"/>
          <w:i w:val="false"/>
          <w:iCs w:val="false"/>
          <w:sz w:val="22"/>
          <w:szCs w:val="22"/>
        </w:rPr>
        <w:t>); wer mit einem Working-Holiday-Visum kommt, hat diese Hürde oft nicht durchlaufen und merkt die Lücke im Alltag deutlicher. Für beide Gruppen helfen TAFE-Kurse in Alltags- und Berufsenglisch, häufig zu deutlich niedrigeren Kosten als private Sprachschulen, sowie das Gespräch mit anderen Eltern am Schultor – der pragmatischste, wenn auch langsamste Weg zur Alltagssicherheit.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Verwechsle die Sprachlücke deines Kindes nicht mit einer Lernschwäche. Ein Kind, das im ersten Halbjahr in Mathematik oder Naturwissenschaften schlechter abschneidet, kämpft womöglich nur mit der Fachsprache, nicht mit dem Inhalt. Sprich das offen mit der Klassenlehrkraft an, bevor eine vorschnelle Förderdiagnose gestellt wird.</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Kinder verarbeiten den Sprachwechsel zudem altersabhängig unterschiedlich: Jüngere Grundschulkinder gewöhnen sich oft binnen weniger Monate ein und wechseln erstaunlich schnell ins australische Schulenglisch samt Akzent, während ältere Kinder und Teenager die Fachsprache in Geschichte oder Biologie länger brauchen und sozial stärker unter der Sprachlücke leiden, weil Freundschaften in dieser Lebensphase stärker über Wortwitz und schnelle Antworten laufen. Mehr zu dieser Dynamik über die Schule hinaus – Freundeskreis, Vereine, der erste Winter, der in Australien gar keiner ist – steht im </w:t>
      </w:r>
      <w:hyperlink w:anchor="tau12">
        <w:r>
          <w:rPr>
            <w:rStyle w:val="ListLabel113"/>
            <w:rFonts w:eastAsia="Cambria" w:cs="Cambria"/>
            <w:b w:val="false"/>
            <w:bCs w:val="false"/>
            <w:i w:val="false"/>
            <w:iCs w:val="false"/>
            <w:color w:val="0563C1"/>
            <w:sz w:val="22"/>
            <w:szCs w:val="22"/>
            <w:u w:val="single"/>
          </w:rPr>
          <w:t>Kapitel zu Freunden und Kulturschock in diesem Teil</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Besonders heikel wird ein Umzug, wenn ein Teenager mitten in den letzten beiden Schuljahren steckt. Weil HSC, VCE, QCE und die übrigen Landeszertifikate jeweils über zwei Jahre angelegt sind und Kurswahl, laufende Bewertungen und der ATAR eng ineinandergreifen, lässt sich ein begonnenes Jahr 11 oder 12 aus Deutschland selten nahtlos fortsetzen. Schulen prüfen mitgebrachte Zeugnisse und Kurse einzeln und entscheiden von Fall zu Fall, welche Fächer und Halbjahre anerkannt werden; oft bedeutet das eine zusätzliche Klassenstufe oder ein angepasstes Fächerprofil.</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Bei Teenagern in den letzten beiden Schuljahren lohnt es sich, vor dem Umzug direkt mit der Zielschule und, falls vorhanden, mit einer deutschen Auslandsschule zu rechnen: Reicht die Zeit noch für einen sauberen Abschluss in Australien, oder ist ein Umzug erst nach dem deutschen oder australischen Abschluss die bessere Wahl? Diese Entscheidung früh zu klären erspart Kindern in einer ohnehin schon anspruchsvollen Phase unnötigen Extra-Stress.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Englisch zu Hause vorbereiten: Medien nach Alter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Vor dem Umzug hilft altersgerechtes Einhören mehr als Vokabellisten. Kleinkinder (2–5) gewöhnen sich gut an „Bluey“ (Disney+, australisch, sehr einfaches Englisch) oder „Sesame Street“; dazu einfache Bilderbücher wie „The Very Hungry Caterpillar“. Grundschulkinder (6–9) bleiben bei „Bluey“ und „Paw Patrol“ und wachsen in erste Kapitelbücher hinein, etwa „Diary of a Wimpy Kid“ (viele Bilder, wenig Text pro Seite). Für die Mittelstufe (10–13) eignen sich „Percy Jackson“-Bücher und, falls verfügbar, die klassische australische Serie „Round the Twist“ für echten Alltagsslang. Teenager (14–17) kommen mit „Heartbreak High“ (Netflix-Neuauflage, sehr australischer Jugendslang) näher an das heran, was sie am Schultor tatsächlich hören.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allen Altersgruppen wirkt derselbe Trick am zuverlässigsten: eine Serie, die das Kind schon auf Deutsch kennt, gemeinsam im englischen Original anschauen. Die bekannte Handlung nimmt den Druck, jedes Wort zu verstehen. Untertitel zuerst auf Englisch stellen, nicht auf Deutsch – Lesen und Hören gleichzeitig festigt mehr als reines Übersetzen.</w:t>
      </w:r>
    </w:p>
    <w:p>
      <w:pPr>
        <w:pStyle w:val="Heading3"/>
        <w:keepNext w:val="true"/>
        <w:spacing w:before="280" w:after="100"/>
        <w:jc w:val="center"/>
        <w:rPr/>
      </w:pPr>
      <w:r>
        <w:rPr>
          <w:rFonts w:eastAsia="Amazon Ember" w:cs="Amazon Ember" w:ascii="Amazon Ember" w:hAnsi="Amazon Ember"/>
          <w:b/>
          <w:bCs/>
          <w:color w:val="0000FF"/>
          <w:sz w:val="36"/>
          <w:szCs w:val="36"/>
        </w:rPr>
        <w:t>Deutsch bewahren: Goethe-Institut, deutsche Schulen, Samstagsschule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möchte, dass die Kinder neben dem australischen Englisch auch ihr Deutsch behalten, findet organisierte Angebote fast ausschließlich in den beiden größten Städten. Die German International School Sydney (gegründet 1989, in Terrey Hills) und die Deutsche Schule Melbourne (bilingual, bis Klasse 6, in Fitzroy North) unterrichten nach deutschem und australischem Lehrplan gleichzeitig und kosten, wie andere unabhängige Schulen, deutliches Schulgeld – dafür bleibt der Anschluss an ein deutsches Zeugnis oder sogar an einen deutschen Abschluss realistisch. In beiden Städten ergänzen die Goethe-Institute (Sydney seit 1974, Melbourne seit 1972) das Angebot mit Sprachkursen auch für Kinder und Jugendliche.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Außerhalb von Sydney und Melbourne – in Brisbane, Perth, Adelaide, Canberra oder kleineren Städten – bleibt organisierte deutsche Sprachförderung dünn gesät bis gar nicht vorhanden. Hier hilft am ehesten Eigeninitiative: feste Vorlesezeiten auf Deutsch, deutschsprachige Hörbücher und Serien, regelmäßige Videoanrufe mit den Großeltern und, wo sich eine Gruppe von Familien findet, eine informelle Samstagsschule in Eigenregie.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Bevor du eine teure deutsche Auslandsschule ins Auge fasst, prüfe, ob dir die Kombination aus kostenloser staatlicher Schule plus konsequent gepflegtem Deutsch zu Hause für deine Ziele reicht. Für die meisten Familien, die nicht dauerhaft zwischen beiden Ländern pendeln wollen, ist das die deutlich günstigere und oft ausreichende Lösung.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Öffentliche Schulen sind kostenlos und ohne Statusprüfung zugänglich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Ausstattung und Ruf hängen stark von Bundesstaat und Schule ab</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EAL/D-Sprachförderung ist an vielen Schulen Standard, nicht Ausnahme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Außerhalb Sydney/Melbourne kaum organisierte deutsche Sprachangebote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Umzug lässt sich mit etwas Planung passgenau auf den Term-Start legen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Schuljahresrhythmus verkehrt zu Deutschland erschwert die Umzugsplanung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 gewöhnen sich meist rascher ein als Erwachsene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Ältere Kinder und Teenager tun sich mit Fachsprache und sozialem Anschluss schwerer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Drei Schulsektoren bieten echte Wahlmöglichkeit nach Budget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Renommierte Privatschulen kosten bis über 50.000 AUD im Jahr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Selective Schools und gute staatliche Schulen erzielen Spitzenleistungen kostenlos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Plätze an guten staatlichen Schulen sind entsprechend begehrt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Kläre vor dem Umzug den Schulstichtag und die Einstufung deines Kindes beim Zielbundesstaat, lege den Umzugstermin nach Möglichkeit auf einen Termbeginn, sammle Geburtsurkunde, Impfnachweis und übersetzte Zeugnisse, und entscheide früh, ob eine deutsche Auslandsschule infrage kommt oder ob dir Deutsch zu Hause reicht.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Zuständigen Bundesstaat-Stichtag für Einschulung und Einstufung erfragt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Schultyp entschieden: staatlich, katholisch oder unabhängig, inklusive Kostenvergleich</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Umzugstermin nach Möglichkeit auf den Beginn eines Terms gelegt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Geburtsurkunde, Reisepass, Impfnachweis und übersetzte Zeugnisse zusammengestellt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Zielschule direkt nach genauen Anmeldeunterlagen gefragt, nicht nur auf Erfahrungsberichte anderer verlassen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Sprachförderbedarf früh das Gespräch mit der Schule über EAL/D gesucht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Geprüft, ob eine deutsche Auslandsschule (Sydney, Melbourne) infrage kommt oder ob Deutsch zu Hause organisiert wird</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Teenagern zusätzlich Zeit für die soziale Eingewöhnung eingeplant, nicht nur für die Sprache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Australian Bureau of Statistics — Schulstatistik, Anteile der Schulsektoren (</w:t>
      </w:r>
      <w:hyperlink r:id="rId502">
        <w:r>
          <w:rPr>
            <w:rStyle w:val="ListLabel113"/>
            <w:rFonts w:eastAsia="Cambria" w:cs="Cambria"/>
            <w:b w:val="false"/>
            <w:bCs w:val="false"/>
            <w:i w:val="false"/>
            <w:iCs w:val="false"/>
            <w:color w:val="0563C1"/>
            <w:sz w:val="22"/>
            <w:szCs w:val="22"/>
            <w:u w:val="single"/>
          </w:rPr>
          <w:t>abs.gov.au/statistics/people/education/schools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Australian Curriculum, Assessment and Reporting Authority (ACARA) — Rahmenlehrplan, NAPLAN, EAL/D (</w:t>
      </w:r>
      <w:hyperlink r:id="rId503">
        <w:r>
          <w:rPr>
            <w:rStyle w:val="ListLabel113"/>
            <w:rFonts w:eastAsia="Cambria" w:cs="Cambria"/>
            <w:b w:val="false"/>
            <w:bCs w:val="false"/>
            <w:i w:val="false"/>
            <w:iCs w:val="false"/>
            <w:color w:val="0563C1"/>
            <w:sz w:val="22"/>
            <w:szCs w:val="22"/>
            <w:u w:val="single"/>
          </w:rPr>
          <w:t>acara.edu.au</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Bildungsbehörden der Bundesstaaten, z. B. NSW Department of Education — Term- und Ferientermine (</w:t>
      </w:r>
      <w:hyperlink r:id="rId504">
        <w:r>
          <w:rPr>
            <w:rStyle w:val="ListLabel113"/>
            <w:rFonts w:eastAsia="Cambria" w:cs="Cambria"/>
            <w:b w:val="false"/>
            <w:bCs w:val="false"/>
            <w:i w:val="false"/>
            <w:iCs w:val="false"/>
            <w:color w:val="0563C1"/>
            <w:sz w:val="22"/>
            <w:szCs w:val="22"/>
            <w:u w:val="single"/>
          </w:rPr>
          <w:t>education.nsw.gov.au</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Zentralstelle für das Auslandsschulwesen — deutsche Schulen im Ausland (</w:t>
      </w:r>
      <w:hyperlink r:id="rId505">
        <w:r>
          <w:rPr>
            <w:rStyle w:val="ListLabel113"/>
            <w:rFonts w:eastAsia="Cambria" w:cs="Cambria"/>
            <w:b w:val="false"/>
            <w:bCs w:val="false"/>
            <w:i w:val="false"/>
            <w:iCs w:val="false"/>
            <w:color w:val="0563C1"/>
            <w:sz w:val="22"/>
            <w:szCs w:val="22"/>
            <w:u w:val="single"/>
          </w:rPr>
          <w:t>auslandsschulwesen.de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Goethe-Institut Australien — Standorte Sydney und Melbourne (</w:t>
      </w:r>
      <w:hyperlink r:id="rId506">
        <w:r>
          <w:rPr>
            <w:rStyle w:val="ListLabel113"/>
            <w:rFonts w:eastAsia="Cambria" w:cs="Cambria"/>
            <w:b w:val="false"/>
            <w:bCs w:val="false"/>
            <w:i w:val="false"/>
            <w:iCs w:val="false"/>
            <w:color w:val="0563C1"/>
            <w:sz w:val="22"/>
            <w:szCs w:val="22"/>
            <w:u w:val="single"/>
          </w:rPr>
          <w:t>goethe.de/ins/au</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Universities Admissions Centre — Erklärung und Berechnung des ATAR (</w:t>
      </w:r>
      <w:hyperlink r:id="rId507">
        <w:r>
          <w:rPr>
            <w:rStyle w:val="ListLabel113"/>
            <w:rFonts w:eastAsia="Cambria" w:cs="Cambria"/>
            <w:b w:val="false"/>
            <w:bCs w:val="false"/>
            <w:i w:val="false"/>
            <w:iCs w:val="false"/>
            <w:color w:val="0563C1"/>
            <w:sz w:val="22"/>
            <w:szCs w:val="22"/>
            <w:u w:val="single"/>
          </w:rPr>
          <w:t>uac.edu.au</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genaue Term-Termine (jedes Jahr und jeder Bundesstaat neu), Schulgelder der Privatschulen und deutschen Auslandsschulen sowie die Einstufungsregeln der Bundesstaaten. Prüfe vor jeder Entscheidung die aktuellen Angaben der zuständigen Bildungsbehörde und Zielschule.</w:t>
            </w:r>
          </w:p>
        </w:tc>
      </w:tr>
    </w:tbl>
    <w:p>
      <w:pPr>
        <w:pStyle w:val="Normal"/>
        <w:spacing w:lineRule="exact" w:line="220" w:before="0" w:after="0"/>
        <w:rPr/>
      </w:pPr>
      <w:r>
        <w:rPr/>
      </w:r>
      <w:r>
        <w:br w:type="page"/>
      </w:r>
    </w:p>
    <w:p>
      <w:pPr>
        <w:pStyle w:val="Heading2"/>
        <w:keepNext w:val="true"/>
        <w:spacing w:before="0" w:after="300"/>
        <w:jc w:val="center"/>
        <w:rPr/>
      </w:pPr>
      <w:bookmarkStart w:id="130" w:name="__RefHeading___Toc56559_3769931028"/>
      <w:bookmarkStart w:id="131" w:name="tau14"/>
      <w:bookmarkEnd w:id="130"/>
      <w:r>
        <w:rPr>
          <w:rFonts w:eastAsia="Amazon Ember" w:cs="Amazon Ember" w:ascii="Amazon Ember" w:hAnsi="Amazon Ember"/>
          <w:b/>
          <w:bCs/>
          <w:color w:val="0000FF"/>
          <w:sz w:val="36"/>
          <w:szCs w:val="36"/>
        </w:rPr>
        <w:t>Australien: Arbeitswelt und Jobwechsel</w:t>
      </w:r>
      <w:bookmarkEnd w:id="131"/>
    </w:p>
    <w:p>
      <w:pPr>
        <w:pStyle w:val="Normal"/>
        <w:keepNext w:val="false"/>
        <w:keepLines w:val="false"/>
        <w:spacing w:lineRule="exact" w:line="288" w:before="0" w:after="140"/>
        <w:jc w:val="left"/>
        <w:rPr/>
      </w:pPr>
      <w:r>
        <w:rPr>
          <w:rFonts w:eastAsia="Cambria" w:cs="Cambria"/>
          <w:b w:val="false"/>
          <w:bCs w:val="false"/>
          <w:i w:val="false"/>
          <w:iCs w:val="false"/>
          <w:sz w:val="22"/>
          <w:szCs w:val="22"/>
        </w:rPr>
        <w:t>Thomas Reinhardt sitzt in seiner ersten Woche auf einer Baustelle im Melbourner Umland, als sein Vorarbeiter um Punkt fünf Uhr den Helm auf den Container legt und sagt: „Right, that’s me for today, mate.“ Kein Blick auf die halbfertige Bewehrungszeichnung, kein schlechtes Gewissen, kein „Wir müssten das eigentlich noch fertig machen“. Thomas braucht ein paar Wochen, um zu begreifen: Das ist keine Nachlässigkeit, das ist die Regel. Willkommen in einer Arbeitswelt, die entspannter wirkt, als sie ist – und die eigene Fallstricke hat, sobald ein Visum am Arbeitgeber hängt.</w:t>
      </w:r>
    </w:p>
    <w:tbl>
      <w:tblPr>
        <w:tblW w:w="6480" w:type="dxa"/>
        <w:jc w:val="left"/>
        <w:tblInd w:w="0" w:type="dxa"/>
        <w:tblLayout w:type="fixed"/>
        <w:tblCellMar>
          <w:top w:w="110" w:type="dxa"/>
          <w:left w:w="200" w:type="dxa"/>
          <w:bottom w:w="80" w:type="dxa"/>
          <w:right w:w="160" w:type="dxa"/>
        </w:tblCellMar>
      </w:tblPr>
      <w:tblGrid>
        <w:gridCol w:w="6480"/>
      </w:tblGrid>
      <w:tr>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Der </w:t>
            </w:r>
            <w:r>
              <w:rPr>
                <w:rFonts w:eastAsia="Cambria" w:cs="Cambria"/>
                <w:b w:val="false"/>
                <w:bCs w:val="false"/>
                <w:i/>
                <w:iCs/>
                <w:sz w:val="20"/>
                <w:szCs w:val="20"/>
              </w:rPr>
              <w:t>Fair Work Act</w:t>
            </w:r>
            <w:r>
              <w:rPr>
                <w:rFonts w:eastAsia="Cambria" w:cs="Cambria"/>
                <w:b w:val="false"/>
                <w:bCs w:val="false"/>
                <w:i w:val="false"/>
                <w:iCs w:val="false"/>
                <w:sz w:val="20"/>
                <w:szCs w:val="20"/>
              </w:rPr>
              <w:t xml:space="preserve"> setzt mit den </w:t>
            </w:r>
            <w:r>
              <w:rPr>
                <w:rFonts w:eastAsia="Cambria" w:cs="Cambria"/>
                <w:b w:val="false"/>
                <w:bCs w:val="false"/>
                <w:i/>
                <w:iCs/>
                <w:sz w:val="20"/>
                <w:szCs w:val="20"/>
              </w:rPr>
              <w:t>National Employment Standards</w:t>
            </w:r>
            <w:r>
              <w:rPr>
                <w:rFonts w:eastAsia="Cambria" w:cs="Cambria"/>
                <w:b w:val="false"/>
                <w:bCs w:val="false"/>
                <w:i w:val="false"/>
                <w:iCs w:val="false"/>
                <w:sz w:val="20"/>
                <w:szCs w:val="20"/>
              </w:rPr>
              <w:t xml:space="preserve"> bundesweite Mindestansprüche: mindestens vier Wochen bezahlter Jahresurlaub, zehn Tage Krankheits- und Pflegeurlaub, gestaffelte Kündigungsfristen.</w:t>
            </w:r>
          </w:p>
          <w:p>
            <w:pPr>
              <w:pStyle w:val="ListParagraph"/>
              <w:numPr>
                <w:ilvl w:val="0"/>
                <w:numId w:val="1"/>
              </w:numPr>
              <w:spacing w:lineRule="exact" w:line="264" w:before="0" w:after="50"/>
              <w:rPr/>
            </w:pPr>
            <w:r>
              <w:rPr>
                <w:rFonts w:eastAsia="Cambria" w:cs="Cambria"/>
                <w:b w:val="false"/>
                <w:bCs w:val="false"/>
                <w:i w:val="false"/>
                <w:iCs w:val="false"/>
                <w:sz w:val="20"/>
                <w:szCs w:val="20"/>
              </w:rPr>
              <w:t>Ein Kündigungsschutz nach deutschem Muster existiert nicht von Anfang an: Der Schutz vor unfairer Kündigung (</w:t>
            </w:r>
            <w:r>
              <w:rPr>
                <w:rFonts w:eastAsia="Cambria" w:cs="Cambria"/>
                <w:b w:val="false"/>
                <w:bCs w:val="false"/>
                <w:i/>
                <w:iCs/>
                <w:sz w:val="20"/>
                <w:szCs w:val="20"/>
              </w:rPr>
              <w:t>Unfair Dismissal</w:t>
            </w:r>
            <w:r>
              <w:rPr>
                <w:rFonts w:eastAsia="Cambria" w:cs="Cambria"/>
                <w:b w:val="false"/>
                <w:bCs w:val="false"/>
                <w:i w:val="false"/>
                <w:iCs w:val="false"/>
                <w:sz w:val="20"/>
                <w:szCs w:val="20"/>
              </w:rPr>
              <w:t>) greift erst nach sechs Monaten (größere Arbeitgeber) oder zwölf Monaten (Kleinbetriebe unter 15 Beschäftigten).</w:t>
            </w:r>
          </w:p>
          <w:p>
            <w:pPr>
              <w:pStyle w:val="ListParagraph"/>
              <w:numPr>
                <w:ilvl w:val="0"/>
                <w:numId w:val="1"/>
              </w:numPr>
              <w:spacing w:lineRule="exact" w:line="264" w:before="0" w:after="50"/>
              <w:rPr/>
            </w:pPr>
            <w:r>
              <w:rPr>
                <w:rFonts w:eastAsia="Cambria" w:cs="Cambria"/>
                <w:b w:val="false"/>
                <w:bCs w:val="false"/>
                <w:i w:val="false"/>
                <w:iCs w:val="false"/>
                <w:sz w:val="20"/>
                <w:szCs w:val="20"/>
              </w:rPr>
              <w:t>Die Arbeitskultur ist informell und flach: Vornamen bis zur Chefetage, „mate“ für fast jeden, und seit 2024/25 sogar ein Recht auf Nichterreichbarkeit außerhalb der Arbeitszeit.</w:t>
            </w:r>
          </w:p>
          <w:p>
            <w:pPr>
              <w:pStyle w:val="ListParagraph"/>
              <w:numPr>
                <w:ilvl w:val="0"/>
                <w:numId w:val="1"/>
              </w:numPr>
              <w:spacing w:lineRule="exact" w:line="264" w:before="0" w:after="50"/>
              <w:rPr/>
            </w:pPr>
            <w:r>
              <w:rPr>
                <w:rFonts w:eastAsia="Cambria" w:cs="Cambria"/>
                <w:b w:val="false"/>
                <w:bCs w:val="false"/>
                <w:i w:val="false"/>
                <w:iCs w:val="false"/>
                <w:sz w:val="20"/>
                <w:szCs w:val="20"/>
              </w:rPr>
              <w:t>Beim Skilled-Visum Subclass 482 bist du an den sponsernden Arbeitgeber gebunden: Ein Wechsel braucht dessen neue Nominierung, bevor du beim neuen Betrieb anfängst.</w:t>
            </w:r>
          </w:p>
          <w:p>
            <w:pPr>
              <w:pStyle w:val="ListParagraph"/>
              <w:numPr>
                <w:ilvl w:val="0"/>
                <w:numId w:val="1"/>
              </w:numPr>
              <w:spacing w:lineRule="exact" w:line="264" w:before="0" w:after="50"/>
              <w:rPr/>
            </w:pPr>
            <w:r>
              <w:rPr>
                <w:rFonts w:eastAsia="Cambria" w:cs="Cambria"/>
                <w:b w:val="false"/>
                <w:bCs w:val="false"/>
                <w:i w:val="false"/>
                <w:iCs w:val="false"/>
                <w:sz w:val="20"/>
                <w:szCs w:val="20"/>
              </w:rPr>
              <w:t>Verlierst du den Job auf dem 482, bleiben seit dem 1. Juli 2024 bis zu 180 Tage am Stück, um einen neuen Sponsor zu finden – deutlich mehr als die frühere 60-Tage-Regel.</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Netzwerken läuft über Empfehlungen und Small Talk; ein deutsches Arbeitszeugnis kennt hier niemand, gefragt sind </w:t>
            </w:r>
            <w:r>
              <w:rPr>
                <w:rFonts w:eastAsia="Cambria" w:cs="Cambria"/>
                <w:b w:val="false"/>
                <w:bCs w:val="false"/>
                <w:i/>
                <w:iCs/>
                <w:sz w:val="20"/>
                <w:szCs w:val="20"/>
              </w:rPr>
              <w:t>Referees</w:t>
            </w:r>
            <w:r>
              <w:rPr>
                <w:rFonts w:eastAsia="Cambria" w:cs="Cambria"/>
                <w:b w:val="false"/>
                <w:bCs w:val="false"/>
                <w:i w:val="false"/>
                <w:iCs w:val="false"/>
                <w:sz w:val="20"/>
                <w:szCs w:val="20"/>
              </w:rPr>
              <w:t xml:space="preserve"> (Referenzpersonen).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Fair Work Act und National Employment Standards: die Grundlage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Australisches Arbeitsrecht ist, anders als in Deutschland mit seinem Nebeneinander aus Bundes-, Landes- und Tarifrecht, weitgehend bundeseinheitlich geregelt. Der </w:t>
      </w:r>
      <w:r>
        <w:rPr>
          <w:rFonts w:eastAsia="Cambria" w:cs="Cambria"/>
          <w:b w:val="false"/>
          <w:bCs w:val="false"/>
          <w:i/>
          <w:iCs/>
          <w:sz w:val="22"/>
          <w:szCs w:val="22"/>
        </w:rPr>
        <w:t>Fair Work Act 2009</w:t>
      </w:r>
      <w:r>
        <w:rPr>
          <w:rFonts w:eastAsia="Cambria" w:cs="Cambria"/>
          <w:b w:val="false"/>
          <w:bCs w:val="false"/>
          <w:i w:val="false"/>
          <w:iCs w:val="false"/>
          <w:sz w:val="22"/>
          <w:szCs w:val="22"/>
        </w:rPr>
        <w:t xml:space="preserve"> (das zentrale Arbeitsgesetz) gilt für fast alle privaten Arbeitsverhältnisse im Land. Er legt mit den </w:t>
      </w:r>
      <w:r>
        <w:rPr>
          <w:rFonts w:eastAsia="Cambria" w:cs="Cambria"/>
          <w:b w:val="false"/>
          <w:bCs w:val="false"/>
          <w:i/>
          <w:iCs/>
          <w:sz w:val="22"/>
          <w:szCs w:val="22"/>
        </w:rPr>
        <w:t>National Employment Standards</w:t>
      </w:r>
      <w:r>
        <w:rPr>
          <w:rFonts w:eastAsia="Cambria" w:cs="Cambria"/>
          <w:b w:val="false"/>
          <w:bCs w:val="false"/>
          <w:i w:val="false"/>
          <w:iCs w:val="false"/>
          <w:sz w:val="22"/>
          <w:szCs w:val="22"/>
        </w:rPr>
        <w:t xml:space="preserve"> (NES, elf gesetzliche Mindestansprüche) eine Untergrenze fest, die kein Vertrag unterschreiten darf: Höchstarbeitszeit, Urlaub, Kündigungsfristen, Elternzeit und mehr.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Darüber liegen zwei weitere Ebenen. Ein </w:t>
      </w:r>
      <w:r>
        <w:rPr>
          <w:rFonts w:eastAsia="Cambria" w:cs="Cambria"/>
          <w:b w:val="false"/>
          <w:bCs w:val="false"/>
          <w:i/>
          <w:iCs/>
          <w:sz w:val="22"/>
          <w:szCs w:val="22"/>
        </w:rPr>
        <w:t>Modern Award</w:t>
      </w:r>
      <w:r>
        <w:rPr>
          <w:rFonts w:eastAsia="Cambria" w:cs="Cambria"/>
          <w:b w:val="false"/>
          <w:bCs w:val="false"/>
          <w:i w:val="false"/>
          <w:iCs w:val="false"/>
          <w:sz w:val="22"/>
          <w:szCs w:val="22"/>
        </w:rPr>
        <w:t xml:space="preserve"> (Branchen-Mindeststandard) legt für viele Berufsgruppen Mindestlöhne, Zuschläge und Arbeitszeitregeln fest – vergleichbar einem deutschen Tarifvertrag, nur dass er automatisch für die Branche gilt, nicht nur für Gewerkschaftsmitglieder. Ein </w:t>
      </w:r>
      <w:r>
        <w:rPr>
          <w:rFonts w:eastAsia="Cambria" w:cs="Cambria"/>
          <w:b w:val="false"/>
          <w:bCs w:val="false"/>
          <w:i/>
          <w:iCs/>
          <w:sz w:val="22"/>
          <w:szCs w:val="22"/>
        </w:rPr>
        <w:t>Enterprise Agreement</w:t>
      </w:r>
      <w:r>
        <w:rPr>
          <w:rFonts w:eastAsia="Cambria" w:cs="Cambria"/>
          <w:b w:val="false"/>
          <w:bCs w:val="false"/>
          <w:i w:val="false"/>
          <w:iCs w:val="false"/>
          <w:sz w:val="22"/>
          <w:szCs w:val="22"/>
        </w:rPr>
        <w:t xml:space="preserve"> (Betriebsvereinbarung) wird zwischen einem einzelnen Arbeitgeber und seiner Belegschaft ausgehandelt und kann die Award-Standards überbieten. Wer keinem Award unterliegt (viele Fach- und Führungskräfte mit hohem Gehalt), verhandelt individuell auf Basis der NES als Fußboden. Zwei Behörden solltest du kennen: die </w:t>
      </w:r>
      <w:r>
        <w:rPr>
          <w:rFonts w:eastAsia="Cambria" w:cs="Cambria"/>
          <w:b w:val="false"/>
          <w:bCs w:val="false"/>
          <w:i/>
          <w:iCs/>
          <w:sz w:val="22"/>
          <w:szCs w:val="22"/>
        </w:rPr>
        <w:t>Fair Work Ombudsman</w:t>
      </w:r>
      <w:r>
        <w:rPr>
          <w:rFonts w:eastAsia="Cambria" w:cs="Cambria"/>
          <w:b w:val="false"/>
          <w:bCs w:val="false"/>
          <w:i w:val="false"/>
          <w:iCs w:val="false"/>
          <w:sz w:val="22"/>
          <w:szCs w:val="22"/>
        </w:rPr>
        <w:t xml:space="preserve"> (Aufsichts- und Beratungsstelle, prüft Löhne und Bedingungen, fairwork.gov.au) und die </w:t>
      </w:r>
      <w:r>
        <w:rPr>
          <w:rFonts w:eastAsia="Cambria" w:cs="Cambria"/>
          <w:b w:val="false"/>
          <w:bCs w:val="false"/>
          <w:i/>
          <w:iCs/>
          <w:sz w:val="22"/>
          <w:szCs w:val="22"/>
        </w:rPr>
        <w:t>Fair Work Commission</w:t>
      </w:r>
      <w:r>
        <w:rPr>
          <w:rFonts w:eastAsia="Cambria" w:cs="Cambria"/>
          <w:b w:val="false"/>
          <w:bCs w:val="false"/>
          <w:i w:val="false"/>
          <w:iCs w:val="false"/>
          <w:sz w:val="22"/>
          <w:szCs w:val="22"/>
        </w:rPr>
        <w:t xml:space="preserve"> (Schlichtungsstelle und Arbeitsgericht in einem, entscheidet unter anderem über unfaire Kündigungen).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Betriebsrat nach deutschem Muster existiert nicht; Mitbestimmung läuft, wenn überhaupt, über Gewerkschaften und Enterprise Agreements. Dein Arbeitsvertrag (</w:t>
      </w:r>
      <w:r>
        <w:rPr>
          <w:rFonts w:eastAsia="Cambria" w:cs="Cambria"/>
          <w:b w:val="false"/>
          <w:bCs w:val="false"/>
          <w:i/>
          <w:iCs/>
          <w:sz w:val="22"/>
          <w:szCs w:val="22"/>
        </w:rPr>
        <w:t>Employment Contract</w:t>
      </w:r>
      <w:r>
        <w:rPr>
          <w:rFonts w:eastAsia="Cambria" w:cs="Cambria"/>
          <w:b w:val="false"/>
          <w:bCs w:val="false"/>
          <w:i w:val="false"/>
          <w:iCs w:val="false"/>
          <w:sz w:val="22"/>
          <w:szCs w:val="22"/>
        </w:rPr>
        <w:t>) sollte Grundgehalt, Wochenstunden, Award- oder Agreement-Zugehörigkeit und Probezeit (</w:t>
      </w:r>
      <w:r>
        <w:rPr>
          <w:rFonts w:eastAsia="Cambria" w:cs="Cambria"/>
          <w:b w:val="false"/>
          <w:bCs w:val="false"/>
          <w:i/>
          <w:iCs/>
          <w:sz w:val="22"/>
          <w:szCs w:val="22"/>
        </w:rPr>
        <w:t>Probation Period</w:t>
      </w:r>
      <w:r>
        <w:rPr>
          <w:rFonts w:eastAsia="Cambria" w:cs="Cambria"/>
          <w:b w:val="false"/>
          <w:bCs w:val="false"/>
          <w:i w:val="false"/>
          <w:iCs w:val="false"/>
          <w:sz w:val="22"/>
          <w:szCs w:val="22"/>
        </w:rPr>
        <w:t>, meist drei bis sechs Monate) klar benennen – das meiste andere ergibt sich aus NES und Award, nicht aus dem Vertragstext selbst.</w:t>
      </w:r>
    </w:p>
    <w:p>
      <w:pPr>
        <w:pStyle w:val="Heading3"/>
        <w:keepNext w:val="true"/>
        <w:spacing w:before="280" w:after="100"/>
        <w:jc w:val="center"/>
        <w:rPr/>
      </w:pPr>
      <w:r>
        <w:rPr>
          <w:rFonts w:eastAsia="Amazon Ember" w:cs="Amazon Ember" w:ascii="Amazon Ember" w:hAnsi="Amazon Ember"/>
          <w:b/>
          <w:bCs/>
          <w:color w:val="0000FF"/>
          <w:sz w:val="36"/>
          <w:szCs w:val="36"/>
        </w:rPr>
        <w:t>Urlaub, Feiertage und Krankheit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NES garantieren mindestens vier Wochen bezahlten Jahresurlaub pro Jahr (manche Schichtarbeiter erhalten eine fünfte Woche), der von Beginn an anteilig anwächst und sich ansammelt. Manche Awards zahlen zusätzlich einen Urlaubszuschlag (</w:t>
      </w:r>
      <w:r>
        <w:rPr>
          <w:rFonts w:eastAsia="Cambria" w:cs="Cambria"/>
          <w:b w:val="false"/>
          <w:bCs w:val="false"/>
          <w:i/>
          <w:iCs/>
          <w:sz w:val="22"/>
          <w:szCs w:val="22"/>
        </w:rPr>
        <w:t>Leave Loading</w:t>
      </w:r>
      <w:r>
        <w:rPr>
          <w:rFonts w:eastAsia="Cambria" w:cs="Cambria"/>
          <w:b w:val="false"/>
          <w:bCs w:val="false"/>
          <w:i w:val="false"/>
          <w:iCs w:val="false"/>
          <w:sz w:val="22"/>
          <w:szCs w:val="22"/>
        </w:rPr>
        <w:t>) von häufig 17,5 % auf den Urlaubslohn – ein kleiner, oft übersehener Bonus. Dazu kommen zehn Tage bezahlter Krankheits- und Pflegeurlaub (</w:t>
      </w:r>
      <w:r>
        <w:rPr>
          <w:rFonts w:eastAsia="Cambria" w:cs="Cambria"/>
          <w:b w:val="false"/>
          <w:bCs w:val="false"/>
          <w:i/>
          <w:iCs/>
          <w:sz w:val="22"/>
          <w:szCs w:val="22"/>
        </w:rPr>
        <w:t>Personal/Carer’s Leave</w:t>
      </w:r>
      <w:r>
        <w:rPr>
          <w:rFonts w:eastAsia="Cambria" w:cs="Cambria"/>
          <w:b w:val="false"/>
          <w:bCs w:val="false"/>
          <w:i w:val="false"/>
          <w:iCs w:val="false"/>
          <w:sz w:val="22"/>
          <w:szCs w:val="22"/>
        </w:rPr>
        <w:t>) im Jahr, die sich ebenfalls ansammeln und nicht verfallen.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Wer aus Deutschland mindestens 20 gesetzliche Urlaubstage und meist 25 bis 30 tarifliche gewohnt ist, hält vier Wochen für wenig. Rechnerisch stimmt das – vier Wochen sind 20 Arbeitstage bei einer Fünftagewoche –, aber es ist zugleich das gesetzliche Minimum, nicht ein durchschnittlicher Wert wie in den USA. Ein 13. Gehalt gibt es nicht, dafür sind die vier Wochen anders als in vielen US-Bundesstaaten wirklich garantiert.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Feiertage sind Landessache: Sieben nationale Feiertage (u. a. Neujahr, Australia Day, Karfreitag, Ostermontag, Anzac Day, Weihnachten, zweiter Weihnachtsfeiertag) gelten überall, jeder Bundesstaat und jedes Territorium fügt ein bis drei eigene hinzu – macht je nach Wohnort neun bis elf Feiertage im Jahr, spürbar weniger als die 9 bis 13 vieler deutscher Bundesländer. Fällt ein Feiertag in deinen Jahresurlaub, wird der Tag als Feiertag und nicht als Urlaubstag gezählt; dein Urlaubskonto bleibt unberührt.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Bei befristeter Anstellung als </w:t>
      </w:r>
      <w:r>
        <w:rPr>
          <w:rFonts w:eastAsia="Cambria" w:cs="Cambria"/>
          <w:b w:val="false"/>
          <w:bCs w:val="false"/>
          <w:i/>
          <w:iCs/>
          <w:sz w:val="22"/>
          <w:szCs w:val="22"/>
        </w:rPr>
        <w:t>Casual Employee</w:t>
      </w:r>
      <w:r>
        <w:rPr>
          <w:rFonts w:eastAsia="Cambria" w:cs="Cambria"/>
          <w:b w:val="false"/>
          <w:bCs w:val="false"/>
          <w:i w:val="false"/>
          <w:iCs w:val="false"/>
          <w:sz w:val="22"/>
          <w:szCs w:val="22"/>
        </w:rPr>
        <w:t xml:space="preserve"> (Aushilfskraft ohne feste Wochenstunden, verbreitet bei Working-Holiday-Jobs) entfallen Urlaubs- und Krankheitsanspruch; dafür kommt ein Zuschlag von meist 25 % auf den Stundenlohn (</w:t>
      </w:r>
      <w:r>
        <w:rPr>
          <w:rFonts w:eastAsia="Cambria" w:cs="Cambria"/>
          <w:b w:val="false"/>
          <w:bCs w:val="false"/>
          <w:i/>
          <w:iCs/>
          <w:sz w:val="22"/>
          <w:szCs w:val="22"/>
        </w:rPr>
        <w:t>Casual Loading</w:t>
      </w:r>
      <w:r>
        <w:rPr>
          <w:rFonts w:eastAsia="Cambria" w:cs="Cambria"/>
          <w:b w:val="false"/>
          <w:bCs w:val="false"/>
          <w:i w:val="false"/>
          <w:iCs w:val="false"/>
          <w:sz w:val="22"/>
          <w:szCs w:val="22"/>
        </w:rPr>
        <w:t>) obendrauf. Für Elternzeit gibt es neben einem knappen bundesstaatlichen Programm (</w:t>
      </w:r>
      <w:r>
        <w:rPr>
          <w:rFonts w:eastAsia="Cambria" w:cs="Cambria"/>
          <w:b w:val="false"/>
          <w:bCs w:val="false"/>
          <w:i/>
          <w:iCs/>
          <w:sz w:val="22"/>
          <w:szCs w:val="22"/>
        </w:rPr>
        <w:t>Paid Parental Leave</w:t>
      </w:r>
      <w:r>
        <w:rPr>
          <w:rFonts w:eastAsia="Cambria" w:cs="Cambria"/>
          <w:b w:val="false"/>
          <w:bCs w:val="false"/>
          <w:i w:val="false"/>
          <w:iCs w:val="false"/>
          <w:sz w:val="22"/>
          <w:szCs w:val="22"/>
        </w:rPr>
        <w:t>) oft zusätzliche, freiwillige Arbeitgeberregelungen – deutlich schmaler als das deutsche Elterngeld, und ein Thema, das sich lohnt, schon im Vorstellungsgespräch anzusprechen.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Vier Wochen Urlaub sind das gesetzliche Minimum, nicht die Norm nach oben. Verhandle bei Führungspositionen oder gefragten Berufen ruhig mehr – viele Arbeitgeber gewähren es, ohne dass es im Award steht, wenn du danach fragst.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Kündigungsschutz: Fristen, Unfair Dismissal und Redundancy</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Kündigungsschutzgesetz wie in Deutschland, das ab dem ersten Tag nach der Probezeit greift, gibt es nicht. Stattdessen kennt der Fair Work Act den Schutz vor unfairer Kündigung (</w:t>
      </w:r>
      <w:r>
        <w:rPr>
          <w:rFonts w:eastAsia="Cambria" w:cs="Cambria"/>
          <w:b w:val="false"/>
          <w:bCs w:val="false"/>
          <w:i/>
          <w:iCs/>
          <w:sz w:val="22"/>
          <w:szCs w:val="22"/>
        </w:rPr>
        <w:t>Unfair Dismissal</w:t>
      </w:r>
      <w:r>
        <w:rPr>
          <w:rFonts w:eastAsia="Cambria" w:cs="Cambria"/>
          <w:b w:val="false"/>
          <w:bCs w:val="false"/>
          <w:i w:val="false"/>
          <w:iCs w:val="false"/>
          <w:sz w:val="22"/>
          <w:szCs w:val="22"/>
        </w:rPr>
        <w:t>) – aber erst nach einer Mindestbeschäftigungszeit (</w:t>
      </w:r>
      <w:r>
        <w:rPr>
          <w:rFonts w:eastAsia="Cambria" w:cs="Cambria"/>
          <w:b w:val="false"/>
          <w:bCs w:val="false"/>
          <w:i/>
          <w:iCs/>
          <w:sz w:val="22"/>
          <w:szCs w:val="22"/>
        </w:rPr>
        <w:t>Minimum Employment Period</w:t>
      </w:r>
      <w:r>
        <w:rPr>
          <w:rFonts w:eastAsia="Cambria" w:cs="Cambria"/>
          <w:b w:val="false"/>
          <w:bCs w:val="false"/>
          <w:i w:val="false"/>
          <w:iCs w:val="false"/>
          <w:sz w:val="22"/>
          <w:szCs w:val="22"/>
        </w:rPr>
        <w:t>): sechs Monate bei Arbeitgebern mit 15 oder mehr Beschäftigten, zwölf Monate bei Kleinbetrieben (</w:t>
      </w:r>
      <w:r>
        <w:rPr>
          <w:rFonts w:eastAsia="Cambria" w:cs="Cambria"/>
          <w:b w:val="false"/>
          <w:bCs w:val="false"/>
          <w:i/>
          <w:iCs/>
          <w:sz w:val="22"/>
          <w:szCs w:val="22"/>
        </w:rPr>
        <w:t>Small Business</w:t>
      </w:r>
      <w:r>
        <w:rPr>
          <w:rFonts w:eastAsia="Cambria" w:cs="Cambria"/>
          <w:b w:val="false"/>
          <w:bCs w:val="false"/>
          <w:i w:val="false"/>
          <w:iCs w:val="false"/>
          <w:sz w:val="22"/>
          <w:szCs w:val="22"/>
        </w:rPr>
        <w:t xml:space="preserve">, unter 15 Beschäftigten). Bei Kleinbetrieben genügt es zudem, wenn der Arbeitgeber den </w:t>
      </w:r>
      <w:r>
        <w:rPr>
          <w:rFonts w:eastAsia="Cambria" w:cs="Cambria"/>
          <w:b w:val="false"/>
          <w:bCs w:val="false"/>
          <w:i/>
          <w:iCs/>
          <w:sz w:val="22"/>
          <w:szCs w:val="22"/>
        </w:rPr>
        <w:t>Small Business Fair Dismissal Code</w:t>
      </w:r>
      <w:r>
        <w:rPr>
          <w:rFonts w:eastAsia="Cambria" w:cs="Cambria"/>
          <w:b w:val="false"/>
          <w:bCs w:val="false"/>
          <w:i w:val="false"/>
          <w:iCs w:val="false"/>
          <w:sz w:val="22"/>
          <w:szCs w:val="22"/>
        </w:rPr>
        <w:t xml:space="preserve"> (einen behördlichen Verhaltenskodex für faire Kündigungen) redlich befolgt hat – dann gilt die Kündigung automatisch als fair.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Man könnte meinen, kleine Betriebe seien in Australien komplett vom Kündigungsschutz ausgenommen, wie das deutsche Kündigungsschutzgesetz Betriebe mit zehn oder weniger Beschäftigten ganz ausnimmt. Tatsächlich ist es umgekehrt gelöst: Der Schutz gilt grundsätzlich überall, nur die Wartezeit ist beim Kleinbetrieb länger. Wer die Mindestzeit erreicht hat, kann bei der Fair Work Commission binnen 21 Tagen nach der Kündigung Beschwerde einlegen – eine kurze Frist, die man sich merken sollte. Der Schutz gilt außerdem nur unterhalb einer Einkommensschwelle (</w:t>
      </w:r>
      <w:r>
        <w:rPr>
          <w:rFonts w:eastAsia="Cambria" w:cs="Cambria"/>
          <w:b w:val="false"/>
          <w:bCs w:val="false"/>
          <w:i/>
          <w:iCs/>
          <w:sz w:val="22"/>
          <w:szCs w:val="22"/>
        </w:rPr>
        <w:t>High Income Threshold</w:t>
      </w:r>
      <w:r>
        <w:rPr>
          <w:rFonts w:eastAsia="Cambria" w:cs="Cambria"/>
          <w:b w:val="false"/>
          <w:bCs w:val="false"/>
          <w:i w:val="false"/>
          <w:iCs w:val="false"/>
          <w:sz w:val="22"/>
          <w:szCs w:val="22"/>
        </w:rPr>
        <w:t>, ab dem 1. Juli 2026: 190.100 AUD im Jahr), außer ein Award oder Agreement deckt die Stelle trotzdem ab.</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Kündigungsfristen (</w:t>
      </w:r>
      <w:r>
        <w:rPr>
          <w:rFonts w:eastAsia="Cambria" w:cs="Cambria"/>
          <w:b w:val="false"/>
          <w:bCs w:val="false"/>
          <w:i/>
          <w:iCs/>
          <w:sz w:val="22"/>
          <w:szCs w:val="22"/>
        </w:rPr>
        <w:t>Notice of Termination</w:t>
      </w:r>
      <w:r>
        <w:rPr>
          <w:rFonts w:eastAsia="Cambria" w:cs="Cambria"/>
          <w:b w:val="false"/>
          <w:bCs w:val="false"/>
          <w:i w:val="false"/>
          <w:iCs w:val="false"/>
          <w:sz w:val="22"/>
          <w:szCs w:val="22"/>
        </w:rPr>
        <w:t>) aus den NES sind gestaffelt: eine Woche bei unter einem Jahr Betriebszugehörigkeit, zwei Wochen bei ein bis drei Jahren, drei Wochen bei drei bis fünf Jahren, vier Wochen ab fünf Jahren – wer über 45 ist und mindestens zwei Jahre dabei war, bekommt eine zusätzliche Woche. Bei betriebsbedingter Kündigung (</w:t>
      </w:r>
      <w:r>
        <w:rPr>
          <w:rFonts w:eastAsia="Cambria" w:cs="Cambria"/>
          <w:b w:val="false"/>
          <w:bCs w:val="false"/>
          <w:i/>
          <w:iCs/>
          <w:sz w:val="22"/>
          <w:szCs w:val="22"/>
        </w:rPr>
        <w:t>Redundancy</w:t>
      </w:r>
      <w:r>
        <w:rPr>
          <w:rFonts w:eastAsia="Cambria" w:cs="Cambria"/>
          <w:b w:val="false"/>
          <w:bCs w:val="false"/>
          <w:i w:val="false"/>
          <w:iCs w:val="false"/>
          <w:sz w:val="22"/>
          <w:szCs w:val="22"/>
        </w:rPr>
        <w:t>) kommt eine gestaffelte Abfindung (</w:t>
      </w:r>
      <w:r>
        <w:rPr>
          <w:rFonts w:eastAsia="Cambria" w:cs="Cambria"/>
          <w:b w:val="false"/>
          <w:bCs w:val="false"/>
          <w:i/>
          <w:iCs/>
          <w:sz w:val="22"/>
          <w:szCs w:val="22"/>
        </w:rPr>
        <w:t>Redundancy Pay</w:t>
      </w:r>
      <w:r>
        <w:rPr>
          <w:rFonts w:eastAsia="Cambria" w:cs="Cambria"/>
          <w:b w:val="false"/>
          <w:bCs w:val="false"/>
          <w:i w:val="false"/>
          <w:iCs w:val="false"/>
          <w:sz w:val="22"/>
          <w:szCs w:val="22"/>
        </w:rPr>
        <w:t>) hinzu, von vier Wochen ab einem Jahr Betriebszugehörigkeit bis zu 16 Wochen ab neun Jahren – Kleinbetriebe unter 15 Beschäftigten sind davon allerdings befreit. Bei grobem Fehlverhalten (</w:t>
      </w:r>
      <w:r>
        <w:rPr>
          <w:rFonts w:eastAsia="Cambria" w:cs="Cambria"/>
          <w:b w:val="false"/>
          <w:bCs w:val="false"/>
          <w:i/>
          <w:iCs/>
          <w:sz w:val="22"/>
          <w:szCs w:val="22"/>
        </w:rPr>
        <w:t>Serious Misconduct</w:t>
      </w:r>
      <w:r>
        <w:rPr>
          <w:rFonts w:eastAsia="Cambria" w:cs="Cambria"/>
          <w:b w:val="false"/>
          <w:bCs w:val="false"/>
          <w:i w:val="false"/>
          <w:iCs w:val="false"/>
          <w:sz w:val="22"/>
          <w:szCs w:val="22"/>
        </w:rPr>
        <w:t>, etwa Diebstahl oder Gewalt) kann fristlos gekündigt werden, ohne Frist und ohne Abfindung.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Dieser Abschnitt ist eine Orientierung, keine Rechtsberatung. Ob eine Kündigung im Einzelfall fair war, welche Frist gilt und ob dein Vertrag von einem Award oder Agreement erfasst ist, prüft im Zweifel ein australischer Arbeitsrechtler oder die kostenlose Beratung der Fair Work Ombudsman.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Arbeitszeit und das Recht auf Feierabend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NES setzen die Standardwoche für Vollzeit auf 38 Stunden (</w:t>
      </w:r>
      <w:r>
        <w:rPr>
          <w:rFonts w:eastAsia="Cambria" w:cs="Cambria"/>
          <w:b w:val="false"/>
          <w:bCs w:val="false"/>
          <w:i/>
          <w:iCs/>
          <w:sz w:val="22"/>
          <w:szCs w:val="22"/>
        </w:rPr>
        <w:t>Ordinary Hours</w:t>
      </w:r>
      <w:r>
        <w:rPr>
          <w:rFonts w:eastAsia="Cambria" w:cs="Cambria"/>
          <w:b w:val="false"/>
          <w:bCs w:val="false"/>
          <w:i w:val="false"/>
          <w:iCs w:val="false"/>
          <w:sz w:val="22"/>
          <w:szCs w:val="22"/>
        </w:rPr>
        <w:t>), zuzüglich „angemessener“ Mehrarbeit, wenn betrieblich nötig. Was angemessen ist, hängt von Award, Gesundheit, familiären Pflichten und Ankündigungsfrist ab – im Zweifel darfst du unangemessene Mehrarbeit ablehnen. Überstunden- und Schichtzuschläge regelt meist der jeweilige Award, nicht ein Bundesgesetz.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Seit dem 26. August 2024 gilt für größere Arbeitgeber, seit dem 26. August 2025 auch für Kleinbetriebe ein Recht auf Nichterreichbarkeit (</w:t>
      </w:r>
      <w:r>
        <w:rPr>
          <w:rFonts w:eastAsia="Cambria" w:cs="Cambria"/>
          <w:b w:val="false"/>
          <w:bCs w:val="false"/>
          <w:i/>
          <w:iCs/>
          <w:sz w:val="22"/>
          <w:szCs w:val="22"/>
        </w:rPr>
        <w:t>Right to Disconnect</w:t>
      </w:r>
      <w:r>
        <w:rPr>
          <w:rFonts w:eastAsia="Cambria" w:cs="Cambria"/>
          <w:b w:val="false"/>
          <w:bCs w:val="false"/>
          <w:i w:val="false"/>
          <w:iCs w:val="false"/>
          <w:sz w:val="22"/>
          <w:szCs w:val="22"/>
        </w:rPr>
        <w:t>): Du darfst Kontaktversuche außerhalb der Arbeitszeit ablehnen, sofern das nicht unangemessen ist. Nach den Kapiteln zu den USA in diesem Buch mag das nach einer Selbstverständlichkeit klingen – ist es in Australien aber nicht ganz: Das Recht ist neu, viele Arbeitgeber und Beschäftigte kennen die Details noch nicht, und „unangemessen“ ist Auslegungssache. Praktisch bleibt es klug, im Team offen zu klären, was von dir nach Feierabend erwartet wird, statt sich auf ein Gesetz zu verlassen, das noch niemand getestet hat.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Dass ein Kollege um fünf den Stift fallen lässt, ist in Australien kein Zeichen von Desinteresse, sondern von Selbstverständlichkeit. Wer selbst länger bleibt, weil es in Deutschland so gehört, wird eher komisch angeschaut als gelobt.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Netzwerken, Umgangston und Bewerbungskultur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Im australischen Büro zählt der Vorname, auch beim Geschäftsführer; Titel wie „Dipl.-Ing.“ tauchen in der E-Mail-Signatur allenfalls in akademischen Berufen auf. „Mate“ ist keine Vertraulichkeit, sondern eine Standardfloskel, die für Kollegen, Kunden und gelegentlich auch für den eigenen Hund verwendet wird. Der Ton ist informell, direkte Kritik wird meist in beiläufigem Understatement verpackt: „Not a bad effort“ kann tatsächlich Lob bedeuten, „yeah, nah“ heißt in aller Regel Nein. Wer aus Deutschland gewohnt ist, Dinge beim Namen zu nennen, braucht ein paar Wochen, um diese Zwischentöne zu entschlüsseln – und findet sich dabei gelegentlich in Gesprächen wieder, in denen er nicht ganz sicher ist, ob er gerade zugestimmt oder abgelehnt wurde.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Arbeitszeugnis wie in Deutschland gibt es nicht. Stattdessen nennst du gegen Ende eines Bewerbungsverfahrens zwei bis drei </w:t>
      </w:r>
      <w:r>
        <w:rPr>
          <w:rFonts w:eastAsia="Cambria" w:cs="Cambria"/>
          <w:b w:val="false"/>
          <w:bCs w:val="false"/>
          <w:i/>
          <w:iCs/>
          <w:sz w:val="22"/>
          <w:szCs w:val="22"/>
        </w:rPr>
        <w:t>Referees</w:t>
      </w:r>
      <w:r>
        <w:rPr>
          <w:rFonts w:eastAsia="Cambria" w:cs="Cambria"/>
          <w:b w:val="false"/>
          <w:bCs w:val="false"/>
          <w:i w:val="false"/>
          <w:iCs w:val="false"/>
          <w:sz w:val="22"/>
          <w:szCs w:val="22"/>
        </w:rPr>
        <w:t xml:space="preserve"> (Referenzpersonen, meist frühere Vorgesetzte), die der neue Arbeitgeber anruft. Bewerbungen laufen überwiegend über Online-Jobbörsen und LinkedIn; ein knappes, ergebnisorientiertes Resume ohne Foto ist Standard, ähnlich dem US-Format. Viele Stellen werden über persönliche Empfehlungen besetzt, nicht über offene Ausschreibungen – Networking über Berufsverbände, ehemalige Studienkollegen und informelle Treffen ist deshalb mehr als Höflichkeit, es ist Jobsuche.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Fair Work Ombudsman bietet kostenlose telefonische und Online-Beratung zu Löhnen, Verträgen und Kündigungsfristen (fairwork.gov.au, 13 13 94) – bevor du für eine Ersteinschätzung einen Anwalt bezahlst, lohnt sich dieser Anruf.</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Jobwechsel mit Skilled-Visum: was das Sponsoring bedeutet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Wie frei du den Arbeitgeber wechseln kannst, hängt vom Visumtyp ab. Wer über den Punktetest ein </w:t>
      </w:r>
      <w:r>
        <w:rPr>
          <w:rFonts w:eastAsia="Cambria" w:cs="Cambria"/>
          <w:b w:val="false"/>
          <w:bCs w:val="false"/>
          <w:i/>
          <w:iCs/>
          <w:sz w:val="22"/>
          <w:szCs w:val="22"/>
        </w:rPr>
        <w:t>Skilled Independent Visa</w:t>
      </w:r>
      <w:r>
        <w:rPr>
          <w:rFonts w:eastAsia="Cambria" w:cs="Cambria"/>
          <w:b w:val="false"/>
          <w:bCs w:val="false"/>
          <w:i w:val="false"/>
          <w:iCs w:val="false"/>
          <w:sz w:val="22"/>
          <w:szCs w:val="22"/>
        </w:rPr>
        <w:t xml:space="preserve"> (Subclass 189) oder ein </w:t>
      </w:r>
      <w:r>
        <w:rPr>
          <w:rFonts w:eastAsia="Cambria" w:cs="Cambria"/>
          <w:b w:val="false"/>
          <w:bCs w:val="false"/>
          <w:i/>
          <w:iCs/>
          <w:sz w:val="22"/>
          <w:szCs w:val="22"/>
        </w:rPr>
        <w:t>Skilled Nominated Visa</w:t>
      </w:r>
      <w:r>
        <w:rPr>
          <w:rFonts w:eastAsia="Cambria" w:cs="Cambria"/>
          <w:b w:val="false"/>
          <w:bCs w:val="false"/>
          <w:i w:val="false"/>
          <w:iCs w:val="false"/>
          <w:sz w:val="22"/>
          <w:szCs w:val="22"/>
        </w:rPr>
        <w:t xml:space="preserve"> (Subclass 190) hält, ist an keinen Arbeitgeber gebunden und kann den Job so oft wechseln wie ein Staatsbürger – beim Subclass 190 lediglich mit der Auflage, mindestens zwei Jahre im nominierenden Bundesstaat wohnen zu bleiben. Familie Reinhardt, mit Subclass 189 nach Melbourne gezogen, könnte also morgen kündigen und übermorgen bei einem anderen Arbeitgeber anfangen, ohne die Einwanderungsbehörde einzuschalten.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Anders beim </w:t>
      </w:r>
      <w:r>
        <w:rPr>
          <w:rFonts w:eastAsia="Cambria" w:cs="Cambria"/>
          <w:b w:val="false"/>
          <w:bCs w:val="false"/>
          <w:i/>
          <w:iCs/>
          <w:sz w:val="22"/>
          <w:szCs w:val="22"/>
        </w:rPr>
        <w:t>Skills in Demand Visa</w:t>
      </w:r>
      <w:r>
        <w:rPr>
          <w:rFonts w:eastAsia="Cambria" w:cs="Cambria"/>
          <w:b w:val="false"/>
          <w:bCs w:val="false"/>
          <w:i w:val="false"/>
          <w:iCs w:val="false"/>
          <w:sz w:val="22"/>
          <w:szCs w:val="22"/>
        </w:rPr>
        <w:t xml:space="preserve"> (Subclass 482, das gängige arbeitgebergesponserte Visum): Es ist an einen konkreten Arbeitgeber und die nominierte Tätigkeit gebunden (Visumbedingung 8607). Willst du den Arbeitgeber wechseln, muss der neue Betrieb zuerst eine eigene Nominierung bei der Einwanderungsbehörde einreichen; bleibt der Beruf gleich, brauchst du meist kein komplett neues Visum, darfst beim neuen Arbeitgeber aber erst anfangen, wenn diese Nominierung genehmigt ist. Wer vorher anfängt, verstößt gegen seine Visumbedingungen – mit Risiko für Visum und den neuen Arbeitgeber gleichermaßen.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Verlierst du die Beschäftigung beim 482-Sponsor, ist das seit dem 1. Juli 2024 spürbar entschärft: Früher blieben meist nur 60 Tage, um einen neuen Sponsor zu finden, andernfalls drohte die Ausreise. Seit der Reform darfst du bis zu 180 Tage am Stück ohne aufrechte Sponsoring-Beschäftigung im Land bleiben, insgesamt bis zu 365 Tage über die gesamte Visumlaufzeit verteilt – ein deutlich größeres Sicherheitsnetz, das dir Zeit für eine gründliche Jobsuche statt einer Panikreaktion gibt. Nach zwei Jahren beim selben 482-Sponsor führt häufig ein Weg über das </w:t>
      </w:r>
      <w:r>
        <w:rPr>
          <w:rFonts w:eastAsia="Cambria" w:cs="Cambria"/>
          <w:b w:val="false"/>
          <w:bCs w:val="false"/>
          <w:i/>
          <w:iCs/>
          <w:sz w:val="22"/>
          <w:szCs w:val="22"/>
        </w:rPr>
        <w:t>Employer Nomination Scheme</w:t>
      </w:r>
      <w:r>
        <w:rPr>
          <w:rFonts w:eastAsia="Cambria" w:cs="Cambria"/>
          <w:b w:val="false"/>
          <w:bCs w:val="false"/>
          <w:i w:val="false"/>
          <w:iCs w:val="false"/>
          <w:sz w:val="22"/>
          <w:szCs w:val="22"/>
        </w:rPr>
        <w:t xml:space="preserve"> (Subclass 186) zur unbefristeten Aufenthaltserlaubnis; auch das beendet die Bindung an einen einzelnen Arbeitgeber.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Kündige beim 482 nie, bevor der neue Arbeitgeber die Nominierung eingereicht hat, und arbeite nie „auf Zuruf“ schon vorab mit. Kläre außerdem, wer die Nominierungsgebühr und die Skilling-Australians-Fund-Abgabe des neuen Arbeitgebers trägt – das ist Verhandlungssache, nicht Gesetz.</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Nina Voss (fiktives Beispiel) jobbt seit einem halben Jahr mit ihrem Working-Holiday-Visum in einer Sydney-Marketingagentur, zunächst als </w:t>
            </w:r>
            <w:r>
              <w:rPr>
                <w:rFonts w:eastAsia="Cambria" w:cs="Cambria"/>
                <w:b w:val="false"/>
                <w:bCs w:val="false"/>
                <w:i/>
                <w:iCs/>
                <w:sz w:val="20"/>
                <w:szCs w:val="20"/>
              </w:rPr>
              <w:t>Casual Employee</w:t>
            </w:r>
            <w:r>
              <w:rPr>
                <w:rFonts w:eastAsia="Cambria" w:cs="Cambria"/>
                <w:b w:val="false"/>
                <w:bCs w:val="false"/>
                <w:i w:val="false"/>
                <w:iCs w:val="false"/>
                <w:sz w:val="20"/>
                <w:szCs w:val="20"/>
              </w:rPr>
              <w:t xml:space="preserve"> mit 25 % Lohnzuschlag statt Urlaubsanspruch. Als ihre Chefin ihr anbietet, sie fest zu übernehmen und für ein Skilled-Visum zu sponsern, ist Nina zuerst erleichtert – bis der Einwanderungsberater der Agentur erklärt, dass sie nicht einfach am Montag als Festangestellte weiterarbeiten kann. Erst muss die Agentur eine Nominierung einreichen und genehmigt bekommen; bis dahin bleibt Nina bei ihren Working-Holiday-Bedingungen. Es dauert acht Wochen, in denen Nina übergangsweise reduziert weiterarbeitet und Geduld übt – „yeah, nah, noch nicht“, sagt ihre Chefin jedes Mal, wenn Nina fragt, ob es schon so weit ist. Als die Nominierung endlich genehmigt ist, beginnt ihr neuer Vertrag mit vier Wochen Urlaub, zehn Tagen Krankheitsurlaub und, zum ersten Mal, einer Pensionskasseneinzahlung.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Gehalt, Superannuation und Verhandlung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Stellenanzeigen nennen ein Jahresgehalt „plus Super“ – gemeint ist die </w:t>
      </w:r>
      <w:r>
        <w:rPr>
          <w:rFonts w:eastAsia="Cambria" w:cs="Cambria"/>
          <w:b w:val="false"/>
          <w:bCs w:val="false"/>
          <w:i/>
          <w:iCs/>
          <w:sz w:val="22"/>
          <w:szCs w:val="22"/>
        </w:rPr>
        <w:t>Superannuation Guarantee</w:t>
      </w:r>
      <w:r>
        <w:rPr>
          <w:rFonts w:eastAsia="Cambria" w:cs="Cambria"/>
          <w:b w:val="false"/>
          <w:bCs w:val="false"/>
          <w:i w:val="false"/>
          <w:iCs w:val="false"/>
          <w:sz w:val="22"/>
          <w:szCs w:val="22"/>
        </w:rPr>
        <w:t xml:space="preserve"> (gesetzliche Pflicht-Altersvorsorge), die der Arbeitgeber zusätzlich zum Gehalt in eine Pensionskasse einzahlt, aktuell 12 % des Lohns (Stand ab 1. Juli 2025). Anders als die deutsche gesetzliche Rentenversicherung wird sie nicht vom Bruttolohn abgezogen, sondern kommt on top; wer aus Gewohnheit nur das Grundgehalt vergleicht, unterschätzt leicht den Wert eines Angebots. Der nationale Mindestlohn liegt ab dem 1. Juli 2026 bei 26,44 AUD pro Stunde beziehungsweise 1.004,90 AUD für eine 38-Stunden-Woche; die meisten Fach- und Führungspositionen liegen darüber, orientiert an Award oder Markt.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Gehaltsverhandlungen sind, ähnlich wie in den USA-Kapiteln dieses Buches beschrieben, üblich und erwartet – nur eben im typisch australischen Understatement-Ton statt mit US-amerikanischer Direktheit. Frage nach der Gehaltsspanne, bevor du selbst eine Zahl nennst, und sprich Zusatzleistungen wie Homeoffice-Tage, zusätzlichen Urlaub oder einen höheren Super-Satz aktiv an – viele Arbeitgeber haben hier mehr Spielraum als beim Grundgehalt.</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Vier Wochen Urlaub und zehn Tage Krankheitsurlaub sind gesetzlich garantiert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13. Gehalt, kein tariflicher Urlaub von 25 bis 30 Tagen wie oft in Deutschland</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Flache Hierarchien, entspannter Umgangston, seit 2024/25 ein Recht auf Nichterreichbarkeit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Beim 482-Visum bist du an einen einzelnen Arbeitgeber gebunden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180-Tage-Sicherheitsnetz bei Jobverlust seit 1. Juli 2024, früher nur 60 Tage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Unfair-Dismissal-Schutz greift erst nach sechs bis zwölf Monaten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Superannuation von 12 % kommt obendrauf zum Gehalt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Arbeitgeberwechsel beim 482 braucht Zeit: neue Nominierung, keine Arbeit vorab</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Punktebasierte Visa (189/190) machen frei von jeder Arbeitgeberbindung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Elternzeit- und Familienleistungen sind deutlich schmaler als in Deutschland</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Gehaltsverhandlung ist üblich und wird erwartet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Feiertage sind mit neun bis elf im Jahr spürbar weniger als in vielen Bundesländern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Lies deinen Arbeitsvertrag zusammen mit dem zutreffenden Award, bevor du unterschreibst, und kläre Urlaubs-, Kündigungs- und Super-Regelungen konkret. Bist du auf einem 482-Visum, plane jeden Arbeitgeberwechsel als Verwaltungsvorgang, nicht als spontane Entscheidung: Nominierung zuerst, Kündigung danach.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Prüfen, ob ein Modern Award oder Enterprise Agreement für deine Stelle gilt, und dessen Mindestbedingungen mit dem Vertrag vergleichen.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Urlaubs-, Krankheits- und Kündigungsregelungen im Vertrag genau klären, nicht nur „nach NES“ akzeptieren.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Vertragsende: eigene Betriebszugehörigkeit und die geltende Mindestbeschäftigungszeit für Unfair-Dismissal-Schutz kennen.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Auf dem 482-Visum: vor jedem Arbeitgeberwechsel die neue Nominierung abwarten, nie vorher anfangen.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Jobverlust auf dem 482: die 180-Tage-Frist und den 365-Tage-Gesamtrahmen im Kalender notieren.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Super-Satz und Einzahlung im Gehaltszettel regelmäßig kontrollieren (myGov-Konto verknüpfen).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Zwei bis drei Referees vorbereiten und um Erlaubnis fragen, bevor du sie angibst.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Unsicherheiten kostenlos bei der Fair Work Ombudsman anrufen (13 13 94).</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Fair Work Ombudsman – National Employment Standards, Kündigungsfristen, Urlaub: </w:t>
      </w:r>
      <w:hyperlink r:id="rId508">
        <w:r>
          <w:rPr>
            <w:rStyle w:val="ListLabel113"/>
            <w:rFonts w:eastAsia="Cambria" w:cs="Cambria"/>
            <w:b w:val="false"/>
            <w:bCs w:val="false"/>
            <w:i w:val="false"/>
            <w:iCs w:val="false"/>
            <w:color w:val="0563C1"/>
            <w:sz w:val="22"/>
            <w:szCs w:val="22"/>
            <w:u w:val="single"/>
          </w:rPr>
          <w:t>fairwork.gov.au</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Fair Work Commission – Unfair Dismissal, Mindestlohn, High Income Threshold: </w:t>
      </w:r>
      <w:hyperlink r:id="rId509">
        <w:r>
          <w:rPr>
            <w:rStyle w:val="ListLabel113"/>
            <w:rFonts w:eastAsia="Cambria" w:cs="Cambria"/>
            <w:b w:val="false"/>
            <w:bCs w:val="false"/>
            <w:i w:val="false"/>
            <w:iCs w:val="false"/>
            <w:color w:val="0563C1"/>
            <w:sz w:val="22"/>
            <w:szCs w:val="22"/>
            <w:u w:val="single"/>
          </w:rPr>
          <w:t>fwc.gov.au</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Department of Home Affairs – Skills in Demand Visa (482), Wechsel des Arbeitgebers: </w:t>
      </w:r>
      <w:hyperlink r:id="rId510">
        <w:r>
          <w:rPr>
            <w:rStyle w:val="ListLabel113"/>
            <w:rFonts w:eastAsia="Cambria" w:cs="Cambria"/>
            <w:b w:val="false"/>
            <w:bCs w:val="false"/>
            <w:i w:val="false"/>
            <w:iCs w:val="false"/>
            <w:color w:val="0563C1"/>
            <w:sz w:val="22"/>
            <w:szCs w:val="22"/>
            <w:u w:val="single"/>
          </w:rPr>
          <w:t>immi.homeaffairs.gov.au/visas/getting-a-visa/visa-listing/skills-in-demand-visa-subclass-482</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Australian Taxation Office – Superannuation Guarantee: </w:t>
      </w:r>
      <w:hyperlink r:id="rId511">
        <w:r>
          <w:rPr>
            <w:rStyle w:val="ListLabel113"/>
            <w:rFonts w:eastAsia="Cambria" w:cs="Cambria"/>
            <w:b w:val="false"/>
            <w:bCs w:val="false"/>
            <w:i w:val="false"/>
            <w:iCs w:val="false"/>
            <w:color w:val="0563C1"/>
            <w:sz w:val="22"/>
            <w:szCs w:val="22"/>
            <w:u w:val="single"/>
          </w:rPr>
          <w:t>ato.gov.au/super</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Fair Work Ombudsman – Right to Disconnect: </w:t>
      </w:r>
      <w:hyperlink r:id="rId512">
        <w:r>
          <w:rPr>
            <w:rStyle w:val="ListLabel113"/>
            <w:rFonts w:eastAsia="Cambria" w:cs="Cambria"/>
            <w:b w:val="false"/>
            <w:bCs w:val="false"/>
            <w:i w:val="false"/>
            <w:iCs w:val="false"/>
            <w:color w:val="0563C1"/>
            <w:sz w:val="22"/>
            <w:szCs w:val="22"/>
            <w:u w:val="single"/>
          </w:rPr>
          <w:t>fairwork.gov.au/employment-conditions/right-to-disconnect</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schnell: Mindestlohn und Super-Satz werden jeweils zum 1. Juli angepasst, die Einkommensschwelle für Unfair-Dismissal-Schutz ebenso, und die Umsetzung des Rechts auf Nichterreichbarkeit ist noch jung und wenig erprobt. Prüfe vor jeder Entscheidung fairwork.gov.au und immi.homeaffairs.gov.au.</w:t>
            </w:r>
          </w:p>
        </w:tc>
      </w:tr>
    </w:tbl>
    <w:p>
      <w:pPr>
        <w:pStyle w:val="Normal"/>
        <w:spacing w:lineRule="exact" w:line="220" w:before="0" w:after="0"/>
        <w:rPr/>
      </w:pPr>
      <w:r>
        <w:rPr/>
      </w:r>
      <w:r>
        <w:br w:type="page"/>
      </w:r>
    </w:p>
    <w:p>
      <w:pPr>
        <w:pStyle w:val="Heading2"/>
        <w:keepNext w:val="true"/>
        <w:spacing w:before="0" w:after="300"/>
        <w:jc w:val="center"/>
        <w:rPr/>
      </w:pPr>
      <w:bookmarkStart w:id="132" w:name="__RefHeading___Toc56561_3769931028"/>
      <w:bookmarkStart w:id="133" w:name="tau15"/>
      <w:bookmarkEnd w:id="132"/>
      <w:r>
        <w:rPr>
          <w:rFonts w:eastAsia="Amazon Ember" w:cs="Amazon Ember" w:ascii="Amazon Ember" w:hAnsi="Amazon Ember"/>
          <w:b/>
          <w:bCs/>
          <w:color w:val="0000FF"/>
          <w:sz w:val="36"/>
          <w:szCs w:val="36"/>
        </w:rPr>
        <w:t>Australien: Recht, Sicherheit und Polizeikontakt</w:t>
      </w:r>
      <w:bookmarkEnd w:id="133"/>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Freitagabend, kurz vor der Westgate Bridge in Melbourne: Blaulicht, eine Reihe Warnwesten, ein Schlauch wird durchs Fenster gereicht, bevor überhaupt ein Wort gefallen ist. Thomas Reinhardt hat nichts falsch gemacht, keinen Tropfen Alkohol getrunken und keine Ahnung, wonach hier eigentlich gesucht wird – und trotzdem steht sein Wagen plötzlich in der Schlange vor einem sogenannten </w:t>
      </w:r>
      <w:r>
        <w:rPr>
          <w:rFonts w:eastAsia="Cambria" w:cs="Cambria"/>
          <w:b w:val="false"/>
          <w:bCs w:val="false"/>
          <w:i/>
          <w:iCs/>
          <w:sz w:val="22"/>
          <w:szCs w:val="22"/>
        </w:rPr>
        <w:t>Booze Bus</w:t>
      </w:r>
      <w:r>
        <w:rPr>
          <w:rFonts w:eastAsia="Cambria" w:cs="Cambria"/>
          <w:b w:val="false"/>
          <w:bCs w:val="false"/>
          <w:i w:val="false"/>
          <w:iCs w:val="false"/>
          <w:sz w:val="22"/>
          <w:szCs w:val="22"/>
        </w:rPr>
        <w:t xml:space="preserve"> (umgangssprachlich für eine mobile Polizeistation zur Alkohol- und Drogenkontrolle). In Deutschland hätte es dafür einen Anlass gebraucht; in Australien reicht ein x-beliebiger Freitagabend. Wer aus Deutschland kommt, muss beim Thema Recht und Sicherheit einiges neu lernen – nicht, weil Australien gefährlicher wäre, sondern weil an überraschend vielen Stellen einfach andere Regeln gelten.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Verdachtsunabhängige Alkohol- und Drogenkontrollen im Straßenverkehr (</w:t>
            </w:r>
            <w:r>
              <w:rPr>
                <w:rFonts w:eastAsia="Cambria" w:cs="Cambria"/>
                <w:b w:val="false"/>
                <w:bCs w:val="false"/>
                <w:i/>
                <w:iCs/>
                <w:sz w:val="20"/>
                <w:szCs w:val="20"/>
              </w:rPr>
              <w:t>Random Breath Testing</w:t>
            </w:r>
            <w:r>
              <w:rPr>
                <w:rFonts w:eastAsia="Cambria" w:cs="Cambria"/>
                <w:b w:val="false"/>
                <w:bCs w:val="false"/>
                <w:i w:val="false"/>
                <w:iCs w:val="false"/>
                <w:sz w:val="20"/>
                <w:szCs w:val="20"/>
              </w:rPr>
              <w:t xml:space="preserve">, RBT, und </w:t>
            </w:r>
            <w:r>
              <w:rPr>
                <w:rFonts w:eastAsia="Cambria" w:cs="Cambria"/>
                <w:b w:val="false"/>
                <w:bCs w:val="false"/>
                <w:i/>
                <w:iCs/>
                <w:sz w:val="20"/>
                <w:szCs w:val="20"/>
              </w:rPr>
              <w:t>Random Drug Testing</w:t>
            </w:r>
            <w:r>
              <w:rPr>
                <w:rFonts w:eastAsia="Cambria" w:cs="Cambria"/>
                <w:b w:val="false"/>
                <w:bCs w:val="false"/>
                <w:i w:val="false"/>
                <w:iCs w:val="false"/>
                <w:sz w:val="20"/>
                <w:szCs w:val="20"/>
              </w:rPr>
              <w:t>, RDT) sind in ganz Australien Routine – anders, als du es aus Deutschland gewohnt bist.</w:t>
            </w:r>
          </w:p>
          <w:p>
            <w:pPr>
              <w:pStyle w:val="ListParagraph"/>
              <w:numPr>
                <w:ilvl w:val="0"/>
                <w:numId w:val="1"/>
              </w:numPr>
              <w:spacing w:lineRule="exact" w:line="264" w:before="0" w:after="50"/>
              <w:rPr/>
            </w:pPr>
            <w:r>
              <w:rPr>
                <w:rFonts w:eastAsia="Cambria" w:cs="Cambria"/>
                <w:b w:val="false"/>
                <w:bCs w:val="false"/>
                <w:i w:val="false"/>
                <w:iCs w:val="false"/>
                <w:sz w:val="20"/>
                <w:szCs w:val="20"/>
              </w:rPr>
              <w:t>Ab 18 Jahren musst du bei einer Kontrolle Namen und Adresse nennen, mehr nicht; eine Durchsuchung ohne Verdacht oder richterlichen Beschluss darfst du höflich ablehnen.</w:t>
            </w:r>
          </w:p>
          <w:p>
            <w:pPr>
              <w:pStyle w:val="ListParagraph"/>
              <w:numPr>
                <w:ilvl w:val="0"/>
                <w:numId w:val="1"/>
              </w:numPr>
              <w:spacing w:lineRule="exact" w:line="264" w:before="0" w:after="50"/>
              <w:rPr/>
            </w:pPr>
            <w:r>
              <w:rPr>
                <w:rFonts w:eastAsia="Cambria" w:cs="Cambria"/>
                <w:b w:val="false"/>
                <w:bCs w:val="false"/>
                <w:i w:val="false"/>
                <w:iCs w:val="false"/>
                <w:sz w:val="20"/>
                <w:szCs w:val="20"/>
              </w:rPr>
              <w:t>Waffenrecht: seit 1996 eines der strengsten der Welt. „Selbstverteidigung“ ist ausdrücklich kein anerkannter Grund für eine Waffenlizenz.</w:t>
            </w:r>
          </w:p>
          <w:p>
            <w:pPr>
              <w:pStyle w:val="ListParagraph"/>
              <w:numPr>
                <w:ilvl w:val="0"/>
                <w:numId w:val="1"/>
              </w:numPr>
              <w:spacing w:lineRule="exact" w:line="264" w:before="0" w:after="50"/>
              <w:rPr/>
            </w:pPr>
            <w:r>
              <w:rPr>
                <w:rFonts w:eastAsia="Cambria" w:cs="Cambria"/>
                <w:b w:val="false"/>
                <w:bCs w:val="false"/>
                <w:i w:val="false"/>
                <w:iCs w:val="false"/>
                <w:sz w:val="20"/>
                <w:szCs w:val="20"/>
              </w:rPr>
              <w:t>Cannabis bleibt in sechs der acht Bundesstaaten und Territorien illegal; nur die Hauptstadtregion ACT erlaubt geringe Mengen zum Eigenbedarf, Südaustralien und das Northern Territory ahnden einen Ersttäter meist nur mit einem Bußgeld statt einer Anklage.</w:t>
            </w:r>
          </w:p>
          <w:p>
            <w:pPr>
              <w:pStyle w:val="ListParagraph"/>
              <w:numPr>
                <w:ilvl w:val="0"/>
                <w:numId w:val="1"/>
              </w:numPr>
              <w:spacing w:lineRule="exact" w:line="264" w:before="0" w:after="50"/>
              <w:rPr/>
            </w:pPr>
            <w:r>
              <w:rPr>
                <w:rFonts w:eastAsia="Cambria" w:cs="Cambria"/>
                <w:b w:val="false"/>
                <w:bCs w:val="false"/>
                <w:i w:val="false"/>
                <w:iCs w:val="false"/>
                <w:sz w:val="20"/>
                <w:szCs w:val="20"/>
              </w:rPr>
              <w:t>Auch mit ärztlichem Rezept für medizinisches Cannabis bleibt Autofahren mit nachweisbarem THC im Speichel in fast allen Bundesstaaten strafbar.</w:t>
            </w:r>
          </w:p>
          <w:p>
            <w:pPr>
              <w:pStyle w:val="ListParagraph"/>
              <w:numPr>
                <w:ilvl w:val="0"/>
                <w:numId w:val="1"/>
              </w:numPr>
              <w:spacing w:lineRule="exact" w:line="264" w:before="0" w:after="50"/>
              <w:rPr/>
            </w:pPr>
            <w:r>
              <w:rPr>
                <w:rFonts w:eastAsia="Cambria" w:cs="Cambria"/>
                <w:b w:val="false"/>
                <w:bCs w:val="false"/>
                <w:i w:val="false"/>
                <w:iCs w:val="false"/>
                <w:sz w:val="20"/>
                <w:szCs w:val="20"/>
              </w:rPr>
              <w:t>Buschbrand- und Zyklonsaison verlangen einen eigenen Vorsorgeplan: Warnstufen kennen, Fluchtweg kennen, Versicherung rechtzeitig prüfen.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Rechtssystem in Kürze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Australien folgt wie Großbritannien dem </w:t>
      </w:r>
      <w:r>
        <w:rPr>
          <w:rFonts w:eastAsia="Cambria" w:cs="Cambria"/>
          <w:b w:val="false"/>
          <w:bCs w:val="false"/>
          <w:i/>
          <w:iCs/>
          <w:sz w:val="22"/>
          <w:szCs w:val="22"/>
        </w:rPr>
        <w:t>Common Law</w:t>
      </w:r>
      <w:r>
        <w:rPr>
          <w:rFonts w:eastAsia="Cambria" w:cs="Cambria"/>
          <w:b w:val="false"/>
          <w:bCs w:val="false"/>
          <w:i w:val="false"/>
          <w:iCs w:val="false"/>
          <w:sz w:val="22"/>
          <w:szCs w:val="22"/>
        </w:rPr>
        <w:t xml:space="preserve"> (Fallrecht, das stark auf Präzedenzfällen und Richterrecht aufbaut, anders als das deutsche kodifizierte Recht). Acht Bundesstaaten und Territorien erlassen ihr eigenes Straf-, Verkehrs- und Polizeirecht; der Bund (</w:t>
      </w:r>
      <w:r>
        <w:rPr>
          <w:rFonts w:eastAsia="Cambria" w:cs="Cambria"/>
          <w:b w:val="false"/>
          <w:bCs w:val="false"/>
          <w:i/>
          <w:iCs/>
          <w:sz w:val="22"/>
          <w:szCs w:val="22"/>
        </w:rPr>
        <w:t>Commonwealth</w:t>
      </w:r>
      <w:r>
        <w:rPr>
          <w:rFonts w:eastAsia="Cambria" w:cs="Cambria"/>
          <w:b w:val="false"/>
          <w:bCs w:val="false"/>
          <w:i w:val="false"/>
          <w:iCs w:val="false"/>
          <w:sz w:val="22"/>
          <w:szCs w:val="22"/>
        </w:rPr>
        <w:t xml:space="preserve">) ist vor allem für Einwanderung, Zoll, Steuern und einige Bundesdelikte wie Terrorismus zuständig. Kleinere Delikte verhandelt das </w:t>
      </w:r>
      <w:r>
        <w:rPr>
          <w:rFonts w:eastAsia="Cambria" w:cs="Cambria"/>
          <w:b w:val="false"/>
          <w:bCs w:val="false"/>
          <w:i/>
          <w:iCs/>
          <w:sz w:val="22"/>
          <w:szCs w:val="22"/>
        </w:rPr>
        <w:t>Magistrates Court</w:t>
      </w:r>
      <w:r>
        <w:rPr>
          <w:rFonts w:eastAsia="Cambria" w:cs="Cambria"/>
          <w:b w:val="false"/>
          <w:bCs w:val="false"/>
          <w:i w:val="false"/>
          <w:iCs w:val="false"/>
          <w:sz w:val="22"/>
          <w:szCs w:val="22"/>
        </w:rPr>
        <w:t xml:space="preserve"> beziehungsweise </w:t>
      </w:r>
      <w:r>
        <w:rPr>
          <w:rFonts w:eastAsia="Cambria" w:cs="Cambria"/>
          <w:b w:val="false"/>
          <w:bCs w:val="false"/>
          <w:i/>
          <w:iCs/>
          <w:sz w:val="22"/>
          <w:szCs w:val="22"/>
        </w:rPr>
        <w:t>Local Court</w:t>
      </w:r>
      <w:r>
        <w:rPr>
          <w:rFonts w:eastAsia="Cambria" w:cs="Cambria"/>
          <w:b w:val="false"/>
          <w:bCs w:val="false"/>
          <w:i w:val="false"/>
          <w:iCs w:val="false"/>
          <w:sz w:val="22"/>
          <w:szCs w:val="22"/>
        </w:rPr>
        <w:t xml:space="preserve">, schwerere das </w:t>
      </w:r>
      <w:r>
        <w:rPr>
          <w:rFonts w:eastAsia="Cambria" w:cs="Cambria"/>
          <w:b w:val="false"/>
          <w:bCs w:val="false"/>
          <w:i/>
          <w:iCs/>
          <w:sz w:val="22"/>
          <w:szCs w:val="22"/>
        </w:rPr>
        <w:t>District</w:t>
      </w:r>
      <w:r>
        <w:rPr>
          <w:rFonts w:eastAsia="Cambria" w:cs="Cambria"/>
          <w:b w:val="false"/>
          <w:bCs w:val="false"/>
          <w:i w:val="false"/>
          <w:iCs w:val="false"/>
          <w:sz w:val="22"/>
          <w:szCs w:val="22"/>
        </w:rPr>
        <w:t xml:space="preserve"> oder </w:t>
      </w:r>
      <w:r>
        <w:rPr>
          <w:rFonts w:eastAsia="Cambria" w:cs="Cambria"/>
          <w:b w:val="false"/>
          <w:bCs w:val="false"/>
          <w:i/>
          <w:iCs/>
          <w:sz w:val="22"/>
          <w:szCs w:val="22"/>
        </w:rPr>
        <w:t>County Court</w:t>
      </w:r>
      <w:r>
        <w:rPr>
          <w:rFonts w:eastAsia="Cambria" w:cs="Cambria"/>
          <w:b w:val="false"/>
          <w:bCs w:val="false"/>
          <w:i w:val="false"/>
          <w:iCs w:val="false"/>
          <w:sz w:val="22"/>
          <w:szCs w:val="22"/>
        </w:rPr>
        <w:t xml:space="preserve">, die schwersten das </w:t>
      </w:r>
      <w:r>
        <w:rPr>
          <w:rFonts w:eastAsia="Cambria" w:cs="Cambria"/>
          <w:b w:val="false"/>
          <w:bCs w:val="false"/>
          <w:i/>
          <w:iCs/>
          <w:sz w:val="22"/>
          <w:szCs w:val="22"/>
        </w:rPr>
        <w:t>Supreme Court</w:t>
      </w:r>
      <w:r>
        <w:rPr>
          <w:rFonts w:eastAsia="Cambria" w:cs="Cambria"/>
          <w:b w:val="false"/>
          <w:bCs w:val="false"/>
          <w:i w:val="false"/>
          <w:iCs w:val="false"/>
          <w:sz w:val="22"/>
          <w:szCs w:val="22"/>
        </w:rPr>
        <w:t xml:space="preserve"> jedes Bundesstaats; oberste Instanz für das gesamte Land ist der </w:t>
      </w:r>
      <w:r>
        <w:rPr>
          <w:rFonts w:eastAsia="Cambria" w:cs="Cambria"/>
          <w:b w:val="false"/>
          <w:bCs w:val="false"/>
          <w:i/>
          <w:iCs/>
          <w:sz w:val="22"/>
          <w:szCs w:val="22"/>
        </w:rPr>
        <w:t>High Court of Australia</w:t>
      </w:r>
      <w:r>
        <w:rPr>
          <w:rFonts w:eastAsia="Cambria" w:cs="Cambria"/>
          <w:b w:val="false"/>
          <w:bCs w:val="false"/>
          <w:i w:val="false"/>
          <w:iCs w:val="false"/>
          <w:sz w:val="22"/>
          <w:szCs w:val="22"/>
        </w:rPr>
        <w:t xml:space="preserve"> in Canberra. Bei schwereren Anklagen hast du wie in Deutschland Anspruch auf ein Verfahren vor Geschworenen (</w:t>
      </w:r>
      <w:r>
        <w:rPr>
          <w:rFonts w:eastAsia="Cambria" w:cs="Cambria"/>
          <w:b w:val="false"/>
          <w:bCs w:val="false"/>
          <w:i/>
          <w:iCs/>
          <w:sz w:val="22"/>
          <w:szCs w:val="22"/>
        </w:rPr>
        <w:t>Jury</w:t>
      </w:r>
      <w:r>
        <w:rPr>
          <w:rFonts w:eastAsia="Cambria" w:cs="Cambria"/>
          <w:b w:val="false"/>
          <w:bCs w:val="false"/>
          <w:i w:val="false"/>
          <w:iCs w:val="false"/>
          <w:sz w:val="22"/>
          <w:szCs w:val="22"/>
        </w:rPr>
        <w:t>). Für dich als Neuankömmling heißt das vor allem: Was in Sydney gilt, muss in Perth nicht identisch sein – bei allem, was über die im Folgenden beschriebenen bundesweiten Grundsätze hinausgeht, lohnt ein Blick auf die Website der zuständigen Landespolizei oder Landesregierung.</w:t>
      </w:r>
    </w:p>
    <w:p>
      <w:pPr>
        <w:pStyle w:val="Heading3"/>
        <w:keepNext w:val="true"/>
        <w:spacing w:before="280" w:after="100"/>
        <w:jc w:val="center"/>
        <w:rPr/>
      </w:pPr>
      <w:r>
        <w:rPr>
          <w:rFonts w:eastAsia="Amazon Ember" w:cs="Amazon Ember" w:ascii="Amazon Ember" w:hAnsi="Amazon Ember"/>
          <w:b/>
          <w:bCs/>
          <w:color w:val="0000FF"/>
          <w:sz w:val="36"/>
          <w:szCs w:val="36"/>
        </w:rPr>
        <w:t>Polizeikontakt: Verkehrskontrollen und Zufallstests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Was Thomas an diesem Freitagabend erlebt, ist kein Einzelfall, sondern Alltag: Polizei und Verkehrsbehörden führen australienweit </w:t>
      </w:r>
      <w:r>
        <w:rPr>
          <w:rFonts w:eastAsia="Cambria" w:cs="Cambria"/>
          <w:b w:val="false"/>
          <w:bCs w:val="false"/>
          <w:i/>
          <w:iCs/>
          <w:sz w:val="22"/>
          <w:szCs w:val="22"/>
        </w:rPr>
        <w:t>Random Breath Testing</w:t>
      </w:r>
      <w:r>
        <w:rPr>
          <w:rFonts w:eastAsia="Cambria" w:cs="Cambria"/>
          <w:b w:val="false"/>
          <w:bCs w:val="false"/>
          <w:i w:val="false"/>
          <w:iCs w:val="false"/>
          <w:sz w:val="22"/>
          <w:szCs w:val="22"/>
        </w:rPr>
        <w:t xml:space="preserve"> (RBT) und in den meisten Bundesstaaten zusätzlich </w:t>
      </w:r>
      <w:r>
        <w:rPr>
          <w:rFonts w:eastAsia="Cambria" w:cs="Cambria"/>
          <w:b w:val="false"/>
          <w:bCs w:val="false"/>
          <w:i/>
          <w:iCs/>
          <w:sz w:val="22"/>
          <w:szCs w:val="22"/>
        </w:rPr>
        <w:t>Random Drug Testing</w:t>
      </w:r>
      <w:r>
        <w:rPr>
          <w:rFonts w:eastAsia="Cambria" w:cs="Cambria"/>
          <w:b w:val="false"/>
          <w:bCs w:val="false"/>
          <w:i w:val="false"/>
          <w:iCs w:val="false"/>
          <w:sz w:val="22"/>
          <w:szCs w:val="22"/>
        </w:rPr>
        <w:t xml:space="preserve"> (RDT, Speicheltest auf THC, Amphetamine und ähnliche Substanzen) durch – stationär an belebten Ausfallstraßen oder mobil im fließenden Verkehr, besonders an Wochenenden und in der Nähe von Ausgehvierteln. Ein Anfangsverdacht ist dafür nicht nötig, ein Rechtsgrundsatz, den viele Neuankömmlinge zunächst befremdlich finden. Verhalte dich wie bei jeder anderen Verkehrskontrolle: rechts ranfahren, Motor aus, freundlich bleiben, Führerschein bereithalten. Der Atem- oder Speicheltest selbst dauert meist nur wenige Minuten.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Eine Verweigerung des Tests wird in aller Regel genauso hart geahndet wie ein positives Ergebnis. Anders als in Deutschland, wo der erste Atemalkoholtest freiwillig ist und die Polizei bei Verweigerung eine Blutprobe anordnen muss, ist die Teilnahme an RBT und RDT in Australien verpflichtend.</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einem positiven Ergebnis drohen, je nach gemessenem Wert und Bundesstaat, eine sofortige vorläufige Führerscheinsperre direkt am Straßenrand und ein späterer Gerichtstermin. Widersprich in dem Moment nicht der Kontrolle selbst; ob sie rechtmäßig war, klärst du im Zweifel später vor Gericht, nicht an der Fahrertür.</w:t>
      </w:r>
    </w:p>
    <w:p>
      <w:pPr>
        <w:pStyle w:val="Heading3"/>
        <w:keepNext w:val="true"/>
        <w:spacing w:before="280" w:after="100"/>
        <w:jc w:val="center"/>
        <w:rPr/>
      </w:pPr>
      <w:r>
        <w:rPr>
          <w:rFonts w:eastAsia="Amazon Ember" w:cs="Amazon Ember" w:ascii="Amazon Ember" w:hAnsi="Amazon Ember"/>
          <w:b/>
          <w:bCs/>
          <w:color w:val="0000FF"/>
          <w:sz w:val="36"/>
          <w:szCs w:val="36"/>
        </w:rPr>
        <w:t>Deine Rechte gegenüber der Polizei</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Polizeibeamte dürfen dich nicht willkürlich nach deinen Papieren fragen; dafür braucht es einen konkreten Verdacht oder eine gesetzliche Grundlage wie eben die Verkehrskontrolle. Ab 18 Jahren musst du auf Verlangen Namen und Adresse nennen; unter 18 reicht die Altersangabe, mit dem Recht, dass ein Elternteil oder Anwalt bei einer Befragung dabei ist. Darüber hinaus gilt ein allgemeines Schweigerecht: Du musst dich nicht selbst belasten. Eine Wohnungs- oder Fahrzeugdurchsuchung ohne konkreten Verdacht oder richterlichen Beschluss darfst du höflich verweigern („I do not consent to a search.“) – wehre dich nie körperlich, sondern lass die Ablehnung im Zweifel vor Gericht klären. Das Filmen einer Polizeikontrolle in der Öffentlichkeit ist grundsätzlich erlaubt, solange du die Diensthandlung nicht behinderst; ein Beamter darf dein Aufnahmegerät nicht allein deshalb konfiszieren, weil du filmst, kann das Filmen aber untersagen, wenn es den Einsatz stört. Diese Grundsätze gelten im Kern bundesweit ähnlich, die Details unterscheiden sich zwischen den acht Bundesstaaten und Territorien – im Zweifel hilft ein australischer Anwalt schneller weiter als eine allgemeine Regel aus diesem Buch.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Schweigen ist erlaubt, Höflichkeit hilft, Widerstand schadet. Zeige deine Papiere, wenn eine Ausweispflicht besteht, und verlange bei allem, was darüber hinausgeht, ruhig einen Anwalt.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einer Festnahme hast du das Recht, einen Anwalt zu kontaktieren, und als deutscher Staatsangehöriger zusätzlich das Recht, mit einem Konsularbeamten zu sprechen – verlange das ausdrücklich, automatisch angeboten wird es nicht überall. Sprichst du kein ausreichendes Englisch, steht dir bei einer polizeilichen Befragung ein Dolmetscher zu. Nenne wie in jedem Rechtssystem nur Namen, Adresse und den Wunsch nach einem Anwalt – mehr nicht, bis dieser da ist.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Familie Reinhardt (fiktives Beispiel) gerät auf dem Heimweg von einem Grillabend zum ersten Mal in einen </w:t>
            </w:r>
            <w:r>
              <w:rPr>
                <w:rFonts w:eastAsia="Cambria" w:cs="Cambria"/>
                <w:b w:val="false"/>
                <w:bCs w:val="false"/>
                <w:i/>
                <w:iCs/>
                <w:sz w:val="20"/>
                <w:szCs w:val="20"/>
              </w:rPr>
              <w:t>Booze Bus</w:t>
            </w:r>
            <w:r>
              <w:rPr>
                <w:rFonts w:eastAsia="Cambria" w:cs="Cambria"/>
                <w:b w:val="false"/>
                <w:bCs w:val="false"/>
                <w:i w:val="false"/>
                <w:iCs w:val="false"/>
                <w:sz w:val="20"/>
                <w:szCs w:val="20"/>
              </w:rPr>
              <w:t>. Thomas ist zunächst kurz nervös, obwohl er nüchtern ist – in Köln wäre er nie ohne Anlass angehalten worden. Der Test dauert keine zwei Minuten, ein Beamter wünscht „Safe travels, mate“, und die Familie fährt weiter. Ein paar Wochen später hält ihn eine Streife wegen eines defekten Rücklichts an; diesmal filmt eine Passantin die Szene vom Gehweg aus mit dem Handy. Thomas fragt sich kurz, ob das erlaubt ist – ist es, solange sie nicht in den Kontrollbereich tritt. Der Beamte wirkt davon unbeeindruckt und schreibt den Strafzettel wie geplant aus.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Kriminalität im Alltag: sachlich betrachtet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Australiens Großstädte gehören im internationalen Vergleich zu den sichereren, was schwere Gewaltkriminalität angeht. Innerhalb einer Stadt schwankt die Lage aber oft stärker als zwischen ganzen Städten – ein Großteil der Vorfälle konzentriert sich auf wenige Straßenzüge. Pauschalurteile über „gefährliche Vorstädte“ helfen dir deshalb wenig; konkrete Kriterien schon. Die Landespolizeien veröffentlichen für die meisten Bundesstaaten öffentlich einsehbare Kriminalitätskarten, mit denen sich ein konkretes Viertel vor der Wohnungssuche prüfen lässt (mehr zur Wohnortwahl im </w:t>
      </w:r>
      <w:hyperlink w:anchor="tau09">
        <w:r>
          <w:rPr>
            <w:rStyle w:val="ListLabel113"/>
            <w:rFonts w:eastAsia="Cambria" w:cs="Cambria"/>
            <w:b w:val="false"/>
            <w:bCs w:val="false"/>
            <w:i w:val="false"/>
            <w:iCs w:val="false"/>
            <w:color w:val="0563C1"/>
            <w:sz w:val="22"/>
            <w:szCs w:val="22"/>
            <w:u w:val="single"/>
          </w:rPr>
          <w:t>Kapitel zum Wohnen in diesem Teil</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Häufiger als Gewaltverbrechen sind Eigentumsdelikte: Einbrüche in unbewohnte Unterkünfte, Diebstahl aus unverschlossenen Autos, gelegentlich Fahrraddiebstahl rund um Bahnhöfe und Universitäten. Lass Wertsachen nicht sichtbar im Auto liegen und schließe auch für kurze Wege dein Fahrrad ab – einfache Gewohnheiten, die den Unterschied machen. Bei einem akuten Vorfall wählst du den Notruf 000, sonst meldest du dich online oder telefonisch bei der örtlichen Polizei; für eine Schadensmeldung bei der Versicherung brauchst du fast immer die Fallnummer der Anzeige.</w:t>
      </w:r>
    </w:p>
    <w:p>
      <w:pPr>
        <w:pStyle w:val="Heading3"/>
        <w:keepNext w:val="true"/>
        <w:spacing w:before="280" w:after="100"/>
        <w:jc w:val="center"/>
        <w:rPr/>
      </w:pPr>
      <w:r>
        <w:rPr>
          <w:rFonts w:eastAsia="Amazon Ember" w:cs="Amazon Ember" w:ascii="Amazon Ember" w:hAnsi="Amazon Ember"/>
          <w:b/>
          <w:bCs/>
          <w:color w:val="0000FF"/>
          <w:sz w:val="36"/>
          <w:szCs w:val="36"/>
        </w:rPr>
        <w:t>Waffenrecht: eines der strengsten der Welt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Nach dem Massaker von Port Arthur 1996 einigten sich Bund und Bundesstaaten auf das </w:t>
      </w:r>
      <w:r>
        <w:rPr>
          <w:rFonts w:eastAsia="Cambria" w:cs="Cambria"/>
          <w:b w:val="false"/>
          <w:bCs w:val="false"/>
          <w:i/>
          <w:iCs/>
          <w:sz w:val="22"/>
          <w:szCs w:val="22"/>
        </w:rPr>
        <w:t>National Firearms Agreement</w:t>
      </w:r>
      <w:r>
        <w:rPr>
          <w:rFonts w:eastAsia="Cambria" w:cs="Cambria"/>
          <w:b w:val="false"/>
          <w:bCs w:val="false"/>
          <w:i w:val="false"/>
          <w:iCs w:val="false"/>
          <w:sz w:val="22"/>
          <w:szCs w:val="22"/>
        </w:rPr>
        <w:t xml:space="preserve"> (NFA, das nationale Waffenabkommen) – seither gilt Australiens Waffenrecht als eines der striktesten der westlichen Welt. Waffenbesitz ist darin ausdrücklich ein bedingtes Privileg, kein Grundrecht. Für jede Lizenz brauchst du einen anerkannten „</w:t>
      </w:r>
      <w:r>
        <w:rPr>
          <w:rFonts w:eastAsia="Cambria" w:cs="Cambria"/>
          <w:b w:val="false"/>
          <w:bCs w:val="false"/>
          <w:i/>
          <w:iCs/>
          <w:sz w:val="22"/>
          <w:szCs w:val="22"/>
        </w:rPr>
        <w:t>Genuine Reason</w:t>
      </w:r>
      <w:r>
        <w:rPr>
          <w:rFonts w:eastAsia="Cambria" w:cs="Cambria"/>
          <w:b w:val="false"/>
          <w:bCs w:val="false"/>
          <w:i w:val="false"/>
          <w:iCs w:val="false"/>
          <w:sz w:val="22"/>
          <w:szCs w:val="22"/>
        </w:rPr>
        <w:t>“ (triftigen Grund): Mitgliedschaft in einem Sportschützenverein, Jagd mit Zustimmung des Grundeigentümers oder berufliche Notwendigkeit, etwa Schädlingsbekämpfung auf einer Farm. Dazu kommen ein verpflichtender Sicherheitskurs, eine Prüfung der persönlichen Eignung, 28 Tage Wartezeit je Kaufgenehmigung und eine gesonderte Erlaubnis für jeden einzelnen Waffenkauf. Bei einer Gewaltverurteilung oder einer häuslichen-Gewalt-Schutzanordnung in den letzten fünf Jahren wird die Lizenz automatisch verweigert oder entzogen.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Verbreiteter Irrtum, besonders bei Neuankömmlingen mit US-Vergleichshorizont: Waffenbesitz „zur Selbstverteidigung“ sei zumindest eingeschränkt möglich. Tatsächlich ist persönliche Selbstverteidigung in Australien überhaupt kein anerkannter Grund für eine Waffenlizenz – ein zentraler Unterschied zu vielen US-Bundesstaaten.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NFA unterteilt Waffen zusätzlich in fünf Kategorien mit gestaffelten Anforderungen, von wenig restriktiven Luftgewehren bis zu streng eingestuften halbautomatischen Waffen, die privaten Haltern in aller Regel verwehrt bleiben. Wer eine Lizenz besitzt, muss Waffe und Munition getrennt und verschlossen aufbewahren, meist in einem eigens dafür vorgesehenen Tresor – Kontrollen durch die Polizei sind möglich.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dich als Neuankömmling bedeutet das in der Praxis: Waffenbesitz spielt im Alltag kaum eine Rolle. Fasse fremde Waffen nicht ohne Weiteres an und leihe keine aus, selbst wenn Bekannte sie dir beim Farmbesuch oder auf der Jagd anbieten – ohne eigene Lizenz kann das rechtliche Folgen haben. Aus Deutschland solltest du ohnehin keine Waffen mitbringen; die Einfuhr unterliegt eigenen, strengen Bestimmungen.</w:t>
      </w:r>
    </w:p>
    <w:p>
      <w:pPr>
        <w:pStyle w:val="Heading3"/>
        <w:keepNext w:val="true"/>
        <w:spacing w:before="280" w:after="100"/>
        <w:jc w:val="center"/>
        <w:rPr/>
      </w:pPr>
      <w:r>
        <w:rPr>
          <w:rFonts w:eastAsia="Amazon Ember" w:cs="Amazon Ember" w:ascii="Amazon Ember" w:hAnsi="Amazon Ember"/>
          <w:b/>
          <w:bCs/>
          <w:color w:val="0000FF"/>
          <w:sz w:val="36"/>
          <w:szCs w:val="36"/>
        </w:rPr>
        <w:t>Cannabis-Recht: ein Flickenteppich zwischen den Bundesstaaten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Medizinisches Cannabis ist bundesweit seit 2016 legal, verschrieben über die Arzneimittelbehörde TGA (</w:t>
      </w:r>
      <w:r>
        <w:rPr>
          <w:rFonts w:eastAsia="Cambria" w:cs="Cambria"/>
          <w:b w:val="false"/>
          <w:bCs w:val="false"/>
          <w:i/>
          <w:iCs/>
          <w:sz w:val="22"/>
          <w:szCs w:val="22"/>
        </w:rPr>
        <w:t>Therapeutic Goods Administration</w:t>
      </w:r>
      <w:r>
        <w:rPr>
          <w:rFonts w:eastAsia="Cambria" w:cs="Cambria"/>
          <w:b w:val="false"/>
          <w:bCs w:val="false"/>
          <w:i w:val="false"/>
          <w:iCs w:val="false"/>
          <w:sz w:val="22"/>
          <w:szCs w:val="22"/>
        </w:rPr>
        <w:t xml:space="preserve">). Beim Freizeitkonsum dagegen entscheidet jeder Bundesstaat für sich, und die Unterschiede sind erheblich. In New South Wales, Victoria, Queensland, Western Australia und Tasmanien bleibt Besitz und Konsum strafbar. Die Hauptstadtregion </w:t>
      </w:r>
      <w:r>
        <w:rPr>
          <w:rFonts w:eastAsia="Cambria" w:cs="Cambria"/>
          <w:b w:val="false"/>
          <w:bCs w:val="false"/>
          <w:i/>
          <w:iCs/>
          <w:sz w:val="22"/>
          <w:szCs w:val="22"/>
        </w:rPr>
        <w:t>Australian Capital Territory</w:t>
      </w:r>
      <w:r>
        <w:rPr>
          <w:rFonts w:eastAsia="Cambria" w:cs="Cambria"/>
          <w:b w:val="false"/>
          <w:bCs w:val="false"/>
          <w:i w:val="false"/>
          <w:iCs w:val="false"/>
          <w:sz w:val="22"/>
          <w:szCs w:val="22"/>
        </w:rPr>
        <w:t xml:space="preserve"> (ACT, das Gebiet rund um Canberra) hat 2020 als erste und bislang einzige Jurisdiktion den Eigenbedarf entkriminalisiert: Erwachsene dürfen dort bis zu 50 Gramm getrocknetes Cannabis besitzen und bis zu zwei Pflanzen pro Person, höchstens vier je Haushalt, zum Privatgebrauch anbauen. Südaustralien und das Northern Territory verfolgen einen Mittelweg über ein Verwaltungsverfahren: Ein Ersttäter mit geringer Menge erhält meist nur ein Bußgeld statt einer strafrechtlichen Anklage, größere Mengen oder wiederholte Verstöße landen trotzdem vor Gericht.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Das ACT-Gesetz löst einen bis heute ungelösten Rechtskonflikt aus: Cannabisbesitz bleibt nach dem Bundesstrafrecht (</w:t>
            </w:r>
            <w:r>
              <w:rPr>
                <w:rFonts w:eastAsia="Cambria" w:cs="Cambria"/>
                <w:b w:val="false"/>
                <w:bCs w:val="false"/>
                <w:i/>
                <w:iCs/>
                <w:sz w:val="20"/>
                <w:szCs w:val="20"/>
              </w:rPr>
              <w:t>Commonwealth Criminal Code</w:t>
            </w:r>
            <w:r>
              <w:rPr>
                <w:rFonts w:eastAsia="Cambria" w:cs="Cambria"/>
                <w:b w:val="false"/>
                <w:bCs w:val="false"/>
                <w:i w:val="false"/>
                <w:iCs w:val="false"/>
                <w:sz w:val="20"/>
                <w:szCs w:val="20"/>
              </w:rPr>
              <w:t>) grundsätzlich strafbar, auch innerhalb der ACT. In der Praxis verfolgen weder die örtliche Polizei noch die australische Bundespolizei Eigenbedarfsfälle nach Bundesrecht – rechtlich abschließend geklärt ist die Frage aber nicht. Verlass dich also nicht darauf, dass „legal in der ACT“ automatisch „überall in Australien unproblematisch“ bedeutet.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Südaustralien nutzt dafür ein eigenes Verwaltungsverfahren, die </w:t>
      </w:r>
      <w:r>
        <w:rPr>
          <w:rFonts w:eastAsia="Cambria" w:cs="Cambria"/>
          <w:b w:val="false"/>
          <w:bCs w:val="false"/>
          <w:i/>
          <w:iCs/>
          <w:sz w:val="22"/>
          <w:szCs w:val="22"/>
        </w:rPr>
        <w:t>Cannabis Expiation Notice</w:t>
      </w:r>
      <w:r>
        <w:rPr>
          <w:rFonts w:eastAsia="Cambria" w:cs="Cambria"/>
          <w:b w:val="false"/>
          <w:bCs w:val="false"/>
          <w:i w:val="false"/>
          <w:iCs w:val="false"/>
          <w:sz w:val="22"/>
          <w:szCs w:val="22"/>
        </w:rPr>
        <w:t xml:space="preserve"> (vergleichbar einem Verwarnungsgeld statt einer Anklage); das Northern Territory kennt ein ähnliches System unter anderem Namen. Beide gelten nur für kleine Mengen und Ersttäter – wer erwischt wird, weil er weiterverkauft oder größere Mengen anbaut, landet auch dort vor Gericht.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Auch CBD-Öl und andere Hanfprodukte, die in Deutschland frei erhältlich sind, fallen bei der Einreise unter die australischen Einfuhrbestimmungen für Cannabisprodukte und können vom Zoll (</w:t>
            </w:r>
            <w:r>
              <w:rPr>
                <w:rFonts w:eastAsia="Cambria" w:cs="Cambria"/>
                <w:b w:val="false"/>
                <w:bCs w:val="false"/>
                <w:i/>
                <w:iCs/>
                <w:sz w:val="20"/>
                <w:szCs w:val="20"/>
              </w:rPr>
              <w:t>Australian Border Force</w:t>
            </w:r>
            <w:r>
              <w:rPr>
                <w:rFonts w:eastAsia="Cambria" w:cs="Cambria"/>
                <w:b w:val="false"/>
                <w:bCs w:val="false"/>
                <w:i w:val="false"/>
                <w:iCs w:val="false"/>
                <w:sz w:val="20"/>
                <w:szCs w:val="20"/>
              </w:rPr>
              <w:t>) beschlagnahmt werden, wenn keine gültige Einfuhrgenehmigung oder ärztliche Verschreibung vorliegt. Nimm solche Produkte im Zweifel gar nicht erst mit.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ist außerdem, ein ärztliches Rezept für medizinisches Cannabis schütze automatisch beim Autofahren. Das Gegenteil ist der Fall: In praktisch allen Bundesstaaten ist es strafbar, mit nachweisbarem THC im Speichel zu fahren, unabhängig von einer Beeinträchtigung und unabhängig vom Rezept, weil der Roadside-Test nur die Anwesenheit von THC misst, nicht die Fahrtüchtigkeit. New South Wales hat im September 2026 eine Gesetzesreform verabschiedet, die medizinischen Patienten unterhalb eines Laborgrenzwerts eine Ausnahme einräumen soll; sie war zum Schreibzeitpunkt noch nicht in Kraft. Victoria erlaubt Richtern inzwischen einen gewissen Ermessensspielraum beim Führerscheinentzug, wenn Beeinträchtigung ausgeschlossen ist und ein gültiges Rezept vorliegt – strafbar bleibt das Fahren mit THC im Blut aber auch dort. Wer aus medizinischen Gründen Cannabis nimmt und regelmäßig Auto fährt, sollte sich vor Ort rechtlich beraten lassen, bevor er sich hinters Steuer setzt.</w:t>
      </w:r>
    </w:p>
    <w:p>
      <w:pPr>
        <w:pStyle w:val="Heading3"/>
        <w:keepNext w:val="true"/>
        <w:spacing w:before="280" w:after="100"/>
        <w:jc w:val="center"/>
        <w:rPr/>
      </w:pPr>
      <w:r>
        <w:rPr>
          <w:rFonts w:eastAsia="Amazon Ember" w:cs="Amazon Ember" w:ascii="Amazon Ember" w:hAnsi="Amazon Ember"/>
          <w:b/>
          <w:bCs/>
          <w:color w:val="0000FF"/>
          <w:sz w:val="36"/>
          <w:szCs w:val="36"/>
        </w:rPr>
        <w:t>Naturgefahren: Buschbrände und Zyklone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Was in Deutschland allenfalls Extremwetter im Nachrichtenrand ist, gehört in weiten Teilen Australiens zur jährlichen Planung: Buschbrandsaison, meist Spätfrühling bis Ende Sommer, regional unterschiedlich, und im tropischen Norden zusätzlich die Zyklonsaison vom 1. November bis 30. April. Das </w:t>
      </w:r>
      <w:r>
        <w:rPr>
          <w:rFonts w:eastAsia="Cambria" w:cs="Cambria"/>
          <w:b w:val="false"/>
          <w:bCs w:val="false"/>
          <w:i/>
          <w:iCs/>
          <w:sz w:val="22"/>
          <w:szCs w:val="22"/>
        </w:rPr>
        <w:t>Australian Fire Danger Rating System</w:t>
      </w:r>
      <w:r>
        <w:rPr>
          <w:rFonts w:eastAsia="Cambria" w:cs="Cambria"/>
          <w:b w:val="false"/>
          <w:bCs w:val="false"/>
          <w:i w:val="false"/>
          <w:iCs w:val="false"/>
          <w:sz w:val="22"/>
          <w:szCs w:val="22"/>
        </w:rPr>
        <w:t xml:space="preserve"> (AFDRS) warnt in vier Stufen: „Moderate“ (an diesen Tagen ist Zeit für Vorbereitung, kein akutes Risiko), „High“, „Extreme“ (dein Notfallplan wird jetzt aktiviert) und „Catastrophic“ (die Feuerwehr kann den Brand voraussichtlich nicht kontrollieren; Evakuieren ist die sicherste Option). Zyklone werden in fünf Kategorien eingeteilt, gestaffelt nach Windstärke; ab Kategorie 3 gelten sie als „schwer“ (</w:t>
      </w:r>
      <w:r>
        <w:rPr>
          <w:rFonts w:eastAsia="Cambria" w:cs="Cambria"/>
          <w:b w:val="false"/>
          <w:bCs w:val="false"/>
          <w:i/>
          <w:iCs/>
          <w:sz w:val="22"/>
          <w:szCs w:val="22"/>
        </w:rPr>
        <w:t>severe</w:t>
      </w:r>
      <w:r>
        <w:rPr>
          <w:rFonts w:eastAsia="Cambria" w:cs="Cambria"/>
          <w:b w:val="false"/>
          <w:bCs w:val="false"/>
          <w:i w:val="false"/>
          <w:iCs w:val="false"/>
          <w:sz w:val="22"/>
          <w:szCs w:val="22"/>
        </w:rPr>
        <w:t>). Das Referenzereignis „Black Summer“ 2019/2020 zeigt das Ausmaß, das ein Extremjahr erreichen kann: 19 bis 24,3 Millionen Hektar verbrannt, mehr als 3.000 zerstörte Häuser, mindestens 33 Todesfälle und ein versicherter Schaden von rund 2,4 Milliarden AUD. Das ist kein jährlich wiederkehrendes Regelereignis, aber eine reale Größenordnung, die zeigt, warum Vorsorge hier ernster genommen wird als in Deutschland.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Welche Gefahr für dich konkret zutrifft, hängt stark vom Wohnort ab: Im Süden und Osten (Melbourne-Umland, New-South-Wales-Buschland) dominiert das Buschbrandrisiko, im tropischen Norden (Queensland, Northern Territory, Nord-Western-Australia) vor allem Zyklone und die mit ihnen einhergehenden Überschwemmungen, im trockenen Landesinneren eher Hitzewellen und Wassermangel. Wer wie Familie Reinhardt in einem Vorort von Melbourne lebt, hat andere Vorsorge zu treffen als jemand, der wie Nina Voss zeitweise im tropischen Queensland arbeitet.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Nina Voss (fiktives Beispiel) jobbt während ihres Working-Holiday-Jahres einige Monate auf einer Farm in Queensland, um die für ein zweites Jahr nötigen Regional-Arbeitstage zu sammeln. Mitten in der Erntesaison ruft ihr Farmchef sie und die anderen Backpacker eines Nachmittags zusammen: Die örtliche Feuerbehörde hat für den nächsten Tag die Stufe „Catastrophic“ ausgerufen, ein Waldbrand brennt bereits zwei Ortschaften weiter. Nina hatte bis dahin nie eine Warn-App installiert und kein Codewort für einen Sammelpunkt vereinbart – improvisiert klappt es trotzdem, aber sie beschließt danach, sich für den Rest ihrer Zeit in Australien nie wieder ohne Notfallplan in eine buschbrandgefährdete Gegend zu begeben.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Vorsorge und Versicherung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Installiere die Warn-App oder abonniere die Website der zuständigen Landesbehörde für deinen Wohnort (etwa das </w:t>
      </w:r>
      <w:r>
        <w:rPr>
          <w:rFonts w:eastAsia="Cambria" w:cs="Cambria"/>
          <w:b w:val="false"/>
          <w:bCs w:val="false"/>
          <w:i/>
          <w:iCs/>
          <w:sz w:val="22"/>
          <w:szCs w:val="22"/>
        </w:rPr>
        <w:t>Rural Fire Service</w:t>
      </w:r>
      <w:r>
        <w:rPr>
          <w:rFonts w:eastAsia="Cambria" w:cs="Cambria"/>
          <w:b w:val="false"/>
          <w:bCs w:val="false"/>
          <w:i w:val="false"/>
          <w:iCs w:val="false"/>
          <w:sz w:val="22"/>
          <w:szCs w:val="22"/>
        </w:rPr>
        <w:t xml:space="preserve"> in New South Wales, die </w:t>
      </w:r>
      <w:r>
        <w:rPr>
          <w:rFonts w:eastAsia="Cambria" w:cs="Cambria"/>
          <w:b w:val="false"/>
          <w:bCs w:val="false"/>
          <w:i/>
          <w:iCs/>
          <w:sz w:val="22"/>
          <w:szCs w:val="22"/>
        </w:rPr>
        <w:t>Country Fire Authority</w:t>
      </w:r>
      <w:r>
        <w:rPr>
          <w:rFonts w:eastAsia="Cambria" w:cs="Cambria"/>
          <w:b w:val="false"/>
          <w:bCs w:val="false"/>
          <w:i w:val="false"/>
          <w:iCs w:val="false"/>
          <w:sz w:val="22"/>
          <w:szCs w:val="22"/>
        </w:rPr>
        <w:t xml:space="preserve"> in Victoria oder die Feuerwehrbehörde in Queensland) sowie das bundesweite Telefon- und SMS-Warnsystem </w:t>
      </w:r>
      <w:r>
        <w:rPr>
          <w:rFonts w:eastAsia="Cambria" w:cs="Cambria"/>
          <w:b w:val="false"/>
          <w:bCs w:val="false"/>
          <w:i/>
          <w:iCs/>
          <w:sz w:val="22"/>
          <w:szCs w:val="22"/>
        </w:rPr>
        <w:t>Emergency Alert</w:t>
      </w:r>
      <w:r>
        <w:rPr>
          <w:rFonts w:eastAsia="Cambria" w:cs="Cambria"/>
          <w:b w:val="false"/>
          <w:bCs w:val="false"/>
          <w:i w:val="false"/>
          <w:iCs w:val="false"/>
          <w:sz w:val="22"/>
          <w:szCs w:val="22"/>
        </w:rPr>
        <w:t xml:space="preserve">. In Zyklongebieten verfolgst du außerdem die Warnungen des Wetterdienstes </w:t>
      </w:r>
      <w:r>
        <w:rPr>
          <w:rFonts w:eastAsia="Cambria" w:cs="Cambria"/>
          <w:b w:val="false"/>
          <w:bCs w:val="false"/>
          <w:i/>
          <w:iCs/>
          <w:sz w:val="22"/>
          <w:szCs w:val="22"/>
        </w:rPr>
        <w:t>Bureau of Meteorology</w:t>
      </w:r>
      <w:r>
        <w:rPr>
          <w:rFonts w:eastAsia="Cambria" w:cs="Cambria"/>
          <w:b w:val="false"/>
          <w:bCs w:val="false"/>
          <w:i w:val="false"/>
          <w:iCs w:val="false"/>
          <w:sz w:val="22"/>
          <w:szCs w:val="22"/>
        </w:rPr>
        <w:t>. Ein Notfallplan gehört in jeden Haushalt in einer gefährdeten Region: ein Sammelpunkt für die Familie, eine Kontaktperson außerhalb der Region, ein Notvorrat mit Wasser, Medikamenten, Taschenlampe und Bargeld sowie digitale Kopien wichtiger Dokumente. Die Faustregel der Feuerwehrbehörden lautet: An Tagen der Stufe „Extreme“ oder „Catastrophic“ ist frühzeitiges Verlassen der Region die sichere Wahl, nicht das Abwarten vor Ort.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Prüfe deine Haus- oder Hausratversicherung genau, bevor du in eine buschbrand- oder zyklongefährdete Gegend ziehst. Ob Flut-, Sturmflut- und Buschbrandschäden eingeschlossen sind, unterscheidet sich deutlich zwischen Anbietern und Policen, und Prämien oder Selbstbehalte fallen in besonders gefährdeten Gebieten oft spürbar höher aus. Ein Vergleich vor Vertragsabschluss lohnt sich mehr als der übliche Blick auf den günstigsten Tarif.</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Konsularische Hilfe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Deutschland unterhält die Botschaft in Canberra und ein Generalkonsulat in Sydney; in mehreren Großstädten, darunter Melbourne, helfen zusätzlich ehrenamtliche Honorarkonsuln bei kleineren Formalitäten. Bei Festnahme, schwerer Erkrankung oder Verlust der Papiere unterstützen sie mit Kontakten zu Anwälten und Angehörigen und stellen im Notfall einen Reiseausweis als Passersatz aus; Anwaltskosten, Kautionen oder ein Eingreifen ins Verfahren selbst übernehmen sie nicht. Trage dich außerdem in die Krisenvorsorgeliste </w:t>
      </w:r>
      <w:r>
        <w:rPr>
          <w:rFonts w:eastAsia="Cambria" w:cs="Cambria"/>
          <w:b w:val="false"/>
          <w:bCs w:val="false"/>
          <w:i/>
          <w:iCs/>
          <w:sz w:val="22"/>
          <w:szCs w:val="22"/>
        </w:rPr>
        <w:t>Elefand</w:t>
      </w:r>
      <w:r>
        <w:rPr>
          <w:rFonts w:eastAsia="Cambria" w:cs="Cambria"/>
          <w:b w:val="false"/>
          <w:bCs w:val="false"/>
          <w:i w:val="false"/>
          <w:iCs w:val="false"/>
          <w:sz w:val="22"/>
          <w:szCs w:val="22"/>
        </w:rPr>
        <w:t xml:space="preserve"> des Auswärtigen Amts ein, damit dich die Botschaft im Krisenfall erreichen kann.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gibt eine Orientierung zu Recht und Sicherheit in Australien. Es ersetzt keine Rechtsberatung. Polizeirecht, Waffenrecht und Cannabis-Recht unterscheiden sich im Detail zwischen den acht Bundesstaaten und Territorien und ändern sich, wie das Beispiel der Fahrregeln für medizinisches Cannabis zeigt, auch kurzfristig. Lass dich im Einzelfall von einem australischen Anwalt beraten.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Verdachtsunabhängige Kontrollen senken nachweislich Unfallzahlen im Straßenverkehr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Zufallstests wirken auf Neuankömmlinge zunächst befremdlich und einschüchternd</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Striktes Waffenrecht bedeutet vergleichsweise wenig Waffengewalt im Alltag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Wer aus Ländern mit liberalerem Waffenrecht kommt, muss umdenken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Klares, bundesweit bekanntes Warnstufensystem bei Buschbränden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Buschbrand- und Zyklonrisiko ist für viele Regionen real, nicht nur theoretisch</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Grundrechte bei Polizeikontakt (Schweigen, Anwalt) gelten für alle im Land</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Cannabis-Recht ist ein Flickenteppich, der schnell zur Falle wird</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Medizinisches Cannabis ist bundesweit legal zugänglich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Auch mit Rezept bleibt Autofahren mit THC im Blut fast überall strafbar</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Gewöhne dich frühzeitig an das Prinzip der verdachtsunabhängigen Verkehrskontrolle, damit dich der erste </w:t>
      </w:r>
      <w:r>
        <w:rPr>
          <w:rFonts w:eastAsia="Cambria" w:cs="Cambria"/>
          <w:b w:val="false"/>
          <w:bCs w:val="false"/>
          <w:i/>
          <w:iCs/>
          <w:sz w:val="22"/>
          <w:szCs w:val="22"/>
        </w:rPr>
        <w:t>Booze Bus</w:t>
      </w:r>
      <w:r>
        <w:rPr>
          <w:rFonts w:eastAsia="Cambria" w:cs="Cambria"/>
          <w:b w:val="false"/>
          <w:bCs w:val="false"/>
          <w:i w:val="false"/>
          <w:iCs w:val="false"/>
          <w:sz w:val="22"/>
          <w:szCs w:val="22"/>
        </w:rPr>
        <w:t xml:space="preserve"> nicht aus der Fassung bringt. Kläre für deinen konkreten Wohnort, wie die örtliche Polizei und Feuerbehörde heißen, installiere die passenden Warn-Apps und leg einen Notfallplan an, bevor die erste Buschbrand- oder Zyklonsaison beginnt. Cannabis meidest du am besten unabhängig vom jeweiligen Bundesstaat, solange du dir über die genaue Rechtslage nicht sicher bist – das gilt besonders für das Autofahren.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Verhalten bei Random Breath/Drug Testing mit der Familie einmal durchgesprochen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Grundrechte bei Polizeikontakt gekannt: Namen und Adresse nennen, sonst schweigen dürfen, Durchsuchung ohne Verdacht ablehnen dürfen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Geprüft, ob am Wohnort Waffenbesitz überhaupt relevant wird – meist nicht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Cannabis-Rechtslage des eigenen Bundesstaats nachgeschlagen, statt sich auf Hörensagen zu verlassen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ärztlich verordnetem Cannabis: Fahrregeln des eigenen Bundesstaats vorab mit einem Anwalt geklärt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Warn-App der zuständigen Landesfeuerbehörde installiert und Emergency Alert aktiviert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Notfallplan mit Sammelpunkt, Notvorrat und externer Kontaktperson erstellt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Haus- oder Hausratversicherung auf Flut-, Sturmflut- und Buschbrandschutz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Nummer der deutschen Auslandsvertretung für Notfälle gespeichert und in die Krisenvorsorgeliste Elefand eingetragen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hyperlink r:id="rId513">
        <w:r>
          <w:rPr>
            <w:rStyle w:val="ListLabel113"/>
            <w:rFonts w:eastAsia="Cambria" w:cs="Cambria"/>
            <w:b w:val="false"/>
            <w:bCs w:val="false"/>
            <w:i w:val="false"/>
            <w:iCs w:val="false"/>
            <w:color w:val="0563C1"/>
            <w:sz w:val="22"/>
            <w:szCs w:val="22"/>
            <w:u w:val="single"/>
          </w:rPr>
          <w:t>afdrs.com.au</w:t>
        </w:r>
      </w:hyperlink>
      <w:r>
        <w:rPr>
          <w:rFonts w:eastAsia="Cambria" w:cs="Cambria"/>
          <w:b w:val="false"/>
          <w:bCs w:val="false"/>
          <w:i w:val="false"/>
          <w:iCs w:val="false"/>
          <w:sz w:val="22"/>
          <w:szCs w:val="22"/>
        </w:rPr>
        <w:t xml:space="preserve"> – Australian Fire Danger Rating System, Warnstufen</w:t>
      </w:r>
    </w:p>
    <w:p>
      <w:pPr>
        <w:pStyle w:val="ListParagraph"/>
        <w:numPr>
          <w:ilvl w:val="0"/>
          <w:numId w:val="1"/>
        </w:numPr>
        <w:spacing w:lineRule="exact" w:line="288" w:before="0" w:after="60"/>
        <w:rPr/>
      </w:pPr>
      <w:hyperlink r:id="rId514">
        <w:r>
          <w:rPr>
            <w:rStyle w:val="ListLabel113"/>
            <w:rFonts w:eastAsia="Cambria" w:cs="Cambria"/>
            <w:b w:val="false"/>
            <w:bCs w:val="false"/>
            <w:i w:val="false"/>
            <w:iCs w:val="false"/>
            <w:color w:val="0563C1"/>
            <w:sz w:val="22"/>
            <w:szCs w:val="22"/>
            <w:u w:val="single"/>
          </w:rPr>
          <w:t>bom.gov.au</w:t>
        </w:r>
      </w:hyperlink>
      <w:r>
        <w:rPr>
          <w:rFonts w:eastAsia="Cambria" w:cs="Cambria"/>
          <w:b w:val="false"/>
          <w:bCs w:val="false"/>
          <w:i w:val="false"/>
          <w:iCs w:val="false"/>
          <w:sz w:val="22"/>
          <w:szCs w:val="22"/>
        </w:rPr>
        <w:t xml:space="preserve"> – Bureau of Meteorology, Wetter- und Zyklonwarnungen</w:t>
      </w:r>
    </w:p>
    <w:p>
      <w:pPr>
        <w:pStyle w:val="ListParagraph"/>
        <w:numPr>
          <w:ilvl w:val="0"/>
          <w:numId w:val="1"/>
        </w:numPr>
        <w:spacing w:lineRule="exact" w:line="288" w:before="0" w:after="60"/>
        <w:rPr/>
      </w:pPr>
      <w:hyperlink r:id="rId515">
        <w:r>
          <w:rPr>
            <w:rStyle w:val="ListLabel113"/>
            <w:rFonts w:eastAsia="Cambria" w:cs="Cambria"/>
            <w:b w:val="false"/>
            <w:bCs w:val="false"/>
            <w:i w:val="false"/>
            <w:iCs w:val="false"/>
            <w:color w:val="0563C1"/>
            <w:sz w:val="22"/>
            <w:szCs w:val="22"/>
            <w:u w:val="single"/>
          </w:rPr>
          <w:t>rfs.nsw.gov.au</w:t>
        </w:r>
      </w:hyperlink>
      <w:r>
        <w:rPr>
          <w:rFonts w:eastAsia="Cambria" w:cs="Cambria"/>
          <w:b w:val="false"/>
          <w:bCs w:val="false"/>
          <w:i w:val="false"/>
          <w:iCs w:val="false"/>
          <w:sz w:val="22"/>
          <w:szCs w:val="22"/>
        </w:rPr>
        <w:t xml:space="preserve"> / </w:t>
      </w:r>
      <w:hyperlink r:id="rId516">
        <w:r>
          <w:rPr>
            <w:rStyle w:val="ListLabel113"/>
            <w:rFonts w:eastAsia="Cambria" w:cs="Cambria"/>
            <w:b w:val="false"/>
            <w:bCs w:val="false"/>
            <w:i w:val="false"/>
            <w:iCs w:val="false"/>
            <w:color w:val="0563C1"/>
            <w:sz w:val="22"/>
            <w:szCs w:val="22"/>
            <w:u w:val="single"/>
          </w:rPr>
          <w:t>cfa.vic.gov.au</w:t>
        </w:r>
      </w:hyperlink>
      <w:r>
        <w:rPr>
          <w:rFonts w:eastAsia="Cambria" w:cs="Cambria"/>
          <w:b w:val="false"/>
          <w:bCs w:val="false"/>
          <w:i w:val="false"/>
          <w:iCs w:val="false"/>
          <w:sz w:val="22"/>
          <w:szCs w:val="22"/>
        </w:rPr>
        <w:t xml:space="preserve"> – Landesfeuerwehrbehörden New South Wales und Victoria</w:t>
      </w:r>
    </w:p>
    <w:p>
      <w:pPr>
        <w:pStyle w:val="ListParagraph"/>
        <w:numPr>
          <w:ilvl w:val="0"/>
          <w:numId w:val="1"/>
        </w:numPr>
        <w:spacing w:lineRule="exact" w:line="288" w:before="0" w:after="60"/>
        <w:rPr/>
      </w:pPr>
      <w:hyperlink r:id="rId517">
        <w:r>
          <w:rPr>
            <w:rStyle w:val="ListLabel113"/>
            <w:rFonts w:eastAsia="Cambria" w:cs="Cambria"/>
            <w:b w:val="false"/>
            <w:bCs w:val="false"/>
            <w:i w:val="false"/>
            <w:iCs w:val="false"/>
            <w:color w:val="0563C1"/>
            <w:sz w:val="22"/>
            <w:szCs w:val="22"/>
            <w:u w:val="single"/>
          </w:rPr>
          <w:t>health.gov.au</w:t>
        </w:r>
      </w:hyperlink>
      <w:r>
        <w:rPr>
          <w:rFonts w:eastAsia="Cambria" w:cs="Cambria"/>
          <w:b w:val="false"/>
          <w:bCs w:val="false"/>
          <w:i w:val="false"/>
          <w:iCs w:val="false"/>
          <w:sz w:val="22"/>
          <w:szCs w:val="22"/>
        </w:rPr>
        <w:t xml:space="preserve"> / </w:t>
      </w:r>
      <w:hyperlink r:id="rId518">
        <w:r>
          <w:rPr>
            <w:rStyle w:val="ListLabel113"/>
            <w:rFonts w:eastAsia="Cambria" w:cs="Cambria"/>
            <w:b w:val="false"/>
            <w:bCs w:val="false"/>
            <w:i w:val="false"/>
            <w:iCs w:val="false"/>
            <w:color w:val="0563C1"/>
            <w:sz w:val="22"/>
            <w:szCs w:val="22"/>
            <w:u w:val="single"/>
          </w:rPr>
          <w:t>tga.gov.au</w:t>
        </w:r>
      </w:hyperlink>
      <w:r>
        <w:rPr>
          <w:rFonts w:eastAsia="Cambria" w:cs="Cambria"/>
          <w:b w:val="false"/>
          <w:bCs w:val="false"/>
          <w:i w:val="false"/>
          <w:iCs w:val="false"/>
          <w:sz w:val="22"/>
          <w:szCs w:val="22"/>
        </w:rPr>
        <w:t xml:space="preserve"> – medizinisches Cannabis, Zulassung und Verschreibung</w:t>
      </w:r>
    </w:p>
    <w:p>
      <w:pPr>
        <w:pStyle w:val="ListParagraph"/>
        <w:numPr>
          <w:ilvl w:val="0"/>
          <w:numId w:val="1"/>
        </w:numPr>
        <w:spacing w:lineRule="exact" w:line="288" w:before="0" w:after="60"/>
        <w:rPr/>
      </w:pPr>
      <w:hyperlink r:id="rId519">
        <w:r>
          <w:rPr>
            <w:rStyle w:val="ListLabel113"/>
            <w:rFonts w:eastAsia="Cambria" w:cs="Cambria"/>
            <w:b w:val="false"/>
            <w:bCs w:val="false"/>
            <w:i w:val="false"/>
            <w:iCs w:val="false"/>
            <w:color w:val="0563C1"/>
            <w:sz w:val="22"/>
            <w:szCs w:val="22"/>
            <w:u w:val="single"/>
          </w:rPr>
          <w:t>legislation.act.gov.au</w:t>
        </w:r>
      </w:hyperlink>
      <w:r>
        <w:rPr>
          <w:rFonts w:eastAsia="Cambria" w:cs="Cambria"/>
          <w:b w:val="false"/>
          <w:bCs w:val="false"/>
          <w:i w:val="false"/>
          <w:iCs w:val="false"/>
          <w:sz w:val="22"/>
          <w:szCs w:val="22"/>
        </w:rPr>
        <w:t xml:space="preserve"> – Cannabis-Recht in der Australian Capital Territory</w:t>
      </w:r>
    </w:p>
    <w:p>
      <w:pPr>
        <w:pStyle w:val="ListParagraph"/>
        <w:numPr>
          <w:ilvl w:val="0"/>
          <w:numId w:val="1"/>
        </w:numPr>
        <w:spacing w:lineRule="exact" w:line="288" w:before="0" w:after="60"/>
        <w:rPr/>
      </w:pPr>
      <w:hyperlink r:id="rId520">
        <w:r>
          <w:rPr>
            <w:rStyle w:val="ListLabel113"/>
            <w:rFonts w:eastAsia="Cambria" w:cs="Cambria"/>
            <w:b w:val="false"/>
            <w:bCs w:val="false"/>
            <w:i w:val="false"/>
            <w:iCs w:val="false"/>
            <w:color w:val="0563C1"/>
            <w:sz w:val="22"/>
            <w:szCs w:val="22"/>
            <w:u w:val="single"/>
          </w:rPr>
          <w:t>acic.gov.au</w:t>
        </w:r>
      </w:hyperlink>
      <w:r>
        <w:rPr>
          <w:rFonts w:eastAsia="Cambria" w:cs="Cambria"/>
          <w:b w:val="false"/>
          <w:bCs w:val="false"/>
          <w:i w:val="false"/>
          <w:iCs w:val="false"/>
          <w:sz w:val="22"/>
          <w:szCs w:val="22"/>
        </w:rPr>
        <w:t xml:space="preserve"> – National Firearms Agreement 1996</w:t>
      </w:r>
    </w:p>
    <w:p>
      <w:pPr>
        <w:pStyle w:val="ListParagraph"/>
        <w:numPr>
          <w:ilvl w:val="0"/>
          <w:numId w:val="1"/>
        </w:numPr>
        <w:spacing w:lineRule="exact" w:line="288" w:before="0" w:after="60"/>
        <w:rPr/>
      </w:pPr>
      <w:hyperlink r:id="rId521">
        <w:r>
          <w:rPr>
            <w:rStyle w:val="ListLabel113"/>
            <w:rFonts w:eastAsia="Cambria" w:cs="Cambria"/>
            <w:b w:val="false"/>
            <w:bCs w:val="false"/>
            <w:i w:val="false"/>
            <w:iCs w:val="false"/>
            <w:color w:val="0563C1"/>
            <w:sz w:val="22"/>
            <w:szCs w:val="22"/>
            <w:u w:val="single"/>
          </w:rPr>
          <w:t>transport.nsw.gov.au</w:t>
        </w:r>
      </w:hyperlink>
      <w:r>
        <w:rPr>
          <w:rFonts w:eastAsia="Cambria" w:cs="Cambria"/>
          <w:b w:val="false"/>
          <w:bCs w:val="false"/>
          <w:i w:val="false"/>
          <w:iCs w:val="false"/>
          <w:sz w:val="22"/>
          <w:szCs w:val="22"/>
        </w:rPr>
        <w:t xml:space="preserve"> – Alkohol- und Drogenkontrollen im Straßenverkehr</w:t>
      </w:r>
    </w:p>
    <w:p>
      <w:pPr>
        <w:pStyle w:val="ListParagraph"/>
        <w:numPr>
          <w:ilvl w:val="0"/>
          <w:numId w:val="1"/>
        </w:numPr>
        <w:spacing w:lineRule="exact" w:line="288" w:before="0" w:after="60"/>
        <w:rPr/>
      </w:pPr>
      <w:hyperlink r:id="rId522">
        <w:r>
          <w:rPr>
            <w:rStyle w:val="ListLabel113"/>
            <w:rFonts w:eastAsia="Cambria" w:cs="Cambria"/>
            <w:b w:val="false"/>
            <w:bCs w:val="false"/>
            <w:i w:val="false"/>
            <w:iCs w:val="false"/>
            <w:color w:val="0563C1"/>
            <w:sz w:val="22"/>
            <w:szCs w:val="22"/>
            <w:u w:val="single"/>
          </w:rPr>
          <w:t>germany.info</w:t>
        </w:r>
      </w:hyperlink>
      <w:r>
        <w:rPr>
          <w:rFonts w:eastAsia="Cambria" w:cs="Cambria"/>
          <w:b w:val="false"/>
          <w:bCs w:val="false"/>
          <w:i w:val="false"/>
          <w:iCs w:val="false"/>
          <w:sz w:val="22"/>
          <w:szCs w:val="22"/>
        </w:rPr>
        <w:t xml:space="preserve"> – konsularische Hilfe für Deutsche in Australien</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Schnell ändern sich: die Fahrregeln für medizinisches Cannabis (NSW-Reform verabschiedet, aber noch nicht in Kraft; weitere Bundesstaaten könnten folgen), Details des Polizeirechts je Bundesstaat sowie die jährliche Buschbrand- und Zyklonlage. Prüfe vor jeder Entscheidung die aktuellen Seiten der zuständigen Landesbehörden.</w:t>
            </w:r>
          </w:p>
        </w:tc>
      </w:tr>
    </w:tbl>
    <w:p>
      <w:pPr>
        <w:pStyle w:val="Normal"/>
        <w:spacing w:lineRule="exact" w:line="220" w:before="0" w:after="0"/>
        <w:rPr/>
      </w:pPr>
      <w:r>
        <w:rPr/>
      </w:r>
      <w:r>
        <w:br w:type="page"/>
      </w:r>
    </w:p>
    <w:p>
      <w:pPr>
        <w:pStyle w:val="Heading2"/>
        <w:keepNext w:val="true"/>
        <w:spacing w:before="0" w:after="300"/>
        <w:jc w:val="center"/>
        <w:rPr/>
      </w:pPr>
      <w:bookmarkStart w:id="134" w:name="__RefHeading___Toc56563_3769931028"/>
      <w:bookmarkStart w:id="135" w:name="tau16"/>
      <w:bookmarkEnd w:id="134"/>
      <w:r>
        <w:rPr>
          <w:rFonts w:eastAsia="Amazon Ember" w:cs="Amazon Ember" w:ascii="Amazon Ember" w:hAnsi="Amazon Ember"/>
          <w:b/>
          <w:bCs/>
          <w:color w:val="0000FF"/>
          <w:sz w:val="36"/>
          <w:szCs w:val="36"/>
        </w:rPr>
        <w:t>Australien: Staatsbürgerschaft und Steuerresidenz</w:t>
      </w:r>
      <w:bookmarkEnd w:id="135"/>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Als Sandra Reinhardt zum ersten Mal hört, wie die USA ihre Staatsbürger besteuern – lebenslang, weltweit, unabhängig vom Wohnort, sogar nach einer Rückkehr nach Deutschland –, wird ihr kurz mulmig: Gilt das im Kern genauso für sie, sobald sie eines Tages den australischen Pass in der Tasche hat? Die Antwort, die ihr ein australischer Steuerberater gibt, überrascht sie. Australien fragt nicht, welchen Pass du trägst, sondern wo du lebst. Der Weg zum australischen Pass und die Frage, was er steuerlich bedeutet, sind zwei ganz verschiedene Geschichten – und genau die erzählt dieses Kapitel.</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Staatsbürgerschaft setzt in der Regel vier Jahre rechtmäßigen Aufenthalt unmittelbar vor Antragstellung voraus, davon die letzten zwölf Monate als </w:t>
            </w:r>
            <w:r>
              <w:rPr>
                <w:rFonts w:eastAsia="Cambria" w:cs="Cambria"/>
                <w:b w:val="false"/>
                <w:bCs w:val="false"/>
                <w:i/>
                <w:iCs/>
                <w:sz w:val="20"/>
                <w:szCs w:val="20"/>
              </w:rPr>
              <w:t>Permanent Resident</w:t>
            </w:r>
            <w:r>
              <w:rPr>
                <w:rFonts w:eastAsia="Cambria" w:cs="Cambria"/>
                <w:b w:val="false"/>
                <w:bCs w:val="false"/>
                <w:i w:val="false"/>
                <w:iCs w:val="false"/>
                <w:sz w:val="20"/>
                <w:szCs w:val="20"/>
              </w:rPr>
              <w:t xml:space="preserve"> (PR); zwei getrennte Abwesenheitsgrenzen gelten gleichzeitig.</w:t>
            </w:r>
          </w:p>
          <w:p>
            <w:pPr>
              <w:pStyle w:val="ListParagraph"/>
              <w:numPr>
                <w:ilvl w:val="0"/>
                <w:numId w:val="1"/>
              </w:numPr>
              <w:spacing w:lineRule="exact" w:line="264" w:before="0" w:after="50"/>
              <w:rPr/>
            </w:pPr>
            <w:r>
              <w:rPr>
                <w:rFonts w:eastAsia="Cambria" w:cs="Cambria"/>
                <w:b w:val="false"/>
                <w:bCs w:val="false"/>
                <w:i w:val="false"/>
                <w:iCs w:val="false"/>
                <w:sz w:val="20"/>
                <w:szCs w:val="20"/>
              </w:rPr>
              <w:t>Citizenship Test: 20 Fragen, mindestens 15 richtig (75 %) UND alle fünf Pflichtfragen zu „Australian Values“ korrekt; Befreiung von Test und Sprachnachweis ab 60 Jahren, das persönliche Interview bleibt aber Pflicht.</w:t>
            </w:r>
          </w:p>
          <w:p>
            <w:pPr>
              <w:pStyle w:val="ListParagraph"/>
              <w:numPr>
                <w:ilvl w:val="0"/>
                <w:numId w:val="1"/>
              </w:numPr>
              <w:spacing w:lineRule="exact" w:line="264" w:before="0" w:after="50"/>
              <w:rPr/>
            </w:pPr>
            <w:r>
              <w:rPr>
                <w:rFonts w:eastAsia="Cambria" w:cs="Cambria"/>
                <w:b w:val="false"/>
                <w:bCs w:val="false"/>
                <w:i w:val="false"/>
                <w:iCs w:val="false"/>
                <w:sz w:val="20"/>
                <w:szCs w:val="20"/>
              </w:rPr>
              <w:t>Gebühr 595 AUD (seit 1. Juli 2026); realistische Gesamtdauer von der Einreise bis zum Pass vier bis acht Jahre, je nachdem, über welchen Weg der PR-Status erreicht wurde.</w:t>
            </w:r>
          </w:p>
          <w:p>
            <w:pPr>
              <w:pStyle w:val="ListParagraph"/>
              <w:numPr>
                <w:ilvl w:val="0"/>
                <w:numId w:val="1"/>
              </w:numPr>
              <w:spacing w:lineRule="exact" w:line="264" w:before="0" w:after="50"/>
              <w:rPr/>
            </w:pPr>
            <w:r>
              <w:rPr>
                <w:rFonts w:eastAsia="Cambria" w:cs="Cambria"/>
                <w:b w:val="false"/>
                <w:bCs w:val="false"/>
                <w:i w:val="false"/>
                <w:iCs w:val="false"/>
                <w:sz w:val="20"/>
                <w:szCs w:val="20"/>
              </w:rPr>
              <w:t>Doppelte Staatsbürgerschaft ist seit 2002 (Australien) und seit dem 27. Juni 2024 (Deutschland) für beide Seiten unproblematisch – für Einbürgerungen vor diesem Datum kann die alte, strengere deutsche Rechtslage noch nachwirken.</w:t>
            </w:r>
          </w:p>
          <w:p>
            <w:pPr>
              <w:pStyle w:val="ListParagraph"/>
              <w:numPr>
                <w:ilvl w:val="0"/>
                <w:numId w:val="1"/>
              </w:numPr>
              <w:spacing w:lineRule="exact" w:line="264" w:before="0" w:after="50"/>
              <w:rPr/>
            </w:pPr>
            <w:r>
              <w:rPr>
                <w:rFonts w:eastAsia="Cambria" w:cs="Cambria"/>
                <w:b w:val="false"/>
                <w:bCs w:val="false"/>
                <w:i w:val="false"/>
                <w:iCs w:val="false"/>
                <w:sz w:val="20"/>
                <w:szCs w:val="20"/>
              </w:rPr>
              <w:t>Verbreiteter Irrtum: Australien besteuert nach Steuerwohnsitz, nicht nach Pass. Anders als die USA gibt es keine an die Staatsbürgerschaft gekoppelte, lebenslange Steuerpflicht und keine Exit Tax beim Verzicht auf die australische Staatsbürgerschaft.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Stufenweg zur Staatsbürgerschaft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Wie lange der Weg zum Pass dauert, hängt fast ausschließlich davon ab, wie schnell du den </w:t>
      </w:r>
      <w:r>
        <w:rPr>
          <w:rFonts w:eastAsia="Cambria" w:cs="Cambria"/>
          <w:b w:val="false"/>
          <w:bCs w:val="false"/>
          <w:i/>
          <w:iCs/>
          <w:sz w:val="22"/>
          <w:szCs w:val="22"/>
        </w:rPr>
        <w:t>Permanent-Resident</w:t>
      </w:r>
      <w:r>
        <w:rPr>
          <w:rFonts w:eastAsia="Cambria" w:cs="Cambria"/>
          <w:b w:val="false"/>
          <w:bCs w:val="false"/>
          <w:i w:val="false"/>
          <w:iCs w:val="false"/>
          <w:sz w:val="22"/>
          <w:szCs w:val="22"/>
        </w:rPr>
        <w:t xml:space="preserve">-Status erreichst – die eigentliche Staatsbürgerschafts-Uhr läuft erst richtig, sobald der PR-Status steht. Wer wie Familie Reinhardt direkt über das </w:t>
      </w:r>
      <w:r>
        <w:rPr>
          <w:rFonts w:eastAsia="Cambria" w:cs="Cambria"/>
          <w:b w:val="false"/>
          <w:bCs w:val="false"/>
          <w:i/>
          <w:iCs/>
          <w:sz w:val="22"/>
          <w:szCs w:val="22"/>
        </w:rPr>
        <w:t>Skilled Independent Visa</w:t>
      </w:r>
      <w:r>
        <w:rPr>
          <w:rFonts w:eastAsia="Cambria" w:cs="Cambria"/>
          <w:b w:val="false"/>
          <w:bCs w:val="false"/>
          <w:i w:val="false"/>
          <w:iCs w:val="false"/>
          <w:sz w:val="22"/>
          <w:szCs w:val="22"/>
        </w:rPr>
        <w:t xml:space="preserve"> (Subclass 189) einreist, hält den PR-Status bereits am Tag der Landung; die „letzten 12 Monate als PR“-Bedingung beginnt dann parallel zur allgemeinen 4-Jahres-Frist zu laufen, und der Antrag ist realistisch nach vier bis fünf Jahren möglich. Wer wie Nina Voss über ein Working-Holiday-Visum einreist, später über einen Arbeitgeber auf ein befristetes Skilled-Visum wechselt und erst nach mehrjährigem Sponsoring den PR-Status über den Übergang zur permanenten Stufe erhält, startet die entscheidende 12-Monats-Uhr deutlich später. Für diesen Weg sind sechs bis acht Jahre ab der Einreise realistischer, weil die PR-Erteilung selbst oft erst drei bis vier Jahre nach der Ankunft erfolgt.</w:t>
      </w:r>
    </w:p>
    <w:tbl>
      <w:tblPr>
        <w:tblW w:w="6480" w:type="dxa"/>
        <w:jc w:val="left"/>
        <w:tblInd w:w="0" w:type="dxa"/>
        <w:tblLayout w:type="fixed"/>
        <w:tblCellMar>
          <w:top w:w="50" w:type="dxa"/>
          <w:left w:w="80" w:type="dxa"/>
          <w:bottom w:w="50" w:type="dxa"/>
          <w:right w:w="80" w:type="dxa"/>
        </w:tblCellMar>
      </w:tblPr>
      <w:tblGrid>
        <w:gridCol w:w="3576"/>
        <w:gridCol w:w="2903"/>
      </w:tblGrid>
      <w:tr>
        <w:trPr>
          <w:tblHeader w:val="true"/>
          <w:cantSplit w:val="true"/>
        </w:trPr>
        <w:tc>
          <w:tcPr>
            <w:tcW w:w="357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Einstiegsweg</w:t>
            </w:r>
          </w:p>
        </w:tc>
        <w:tc>
          <w:tcPr>
            <w:tcW w:w="290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Realistische Gesamtdauer Einreise → Antrag</w:t>
            </w:r>
          </w:p>
        </w:tc>
      </w:tr>
      <w:tr>
        <w:trPr>
          <w:cantSplit w:val="true"/>
        </w:trPr>
        <w:tc>
          <w:tcPr>
            <w:tcW w:w="35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Direkt mit PR-Visum (z. B. Subclass 189)</w:t>
            </w:r>
          </w:p>
        </w:tc>
        <w:tc>
          <w:tcPr>
            <w:tcW w:w="29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4–5 Jahre</w:t>
            </w:r>
          </w:p>
        </w:tc>
      </w:tr>
      <w:tr>
        <w:trPr>
          <w:cantSplit w:val="true"/>
        </w:trPr>
        <w:tc>
          <w:tcPr>
            <w:tcW w:w="35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Befristetes Arbeitgeber-Visum → PR-Übergang</w:t>
            </w:r>
          </w:p>
        </w:tc>
        <w:tc>
          <w:tcPr>
            <w:tcW w:w="29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6–8 Jahre</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Weg über ein befristetes Arbeitgeber-Visum (</w:t>
      </w:r>
      <w:r>
        <w:rPr>
          <w:rFonts w:eastAsia="Cambria" w:cs="Cambria"/>
          <w:b w:val="false"/>
          <w:bCs w:val="false"/>
          <w:i/>
          <w:iCs/>
          <w:sz w:val="22"/>
          <w:szCs w:val="22"/>
        </w:rPr>
        <w:t>Temporary Skill Shortage Visa</w:t>
      </w:r>
      <w:r>
        <w:rPr>
          <w:rFonts w:eastAsia="Cambria" w:cs="Cambria"/>
          <w:b w:val="false"/>
          <w:bCs w:val="false"/>
          <w:i w:val="false"/>
          <w:iCs w:val="false"/>
          <w:sz w:val="22"/>
          <w:szCs w:val="22"/>
        </w:rPr>
        <w:t xml:space="preserve">, Subclass 482) führt seit einer Regeländerung schon nach zwei statt zuvor drei Jahren Sponsoring zum </w:t>
      </w:r>
      <w:r>
        <w:rPr>
          <w:rFonts w:eastAsia="Cambria" w:cs="Cambria"/>
          <w:b w:val="false"/>
          <w:bCs w:val="false"/>
          <w:i/>
          <w:iCs/>
          <w:sz w:val="22"/>
          <w:szCs w:val="22"/>
        </w:rPr>
        <w:t>Employer Nomination Scheme</w:t>
      </w:r>
      <w:r>
        <w:rPr>
          <w:rFonts w:eastAsia="Cambria" w:cs="Cambria"/>
          <w:b w:val="false"/>
          <w:bCs w:val="false"/>
          <w:i w:val="false"/>
          <w:iCs w:val="false"/>
          <w:sz w:val="22"/>
          <w:szCs w:val="22"/>
        </w:rPr>
        <w:t>-Visum (Subclass 186), der permanenten Stufe. Diese Verkürzung betrifft aber nur den Zugang zum PR-Antrag selbst – die anschließende Bearbeitung dieses Antrags dauert nach aktuellen Zahlen oft noch einmal 13 bis 22 Monate, und erst danach beginnt die für die Staatsbürgerschaft entscheidende 12-Monats-PR-Uhr zu laufen. Wer die Zwei-Jahres-Verkürzung mit der Staatsbürgerschafts-Frist verwechselt, plant seinen Zeitplan leicht zu optimistisch.</w:t>
      </w:r>
    </w:p>
    <w:p>
      <w:pPr>
        <w:pStyle w:val="Heading3"/>
        <w:keepNext w:val="true"/>
        <w:spacing w:before="280" w:after="100"/>
        <w:jc w:val="center"/>
        <w:rPr/>
      </w:pPr>
      <w:r>
        <w:rPr>
          <w:rFonts w:eastAsia="Amazon Ember" w:cs="Amazon Ember" w:ascii="Amazon Ember" w:hAnsi="Amazon Ember"/>
          <w:b/>
          <w:bCs/>
          <w:color w:val="0000FF"/>
          <w:sz w:val="36"/>
          <w:szCs w:val="36"/>
        </w:rPr>
        <w:t>Die Anwesenheitspflicht: zwei Grenzen gleichzeitig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formale Voraussetzung klingt einfach: vier Jahre rechtmäßiger Aufenthalt unmittelbar vor der Antragstellung, davon die letzten zwölf Monate als PR. Der Teufel steckt in zwei unabhängigen Abwesenheitsgrenzen, die beide gleichzeitig eingehalten werden müssen: höchstens zwölf Monate Gesamtabwesenheit über die gesamten vier Jahre und zusätzlich höchstens 90 Tage Abwesenheit in den letzten zwölf Monaten vor Antragstellung. Beide Grenzen sind voneinander unabhängig – eine Familie kann die 12-Monats-Gesamtgrenze locker einhalten und trotzdem an der 90-Tage-Grenze scheitern, wenn mehrere kürzere Heimatbesuche ins letzte Jahr fallen.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Der häufigste Fehler ist, nur die große Zahl im Kopf zu behalten und die 90-Tage-Grenze im letzten Jahr vor Antragstellung zu übersehen. Mehrere kurze Deutschlandbesuche summieren sich schneller, als man denkt – nutze vor der Antragstellung den offiziellen </w:t>
            </w:r>
            <w:r>
              <w:rPr>
                <w:rFonts w:eastAsia="Cambria" w:cs="Cambria"/>
                <w:b w:val="false"/>
                <w:bCs w:val="false"/>
                <w:i/>
                <w:iCs/>
                <w:sz w:val="20"/>
                <w:szCs w:val="20"/>
              </w:rPr>
              <w:t>Residence Calculator</w:t>
            </w:r>
            <w:r>
              <w:rPr>
                <w:rFonts w:eastAsia="Cambria" w:cs="Cambria"/>
                <w:b w:val="false"/>
                <w:bCs w:val="false"/>
                <w:i w:val="false"/>
                <w:iCs w:val="false"/>
                <w:sz w:val="20"/>
                <w:szCs w:val="20"/>
              </w:rPr>
              <w:t xml:space="preserve"> der Einwanderungsbehörde, um beide Grenzen sauber zu prüfen.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zweiter, oft übersehener Punkt betrifft nicht die Staatsbürgerschaft, sondern den PR-Status selbst: Ein permanentes Visum trägt meist nur für die ersten fünf Jahre eine gültige Reiseberechtigung (</w:t>
      </w:r>
      <w:r>
        <w:rPr>
          <w:rFonts w:eastAsia="Cambria" w:cs="Cambria"/>
          <w:b w:val="false"/>
          <w:bCs w:val="false"/>
          <w:i/>
          <w:iCs/>
          <w:sz w:val="22"/>
          <w:szCs w:val="22"/>
        </w:rPr>
        <w:t>Travel Facility</w:t>
      </w:r>
      <w:r>
        <w:rPr>
          <w:rFonts w:eastAsia="Cambria" w:cs="Cambria"/>
          <w:b w:val="false"/>
          <w:bCs w:val="false"/>
          <w:i w:val="false"/>
          <w:iCs w:val="false"/>
          <w:sz w:val="22"/>
          <w:szCs w:val="22"/>
        </w:rPr>
        <w:t>). Danach brauchst du, solange du noch nicht eingebürgert bist, ein eigenes Anschlussvisum (</w:t>
      </w:r>
      <w:r>
        <w:rPr>
          <w:rFonts w:eastAsia="Cambria" w:cs="Cambria"/>
          <w:b w:val="false"/>
          <w:bCs w:val="false"/>
          <w:i/>
          <w:iCs/>
          <w:sz w:val="22"/>
          <w:szCs w:val="22"/>
        </w:rPr>
        <w:t>Resident Return Visa</w:t>
      </w:r>
      <w:r>
        <w:rPr>
          <w:rFonts w:eastAsia="Cambria" w:cs="Cambria"/>
          <w:b w:val="false"/>
          <w:bCs w:val="false"/>
          <w:i w:val="false"/>
          <w:iCs w:val="false"/>
          <w:sz w:val="22"/>
          <w:szCs w:val="22"/>
        </w:rPr>
        <w:t>), um als PR weiterhin problemlos aus- und wieder einzureisen. Wer das übersieht, riskiert an der Grenze unangenehme Rückfragen, auch wenn der PR-Status im Inland selbst davon unberührt bleibt.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Reinhardt (fiktives Beispiel) plant im vierten Jahr nach der Einreise nach Melbourne den Einbürgerungsantrag. Weil Sandras Mutter in Köln erkrankt, reist die Familie binnen zwölf Monaten dreimal für jeweils drei bis vier Wochen nach Deutschland. Als Thomas die Reisetage zusammenzählt, kommt er im letzten Jahr auf 94 Tage Abwesenheit – knapp über der 90-Tage-Grenze. Statt den Antrag trotzdem zu riskieren, verschiebt die Familie ihn um zwei Monate, bis das kritische Jahr rechnerisch wieder innerhalb der Frist liegt. Die vier Jahre Gesamtaufenthalt wären zu keinem Zeitpunkt das Problem gewesen – allein das letzte Jahr hätte den Antrag gekippt.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Citizenship Test und die Zeremonie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Staatskundetest (</w:t>
      </w:r>
      <w:r>
        <w:rPr>
          <w:rFonts w:eastAsia="Cambria" w:cs="Cambria"/>
          <w:b w:val="false"/>
          <w:bCs w:val="false"/>
          <w:i/>
          <w:iCs/>
          <w:sz w:val="22"/>
          <w:szCs w:val="22"/>
        </w:rPr>
        <w:t>Citizenship Test</w:t>
      </w:r>
      <w:r>
        <w:rPr>
          <w:rFonts w:eastAsia="Cambria" w:cs="Cambria"/>
          <w:b w:val="false"/>
          <w:bCs w:val="false"/>
          <w:i w:val="false"/>
          <w:iCs w:val="false"/>
          <w:sz w:val="22"/>
          <w:szCs w:val="22"/>
        </w:rPr>
        <w:t>) besteht aus 20 Multiple-Choice-Fragen zu australischer Geschichte, Regierungssystem und gesellschaftlichen Werten, Bearbeitungszeit 45 Minuten. Bestehen erfordert zwei Dinge gleichzeitig: mindestens 15 von 20 Fragen richtig (75 %) und zusätzlich alle 5 Pflichtfragen zu den „Australian Values“ korrekt beantwortet. Fällt der Test durch, ist ein kostenloser Wiederholungstermin möglich. Ab 60 Jahren am Tag der Antragstellung entfällt der Test vollständig, ebenso der gesonderte Englischnachweis; das persönliche Interview zur Prüfung von Aufenthalt und Charakter bleibt trotzdem Pflicht. Einen eigenständigen Sprachtest kennt Australien anders als Kanada nicht – wer den englischsprachigen Staatskundetest besteht, gilt automatisch als ausreichend sprachkundig.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Nach der Genehmigung folgt die Einbürgerungszeremonie, das </w:t>
      </w:r>
      <w:r>
        <w:rPr>
          <w:rFonts w:eastAsia="Cambria" w:cs="Cambria"/>
          <w:b w:val="false"/>
          <w:bCs w:val="false"/>
          <w:i/>
          <w:iCs/>
          <w:sz w:val="22"/>
          <w:szCs w:val="22"/>
        </w:rPr>
        <w:t>Pledge of Commitment</w:t>
      </w:r>
      <w:r>
        <w:rPr>
          <w:rFonts w:eastAsia="Cambria" w:cs="Cambria"/>
          <w:b w:val="false"/>
          <w:bCs w:val="false"/>
          <w:i w:val="false"/>
          <w:iCs w:val="false"/>
          <w:sz w:val="22"/>
          <w:szCs w:val="22"/>
        </w:rPr>
        <w:t xml:space="preserve"> (in zwei Fassungen, mit oder ohne Gottesbezug), geleitet von einem dazu berechtigten </w:t>
      </w:r>
      <w:r>
        <w:rPr>
          <w:rFonts w:eastAsia="Cambria" w:cs="Cambria"/>
          <w:b w:val="false"/>
          <w:bCs w:val="false"/>
          <w:i/>
          <w:iCs/>
          <w:sz w:val="22"/>
          <w:szCs w:val="22"/>
        </w:rPr>
        <w:t>Presiding Officer</w:t>
      </w:r>
      <w:r>
        <w:rPr>
          <w:rFonts w:eastAsia="Cambria" w:cs="Cambria"/>
          <w:b w:val="false"/>
          <w:bCs w:val="false"/>
          <w:i w:val="false"/>
          <w:iCs w:val="false"/>
          <w:sz w:val="22"/>
          <w:szCs w:val="22"/>
        </w:rPr>
        <w:t>, meist dem Bürgermeister der Gemeinde. Erst mit dem gesprochenen Bekenntnis bist du formal Staatsbürger.</w:t>
      </w:r>
    </w:p>
    <w:p>
      <w:pPr>
        <w:pStyle w:val="Heading3"/>
        <w:keepNext w:val="true"/>
        <w:spacing w:before="280" w:after="100"/>
        <w:jc w:val="center"/>
        <w:rPr/>
      </w:pPr>
      <w:r>
        <w:rPr>
          <w:rFonts w:eastAsia="Amazon Ember" w:cs="Amazon Ember" w:ascii="Amazon Ember" w:hAnsi="Amazon Ember"/>
          <w:b/>
          <w:bCs/>
          <w:color w:val="0000FF"/>
          <w:sz w:val="36"/>
          <w:szCs w:val="36"/>
        </w:rPr>
        <w:t>Charakterliche Eignung: mehr als eine Formalität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Neben Aufenthalt und Test prüft die Einwanderungsbehörde Home Affairs bei jedem Antragsteller ab 18 Jahren die charakterliche Eignung (</w:t>
      </w:r>
      <w:r>
        <w:rPr>
          <w:rFonts w:eastAsia="Cambria" w:cs="Cambria"/>
          <w:b w:val="false"/>
          <w:bCs w:val="false"/>
          <w:i/>
          <w:iCs/>
          <w:sz w:val="22"/>
          <w:szCs w:val="22"/>
        </w:rPr>
        <w:t>Good Character</w:t>
      </w:r>
      <w:r>
        <w:rPr>
          <w:rFonts w:eastAsia="Cambria" w:cs="Cambria"/>
          <w:b w:val="false"/>
          <w:bCs w:val="false"/>
          <w:i w:val="false"/>
          <w:iCs w:val="false"/>
          <w:sz w:val="22"/>
          <w:szCs w:val="22"/>
        </w:rPr>
        <w:t>) und gleicht dabei alle bisherigen Visumanträge auf Widersprüche ab. Nach Auswertungen australischer Kanzleien führen erstaunlich oft vermeintliche Bagatellen zu Ablehnungen: nicht offengelegte, auch länger zurückliegende Vorstrafen, Ungereimtheiten zu früheren Visa-Angaben oder familiäre Gewaltschutzanordnungen, bei denen Home Affairs kaum Toleranz zeigt. Gib deshalb bei jedem Antrag – auch dem allerersten Visumantrag Jahre zuvor – wirklich jede Vorstrafe an, selbst wenn sie dir in Deutschland geringfügig erscheint; im Zweifel prüft die Behörde ohnehin nach.</w:t>
      </w:r>
    </w:p>
    <w:p>
      <w:pPr>
        <w:pStyle w:val="Heading3"/>
        <w:keepNext w:val="true"/>
        <w:spacing w:before="280" w:after="100"/>
        <w:jc w:val="center"/>
        <w:rPr/>
      </w:pPr>
      <w:r>
        <w:rPr>
          <w:rFonts w:eastAsia="Amazon Ember" w:cs="Amazon Ember" w:ascii="Amazon Ember" w:hAnsi="Amazon Ember"/>
          <w:b/>
          <w:bCs/>
          <w:color w:val="0000FF"/>
          <w:sz w:val="36"/>
          <w:szCs w:val="36"/>
        </w:rPr>
        <w:t>Gebühren und Bearbeitungszeit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Antragsgebühr für Erwachsene liegt seit dem 1. Juli 2026 bei 595 AUD und deckt Antrag, Test und Zeremonie ab; eine erneute Testrunde kostet nichts extra. Die Bearbeitung selbst geht oft zügig – rund die Hälfte der Anträge ist innerhalb von 60 Tagen entschieden –, doch die für dich spürbare Gesamtstrecke ist eine andere: Von Antragstellung bis zur tatsächlichen Zeremonie vergehen im Median etwa acht Monate, bei neun von zehn Anträgen bis zu 13 Monate. Plane diese Wartezeit realistisch ein, etwa wenn du auf den australischen Pass für eine bestimmte Reise oder berufliche Gelegenheit angewiesen bist.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Ablauf gliedert sich in vier Schritte: Zuerst stellst du den Antrag online über das </w:t>
      </w:r>
      <w:r>
        <w:rPr>
          <w:rFonts w:eastAsia="Cambria" w:cs="Cambria"/>
          <w:b w:val="false"/>
          <w:bCs w:val="false"/>
          <w:i/>
          <w:iCs/>
          <w:sz w:val="22"/>
          <w:szCs w:val="22"/>
        </w:rPr>
        <w:t>ImmiAccount</w:t>
      </w:r>
      <w:r>
        <w:rPr>
          <w:rFonts w:eastAsia="Cambria" w:cs="Cambria"/>
          <w:b w:val="false"/>
          <w:bCs w:val="false"/>
          <w:i w:val="false"/>
          <w:iCs w:val="false"/>
          <w:sz w:val="22"/>
          <w:szCs w:val="22"/>
        </w:rPr>
        <w:t>-Portal und lädst Nachweise zu Aufenthalt, Identität und gegebenenfalls Vorstrafen hoch. Danach folgen Staatskundetest und persönliches Interview, meist an einem Termin. Nach der Genehmigung lädt dich Home Affairs zur Pledge-Zeremonie ein, oft im Rahmen einer gemeinsamen Feier der Gemeinde mit mehreren anderen neuen Staatsbürgern. Erst danach beantragst du den australischen Reisepass separat beim Passport Office.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Anwalt ist für den Einbürgerungsantrag nicht vorgeschrieben. Bei einer sauberen Aktenlage ohne Vorstrafen oder Lücken im Reiseprotokoll lässt sich der Antrag in aller Regel gut in Eigenregie stellen; anwaltliche Hilfe lohnt sich vor allem, wenn Vorstrafen, ungeklärte frühere Visa-Angaben oder komplizierte Auslandsaufenthalte im Spiel sind.</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Doppelte Staatsbürgerschaft: Australien und Deutschland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Australien erkennt Mehrstaatigkeit seit 2002 uneingeschränkt an; ein Verzicht auf die deutsche Staatsangehörigkeit wird für die australische Einbürgerung nicht verlangt.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Australier wird, behält die deutsche Staatsangehörigkeit automatisch, ganz ohne die früher nötige Beibehaltungsgenehmigung.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Reform wirkt nicht rückwirkend. Wer sich vor dem 27. Juni 2024 in Australien einbürgern ließ, ohne vorher eine Beibehaltungsgenehmigung eingeholt zu haben, hat die deutsche Staatsangehörigkeit nach damaliger Rechtslage verloren – dieser Verlust bleibt bestehen. Betroffene sollten eine individuelle Prüfung beim zuständigen deutschen Generalkonsulat vornehmen lassen, insbesondere wenn sie schon länger in Australien leben.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Vor der Reform musste, wer die deutsche Staatsangehörigkeit trotz einer Einbürgerung im Ausland behalten wollte, vorab eine Beibehaltungsgenehmigung beim Bundesverwaltungsamt beantragen – ein eigenes, oft langwieriges Verfahren mit Ermessensspielraum der Behörde. Seit dem 27. Juni 2024 entfällt dieser Schritt für alle künftigen Einbürgerungen ersatzlos: Die deutsche Staatsangehörigkeit bleibt automatisch erhalten, ganz ohne Antrag.</w:t>
      </w:r>
    </w:p>
    <w:p>
      <w:pPr>
        <w:pStyle w:val="Heading3"/>
        <w:keepNext w:val="true"/>
        <w:spacing w:before="280" w:after="100"/>
        <w:jc w:val="center"/>
        <w:rPr/>
      </w:pPr>
      <w:r>
        <w:rPr>
          <w:rFonts w:eastAsia="Amazon Ember" w:cs="Amazon Ember" w:ascii="Amazon Ember" w:hAnsi="Amazon Ember"/>
          <w:b/>
          <w:bCs/>
          <w:color w:val="0000FF"/>
          <w:sz w:val="36"/>
          <w:szCs w:val="36"/>
        </w:rPr>
        <w:t>Kinder: geboren in Australien oder im Ausland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Kinder gilt in Australien, anders als etwa in Kanada, kein unbedingtes Geburtsortsprinzip. Ein in Australien geborenes Kind wird nur dann automatisch Staatsbürger, wenn zum Geburtszeitpunkt mindestens ein Elternteil australischer Staatsbürger oder Permanent Resident ist. Ist das nicht der Fall, wird das Kind erst mit dem zehnten Geburtstag automatisch Staatsbürger – vorausgesetzt, es hat die gesamten ersten zehn Lebensjahre gewöhnlich in Australien gelebt. Wird ein Kind im Ausland geboren, etwa bei einem Deutschlandbesuch, und ist ein Elternteil bereits australischer Staatsbürger, lässt sich die Staatsbürgerschaft über </w:t>
      </w:r>
      <w:r>
        <w:rPr>
          <w:rFonts w:eastAsia="Cambria" w:cs="Cambria"/>
          <w:b w:val="false"/>
          <w:bCs w:val="false"/>
          <w:i/>
          <w:iCs/>
          <w:sz w:val="22"/>
          <w:szCs w:val="22"/>
        </w:rPr>
        <w:t>Citizenship by Descent</w:t>
      </w:r>
      <w:r>
        <w:rPr>
          <w:rFonts w:eastAsia="Cambria" w:cs="Cambria"/>
          <w:b w:val="false"/>
          <w:bCs w:val="false"/>
          <w:i w:val="false"/>
          <w:iCs w:val="false"/>
          <w:sz w:val="22"/>
          <w:szCs w:val="22"/>
        </w:rPr>
        <w:t xml:space="preserve"> registrieren (Gebühr 370 AUD für das erste Kind, 150 AUD je weiteres Geschwisterkind) – ohne diese Registrierung entsteht sie nicht automatisch. Die deutsche Seite bleibt davon unberührt: Ein Kind mit einem deutschen Elternteil ist unabhängig vom Geburtsort von Geburt an deutsch.</w:t>
      </w:r>
    </w:p>
    <w:p>
      <w:pPr>
        <w:pStyle w:val="Heading3"/>
        <w:keepNext w:val="true"/>
        <w:spacing w:before="280" w:after="100"/>
        <w:jc w:val="center"/>
        <w:rPr/>
      </w:pPr>
      <w:r>
        <w:rPr>
          <w:rFonts w:eastAsia="Amazon Ember" w:cs="Amazon Ember" w:ascii="Amazon Ember" w:hAnsi="Amazon Ember"/>
          <w:b/>
          <w:bCs/>
          <w:color w:val="0000FF"/>
          <w:sz w:val="36"/>
          <w:szCs w:val="36"/>
        </w:rPr>
        <w:t>Das Steuerresidenz-Prinzip: Wohnsitz statt Pass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Hier liegt der wichtigste Unterschied zur US-Regelung, die viele Auswanderer verunsichert, sobald sie zum ersten Mal davon hören: Die australische Finanzbehörde ATO (</w:t>
      </w:r>
      <w:r>
        <w:rPr>
          <w:rFonts w:eastAsia="Cambria" w:cs="Cambria"/>
          <w:b w:val="false"/>
          <w:bCs w:val="false"/>
          <w:i/>
          <w:iCs/>
          <w:sz w:val="22"/>
          <w:szCs w:val="22"/>
        </w:rPr>
        <w:t>Australian Taxation Office</w:t>
      </w:r>
      <w:r>
        <w:rPr>
          <w:rFonts w:eastAsia="Cambria" w:cs="Cambria"/>
          <w:b w:val="false"/>
          <w:bCs w:val="false"/>
          <w:i w:val="false"/>
          <w:iCs w:val="false"/>
          <w:sz w:val="22"/>
          <w:szCs w:val="22"/>
        </w:rPr>
        <w:t>) besteuert nach Steuerwohnsitz (</w:t>
      </w:r>
      <w:r>
        <w:rPr>
          <w:rFonts w:eastAsia="Cambria" w:cs="Cambria"/>
          <w:b w:val="false"/>
          <w:bCs w:val="false"/>
          <w:i/>
          <w:iCs/>
          <w:sz w:val="22"/>
          <w:szCs w:val="22"/>
        </w:rPr>
        <w:t>Residency</w:t>
      </w:r>
      <w:r>
        <w:rPr>
          <w:rFonts w:eastAsia="Cambria" w:cs="Cambria"/>
          <w:b w:val="false"/>
          <w:bCs w:val="false"/>
          <w:i w:val="false"/>
          <w:iCs w:val="false"/>
          <w:sz w:val="22"/>
          <w:szCs w:val="22"/>
        </w:rPr>
        <w:t xml:space="preserve">), nicht nach Staatsangehörigkeit. Wer als </w:t>
      </w:r>
      <w:r>
        <w:rPr>
          <w:rFonts w:eastAsia="Cambria" w:cs="Cambria"/>
          <w:b w:val="false"/>
          <w:bCs w:val="false"/>
          <w:i/>
          <w:iCs/>
          <w:sz w:val="22"/>
          <w:szCs w:val="22"/>
        </w:rPr>
        <w:t>Tax Resident</w:t>
      </w:r>
      <w:r>
        <w:rPr>
          <w:rFonts w:eastAsia="Cambria" w:cs="Cambria"/>
          <w:b w:val="false"/>
          <w:bCs w:val="false"/>
          <w:i w:val="false"/>
          <w:iCs w:val="false"/>
          <w:sz w:val="22"/>
          <w:szCs w:val="22"/>
        </w:rPr>
        <w:t xml:space="preserve"> gilt – die genauen Kriterien wie der Wohnsitz- und der 183-Tage-Test sind ein eigenes, komplexes Thema und im </w:t>
      </w:r>
      <w:hyperlink w:anchor="tau07">
        <w:r>
          <w:rPr>
            <w:rStyle w:val="ListLabel113"/>
            <w:rFonts w:eastAsia="Cambria" w:cs="Cambria"/>
            <w:b w:val="false"/>
            <w:bCs w:val="false"/>
            <w:i w:val="false"/>
            <w:iCs w:val="false"/>
            <w:color w:val="0563C1"/>
            <w:sz w:val="22"/>
            <w:szCs w:val="22"/>
            <w:u w:val="single"/>
          </w:rPr>
          <w:t>Kapitel zu Steuer-ID, Bank und Kredit in diesem Teil</w:t>
        </w:r>
      </w:hyperlink>
      <w:r>
        <w:rPr>
          <w:rFonts w:eastAsia="Cambria" w:cs="Cambria"/>
          <w:b w:val="false"/>
          <w:bCs w:val="false"/>
          <w:i w:val="false"/>
          <w:iCs w:val="false"/>
          <w:sz w:val="22"/>
          <w:szCs w:val="22"/>
        </w:rPr>
        <w:t xml:space="preserve"> ausführlicher erklärt –, versteuert sein weltweites Einkommen in Australien, unabhängig davon, welchen Pass er trägt. Wer diese Kriterien nicht mehr erfüllt, etwa weil Wohnsitz, Familie und Lebensmittelpunkt zurück nach Deutschland verlagert wurden, gilt als </w:t>
      </w:r>
      <w:r>
        <w:rPr>
          <w:rFonts w:eastAsia="Cambria" w:cs="Cambria"/>
          <w:b w:val="false"/>
          <w:bCs w:val="false"/>
          <w:i/>
          <w:iCs/>
          <w:sz w:val="22"/>
          <w:szCs w:val="22"/>
        </w:rPr>
        <w:t>Foreign Resident</w:t>
      </w:r>
      <w:r>
        <w:rPr>
          <w:rFonts w:eastAsia="Cambria" w:cs="Cambria"/>
          <w:b w:val="false"/>
          <w:bCs w:val="false"/>
          <w:i w:val="false"/>
          <w:iCs w:val="false"/>
          <w:sz w:val="22"/>
          <w:szCs w:val="22"/>
        </w:rPr>
        <w:t xml:space="preserve"> und zahlt nur noch auf australische Quelleneinkünfte Steuern – auch dann, wenn er weiterhin den australischen Pass besitzt.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Ob du als Tax Resident giltst, entscheidet die ATO anhand mehrerer Tests, von denen keiner allein ausschlaggebend ist: dem </w:t>
      </w:r>
      <w:r>
        <w:rPr>
          <w:rFonts w:eastAsia="Cambria" w:cs="Cambria"/>
          <w:b w:val="false"/>
          <w:bCs w:val="false"/>
          <w:i/>
          <w:iCs/>
          <w:sz w:val="22"/>
          <w:szCs w:val="22"/>
        </w:rPr>
        <w:t>Domicile Test</w:t>
      </w:r>
      <w:r>
        <w:rPr>
          <w:rFonts w:eastAsia="Cambria" w:cs="Cambria"/>
          <w:b w:val="false"/>
          <w:bCs w:val="false"/>
          <w:i w:val="false"/>
          <w:iCs w:val="false"/>
          <w:sz w:val="22"/>
          <w:szCs w:val="22"/>
        </w:rPr>
        <w:t xml:space="preserve"> (liegt dein rechtlicher Wohnsitz in Australien und hast du keinen dauerhaften Wohnsitz woanders aufgebaut), dem </w:t>
      </w:r>
      <w:r>
        <w:rPr>
          <w:rFonts w:eastAsia="Cambria" w:cs="Cambria"/>
          <w:b w:val="false"/>
          <w:bCs w:val="false"/>
          <w:i/>
          <w:iCs/>
          <w:sz w:val="22"/>
          <w:szCs w:val="22"/>
        </w:rPr>
        <w:t>183-Day Test</w:t>
      </w:r>
      <w:r>
        <w:rPr>
          <w:rFonts w:eastAsia="Cambria" w:cs="Cambria"/>
          <w:b w:val="false"/>
          <w:bCs w:val="false"/>
          <w:i w:val="false"/>
          <w:iCs w:val="false"/>
          <w:sz w:val="22"/>
          <w:szCs w:val="22"/>
        </w:rPr>
        <w:t xml:space="preserve"> (mehr als 183 Tage Aufenthalt innerhalb eines Steuerjahres) und, für Beschäftigte im öffentlichen Dienst, einem eigenen Test über die Mitgliedschaft im staatlichen Pensionssystem. In der Praxis reicht meist einer dieser Tests, um als Ansässiger zu gelten; die genauen Details erklärt das </w:t>
      </w:r>
      <w:hyperlink w:anchor="tau07">
        <w:r>
          <w:rPr>
            <w:rStyle w:val="ListLabel113"/>
            <w:rFonts w:eastAsia="Cambria" w:cs="Cambria"/>
            <w:b w:val="false"/>
            <w:bCs w:val="false"/>
            <w:i w:val="false"/>
            <w:iCs w:val="false"/>
            <w:color w:val="0563C1"/>
            <w:sz w:val="22"/>
            <w:szCs w:val="22"/>
            <w:u w:val="single"/>
          </w:rPr>
          <w:t>Kapitel zu Steuer-ID, Bank und Kredit in diesem Teil</w:t>
        </w:r>
      </w:hyperlink>
      <w:r>
        <w:rPr>
          <w:rFonts w:eastAsia="Cambria" w:cs="Cambria"/>
          <w:b w:val="false"/>
          <w:bCs w:val="false"/>
          <w:i w:val="false"/>
          <w:iCs w:val="false"/>
          <w:sz w:val="22"/>
          <w:szCs w:val="22"/>
        </w:rPr>
        <w:t xml:space="preserve"> ausführlicher.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USA gehen den entgegengesetzten Weg: Wer den US-Pass trägt, bleibt lebenslang steuerpflichtig, unabhängig vom Wohnort, und ein Verzicht auf die US-Staatsbürgerschaft kann eine eigene Steuer, die </w:t>
      </w:r>
      <w:r>
        <w:rPr>
          <w:rFonts w:eastAsia="Cambria" w:cs="Cambria"/>
          <w:b w:val="false"/>
          <w:bCs w:val="false"/>
          <w:i/>
          <w:iCs/>
          <w:sz w:val="22"/>
          <w:szCs w:val="22"/>
        </w:rPr>
        <w:t>Exit Tax</w:t>
      </w:r>
      <w:r>
        <w:rPr>
          <w:rFonts w:eastAsia="Cambria" w:cs="Cambria"/>
          <w:b w:val="false"/>
          <w:bCs w:val="false"/>
          <w:i w:val="false"/>
          <w:iCs w:val="false"/>
          <w:sz w:val="22"/>
          <w:szCs w:val="22"/>
        </w:rPr>
        <w:t>, auslösen – das lässt sich im Teil zu den USA in diesem Buch nachlesen. In Australien gibt es dieses Konstrukt nicht: Der Verzicht auf die australische Staatsbürgerschaft selbst kostet nur eine Verwaltungsgebühr, keine gesonderte Steuer. Wer als Steuerresident auswandert und die Wohnsitzkriterien aufgibt, kann dadurch zwar steuerliche Folgen für sein Vermögen haben – das betrifft dann aber jeden, der die steuerliche Ansässigkeit beendet, unabhängig davon, ob er den Pass behält oder abgibt. Das ist eine Frage des Steuerwohnsitzes, keine Frage der Staatsangehörigkeit.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australische Pass hat keine steuerlichen Nebenwirkungen. Was zählt, ist immer, wo du tatsächlich lebst – nicht, welchen Ausweis du dabei in der Tasche trägst.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Nina Voss (fiktives Beispiel) wechselt nach ihrem Working-Holiday-Jahr über einen Arbeitgeber auf ein Skilled-Visum und gilt schon nach wenigen Monaten als australische Steuerresidentin – Jahre, bevor sie überhaupt die Voraussetzungen für einen Einbürgerungsantrag erfüllt. Als sie nebenbei noch kleinere Design-Aufträge für eine Hamburger Agentur übernimmt, ist sie zunächst überrascht, dass sie dieses deutsche Einkommen in ihrer australischen Steuererklärung angeben muss – ihr steuerlicher Wohnsitz, nicht ihre (noch deutsche) Staatsangehörigkeit entscheidet darüber. Das Doppelbesteuerungsabkommen zwischen Deutschland und Australien verhindert, dass sie am Ende doppelt zahlt, aber die Meldepflicht selbst bleibt bestehen, ganz unabhängig davon, ob sie später einmal den australischen Pass beantragt oder nicht.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erklärt den Weg zur Staatsbürgerschaft und das Grundprinzip der australischen Steuerresidenz. Es ersetzt keine Rechts- oder Steuerberatung. Ob du im Einzelfall als Tax Resident giltst, wie sich ein Wegzug aus Australien konkret auswirkt und wie das Doppelbesteuerungsabkommen mit deutschem Einkommen, Vermögen oder der gesetzlichen Rente umgeht, hängt von Details ab. Lass das von einer australischen Steuerfachperson prüfen, die sich mit einer deutschen abstimmt.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Zwang zur Aufgabe der deutschen Staatsangehörigkeit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Zwei unabhängige Abwesenheitsgrenzen sind leicht zu übersehen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eigenständiger Sprachtest, der Staatskundetest genügt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Staatskundetest verlangt zusätzlich 100 % bei den Werte-Pflichtfragen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Steuerpflicht endet mit dem Steuerwohnsitz, nicht mit dem Pass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Gesamtdauer bis zum Pass real oft 6 bis 8 Jahre, nicht 4</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Exit Tax beim Verzicht auf die Staatsbürgerschaft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Wartezeit bis zur Zeremonie kann 8 bis 13 Monate betragen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Altersbefreiung vom Test erleichtert älteren Einwanderern den Weg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Reform von 2024 wirkt nicht rückwirkend für ältere Einbürgerungsfälle</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Rechne früh aus, über welchen Weg du realistisch den PR-Status erreichst, denn davon hängt die gesamte weitere Zeitachse ab. Nutze rechtzeitig vor dem Antrag den offiziellen Residence Calculator, um beide Abwesenheitsgrenzen zu prüfen, nicht nur die große 4-Jahres-Zahl. Lerne für den Staatskundetest gezielt die Werte-Fragen mit, und rechne die Wartezeit bis zur Zeremonie realistisch in deine Pläne ein. Bei der Steuerresidenz gilt: Sprich frühzeitig mit einer Steuerfachperson, sobald du regelmäßig deutsches Einkommen neben dem australischen hast – das betrifft dich unabhängig davon, ob du je einbürgern willst.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Eigenen Einstiegsweg (direktes PR-Visum oder Übergang vom befristeten Visum) und realistische Gesamtdauer bis zum Antrag eingeschätzt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Residence Calculator genutzt, um beide Abwesenheitsgrenzen (12 Monate/4 Jahre und 90 Tage/letzte 12 Monate) zu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Reiseprotokoll aller Auslandsaufenthalte seit Beginn des PR-Status geführt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Staatskundetest vorbereitet, insbesondere die fünf Pflichtfragen zu „Australian Values“</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Alle Vorstrafen und Ungereimtheiten zu früheren Visa-Angaben vollständig offengelegt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im Ausland geborenen Kindern: Citizenship by Descent rechtzeitig registriert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Antragstellung ab 60 Jahren die Befreiung von Test und Sprachnachweis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Wartezeit bis zur Zeremonie (median acht, bis zu 13 Monate) in eigene Pläne eingerechnet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Einbürgerung vor dem 27. Juni 2024: eigenen Fall zur deutschen Staatsangehörigkeit beim Generalkonsulat prüfen lassen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Eigenen steuerlichen Status (Tax Resident oder Foreign Resident) mit einer Steuerfachperson geklärt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Deutsches Nebeneinkommen (Miete, Freelance-Aufträge, Kapitalerträge) auf australische Meldepflicht geprüft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hyperlink r:id="rId523">
        <w:r>
          <w:rPr>
            <w:rStyle w:val="ListLabel113"/>
            <w:rFonts w:eastAsia="Cambria" w:cs="Cambria"/>
            <w:b w:val="false"/>
            <w:bCs w:val="false"/>
            <w:i w:val="false"/>
            <w:iCs w:val="false"/>
            <w:color w:val="0563C1"/>
            <w:sz w:val="22"/>
            <w:szCs w:val="22"/>
            <w:u w:val="single"/>
          </w:rPr>
          <w:t>homeaffairs.gov.au</w:t>
        </w:r>
      </w:hyperlink>
      <w:r>
        <w:rPr>
          <w:rFonts w:eastAsia="Cambria" w:cs="Cambria"/>
          <w:b w:val="false"/>
          <w:bCs w:val="false"/>
          <w:i w:val="false"/>
          <w:iCs w:val="false"/>
          <w:sz w:val="22"/>
          <w:szCs w:val="22"/>
        </w:rPr>
        <w:t xml:space="preserve"> – Citizenship by Conferral: Voraussetzungen, Test, Gebühren, Residence Calculator</w:t>
      </w:r>
    </w:p>
    <w:p>
      <w:pPr>
        <w:pStyle w:val="ListParagraph"/>
        <w:numPr>
          <w:ilvl w:val="0"/>
          <w:numId w:val="1"/>
        </w:numPr>
        <w:spacing w:lineRule="exact" w:line="288" w:before="0" w:after="60"/>
        <w:rPr/>
      </w:pPr>
      <w:hyperlink r:id="rId524">
        <w:r>
          <w:rPr>
            <w:rStyle w:val="ListLabel113"/>
            <w:rFonts w:eastAsia="Cambria" w:cs="Cambria"/>
            <w:b w:val="false"/>
            <w:bCs w:val="false"/>
            <w:i w:val="false"/>
            <w:iCs w:val="false"/>
            <w:color w:val="0563C1"/>
            <w:sz w:val="22"/>
            <w:szCs w:val="22"/>
            <w:u w:val="single"/>
          </w:rPr>
          <w:t>ato.gov.au</w:t>
        </w:r>
      </w:hyperlink>
      <w:r>
        <w:rPr>
          <w:rFonts w:eastAsia="Cambria" w:cs="Cambria"/>
          <w:b w:val="false"/>
          <w:bCs w:val="false"/>
          <w:i w:val="false"/>
          <w:iCs w:val="false"/>
          <w:sz w:val="22"/>
          <w:szCs w:val="22"/>
        </w:rPr>
        <w:t xml:space="preserve"> – Your tax residency, Foreign and worldwide income</w:t>
      </w:r>
    </w:p>
    <w:p>
      <w:pPr>
        <w:pStyle w:val="ListParagraph"/>
        <w:numPr>
          <w:ilvl w:val="0"/>
          <w:numId w:val="1"/>
        </w:numPr>
        <w:spacing w:lineRule="exact" w:line="288" w:before="0" w:after="60"/>
        <w:rPr/>
      </w:pPr>
      <w:hyperlink r:id="rId525">
        <w:r>
          <w:rPr>
            <w:rStyle w:val="ListLabel113"/>
            <w:rFonts w:eastAsia="Cambria" w:cs="Cambria"/>
            <w:b w:val="false"/>
            <w:bCs w:val="false"/>
            <w:i w:val="false"/>
            <w:iCs w:val="false"/>
            <w:color w:val="0563C1"/>
            <w:sz w:val="22"/>
            <w:szCs w:val="22"/>
            <w:u w:val="single"/>
          </w:rPr>
          <w:t>bmi.bund.de</w:t>
        </w:r>
      </w:hyperlink>
      <w:r>
        <w:rPr>
          <w:rFonts w:eastAsia="Cambria" w:cs="Cambria"/>
          <w:b w:val="false"/>
          <w:bCs w:val="false"/>
          <w:i w:val="false"/>
          <w:iCs w:val="false"/>
          <w:sz w:val="22"/>
          <w:szCs w:val="22"/>
        </w:rPr>
        <w:t xml:space="preserve"> – Staatsangehörigkeitsrecht, Reform 2024</w:t>
      </w:r>
    </w:p>
    <w:p>
      <w:pPr>
        <w:pStyle w:val="ListParagraph"/>
        <w:numPr>
          <w:ilvl w:val="0"/>
          <w:numId w:val="1"/>
        </w:numPr>
        <w:spacing w:lineRule="exact" w:line="288" w:before="0" w:after="60"/>
        <w:rPr/>
      </w:pPr>
      <w:hyperlink r:id="rId526">
        <w:r>
          <w:rPr>
            <w:rStyle w:val="ListLabel113"/>
            <w:rFonts w:eastAsia="Cambria" w:cs="Cambria"/>
            <w:b w:val="false"/>
            <w:bCs w:val="false"/>
            <w:i w:val="false"/>
            <w:iCs w:val="false"/>
            <w:color w:val="0563C1"/>
            <w:sz w:val="22"/>
            <w:szCs w:val="22"/>
            <w:u w:val="single"/>
          </w:rPr>
          <w:t>auswaertiges-amt.de</w:t>
        </w:r>
      </w:hyperlink>
      <w:r>
        <w:rPr>
          <w:rFonts w:eastAsia="Cambria" w:cs="Cambria"/>
          <w:b w:val="false"/>
          <w:bCs w:val="false"/>
          <w:i w:val="false"/>
          <w:iCs w:val="false"/>
          <w:sz w:val="22"/>
          <w:szCs w:val="22"/>
        </w:rPr>
        <w:t xml:space="preserve"> / </w:t>
      </w:r>
      <w:hyperlink r:id="rId527">
        <w:r>
          <w:rPr>
            <w:rStyle w:val="ListLabel113"/>
            <w:rFonts w:eastAsia="Cambria" w:cs="Cambria"/>
            <w:b w:val="false"/>
            <w:bCs w:val="false"/>
            <w:i w:val="false"/>
            <w:iCs w:val="false"/>
            <w:color w:val="0563C1"/>
            <w:sz w:val="22"/>
            <w:szCs w:val="22"/>
            <w:u w:val="single"/>
          </w:rPr>
          <w:t>germany.info</w:t>
        </w:r>
      </w:hyperlink>
      <w:r>
        <w:rPr>
          <w:rFonts w:eastAsia="Cambria" w:cs="Cambria"/>
          <w:b w:val="false"/>
          <w:bCs w:val="false"/>
          <w:i w:val="false"/>
          <w:iCs w:val="false"/>
          <w:sz w:val="22"/>
          <w:szCs w:val="22"/>
        </w:rPr>
        <w:t xml:space="preserve"> – Doppelte Staatsangehörigkeit, Beratung durch Auslandsvertretungen</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Schnell ändern sich: die Einbürgerungsgebühr (jährliche Anpassung jeweils zum 1. Juli), Bearbeitungs- und Wartezeiten bis zur Zeremonie sowie Detailfragen der Steuerresidenz-Tests. Prüfe vor jeder Entscheidung die aktuellen Seiten von Home Affairs und ATO.</w:t>
            </w:r>
          </w:p>
        </w:tc>
      </w:tr>
    </w:tbl>
    <w:p>
      <w:pPr>
        <w:sectPr>
          <w:footerReference w:type="even" r:id="rId528"/>
          <w:footerReference w:type="default" r:id="rId529"/>
          <w:footerReference w:type="first" r:id="rId530"/>
          <w:type w:val="nextPage"/>
          <w:pgSz w:w="8640" w:h="12983"/>
          <w:pgMar w:left="1080" w:right="1080" w:gutter="0" w:header="0" w:top="1080" w:footer="708" w:bottom="1100"/>
          <w:pgNumType w:fmt="decimal"/>
          <w:formProt w:val="false"/>
          <w:textDirection w:val="lrTb"/>
          <w:docGrid w:type="default" w:linePitch="360" w:charSpace="4096"/>
        </w:sectPr>
        <w:pStyle w:val="Normal"/>
        <w:spacing w:lineRule="exact" w:line="220" w:before="0" w:after="0"/>
        <w:rPr/>
      </w:pPr>
      <w:r>
        <w:rPr/>
      </w:r>
    </w:p>
    <w:p>
      <w:pPr>
        <w:pStyle w:val="Heading1"/>
        <w:spacing w:before="0" w:after="360"/>
        <w:jc w:val="center"/>
        <w:rPr/>
      </w:pPr>
      <w:bookmarkStart w:id="136" w:name="__RefHeading___Toc56565_3769931028"/>
      <w:bookmarkEnd w:id="136"/>
      <w:r>
        <w:rPr>
          <w:rFonts w:eastAsia="Amazon Ember" w:cs="Amazon Ember" w:ascii="Amazon Ember" w:hAnsi="Amazon Ember"/>
          <w:b/>
          <w:bCs/>
          <w:color w:val="0000FF"/>
        </w:rPr>
        <w:t>TEIL KANADA — Nahe dran, trotzdem anders</w:t>
      </w:r>
    </w:p>
    <w:p>
      <w:pPr>
        <w:sectPr>
          <w:footerReference w:type="even" r:id="rId531"/>
          <w:footerReference w:type="default" r:id="rId532"/>
          <w:footerReference w:type="first" r:id="rId533"/>
          <w:type w:val="nextPage"/>
          <w:pgSz w:w="8640" w:h="12983"/>
          <w:pgMar w:left="1080" w:right="1080" w:gutter="0" w:header="0" w:top="1080" w:footer="708" w:bottom="1100"/>
          <w:pgNumType w:fmt="decimal"/>
          <w:formProt w:val="false"/>
          <w:vAlign w:val="center"/>
          <w:textDirection w:val="lrTb"/>
          <w:docGrid w:type="default" w:linePitch="360" w:charSpace="4096"/>
        </w:sectPr>
        <w:pStyle w:val="Normal"/>
        <w:spacing w:lineRule="exact" w:line="300" w:before="0" w:after="160"/>
        <w:ind w:left="400" w:right="400"/>
        <w:jc w:val="center"/>
        <w:rPr/>
      </w:pPr>
      <w:r>
        <w:rPr>
          <w:rFonts w:eastAsia="Cambria" w:cs="Cambria"/>
          <w:b w:val="false"/>
          <w:bCs w:val="false"/>
          <w:i/>
          <w:iCs/>
          <w:sz w:val="24"/>
          <w:szCs w:val="24"/>
        </w:rPr>
        <w:t>Kanada ist unter den vier Ländern dieses Buches am nächsten an Deutschland dran – und trotzdem ein eigenständiges System mit eigenen Provinzen, eigenem Winter und eigener Bürokratie. Dieser Teil begleitet Familie Ahrens und Lukas Berger durch Einwanderungswege, Alltag und die Frage, was echte Nähe zur Heimat am Ende wirklich wert ist.</w:t>
      </w:r>
      <w:r>
        <w:br w:type="page"/>
      </w:r>
    </w:p>
    <w:p>
      <w:pPr>
        <w:pStyle w:val="Heading2"/>
        <w:keepNext w:val="true"/>
        <w:spacing w:before="0" w:after="300"/>
        <w:jc w:val="center"/>
        <w:rPr/>
      </w:pPr>
      <w:bookmarkStart w:id="137" w:name="__RefHeading___Toc56567_3769931028"/>
      <w:bookmarkStart w:id="138" w:name="tka01"/>
      <w:bookmarkEnd w:id="137"/>
      <w:r>
        <w:rPr>
          <w:rFonts w:eastAsia="Amazon Ember" w:cs="Amazon Ember" w:ascii="Amazon Ember" w:hAnsi="Amazon Ember"/>
          <w:b/>
          <w:bCs/>
          <w:color w:val="0000FF"/>
          <w:sz w:val="36"/>
          <w:szCs w:val="36"/>
        </w:rPr>
        <w:t>Kanada: Die ehrliche Bilanz</w:t>
      </w:r>
      <w:bookmarkEnd w:id="138"/>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Auf dem Küchentisch der Ahrens’ in Leipzig liegt ein Ausdruck der Express-Entry-Punkterechnung, daneben ein Vergleichsangebot für eine Softwarearchitekten-Stelle in Toronto. Markus, 40, hat seinen Comprehensive-Ranking-System-Score mehrfach nachgerechnet: komfortabel über den aktuellen Einladungsgrenzen. Julia, 37, Apothekerin, hat parallel das kanadische Bruttogehalt neben ihre heutige Leipziger Abrechnung gelegt – und war zunächst geblendet von der großen Zahl aus Toronto. Erst der zweite Blick auf Steuerstaffel, Provinzsteuer und Verbrauchssteuer zeigte, was am Ende tatsächlich übrig bleibt. Genau diesen zweiten Blick liefert dieses Kapitel – zusammen mit allem, was sich nicht in kanadischen Dollar messen lässt.</w:t>
      </w:r>
    </w:p>
    <w:tbl>
      <w:tblPr>
        <w:tblW w:w="6480" w:type="dxa"/>
        <w:jc w:val="left"/>
        <w:tblInd w:w="0" w:type="dxa"/>
        <w:tblLayout w:type="fixed"/>
        <w:tblCellMar>
          <w:top w:w="110" w:type="dxa"/>
          <w:left w:w="200" w:type="dxa"/>
          <w:bottom w:w="80" w:type="dxa"/>
          <w:right w:w="160" w:type="dxa"/>
        </w:tblCellMar>
      </w:tblPr>
      <w:tblGrid>
        <w:gridCol w:w="6480"/>
      </w:tblGrid>
      <w:tr>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Der OECD-Steuerkeil zeigt Kanada bei rund 32,0 % (Durchschnittsverdiener, 2024), Deutschland bei rund 49,3 % (2025) – aber die Provinz entscheidet mit: Ontario und Alberta liegen beim kombinierten Spitzensteuersatz mehr als 15 Prozentpunkte auseinander.</w:t>
            </w:r>
          </w:p>
          <w:p>
            <w:pPr>
              <w:pStyle w:val="ListParagraph"/>
              <w:numPr>
                <w:ilvl w:val="0"/>
                <w:numId w:val="1"/>
              </w:numPr>
              <w:spacing w:lineRule="exact" w:line="264" w:before="0" w:after="50"/>
              <w:rPr/>
            </w:pPr>
            <w:r>
              <w:rPr>
                <w:rFonts w:eastAsia="Cambria" w:cs="Cambria"/>
                <w:b w:val="false"/>
                <w:bCs w:val="false"/>
                <w:i w:val="false"/>
                <w:iCs w:val="false"/>
                <w:sz w:val="20"/>
                <w:szCs w:val="20"/>
              </w:rPr>
              <w:t>Toronto und Vancouver liegen bei den Lebenshaltungskosten laut Numbeo unter München und leicht unter Berlin – der kanadische Landesdurchschnitt liegt spürbar unter dem deutschen.</w:t>
            </w:r>
          </w:p>
          <w:p>
            <w:pPr>
              <w:pStyle w:val="ListParagraph"/>
              <w:numPr>
                <w:ilvl w:val="0"/>
                <w:numId w:val="1"/>
              </w:numPr>
              <w:spacing w:lineRule="exact" w:line="264" w:before="0" w:after="50"/>
              <w:rPr/>
            </w:pPr>
            <w:r>
              <w:rPr>
                <w:rFonts w:eastAsia="Cambria" w:cs="Cambria"/>
                <w:b w:val="false"/>
                <w:bCs w:val="false"/>
                <w:i w:val="false"/>
                <w:iCs w:val="false"/>
                <w:sz w:val="20"/>
                <w:szCs w:val="20"/>
              </w:rPr>
              <w:t>Die Gesundheitsversorgung ist überall in Kanada öffentlich und universell, aber provinziell organisiert: Ontario kennt keine Wartefrist für Neuankömmlinge, British Columbia und Québec verlangen rund drei Monate ohne Deckung.</w:t>
            </w:r>
          </w:p>
          <w:p>
            <w:pPr>
              <w:pStyle w:val="ListParagraph"/>
              <w:numPr>
                <w:ilvl w:val="0"/>
                <w:numId w:val="1"/>
              </w:numPr>
              <w:spacing w:lineRule="exact" w:line="264" w:before="0" w:after="50"/>
              <w:rPr/>
            </w:pPr>
            <w:r>
              <w:rPr>
                <w:rFonts w:eastAsia="Cambria" w:cs="Cambria"/>
                <w:b w:val="false"/>
                <w:bCs w:val="false"/>
                <w:i w:val="false"/>
                <w:iCs w:val="false"/>
                <w:sz w:val="20"/>
                <w:szCs w:val="20"/>
              </w:rPr>
              <w:t>Der Canada Pension Plan (CPP) ersetzt die gesetzliche Rente nur teilweise: 5,95 % vom Bruttolohn zahlt jede Seite, gedeckelt auf ein Jahreseinkommen von 74.600 CAD – deutlich schlanker als das deutsche Umlagesystem.</w:t>
            </w:r>
          </w:p>
          <w:p>
            <w:pPr>
              <w:pStyle w:val="ListParagraph"/>
              <w:numPr>
                <w:ilvl w:val="0"/>
                <w:numId w:val="1"/>
              </w:numPr>
              <w:spacing w:lineRule="exact" w:line="264" w:before="0" w:after="50"/>
              <w:rPr/>
            </w:pPr>
            <w:r>
              <w:rPr>
                <w:rFonts w:eastAsia="Cambria" w:cs="Cambria"/>
                <w:b w:val="false"/>
                <w:bCs w:val="false"/>
                <w:i w:val="false"/>
                <w:iCs w:val="false"/>
                <w:sz w:val="20"/>
                <w:szCs w:val="20"/>
              </w:rPr>
              <w:t>Schon der Antrag kostet: Eine vierköpfige Familie zahlt für die permanente Aufenthaltserlaubnis über Express Entry schnell über 3.700 CAD an reinen Behördengebühren, bevor der erste Lohn fließt.</w:t>
            </w:r>
          </w:p>
          <w:p>
            <w:pPr>
              <w:pStyle w:val="ListParagraph"/>
              <w:numPr>
                <w:ilvl w:val="0"/>
                <w:numId w:val="1"/>
              </w:numPr>
              <w:spacing w:lineRule="exact" w:line="264" w:before="0" w:after="50"/>
              <w:rPr/>
            </w:pPr>
            <w:r>
              <w:rPr>
                <w:rFonts w:eastAsia="Cambria" w:cs="Cambria"/>
                <w:b w:val="false"/>
                <w:bCs w:val="false"/>
                <w:i w:val="false"/>
                <w:iCs w:val="false"/>
                <w:sz w:val="20"/>
                <w:szCs w:val="20"/>
              </w:rPr>
              <w:t>Am stärksten überzeugt Kanada mit der Nähe zu Deutschland: Toronto ist in rund acht Stunden erreichbar, ohne die extreme Zeitverschiebung, die Australien oder Neuseeland mit sich bringen.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Gehalt, Steuern und die Rolle der Provinz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zum ersten Mal ein kanadisches Gehaltsangebot neben die eigene deutsche Abrechnung legt, sieht fast immer eine höhere Bruttozahl. Was am Ende auf dem Konto bleibt, hängt aber von zwei Ebenen ab, die es in Deutschland so nicht gibt: der Bundessteuer und, oben drauf, der Steuer der jeweiligen Provinz. Der OECD-Steuerkeil (</w:t>
      </w:r>
      <w:r>
        <w:rPr>
          <w:rFonts w:eastAsia="Cambria" w:cs="Cambria"/>
          <w:b w:val="false"/>
          <w:bCs w:val="false"/>
          <w:i/>
          <w:iCs/>
          <w:sz w:val="22"/>
          <w:szCs w:val="22"/>
        </w:rPr>
        <w:t>Tax Wedge</w:t>
      </w:r>
      <w:r>
        <w:rPr>
          <w:rFonts w:eastAsia="Cambria" w:cs="Cambria"/>
          <w:b w:val="false"/>
          <w:bCs w:val="false"/>
          <w:i w:val="false"/>
          <w:iCs w:val="false"/>
          <w:sz w:val="22"/>
          <w:szCs w:val="22"/>
        </w:rPr>
        <w:t>, das Verhältnis aus Einkommensteuer plus Arbeitnehmer- und Arbeitgeberabgaben abzüglich Familienleistungen zu den gesamten Arbeitskosten) lag für einen kinderlosen Durchschnittsverdiener 2024 in Kanada bei 32,0 %, in Deutschland 2025 bei 49,3 %. Der Abstand ist real – aber die 32,0 % sind ein Landesdurchschnitt, der die großen Unterschiede zwischen den Provinzen verdeckt.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Bundessteuer (</w:t>
      </w:r>
      <w:r>
        <w:rPr>
          <w:rFonts w:eastAsia="Cambria" w:cs="Cambria"/>
          <w:b w:val="false"/>
          <w:bCs w:val="false"/>
          <w:i/>
          <w:iCs/>
          <w:sz w:val="22"/>
          <w:szCs w:val="22"/>
        </w:rPr>
        <w:t>Federal Tax</w:t>
      </w:r>
      <w:r>
        <w:rPr>
          <w:rFonts w:eastAsia="Cambria" w:cs="Cambria"/>
          <w:b w:val="false"/>
          <w:bCs w:val="false"/>
          <w:i w:val="false"/>
          <w:iCs w:val="false"/>
          <w:sz w:val="22"/>
          <w:szCs w:val="22"/>
        </w:rPr>
        <w:t>) ist für alle Kanadier gleich: 2026 gilt ein Stufentarif von 14 % bis 58.523 CAD, 20,5 % bis 117.045 CAD, 26 % bis 181.440 CAD, 29 % bis 258.482 CAD und 33 % darüber, mit einem Grundfreibetrag (</w:t>
      </w:r>
      <w:r>
        <w:rPr>
          <w:rFonts w:eastAsia="Cambria" w:cs="Cambria"/>
          <w:b w:val="false"/>
          <w:bCs w:val="false"/>
          <w:i/>
          <w:iCs/>
          <w:sz w:val="22"/>
          <w:szCs w:val="22"/>
        </w:rPr>
        <w:t>Basic Personal Amount</w:t>
      </w:r>
      <w:r>
        <w:rPr>
          <w:rFonts w:eastAsia="Cambria" w:cs="Cambria"/>
          <w:b w:val="false"/>
          <w:bCs w:val="false"/>
          <w:i w:val="false"/>
          <w:iCs w:val="false"/>
          <w:sz w:val="22"/>
          <w:szCs w:val="22"/>
        </w:rPr>
        <w:t>) von 16.452 CAD. Darauf kommt die Provinzsteuer, und hier beginnt die eigentliche Standortfrage. Ontario, wo Familie Ahrens hinzieht, staffelt von 5,05 % bis 53.891 CAD bis 13,16 % über 220.000 CAD – und verlangt zusätzlich eine Zuschlagsteuer (</w:t>
      </w:r>
      <w:r>
        <w:rPr>
          <w:rFonts w:eastAsia="Cambria" w:cs="Cambria"/>
          <w:b w:val="false"/>
          <w:bCs w:val="false"/>
          <w:i/>
          <w:iCs/>
          <w:sz w:val="22"/>
          <w:szCs w:val="22"/>
        </w:rPr>
        <w:t>Surtax</w:t>
      </w:r>
      <w:r>
        <w:rPr>
          <w:rFonts w:eastAsia="Cambria" w:cs="Cambria"/>
          <w:b w:val="false"/>
          <w:bCs w:val="false"/>
          <w:i w:val="false"/>
          <w:iCs w:val="false"/>
          <w:sz w:val="22"/>
          <w:szCs w:val="22"/>
        </w:rPr>
        <w:t>) von 20 % auf die Ontario-Steuer über 5.818 CAD, weitere 36 % über 7.446 CAD. British Columbia reicht von 5,60 % bis 20,50 % über 265.545 CAD. Alberta, Lukas Bergers Ziel, erhebt keine eigene Verkaufssteuer und liegt bei der Provinzsteuer spürbar niedriger; der kombinierte Spitzensteuersatz aus Bund und Provinz reicht dadurch von etwa 36 % in Alberta bis über 53 % in Ontario oder Québec bei sehr hohen Einkommen.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Vergleiche bei mehreren Jobangeboten aus verschiedenen Provinzen nie nur das Bruttogehalt. Rechne Bundessteuer, Provinzsteuer und – bei Ontario – die Surtax mit ein, und ziehe die Verbrauchssteuer für den Alltag ab. Zwischen Alberta und Ontario oder Québec kann das bei gleichem Bruttogehalt mehrere Tausend CAD im Jahr ausmachen.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zweite, oft übersehene Ebene ist die Verbrauchssteuer. Die bundesweite </w:t>
      </w:r>
      <w:r>
        <w:rPr>
          <w:rFonts w:eastAsia="Cambria" w:cs="Cambria"/>
          <w:b w:val="false"/>
          <w:bCs w:val="false"/>
          <w:i/>
          <w:iCs/>
          <w:sz w:val="22"/>
          <w:szCs w:val="22"/>
        </w:rPr>
        <w:t>Goods and Services Tax</w:t>
      </w:r>
      <w:r>
        <w:rPr>
          <w:rFonts w:eastAsia="Cambria" w:cs="Cambria"/>
          <w:b w:val="false"/>
          <w:bCs w:val="false"/>
          <w:i w:val="false"/>
          <w:iCs w:val="false"/>
          <w:sz w:val="22"/>
          <w:szCs w:val="22"/>
        </w:rPr>
        <w:t xml:space="preserve"> (GST, die kanadische Mehrwertsteuer) liegt einheitlich bei 5 %. Fünf Provinzen erheben daneben eine harmonisierte Steuer (HST), die beides zusammenfasst – Ontario 13 %, Neubraunschweig, Neufundland &amp; Labrador und Prince Edward Island je 15 %, Nova Scotia 14 % –, andere verlangen GST plus separate Provinzsteuer: British Columbia 12 % (5 % GST + 7 % PST), Manitoba ebenfalls 12 %, Saskatchewan 11 %, Québec sogar 14,975 %. Alberta gehört neben den drei Territorien zu den wenigen Gebieten mit ausschließlich der 5 % GST, ganz ohne Provinzsteuer auf Einkäufe. Wer zwischen Toronto und Calgary wählt, zahlt also nicht nur bei der Einkommensteuer, sondern bei jedem Einkauf einen merklich unterschiedlichen Aufschlag.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Steuersätze oben gelten für steuerlich Ansässige. Kanada besteuert nach Wohnsitz (</w:t>
            </w:r>
            <w:r>
              <w:rPr>
                <w:rFonts w:eastAsia="Cambria" w:cs="Cambria"/>
                <w:b w:val="false"/>
                <w:bCs w:val="false"/>
                <w:i/>
                <w:iCs/>
                <w:sz w:val="20"/>
                <w:szCs w:val="20"/>
              </w:rPr>
              <w:t>Residency</w:t>
            </w:r>
            <w:r>
              <w:rPr>
                <w:rFonts w:eastAsia="Cambria" w:cs="Cambria"/>
                <w:b w:val="false"/>
                <w:bCs w:val="false"/>
                <w:i w:val="false"/>
                <w:iCs w:val="false"/>
                <w:sz w:val="20"/>
                <w:szCs w:val="20"/>
              </w:rPr>
              <w:t>), nicht nach Staatsangehörigkeit oder Visumstyp: Sobald du einen gewöhnlichen Wohnsitz in Kanada begründest, musst du dein Weltjahreseinkommen versteuern, im Gegenzug bleibt vor diesem Zeitpunkt erzieltes Auslandseinkommen in Kanada steuerfrei. Wer diesen Zeitpunkt falsch einschätzt oder die erste Steuererklärung als Neuankömmling verpasst, verschenkt unter anderem den Anspruch auf die Verbrauchssteuer-Gutschrift.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Lebenshaltungskosten: Toronto und Vancouver im Vergleich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dem Numbeo-Kostenindex (Mitte 2026, New York = 100, nutzergenerierte Vergleichsdaten, keine amtliche Statistik) liegen Toronto und Vancouver mit je 67,5 Punkten (Miete: Toronto 55,5, Vancouver 58,8) unter München (76,1, Miete 62,4) und leicht unter Berlin (70,0, Miete 54,9). Im Länderdurchschnitt liegt Kanada insgesamt bei 61,3 Punkten (Miete 46,6), Deutschland bei 68,0 (Miete 47,0). Kurz gesagt: Wer aus einer deutschen Großstadt kommt, erlebt in Toronto oder Vancouver in der Regel keinen Kaufkraftschock nach oben – die kanadischen Städte liegen im Index sogar unter dem deutschen Niveau.</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Diese Durchschnittszahl verdeckt allerdings, wie ungleich Wohnraum in beiden Städten verteilt ist. Der Mietindex bildet laufende Mieten ab, nicht die Kaufpreise für Eigentum – und Eigentum ist in Toronto und vor allem in Vancouver traditionell teurer, als der Mietvergleich vermuten lässt. Wer kaufen statt mieten will, sollte das getrennt recherchieren; das </w:t>
      </w:r>
      <w:hyperlink w:anchor="tka09">
        <w:r>
          <w:rPr>
            <w:rStyle w:val="ListLabel113"/>
            <w:rFonts w:eastAsia="Cambria" w:cs="Cambria"/>
            <w:b w:val="false"/>
            <w:bCs w:val="false"/>
            <w:i w:val="false"/>
            <w:iCs w:val="false"/>
            <w:color w:val="0563C1"/>
            <w:sz w:val="22"/>
            <w:szCs w:val="22"/>
            <w:u w:val="single"/>
          </w:rPr>
          <w:t>Kapitel zum Wohnen in diesem Teil</w:t>
        </w:r>
      </w:hyperlink>
      <w:r>
        <w:rPr>
          <w:rFonts w:eastAsia="Cambria" w:cs="Cambria"/>
          <w:b w:val="false"/>
          <w:bCs w:val="false"/>
          <w:i w:val="false"/>
          <w:iCs w:val="false"/>
          <w:sz w:val="22"/>
          <w:szCs w:val="22"/>
        </w:rPr>
        <w:t xml:space="preserve"> geht darauf im Detail ein.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Numbeo-Index vergleicht Ausgabenniveaus, nicht Kaufkraft nach Steuern. Die eigentliche Bilanz ergibt sich erst, wenn du das kanadische Nettogehalt – nach Bundes-, Provinz- und Verbrauchssteuer – den kanadischen Lebenshaltungskosten gegenüberstellst, nicht das Bruttogehalt den deutschen Ausgaben.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Gesundheit: ein Rahmengesetz, dreizehn Systeme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Kanada habe, ähnlich wie Großbritannien mit seinem staatlichen Gesundheitsdienst, ein einziges nationales Gesundheitssystem. Tatsächlich schreibt der </w:t>
      </w:r>
      <w:r>
        <w:rPr>
          <w:rFonts w:eastAsia="Cambria" w:cs="Cambria"/>
          <w:b w:val="false"/>
          <w:bCs w:val="false"/>
          <w:i/>
          <w:iCs/>
          <w:sz w:val="22"/>
          <w:szCs w:val="22"/>
        </w:rPr>
        <w:t>Canada Health Act</w:t>
      </w:r>
      <w:r>
        <w:rPr>
          <w:rFonts w:eastAsia="Cambria" w:cs="Cambria"/>
          <w:b w:val="false"/>
          <w:bCs w:val="false"/>
          <w:i w:val="false"/>
          <w:iCs w:val="false"/>
          <w:sz w:val="22"/>
          <w:szCs w:val="22"/>
        </w:rPr>
        <w:t xml:space="preserve"> (das Rahmengesetz für die öffentliche Gesundheitsversorgung) nur Mindeststandards vor – organisiert und verwaltet wird die Versorgung von den 13 Provinzen und Territorien einzeln, jede mit eigener Anmeldung, eigenen Fristen und eigenem Leistungskatalog. Was als „medizinisch notwendig“ gilt und damit kostenfrei abgedeckt ist, entscheidet jede Provinz für sich; Zahnbehandlung, verschreibungspflichtige Medikamente außerhalb des Krankenhauses, Sehhilfen und Physiotherapie sind so gut wie nirgends automatisch mitversichert.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Neuankömmlinge zählt vor allem eine Zahl: die Wartefrist bis zur Aufnahme in den Provinzplan. Ontario (OHIP) hat seine frühere Drei-Monats-Wartefrist bereits 2020 abgeschafft; Deckung gilt dort ab Antragstellung, die Karte selbst dauert rund vier bis sechs Wochen bis zur Zustellung. British Columbia (MSP) und, laut mehreren Quellen, Québec (RAMQ) verlangen dagegen weiterhin rund drei Monate ohne Deckung – in British Columbia konkret: den Rest des Ankunftsmonats plus zwei weitere volle Kalendermonate. Auch Manitoba und Neufundland &amp; Labrador sollen laut Sekundärquellen eine Wartefrist kennen, während Alberta und Saskatchewan als praktisch wartefristfrei gelten – Details, die du vor dem Umzug direkt bei der jeweiligen Provinz bestätigen solltest, da sie sich ändern können und hier nicht für jede Provinz einzeln primärquellen-geprüft sind.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nach British Columbia oder Québec zieht, sollte für die Wartezeit eine private Übergangskrankenversicherung abschließen – Kostenrahmen grob 100 bis 200 CAD pro Person und Monat, je nach Anbieter und Deckungsumfang. Ein Unfall oder eine Diagnose in dieser Lücke kann sonst schnell mehrere Tausend CAD kosten, die keine Provinz übernimmt.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Lukas Berger, der als Öl- und Gasingenieur nach Calgary, Alberta zieht, bedeutet das nach den verfügbaren Quellen so gut wie keine Wartezeit; für Familie Ahrens in Ontario gilt dasselbe. Wer dagegen in eine Provinz mit Wartefrist zieht, sollte die Übergangsversicherung von Anfang an ins Budget einplanen – ein Punkt, der in den ersten, ohnehin teuren Wochen leicht untergeht.</w:t>
      </w:r>
    </w:p>
    <w:p>
      <w:pPr>
        <w:pStyle w:val="Heading3"/>
        <w:keepNext w:val="true"/>
        <w:spacing w:before="280" w:after="100"/>
        <w:jc w:val="center"/>
        <w:rPr/>
      </w:pPr>
      <w:r>
        <w:rPr>
          <w:rFonts w:eastAsia="Amazon Ember" w:cs="Amazon Ember" w:ascii="Amazon Ember" w:hAnsi="Amazon Ember"/>
          <w:b/>
          <w:bCs/>
          <w:color w:val="0000FF"/>
          <w:sz w:val="36"/>
          <w:szCs w:val="36"/>
        </w:rPr>
        <w:t>Canada Pension Plan statt gesetzlicher Rente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Kanada kennt keine umlagefinanzierte Rentenversicherung nach deutschem Vorbild, sondern den </w:t>
      </w:r>
      <w:r>
        <w:rPr>
          <w:rFonts w:eastAsia="Cambria" w:cs="Cambria"/>
          <w:b w:val="false"/>
          <w:bCs w:val="false"/>
          <w:i/>
          <w:iCs/>
          <w:sz w:val="22"/>
          <w:szCs w:val="22"/>
        </w:rPr>
        <w:t>Canada Pension Plan</w:t>
      </w:r>
      <w:r>
        <w:rPr>
          <w:rFonts w:eastAsia="Cambria" w:cs="Cambria"/>
          <w:b w:val="false"/>
          <w:bCs w:val="false"/>
          <w:i w:val="false"/>
          <w:iCs w:val="false"/>
          <w:sz w:val="22"/>
          <w:szCs w:val="22"/>
        </w:rPr>
        <w:t xml:space="preserve"> (CPP, die bundesweite gesetzliche Altersvorsorge – Québec betreibt mit dem </w:t>
      </w:r>
      <w:r>
        <w:rPr>
          <w:rFonts w:eastAsia="Cambria" w:cs="Cambria"/>
          <w:b w:val="false"/>
          <w:bCs w:val="false"/>
          <w:i/>
          <w:iCs/>
          <w:sz w:val="22"/>
          <w:szCs w:val="22"/>
        </w:rPr>
        <w:t>Québec Pension Plan</w:t>
      </w:r>
      <w:r>
        <w:rPr>
          <w:rFonts w:eastAsia="Cambria" w:cs="Cambria"/>
          <w:b w:val="false"/>
          <w:bCs w:val="false"/>
          <w:i w:val="false"/>
          <w:iCs w:val="false"/>
          <w:sz w:val="22"/>
          <w:szCs w:val="22"/>
        </w:rPr>
        <w:t xml:space="preserve"> ein eigenes, paralleles System). Arbeitnehmer und Arbeitgeber zahlen 2026 je 5,95 % des Bruttolohns bis zu einer Beitragsbemessungsgrenze (</w:t>
      </w:r>
      <w:r>
        <w:rPr>
          <w:rFonts w:eastAsia="Cambria" w:cs="Cambria"/>
          <w:b w:val="false"/>
          <w:bCs w:val="false"/>
          <w:i/>
          <w:iCs/>
          <w:sz w:val="22"/>
          <w:szCs w:val="22"/>
        </w:rPr>
        <w:t>Year’s Maximum Pensionable Earnings</w:t>
      </w:r>
      <w:r>
        <w:rPr>
          <w:rFonts w:eastAsia="Cambria" w:cs="Cambria"/>
          <w:b w:val="false"/>
          <w:bCs w:val="false"/>
          <w:i w:val="false"/>
          <w:iCs w:val="false"/>
          <w:sz w:val="22"/>
          <w:szCs w:val="22"/>
        </w:rPr>
        <w:t>, YMPE) von 74.600 CAD, abzüglich eines Grundfreibetrags von 3.500 CAD – macht maximal 4.230,45 CAD je Seite. Seit einigen Jahren kommt eine zweite Stufe hinzu, CPP2: zusätzlich 4 % auf Einkommen zwischen der YMPE und einer zweiten Grenze (</w:t>
      </w:r>
      <w:r>
        <w:rPr>
          <w:rFonts w:eastAsia="Cambria" w:cs="Cambria"/>
          <w:b w:val="false"/>
          <w:bCs w:val="false"/>
          <w:i/>
          <w:iCs/>
          <w:sz w:val="22"/>
          <w:szCs w:val="22"/>
        </w:rPr>
        <w:t>Year’s Additional Maximum Pensionable Earnings</w:t>
      </w:r>
      <w:r>
        <w:rPr>
          <w:rFonts w:eastAsia="Cambria" w:cs="Cambria"/>
          <w:b w:val="false"/>
          <w:bCs w:val="false"/>
          <w:i w:val="false"/>
          <w:iCs w:val="false"/>
          <w:sz w:val="22"/>
          <w:szCs w:val="22"/>
        </w:rPr>
        <w:t>, YAMPE) von 85.000 CAD, maximal 416 CAD je Seite. Wer selbstständig ist, zahlt beide Anteile allein – 11,9 % plus 8 % CPP2.</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Verglichen mit der deutschen gesetzlichen Rentenversicherung ist der CPP schlanker: Ein Bruchteil des Bruttolohns fließt hinein, gedeckelt auf ein mittleres Einkommen, ohne die umfassende Absicherung von Erwerbsminderung und Hinterbliebenen im deutschen Umfang. Wer mehr fürs Alter zurücklegen will, tut das meist ergänzend über einen </w:t>
      </w:r>
      <w:r>
        <w:rPr>
          <w:rFonts w:eastAsia="Cambria" w:cs="Cambria"/>
          <w:b w:val="false"/>
          <w:bCs w:val="false"/>
          <w:i/>
          <w:iCs/>
          <w:sz w:val="22"/>
          <w:szCs w:val="22"/>
        </w:rPr>
        <w:t>Registered Retirement Savings Plan</w:t>
      </w:r>
      <w:r>
        <w:rPr>
          <w:rFonts w:eastAsia="Cambria" w:cs="Cambria"/>
          <w:b w:val="false"/>
          <w:bCs w:val="false"/>
          <w:i w:val="false"/>
          <w:iCs w:val="false"/>
          <w:sz w:val="22"/>
          <w:szCs w:val="22"/>
        </w:rPr>
        <w:t xml:space="preserve"> (RRSP, ein steuerbegünstigtes individuelles Vorsorgekonto) oder einen betrieblichen Pensionsplan des Arbeitgebers.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CPP ist kein Ersatz für die deutsche Rente, sondern eine schlankere Ergänzung dazu. Ob und wie sich Beitragszeiten in Kanada und Deutschland gegenseitig anrechnen lassen, regelt ein eigenes Sozialversicherungsabkommen zwischen beiden Ländern – Details dazu stehen im Universal-Kapitel zu Steuern, Rente und Geld.</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Vorteil gegenüber Australiens </w:t>
      </w:r>
      <w:r>
        <w:rPr>
          <w:rFonts w:eastAsia="Cambria" w:cs="Cambria"/>
          <w:b w:val="false"/>
          <w:bCs w:val="false"/>
          <w:i/>
          <w:iCs/>
          <w:sz w:val="22"/>
          <w:szCs w:val="22"/>
        </w:rPr>
        <w:t>Superannuation</w:t>
      </w:r>
      <w:r>
        <w:rPr>
          <w:rFonts w:eastAsia="Cambria" w:cs="Cambria"/>
          <w:b w:val="false"/>
          <w:bCs w:val="false"/>
          <w:i w:val="false"/>
          <w:iCs w:val="false"/>
          <w:sz w:val="22"/>
          <w:szCs w:val="22"/>
        </w:rPr>
        <w:t>: Der CPP wird unabhängig vom Aufenthaltsstatus für jede Beschäftigung in Kanada fällig – auch Lukas Berger zahlt als befristeter Work-Permit-Inhaber von der ersten Gehaltsabrechnung an ein. Anders als bei der australischen Superannuation gibt es beim CPP keine Möglichkeit und keine Notwendigkeit, sich das Guthaben bei einer Ausreise vorzeitig und mit hohem Steuerabzug auszahlen zu lassen: Die Rente bleibt bis zum gesetzlichen Rentenalter im System. Die genauen Regeln zur späteren Auszahlung aus dem Ausland sind hier nicht vertieft.</w:t>
      </w:r>
    </w:p>
    <w:p>
      <w:pPr>
        <w:pStyle w:val="Heading3"/>
        <w:keepNext w:val="true"/>
        <w:spacing w:before="280" w:after="100"/>
        <w:jc w:val="center"/>
        <w:rPr/>
      </w:pPr>
      <w:r>
        <w:rPr>
          <w:rFonts w:eastAsia="Amazon Ember" w:cs="Amazon Ember" w:ascii="Amazon Ember" w:hAnsi="Amazon Ember"/>
          <w:b/>
          <w:bCs/>
          <w:color w:val="0000FF"/>
          <w:sz w:val="36"/>
          <w:szCs w:val="36"/>
        </w:rPr>
        <w:t>Was der Umzug selbst kostet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Schon vor dem ersten Gehaltseingang verlangt auch Kanada Vorleistungen – wie hoch, hängt stark vom gewählten Weg ab. Für den Weg über Express Entry, wie ihn Familie Ahrens plant, fallen bei der Antragstellung auf die permanente Aufenthaltserlaubnis (</w:t>
      </w:r>
      <w:r>
        <w:rPr>
          <w:rFonts w:eastAsia="Cambria" w:cs="Cambria"/>
          <w:b w:val="false"/>
          <w:bCs w:val="false"/>
          <w:i/>
          <w:iCs/>
          <w:sz w:val="22"/>
          <w:szCs w:val="22"/>
        </w:rPr>
        <w:t>Permanent Residence</w:t>
      </w:r>
      <w:r>
        <w:rPr>
          <w:rFonts w:eastAsia="Cambria" w:cs="Cambria"/>
          <w:b w:val="false"/>
          <w:bCs w:val="false"/>
          <w:i w:val="false"/>
          <w:iCs w:val="false"/>
          <w:sz w:val="22"/>
          <w:szCs w:val="22"/>
        </w:rPr>
        <w:t xml:space="preserve">, PR) 1.590 CAD für den Hauptantragsteller an (darin bereits enthalten: 600 CAD </w:t>
      </w:r>
      <w:r>
        <w:rPr>
          <w:rFonts w:eastAsia="Cambria" w:cs="Cambria"/>
          <w:b w:val="false"/>
          <w:bCs w:val="false"/>
          <w:i/>
          <w:iCs/>
          <w:sz w:val="22"/>
          <w:szCs w:val="22"/>
        </w:rPr>
        <w:t>Right of Permanent Residence Fee</w:t>
      </w:r>
      <w:r>
        <w:rPr>
          <w:rFonts w:eastAsia="Cambria" w:cs="Cambria"/>
          <w:b w:val="false"/>
          <w:bCs w:val="false"/>
          <w:i w:val="false"/>
          <w:iCs w:val="false"/>
          <w:sz w:val="22"/>
          <w:szCs w:val="22"/>
        </w:rPr>
        <w:t>, die eigentliche Gebühr für den unbefristeten Status), weitere 1.590 CAD für den mitreisenden Partner und je 270 CAD pro unterhaltsberechtigtem Kind. Für die vierköpfige Familie Ahrens kommen so allein an PR-Gebühren rund 3.720 CAD zusammen, dazu Biometrie (85 CAD pro Person, Familien-Höchstbetrag 170 CAD), Sprachtest, Bildungsanerkennung (</w:t>
      </w:r>
      <w:r>
        <w:rPr>
          <w:rFonts w:eastAsia="Cambria" w:cs="Cambria"/>
          <w:b w:val="false"/>
          <w:bCs w:val="false"/>
          <w:i/>
          <w:iCs/>
          <w:sz w:val="22"/>
          <w:szCs w:val="22"/>
        </w:rPr>
        <w:t>Educational Credential Assessment</w:t>
      </w:r>
      <w:r>
        <w:rPr>
          <w:rFonts w:eastAsia="Cambria" w:cs="Cambria"/>
          <w:b w:val="false"/>
          <w:bCs w:val="false"/>
          <w:i w:val="false"/>
          <w:iCs w:val="false"/>
          <w:sz w:val="22"/>
          <w:szCs w:val="22"/>
        </w:rPr>
        <w:t>, ECA) und Führungszeugnisse – die konkreten Kosten dafür schwanken je Anbieter und sind hier nicht beziffert.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stattdessen wie Lukas Berger über ein arbeitgebergesponsertes, LMIA-pflichtiges Arbeitsvisum einreist, trägt persönlich deutlich weniger: Das Arbeitsvisum selbst kostet 155 CAD, dazu 85 CAD Biometrie. Die eigentliche Hürde – die </w:t>
      </w:r>
      <w:r>
        <w:rPr>
          <w:rFonts w:eastAsia="Cambria" w:cs="Cambria"/>
          <w:b w:val="false"/>
          <w:bCs w:val="false"/>
          <w:i/>
          <w:iCs/>
          <w:sz w:val="22"/>
          <w:szCs w:val="22"/>
        </w:rPr>
        <w:t>Labour Market Impact Assessment</w:t>
      </w:r>
      <w:r>
        <w:rPr>
          <w:rFonts w:eastAsia="Cambria" w:cs="Cambria"/>
          <w:b w:val="false"/>
          <w:bCs w:val="false"/>
          <w:i w:val="false"/>
          <w:iCs w:val="false"/>
          <w:sz w:val="22"/>
          <w:szCs w:val="22"/>
        </w:rPr>
        <w:t xml:space="preserve"> (LMIA, der Arbeitsmarkttest, mit dem ein kanadischer Arbeitgeber nachweist, dass keine geeigneten kanadischen oder bereits ansässigen Bewerber verfügbar sind) – kostet 1.000 CAD pro Stelle und wird vom Arbeitgeber getragen, nicht vom Antragsteller. Von außerhalb Kanadas beantragt, dauert ein LMIA-basiertes Arbeitsvisum nach Kanzleiangaben insgesamt rund 7 bis 13 Wochen bis zur Erteilung – Zeit, die sich für Wohnungssuche und Umzugsplanung nutzen lässt, aber auch bedeutet, dass zwischen Jobzusage und Einreise mehrere Monate liegen können. Der Preis für die niedrigeren Vorabkosten ist Bindung: Das Arbeitsvisum ist an den sponsernden Betrieb gekoppelt, nicht frei übertragbar, und die permanente Aufenthaltserlaubnis ist damit noch nicht erreicht – wie der Weg von einem befristeten Arbeitsvisum zur PR führt, zeigt das </w:t>
      </w:r>
      <w:hyperlink w:anchor="tka02">
        <w:r>
          <w:rPr>
            <w:rStyle w:val="ListLabel113"/>
            <w:rFonts w:eastAsia="Cambria" w:cs="Cambria"/>
            <w:b w:val="false"/>
            <w:bCs w:val="false"/>
            <w:i w:val="false"/>
            <w:iCs w:val="false"/>
            <w:color w:val="0563C1"/>
            <w:sz w:val="22"/>
            <w:szCs w:val="22"/>
            <w:u w:val="single"/>
          </w:rPr>
          <w:t>nächste Kapitel dieses Teils</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Ahrens (fiktiv) rechnete vor der Entscheidung genau nach. Markus’ CRS-Score lag komfortabel über den Einladungsgrenzen der vergangenen Runden – realistisch für einen Softwarearchitekten mit mehrjähriger Erfahrung und gutem Englisch. An PR-Gebühren, Biometrie, Sprachtest und Bildungsanerkennung für die ganze Familie kamen dennoch mehrere Tausend CAD zusammen, bevor der erste kanadische Gehaltseingang überhaupt existierte. Der Vorteil auf der Habenseite: Als Inhaber der permanenten Aufenthaltserlaubnis waren Markus, Julia, Finn und Mia ab dem Tag der Einreise voll bei OHIP versichert und nicht an einen einzelnen Arbeitgeber gebunden.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sich nicht in CAD messen lässt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Verglichen mit Australien oder Neuseeland ist der größte Pluspunkt Kanadas schnell benannt: die Entfernung. Toronto ist von Frankfurt aus in rund acht Stunden erreichbar, Vancouver in rund zehneinhalb Stunden über etwa 8.050 Kilometer Luftlinie – beides mit Direktflugverbindungen, wie sie Sydney oder Auckland von Deutschland aus nicht bieten. Die Zeitverschiebung liegt, ähnlich wie bei den USA, bei rund sechs Stunden an der Ostküste bis neun Stunden an der Westküste – spürbar, aber ohne die fast vollständige Tag-Nacht-Umkehr, mit der sich Auswanderer nach Neuseeland arrangieren müssen. Ein Wochenendbesuch bei den Eltern in Deutschland ist von Toronto aus anstrengend, aber machbar; von Sydney aus ist er praktisch ausgeschlossen.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Kanada lebten 2021 rund 126.500 Personen mit deutscher Staatsangehörigkeit oder Herkunft, dazu fast 3 Millionen Menschen mit ganzer oder teilweiser deutscher Abstammung über mehrere Generationen – eine der größeren deutschstämmigen Communitys unter den vier Zielländern dieses Buches. Was diese Zahlen nicht zeigen: kanadische Winter. Wer aus Deutschland kommt, unterschätzt regelmäßig, wie lang und wie kalt die kalte Jahreszeit in weiten Teilen Kanadas ausfällt – ein Faktor, der sich in keiner Steuertabelle niederschlägt, aber jeden Alltag mehrere Monate im Jahr prägt.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Sowohl Deutschland als auch Kanada erlauben die doppelte Staatsangehörigkeit ausdrücklich: Seit der deutschen Reform vom 27. Juni 2024 führt eine kanadische Einbürgerung nicht mehr automatisch zum Verlust des deutschen Passes – ein Punkt, der noch vor wenigen Jahren deutlich komplizierter war.</w:t>
      </w:r>
    </w:p>
    <w:p>
      <w:pPr>
        <w:pStyle w:val="Heading3"/>
        <w:keepNext w:val="true"/>
        <w:spacing w:before="280" w:after="100"/>
        <w:jc w:val="center"/>
        <w:rPr/>
      </w:pPr>
      <w:r>
        <w:rPr>
          <w:rFonts w:eastAsia="Amazon Ember" w:cs="Amazon Ember" w:ascii="Amazon Ember" w:hAnsi="Amazon Ember"/>
          <w:b/>
          <w:bCs/>
          <w:color w:val="0000FF"/>
          <w:sz w:val="36"/>
          <w:szCs w:val="36"/>
        </w:rPr>
        <w:t>Wer profitiert, wer nicht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stärksten profitiert von der kanadischen Rechnung, wer einen guten CRS-Score mitbringt – gutes Englisch oder Französisch, einen anerkennungsfähigen Abschluss, einige Jahre Berufserfahrung – und Wert auf einen von Anfang an unbefristeten Status legt. Anders als Australiens Punktetest kennt das CRS keine feste Alters-Ausschlussgrenze, aber die Alterspunkte sinken mit steigendem Alter erheblich; wer weit jenseits der 40 ist, sollte das bei der eigenen Punkterechnung realistisch einkalkulieren, nicht erst nach dem ECA-Antrag entdecken.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Lukas Berger (fiktiv), 29, Öl- und Gasingenieur aus Hannover, alleinstehend, fand seinen Weg nicht über Punkte, sondern über ein Jobangebot: Ein Unternehmen in Calgary erklärte sich bereit, ihn über ein LMIA-pflichtiges Arbeitsvisum zu sponsern. Die niedrigeren persönlichen Vorabkosten – keine PR-Gebühren, nur Visum und Biometrie – überzeugten ihn zunächst. Erst mit der ersten Gehaltsabrechnung wurde ihm klar, wie sehr die Provinzwahl mitentscheidet: keine Verkaufssteuer auf Einkäufe, eine niedrigere Provinzsteuer als in Ontario – ein Vorteil, der die Bindung an seinen einzelnen Arbeitgeber für ihn aufwog, zumindest für die ersten Jahre bis zu einer möglichen permanenten Aufenthaltserlaubnis.</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Kritischer wird die Bilanz für alle, die auf schnelle, spontane Familienbesuche angewiesen sind – auch wenn Kanada hier merklich besser abschneidet als Australien oder Neuseeland –, für alle mit pflegebedürftigen Eltern in Deutschland oder für alle, die finanziell wenig Puffer für mehrere Tausend CAD Vorlaufkosten haben. Wer außerdem stark auf eine deutschlandähnliche Rundumabsicherung durch die gesetzliche Rente setzt, sollte den CPP realistisch einordnen: Er ergänzt private und betriebliche Vorsorge, ersetzt sie aber nicht.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die Wahl der Provinz sollte zur eigenen Lebensplanung passen, nicht nur zum Jobangebot. Wer wie Familie Ahrens eine hohe Steuerlast gegen kürzere Wege, eine etablierte deutsche Community und ein mildes Klima im Süden Ontarios eintauscht, zieht eine andere Bilanz als jemand, der wie Lukas Berger eine niedrigere Steuerlast in Alberta gegen härtere Winter und größere Distanzen zu den nächsten Großstädten abwägt. Keine der beiden Rechnungen ist grundsätzlich richtiger – wichtig ist nur, sie vor dem Umzug bewusst und mit den eigenen Prioritäten zu führen, nicht erst danach.</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Niedrigerer Steuerkeil als Deutschland (32,0 % vs. 49,3 %)</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Steuerlast hängt stark von der gewählten Provinz ab</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Toronto und Vancouver bei Lebenshaltungskosten unter München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Immobilienkaufpreise liegen über dem Mietindex</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Universelles Gesundheitssystem, in mehreren Provinzen ohne Wartefrist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 British Columbia und Québec rund drei Monate Deckungslücke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CPP gilt ab dem ersten Gehalt, unabhängig vom Aufenthaltsstatus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CPP ersetzt die deutsche Rente nur teilweise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Direktflüge und moderate Zeitverschiebung erleichtern Familienbesuche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Vorlaufkosten von mehreren Tausend CAD schon vor dem ersten Gehalt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Doppelte Staatsangehörigkeit ausdrücklich erlaubt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Lange, kalte Winter in weiten Teilen des Landes</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Rechne, bevor du dich entscheidest, mit deinen eigenen Zahlen: Trage dein voraussichtliches Bruttogehalt in die Bundes- und die jeweilige Provinzsteuerstaffel ein, ziehe die Verbrauchssteuer für den Alltag ab, und vergleiche das Ergebnis mit deiner heutigen deutschen Nettoabrechnung – nicht mit dem Bruttogehalt. Kläre parallel, welche Provinz überhaupt zu deinem Berufsfeld passt; das </w:t>
      </w:r>
      <w:hyperlink w:anchor="tka02">
        <w:r>
          <w:rPr>
            <w:rStyle w:val="ListLabel113"/>
            <w:rFonts w:eastAsia="Cambria" w:cs="Cambria"/>
            <w:b w:val="false"/>
            <w:bCs w:val="false"/>
            <w:i w:val="false"/>
            <w:iCs w:val="false"/>
            <w:color w:val="0563C1"/>
            <w:sz w:val="22"/>
            <w:szCs w:val="22"/>
            <w:u w:val="single"/>
          </w:rPr>
          <w:t>nächste Kapitel dieses Teils</w:t>
        </w:r>
      </w:hyperlink>
      <w:r>
        <w:rPr>
          <w:rFonts w:eastAsia="Cambria" w:cs="Cambria"/>
          <w:b w:val="false"/>
          <w:bCs w:val="false"/>
          <w:i w:val="false"/>
          <w:iCs w:val="false"/>
          <w:sz w:val="22"/>
          <w:szCs w:val="22"/>
        </w:rPr>
        <w:t xml:space="preserve"> zeigt die einzelnen Einwanderungswege im Detail, das Kapitel zum Wohnen die Unterschiede zwischen den Städten. Und plane die Vorlaufkosten – PR-Gebühren oder Visum, Sprachtest, Bildungsanerkennung, Führungszeugnisse – als eigenen Posten ein, getrennt vom eigentlichen Umzugsbudget.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Eigenes Bruttogehalt in Bundes- und Provinzsteuerstaffel eingetragen und mit der deutschen Nettoabrechnung verglichen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Verbrauchssteuer der Zielprovinz (GST allein oder GST plus HST/PST) in die Alltagsrechnung einbezogen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Geprüft, welche Provinz oder Provinzen für den eigenen Beruf und Lebensstil infrage kommen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Wartefrist der provinziellen Krankenversicherung am Zielort geklärt, ggf. private Übergangsversicherung eingeplant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Vorlaufkosten für PR-Antrag oder Arbeitsvisum, Sprachtest und Bildungsanerkennung überschlägig zusammengerechnet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Überlegt, wie der CPP im Vergleich zur deutschen Rente einzuordnen ist und ob zusätzliche private Vorsorge sinnvoll ist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Canada Revenue Agency — Einkommensteuersätze Bund und CPP-Beitragssätze (</w:t>
      </w:r>
      <w:hyperlink r:id="rId534">
        <w:r>
          <w:rPr>
            <w:rStyle w:val="ListLabel113"/>
            <w:rFonts w:eastAsia="Cambria" w:cs="Cambria"/>
            <w:b w:val="false"/>
            <w:bCs w:val="false"/>
            <w:i w:val="false"/>
            <w:iCs w:val="false"/>
            <w:color w:val="0563C1"/>
            <w:sz w:val="22"/>
            <w:szCs w:val="22"/>
            <w:u w:val="single"/>
          </w:rPr>
          <w:t>canada.ca/en/revenue-agency</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Province of British Columbia — Einkommensteuersätze und MSP-Wartefrist (</w:t>
      </w:r>
      <w:hyperlink r:id="rId535">
        <w:r>
          <w:rPr>
            <w:rStyle w:val="ListLabel113"/>
            <w:rFonts w:eastAsia="Cambria" w:cs="Cambria"/>
            <w:b w:val="false"/>
            <w:bCs w:val="false"/>
            <w:i w:val="false"/>
            <w:iCs w:val="false"/>
            <w:color w:val="0563C1"/>
            <w:sz w:val="22"/>
            <w:szCs w:val="22"/>
            <w:u w:val="single"/>
          </w:rPr>
          <w:t>gov.bc.ca</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hyperlink r:id="rId536">
        <w:r>
          <w:rPr>
            <w:rStyle w:val="ListLabel113"/>
            <w:rFonts w:eastAsia="Cambria" w:cs="Cambria"/>
            <w:b w:val="false"/>
            <w:bCs w:val="false"/>
            <w:i w:val="false"/>
            <w:iCs w:val="false"/>
            <w:color w:val="0563C1"/>
            <w:sz w:val="22"/>
            <w:szCs w:val="22"/>
            <w:u w:val="single"/>
          </w:rPr>
          <w:t>taxtips.ca</w:t>
        </w:r>
      </w:hyperlink>
      <w:r>
        <w:rPr>
          <w:rFonts w:eastAsia="Cambria" w:cs="Cambria"/>
          <w:b w:val="false"/>
          <w:bCs w:val="false"/>
          <w:i w:val="false"/>
          <w:iCs w:val="false"/>
          <w:sz w:val="22"/>
          <w:szCs w:val="22"/>
        </w:rPr>
        <w:t xml:space="preserve"> — Ontario-Steuersätze und Verkaufssteuern je Provinz (</w:t>
      </w:r>
      <w:hyperlink r:id="rId537">
        <w:r>
          <w:rPr>
            <w:rStyle w:val="ListLabel113"/>
            <w:rFonts w:eastAsia="Cambria" w:cs="Cambria"/>
            <w:b w:val="false"/>
            <w:bCs w:val="false"/>
            <w:i w:val="false"/>
            <w:iCs w:val="false"/>
            <w:color w:val="0563C1"/>
            <w:sz w:val="22"/>
            <w:szCs w:val="22"/>
            <w:u w:val="single"/>
          </w:rPr>
          <w:t>taxtips.ca</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IRCC — Gebühren für Permanent Residence, Arbeitsvisum und Biometrie (</w:t>
      </w:r>
      <w:hyperlink r:id="rId538">
        <w:r>
          <w:rPr>
            <w:rStyle w:val="ListLabel113"/>
            <w:rFonts w:eastAsia="Cambria" w:cs="Cambria"/>
            <w:b w:val="false"/>
            <w:bCs w:val="false"/>
            <w:i w:val="false"/>
            <w:iCs w:val="false"/>
            <w:color w:val="0563C1"/>
            <w:sz w:val="22"/>
            <w:szCs w:val="22"/>
            <w:u w:val="single"/>
          </w:rPr>
          <w:t>ircc.canada.ca/english/information/fees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OECD — Taxing Wages, Steuerkeil-Vergleich (</w:t>
      </w:r>
      <w:hyperlink r:id="rId539">
        <w:r>
          <w:rPr>
            <w:rStyle w:val="ListLabel113"/>
            <w:rFonts w:eastAsia="Cambria" w:cs="Cambria"/>
            <w:b w:val="false"/>
            <w:bCs w:val="false"/>
            <w:i w:val="false"/>
            <w:iCs w:val="false"/>
            <w:color w:val="0563C1"/>
            <w:sz w:val="22"/>
            <w:szCs w:val="22"/>
            <w:u w:val="single"/>
          </w:rPr>
          <w:t>oecd.org</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Numbeo — Lebenshaltungskosten im Städtevergleich (</w:t>
      </w:r>
      <w:hyperlink r:id="rId540">
        <w:r>
          <w:rPr>
            <w:rStyle w:val="ListLabel113"/>
            <w:rFonts w:eastAsia="Cambria" w:cs="Cambria"/>
            <w:b w:val="false"/>
            <w:bCs w:val="false"/>
            <w:i w:val="false"/>
            <w:iCs w:val="false"/>
            <w:color w:val="0563C1"/>
            <w:sz w:val="22"/>
            <w:szCs w:val="22"/>
            <w:u w:val="single"/>
          </w:rPr>
          <w:t>numbeo.com</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Steuersätze, Freibeträge und CPP-Grenzwerte werden jährlich angepasst, IRCC-Gebühren wurden zuletzt zum 30.04.2026 erhöht, und einzelne Provinz-Wartefristen bei der Krankenversicherung sind nicht für jede Provinz einzeln primärquellen-geprüft. Prüfe vor jeder Entscheidung die aktuellen Werte auf canada.ca und der Website deiner Zielprovinz.</w:t>
            </w:r>
          </w:p>
        </w:tc>
      </w:tr>
    </w:tbl>
    <w:p>
      <w:pPr>
        <w:pStyle w:val="Normal"/>
        <w:spacing w:lineRule="exact" w:line="220" w:before="0" w:after="0"/>
        <w:rPr/>
      </w:pPr>
      <w:r>
        <w:rPr/>
      </w:r>
      <w:r>
        <w:br w:type="page"/>
      </w:r>
    </w:p>
    <w:p>
      <w:pPr>
        <w:pStyle w:val="Heading2"/>
        <w:keepNext w:val="true"/>
        <w:spacing w:before="0" w:after="300"/>
        <w:jc w:val="center"/>
        <w:rPr/>
      </w:pPr>
      <w:bookmarkStart w:id="139" w:name="__RefHeading___Toc56569_3769931028"/>
      <w:bookmarkStart w:id="140" w:name="tka02"/>
      <w:bookmarkEnd w:id="139"/>
      <w:r>
        <w:rPr>
          <w:rFonts w:eastAsia="Amazon Ember" w:cs="Amazon Ember" w:ascii="Amazon Ember" w:hAnsi="Amazon Ember"/>
          <w:b/>
          <w:bCs/>
          <w:color w:val="0000FF"/>
          <w:sz w:val="36"/>
          <w:szCs w:val="36"/>
        </w:rPr>
        <w:t>Kanada: Wege der Einwanderung</w:t>
      </w:r>
      <w:bookmarkEnd w:id="140"/>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zum ersten Mal die Einwanderungsseiten von Immigration, Refugees and Citizenship Canada (IRCC, die kanadische Einwanderungsbehörde) durchklickt, findet kein einzelnes Formular, sondern ein ganzes System aus Programmen: Express Entry mit drei Unterprogrammen, dreizehn Provincial Nominee Programs, Study Permits, Arbeitsvisa mit und ohne Arbeitsmarkttest. Familie Ahrens aus Leipzig fand ihren Weg über die Punkterechnung von Express Entry; Lukas Berger aus Hannover kam über ein einzelnes Jobangebot ins Land, ganz ohne Punktetest. Beide werden – oder wurden – Kanadier auf Zeit oder auf Dauer, aber durch verschiedene Türen. Dieses Kapitel ordnet die wichtigsten Wege für Deutsche, bevor die folgenden Kapitel dieses Teils sie im Detail vertiefen.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Kanada öffnet sich für Deutsche vor allem über zwei Prinzipien: das bundesweite Punktesystem Express Entry (FSW, CEC, FST) und die Provincial Nominee Programs (PNP) der einzelnen Provinzen – daneben das Arbeitgeber-Sponsoring über ein Arbeitsvisum.</w:t>
            </w:r>
          </w:p>
          <w:p>
            <w:pPr>
              <w:pStyle w:val="ListParagraph"/>
              <w:numPr>
                <w:ilvl w:val="0"/>
                <w:numId w:val="1"/>
              </w:numPr>
              <w:spacing w:lineRule="exact" w:line="264" w:before="0" w:after="50"/>
              <w:rPr/>
            </w:pPr>
            <w:r>
              <w:rPr>
                <w:rFonts w:eastAsia="Cambria" w:cs="Cambria"/>
                <w:b w:val="false"/>
                <w:bCs w:val="false"/>
                <w:i w:val="false"/>
                <w:iCs w:val="false"/>
                <w:sz w:val="20"/>
                <w:szCs w:val="20"/>
              </w:rPr>
              <w:t>Arbeitsvisa teilen sich in zwei Schienen: LMIA-pflichtig (der Arbeitgeber muss einen Arbeitsmarkttest bestehen) und LMIA-frei (mehr als 50 Ausnahmekategorien, etwa konzerninterne Transfers oder Handelsabkommen).</w:t>
            </w:r>
          </w:p>
          <w:p>
            <w:pPr>
              <w:pStyle w:val="ListParagraph"/>
              <w:numPr>
                <w:ilvl w:val="0"/>
                <w:numId w:val="1"/>
              </w:numPr>
              <w:spacing w:lineRule="exact" w:line="264" w:before="0" w:after="50"/>
              <w:rPr/>
            </w:pPr>
            <w:r>
              <w:rPr>
                <w:rFonts w:eastAsia="Cambria" w:cs="Cambria"/>
                <w:b w:val="false"/>
                <w:bCs w:val="false"/>
                <w:i w:val="false"/>
                <w:iCs w:val="false"/>
                <w:sz w:val="20"/>
                <w:szCs w:val="20"/>
              </w:rPr>
              <w:t>Ein Study Permit mit anschließendem Post-Graduation Work Permit (PGWP) ist selbst kein Daueraufenthaltsweg, aber für viele der Umweg, über den die Canadian Experience Class oder ein Arbeitgeber-Sponsoring erst erreichbar wird.</w:t>
            </w:r>
          </w:p>
          <w:p>
            <w:pPr>
              <w:pStyle w:val="ListParagraph"/>
              <w:numPr>
                <w:ilvl w:val="0"/>
                <w:numId w:val="1"/>
              </w:numPr>
              <w:spacing w:lineRule="exact" w:line="264" w:before="0" w:after="50"/>
              <w:rPr/>
            </w:pPr>
            <w:r>
              <w:rPr>
                <w:rFonts w:eastAsia="Cambria" w:cs="Cambria"/>
                <w:b w:val="false"/>
                <w:bCs w:val="false"/>
                <w:i w:val="false"/>
                <w:iCs w:val="false"/>
                <w:sz w:val="20"/>
                <w:szCs w:val="20"/>
              </w:rPr>
              <w:t>Das Start-up Visa ist seit dem 1. Januar 2026 für neue Anträge pausiert.</w:t>
            </w:r>
          </w:p>
          <w:p>
            <w:pPr>
              <w:pStyle w:val="ListParagraph"/>
              <w:numPr>
                <w:ilvl w:val="0"/>
                <w:numId w:val="1"/>
              </w:numPr>
              <w:spacing w:lineRule="exact" w:line="264" w:before="0" w:after="50"/>
              <w:rPr/>
            </w:pPr>
            <w:r>
              <w:rPr>
                <w:rFonts w:eastAsia="Cambria" w:cs="Cambria"/>
                <w:b w:val="false"/>
                <w:bCs w:val="false"/>
                <w:i w:val="false"/>
                <w:iCs w:val="false"/>
                <w:sz w:val="20"/>
                <w:szCs w:val="20"/>
              </w:rPr>
              <w:t>Welcher Weg passt, hängt weniger vom Wunschort ab als von Sprachniveau, Berufserfahrung, vorhandenem Jobangebot und der Frage, wie viel Bindung an einen einzelnen Arbeitgeber du in Kauf nehmen willst.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Zwei Systeme nebeneinander: Punkte oder Arbeitgeber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Kanadas System für befristete Arbeit trennt sich grundsätzlich in zwei Schienen. Das </w:t>
      </w:r>
      <w:r>
        <w:rPr>
          <w:rFonts w:eastAsia="Cambria" w:cs="Cambria"/>
          <w:b w:val="false"/>
          <w:bCs w:val="false"/>
          <w:i/>
          <w:iCs/>
          <w:sz w:val="22"/>
          <w:szCs w:val="22"/>
        </w:rPr>
        <w:t>Temporary Foreign Worker Program</w:t>
      </w:r>
      <w:r>
        <w:rPr>
          <w:rFonts w:eastAsia="Cambria" w:cs="Cambria"/>
          <w:b w:val="false"/>
          <w:bCs w:val="false"/>
          <w:i w:val="false"/>
          <w:iCs w:val="false"/>
          <w:sz w:val="22"/>
          <w:szCs w:val="22"/>
        </w:rPr>
        <w:t xml:space="preserve"> (TFWP, das arbeitsmarktgeprüfte Programm) verlangt vom kanadischen Arbeitgeber vorab eine positive </w:t>
      </w:r>
      <w:r>
        <w:rPr>
          <w:rFonts w:eastAsia="Cambria" w:cs="Cambria"/>
          <w:b w:val="false"/>
          <w:bCs w:val="false"/>
          <w:i/>
          <w:iCs/>
          <w:sz w:val="22"/>
          <w:szCs w:val="22"/>
        </w:rPr>
        <w:t>Labour Market Impact Assessment</w:t>
      </w:r>
      <w:r>
        <w:rPr>
          <w:rFonts w:eastAsia="Cambria" w:cs="Cambria"/>
          <w:b w:val="false"/>
          <w:bCs w:val="false"/>
          <w:i w:val="false"/>
          <w:iCs w:val="false"/>
          <w:sz w:val="22"/>
          <w:szCs w:val="22"/>
        </w:rPr>
        <w:t xml:space="preserve"> (LMIA, der Arbeitsmarkttest durch Employment and Social Development Canada, ESDC) – den Nachweis, dass keine Kanadier oder bereits ansässigen Personen für die Stelle verfügbar sind. Das </w:t>
      </w:r>
      <w:r>
        <w:rPr>
          <w:rFonts w:eastAsia="Cambria" w:cs="Cambria"/>
          <w:b w:val="false"/>
          <w:bCs w:val="false"/>
          <w:i/>
          <w:iCs/>
          <w:sz w:val="22"/>
          <w:szCs w:val="22"/>
        </w:rPr>
        <w:t>International Mobility Program</w:t>
      </w:r>
      <w:r>
        <w:rPr>
          <w:rFonts w:eastAsia="Cambria" w:cs="Cambria"/>
          <w:b w:val="false"/>
          <w:bCs w:val="false"/>
          <w:i w:val="false"/>
          <w:iCs w:val="false"/>
          <w:sz w:val="22"/>
          <w:szCs w:val="22"/>
        </w:rPr>
        <w:t xml:space="preserve"> (IMP) befreit von dieser Pflicht, wenn die Stelle einen breiteren wirtschaftlichen, kulturellen oder reziproken Nutzen für Kanada hat; IRCC stellt das Arbeitsvisum dann direkt aus, ohne ESDC-Beteiligung.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den Daueraufenthalt gilt eine zweite, davon unabhängige Unterscheidung: das bundesweite Punktesystem Express Entry gegenüber den Provincial Nominee Programs (PNP). Bei Express Entry bewirbst du dich selbst, ohne dass zwingend ein Arbeitgeber zusagen muss – du brauchst einen ausreichenden Punktestand im </w:t>
      </w:r>
      <w:r>
        <w:rPr>
          <w:rFonts w:eastAsia="Cambria" w:cs="Cambria"/>
          <w:b w:val="false"/>
          <w:bCs w:val="false"/>
          <w:i/>
          <w:iCs/>
          <w:sz w:val="22"/>
          <w:szCs w:val="22"/>
        </w:rPr>
        <w:t>Comprehensive Ranking System</w:t>
      </w:r>
      <w:r>
        <w:rPr>
          <w:rFonts w:eastAsia="Cambria" w:cs="Cambria"/>
          <w:b w:val="false"/>
          <w:bCs w:val="false"/>
          <w:i w:val="false"/>
          <w:iCs w:val="false"/>
          <w:sz w:val="22"/>
          <w:szCs w:val="22"/>
        </w:rPr>
        <w:t xml:space="preserve"> (CRS, die Punkteskala, nach der IRCC Kandidatenprofile im Bewerberpool rangiert). Beim PNP nominiert dich stattdessen eine einzelne Provinz oder ein Territorium für die permanente Aufenthaltserlaubnis, meist mit eigenen, engeren Kriterien und oft an eine Zusage gekoppelt, in dieser Provinz zu leben. Für Deutsche ohne bereits vorhandenes Jobangebot ist Express Entry meist den ersten Blick wert; wer schon ein Angebot in der Tasche hat, kann direkt zum Arbeitgeberweg oder einer arbeitgebergebundenen PNP-Kategorie springen.</w:t>
      </w:r>
    </w:p>
    <w:p>
      <w:pPr>
        <w:pStyle w:val="Heading3"/>
        <w:keepNext w:val="true"/>
        <w:spacing w:before="280" w:after="100"/>
        <w:jc w:val="center"/>
        <w:rPr/>
      </w:pPr>
      <w:r>
        <w:rPr>
          <w:rFonts w:eastAsia="Amazon Ember" w:cs="Amazon Ember" w:ascii="Amazon Ember" w:hAnsi="Amazon Ember"/>
          <w:b/>
          <w:bCs/>
          <w:color w:val="0000FF"/>
          <w:sz w:val="36"/>
          <w:szCs w:val="36"/>
        </w:rPr>
        <w:t>Express Entry: FSW, CEC und FST im Überblick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Express Entry verwaltet drei Bundesprogramme über dieselbe Plattform und dieselbe CRS-Punkteskala. Der </w:t>
      </w:r>
      <w:r>
        <w:rPr>
          <w:rFonts w:eastAsia="Cambria" w:cs="Cambria"/>
          <w:b w:val="false"/>
          <w:bCs w:val="false"/>
          <w:i/>
          <w:iCs/>
          <w:sz w:val="22"/>
          <w:szCs w:val="22"/>
        </w:rPr>
        <w:t>Federal Skilled Worker</w:t>
      </w:r>
      <w:r>
        <w:rPr>
          <w:rFonts w:eastAsia="Cambria" w:cs="Cambria"/>
          <w:b w:val="false"/>
          <w:bCs w:val="false"/>
          <w:i w:val="false"/>
          <w:iCs w:val="false"/>
          <w:sz w:val="22"/>
          <w:szCs w:val="22"/>
        </w:rPr>
        <w:t xml:space="preserve">-Weg (FSW, die allgemeine Facharbeitereinwanderung ohne Kanada-Bezug) verlangt mindestens ein Jahr durchgehende Berufserfahrung in den letzten zehn Jahren, ein Sprachniveau von mindestens </w:t>
      </w:r>
      <w:r>
        <w:rPr>
          <w:rFonts w:eastAsia="Cambria" w:cs="Cambria"/>
          <w:b w:val="false"/>
          <w:bCs w:val="false"/>
          <w:i/>
          <w:iCs/>
          <w:sz w:val="22"/>
          <w:szCs w:val="22"/>
        </w:rPr>
        <w:t>Canadian Language Benchmark</w:t>
      </w:r>
      <w:r>
        <w:rPr>
          <w:rFonts w:eastAsia="Cambria" w:cs="Cambria"/>
          <w:b w:val="false"/>
          <w:bCs w:val="false"/>
          <w:i w:val="false"/>
          <w:iCs w:val="false"/>
          <w:sz w:val="22"/>
          <w:szCs w:val="22"/>
        </w:rPr>
        <w:t xml:space="preserve"> (CLB) 7 in allen vier Fertigkeiten, eine anerkannte Bildungsbewertung (</w:t>
      </w:r>
      <w:r>
        <w:rPr>
          <w:rFonts w:eastAsia="Cambria" w:cs="Cambria"/>
          <w:b w:val="false"/>
          <w:bCs w:val="false"/>
          <w:i/>
          <w:iCs/>
          <w:sz w:val="22"/>
          <w:szCs w:val="22"/>
        </w:rPr>
        <w:t>Educational Credential Assessment</w:t>
      </w:r>
      <w:r>
        <w:rPr>
          <w:rFonts w:eastAsia="Cambria" w:cs="Cambria"/>
          <w:b w:val="false"/>
          <w:bCs w:val="false"/>
          <w:i w:val="false"/>
          <w:iCs w:val="false"/>
          <w:sz w:val="22"/>
          <w:szCs w:val="22"/>
        </w:rPr>
        <w:t xml:space="preserve">, ECA, für ausländische Abschlüsse) und zusätzlich mindestens 67 von 100 Punkten in einem eigenen, vom CRS getrennten Zulassungsraster (Sprache, Bildung, Berufserfahrung, Alter, Jobangebot, Anpassungsfähigkeit). Die </w:t>
      </w:r>
      <w:r>
        <w:rPr>
          <w:rFonts w:eastAsia="Cambria" w:cs="Cambria"/>
          <w:b w:val="false"/>
          <w:bCs w:val="false"/>
          <w:i/>
          <w:iCs/>
          <w:sz w:val="22"/>
          <w:szCs w:val="22"/>
        </w:rPr>
        <w:t>Canadian Experience Class</w:t>
      </w:r>
      <w:r>
        <w:rPr>
          <w:rFonts w:eastAsia="Cambria" w:cs="Cambria"/>
          <w:b w:val="false"/>
          <w:bCs w:val="false"/>
          <w:i w:val="false"/>
          <w:iCs w:val="false"/>
          <w:sz w:val="22"/>
          <w:szCs w:val="22"/>
        </w:rPr>
        <w:t xml:space="preserve"> (CEC) richtet sich dagegen an alle, die bereits mindestens ein Jahr qualifiziert in Kanada gearbeitet haben – etwa nach einem Studium mit anschließendem PGWP –, mit niedrigerem Sprachminimum (CLB 7 beziehungsweise 5, je nach Berufskategorie) und ohne ECA-Pflicht. Der </w:t>
      </w:r>
      <w:r>
        <w:rPr>
          <w:rFonts w:eastAsia="Cambria" w:cs="Cambria"/>
          <w:b w:val="false"/>
          <w:bCs w:val="false"/>
          <w:i/>
          <w:iCs/>
          <w:sz w:val="22"/>
          <w:szCs w:val="22"/>
        </w:rPr>
        <w:t>Federal Skilled Trades</w:t>
      </w:r>
      <w:r>
        <w:rPr>
          <w:rFonts w:eastAsia="Cambria" w:cs="Cambria"/>
          <w:b w:val="false"/>
          <w:bCs w:val="false"/>
          <w:i w:val="false"/>
          <w:iCs w:val="false"/>
          <w:sz w:val="22"/>
          <w:szCs w:val="22"/>
        </w:rPr>
        <w:t>-Weg (FST) schließlich richtet sich an Handwerksberufe mit Jobangebot oder kanadischem Qualifikationszertifikat.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die Eignungshürde nimmt, wird in den Bewerberpool aufgenommen und nach CRS-Score gerankt – maximal erreichbar sind 1.200 Punkte, verteilt auf Kernfaktoren wie Alter, Ausbildung, Sprachtest und Berufserfahrung sowie Zusatzfaktoren wie eine PNP-Nominierung oder einen kanadischen Studienabschluss. Bei ausreichendem Score folgt eine Einladung zur Antragstellung (</w:t>
      </w:r>
      <w:r>
        <w:rPr>
          <w:rFonts w:eastAsia="Cambria" w:cs="Cambria"/>
          <w:b w:val="false"/>
          <w:bCs w:val="false"/>
          <w:i/>
          <w:iCs/>
          <w:sz w:val="22"/>
          <w:szCs w:val="22"/>
        </w:rPr>
        <w:t>Invitation to Apply</w:t>
      </w:r>
      <w:r>
        <w:rPr>
          <w:rFonts w:eastAsia="Cambria" w:cs="Cambria"/>
          <w:b w:val="false"/>
          <w:bCs w:val="false"/>
          <w:i w:val="false"/>
          <w:iCs w:val="false"/>
          <w:sz w:val="22"/>
          <w:szCs w:val="22"/>
        </w:rPr>
        <w:t>, ITA). Die Einladungsgrenzen schwanken 2026 stark: Allgemeine Runden lagen meist zwischen 480 und 530 Punkten, CEC-spezifische Runden zwischen 507 und 521. Seit 2026 kommen zehn kategoriebasierte Ziehungen hinzu – etwa für Französischkenntnisse, Gesundheitsberufe, MINT-Berufe oder Handwerk –, bei denen die Cutoffs teils deutlich niedriger liegen: Die Kategorie Gesundheit und Soziales lud im September 2026 bereits bei 475 Punkten ein, die Kategorie für Ärzte mit kanadischer Erfahrung sogar schon ab rund 170 bis 200 Punkten. Wer in einem dieser Berufsfelder arbeitet, sollte die kategoriebasierten Runden gezielt im Blick behalten, nicht nur die allgemeinen.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Seit dem 25. März 2025 bringt ein bestehendes Jobangebot im CRS keine Zusatzpunkte mehr – eine Änderung, die viele ältere Ratgeber im Internet noch nicht nachvollzogen haben. Ein Jobangebot bleibt wertvoll, weil es oft den Weg über die Canadian Experience Class oder ein Arbeitgeber-Sponsoring eröffnet, hebt aber den CRS-Score selbst nicht mehr an.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CRS ist kein Ja-Nein-Filter, sondern eine laufende Rangliste im Bewerberpool. Ein hoher Score erhöht die Chance auf eine Einladung, garantiert sie aber nicht – und die Cutoffs schwanken von Runde zu Runde, je nachdem, wie viele Profile mit welchem Score gerade im Pool stehen.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Ahrens (fiktiv) aus Leipzig prüfte vor der Entscheidung den Federal-Skilled-Worker-Weg. Markus, Softwarearchitekt mit mehrjähriger Erfahrung und einem guten Englischtestergebnis, kam über das 67-Punkte-Zulassungsraster hinweg und erreichte im CRS einen Score, der bei den meisten allgemeinen Runden 2026 komfortabel über der Einladungsgrenze lag. Dass Julia als Apothekerin zusätzliche Punkte für Bildung und Anpassungsfähigkeit beisteuerte, machte den Unterschied zwischen einem knappen und einem sicheren Score. Anders als beim australischen Punktetest mussten die Ahrens keine Wohnsitzbindung an eine bestimmte Provinz eingehen – der Federal-Skilled-Worker-Weg erlaubt freie Wohnortwahl in ganz Kanada, sobald die Aufenthaltserlaubnis erteilt ist.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Provincial Nominee Program: Einwanderung über die Provinz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im CRS knapp unter den Bundes-Cutoffs liegt oder einen konkreten regionalen Bezug hat, findet im </w:t>
      </w:r>
      <w:r>
        <w:rPr>
          <w:rFonts w:eastAsia="Cambria" w:cs="Cambria"/>
          <w:b w:val="false"/>
          <w:bCs w:val="false"/>
          <w:i/>
          <w:iCs/>
          <w:sz w:val="22"/>
          <w:szCs w:val="22"/>
        </w:rPr>
        <w:t>Provincial Nominee Program</w:t>
      </w:r>
      <w:r>
        <w:rPr>
          <w:rFonts w:eastAsia="Cambria" w:cs="Cambria"/>
          <w:b w:val="false"/>
          <w:bCs w:val="false"/>
          <w:i w:val="false"/>
          <w:iCs w:val="false"/>
          <w:sz w:val="22"/>
          <w:szCs w:val="22"/>
        </w:rPr>
        <w:t xml:space="preserve"> (PNP) oft den schnelleren Weg. Jede Provinz und jedes Territorium außer Québec, das mit </w:t>
      </w:r>
      <w:r>
        <w:rPr>
          <w:rFonts w:eastAsia="Cambria" w:cs="Cambria"/>
          <w:b w:val="false"/>
          <w:bCs w:val="false"/>
          <w:i/>
          <w:iCs/>
          <w:sz w:val="22"/>
          <w:szCs w:val="22"/>
        </w:rPr>
        <w:t>Arrima</w:t>
      </w:r>
      <w:r>
        <w:rPr>
          <w:rFonts w:eastAsia="Cambria" w:cs="Cambria"/>
          <w:b w:val="false"/>
          <w:bCs w:val="false"/>
          <w:i w:val="false"/>
          <w:iCs w:val="false"/>
          <w:sz w:val="22"/>
          <w:szCs w:val="22"/>
        </w:rPr>
        <w:t xml:space="preserve"> ein eigenständiges, komplett separates System betreibt, nominiert eigenständig Kandidaten; IRCC trifft am Ende trotzdem die finale Entscheidung über Zulässigkeit, Gesundheit und Sicherheit. Eine Nominierung ist also keine PR-Garantie, bringt aber im Express-Entry-verknüpften Fall zusätzliche CRS-Punkte und senkt damit faktisch die Hürde. Für 2026 plant IRCC 91.500 PNP-Landungen, ein Anstieg von 66 % gegenüber dem vorherigen Planungsstand – das PNP ist damit der zweitgrößte Wirtschaftskanal nach den Bundesprogrammen.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Ausgestaltung unterscheidet sich stark. Ontario (OINP) hat sein System 2026 vereinfacht und acht frühere Programmlinien durch einen neuen, arbeitgebergeführten Weg ersetzt; die Antragsgebühr liegt bei 1.500 CAD, ein Express-Entry-verknüpfter Fall kostet inklusive Bundesgebühren insgesamt rund 3.175 CAD, bevor Sprachtest, Bildungsanerkennung und Führungszeugnisse überhaupt eingerechnet sind. British Columbia (BC PNP) erhöhte seine Antragsgebühr zum 22. Januar 2026 auf 1.750 CAD, für einzelne Ströme wie Gesundheitsberufe auf bis zu 2.000 CAD. Alberta (AAIP), Manitoba (MPNP), Saskatchewan (SINP) und die Atlantikprovinzen betreiben eigene, teils Express-Entry-verknüpfte, teils eigenständige Ströme mit jeweils eigenen Zielberufslisten und eigenen Fristen – wer eine bestimmte Provinz ins Auge fasst, sollte deren aktuelles Programm gezielt und einzeln prüfen, da sich die Details laufend ändern und in diesem Überblick nicht erschöpfend behandelt werden können.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Eine PNP-Nominierung bindet dich in aller Regel an eine Wohnsitzpflicht in der nominierenden Provinz, meist für die ersten Jahre. Wer diese Bindung nicht will, sollte prüfen, ob der eigene Score auch ohne Nominierung für eine Bundes-Einladung reicht.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Arbeitgeber-Sponsoring: LMIA-pflichtig und LMIA-frei</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wie Lukas Berger ein konkretes Jobangebot hat, kann den Punktetest ganz umgehen. Beim LMIA-pflichtigen Weg über das TFWP muss der kanadische Arbeitgeber zunächst die </w:t>
      </w:r>
      <w:r>
        <w:rPr>
          <w:rFonts w:eastAsia="Cambria" w:cs="Cambria"/>
          <w:b w:val="false"/>
          <w:bCs w:val="false"/>
          <w:i/>
          <w:iCs/>
          <w:sz w:val="22"/>
          <w:szCs w:val="22"/>
        </w:rPr>
        <w:t>Labour Market Impact Assessment</w:t>
      </w:r>
      <w:r>
        <w:rPr>
          <w:rFonts w:eastAsia="Cambria" w:cs="Cambria"/>
          <w:b w:val="false"/>
          <w:bCs w:val="false"/>
          <w:i w:val="false"/>
          <w:iCs w:val="false"/>
          <w:sz w:val="22"/>
          <w:szCs w:val="22"/>
        </w:rPr>
        <w:t xml:space="preserve"> bestehen – Kosten 1.000 CAD pro Stelle, vom Arbeitgeber zu tragen, nicht auf den Arbeitnehmer abwälzbar. Die Bearbeitungsdauer schwankt stark je nach Kategorie: Der </w:t>
      </w:r>
      <w:r>
        <w:rPr>
          <w:rFonts w:eastAsia="Cambria" w:cs="Cambria"/>
          <w:b w:val="false"/>
          <w:bCs w:val="false"/>
          <w:i/>
          <w:iCs/>
          <w:sz w:val="22"/>
          <w:szCs w:val="22"/>
        </w:rPr>
        <w:t>Global Talent Stream</w:t>
      </w:r>
      <w:r>
        <w:rPr>
          <w:rFonts w:eastAsia="Cambria" w:cs="Cambria"/>
          <w:b w:val="false"/>
          <w:bCs w:val="false"/>
          <w:i w:val="false"/>
          <w:iCs w:val="false"/>
          <w:sz w:val="22"/>
          <w:szCs w:val="22"/>
        </w:rPr>
        <w:t xml:space="preserve"> (ein beschleunigter Weg für bestimmte Technologieberufe) dauert oft nur rund zehn Werktage, ein Standard-Hochlohn-Antrag dagegen rund 88 Werktage. Erst nach positiver LMIA kann der Arbeitnehmer sein Arbeitsvisum beantragen – Gebühr 155 CAD, dazu 85 CAD Biometrie.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w:t>
      </w:r>
      <w:r>
        <w:rPr>
          <w:rFonts w:eastAsia="Cambria" w:cs="Cambria"/>
          <w:b w:val="false"/>
          <w:bCs w:val="false"/>
          <w:i/>
          <w:iCs/>
          <w:sz w:val="22"/>
          <w:szCs w:val="22"/>
        </w:rPr>
        <w:t>International Mobility Program</w:t>
      </w:r>
      <w:r>
        <w:rPr>
          <w:rFonts w:eastAsia="Cambria" w:cs="Cambria"/>
          <w:b w:val="false"/>
          <w:bCs w:val="false"/>
          <w:i w:val="false"/>
          <w:iCs w:val="false"/>
          <w:sz w:val="22"/>
          <w:szCs w:val="22"/>
        </w:rPr>
        <w:t xml:space="preserve"> befreit von der LMIA-Pflicht in über 50 Ausnahmekategorien: Handelsabkommen mit Mobilitätskapitel (etwa CETA mit der EU, relevant für bestimmte Berufsgruppen aus Deutschland), konzerninterne Transfers (</w:t>
      </w:r>
      <w:r>
        <w:rPr>
          <w:rFonts w:eastAsia="Cambria" w:cs="Cambria"/>
          <w:b w:val="false"/>
          <w:bCs w:val="false"/>
          <w:i/>
          <w:iCs/>
          <w:sz w:val="22"/>
          <w:szCs w:val="22"/>
        </w:rPr>
        <w:t>Intra-Company Transfer</w:t>
      </w:r>
      <w:r>
        <w:rPr>
          <w:rFonts w:eastAsia="Cambria" w:cs="Cambria"/>
          <w:b w:val="false"/>
          <w:bCs w:val="false"/>
          <w:i w:val="false"/>
          <w:iCs w:val="false"/>
          <w:sz w:val="22"/>
          <w:szCs w:val="22"/>
        </w:rPr>
        <w:t>, ICT), Fälle von „erheblichem Nutzen“ für Kanada sowie – praktisch relevant für Studierende und Ehepartner – der Post-Graduation Work Permit und offene Arbeitsvisa für mitreisende Partner bestimmter Hauptantragsteller. Seit Februar 2026 prüft IRCC die ICT-Kategorie strenger: Die Muttergesellschaft muss inzwischen Umsatz erzielende Geschäftstätigkeit in mindestens zwei Ländern nachweisen; eine reine kanadische Neugründung reicht nicht mehr.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erklärt Regeln und Praxis, ersetzt aber keine Beratung durch eine registrierte kanadische Einwanderungsberaterin, einen Einwanderungsberater (</w:t>
            </w:r>
            <w:r>
              <w:rPr>
                <w:rFonts w:eastAsia="Cambria" w:cs="Cambria"/>
                <w:b w:val="false"/>
                <w:bCs w:val="false"/>
                <w:i/>
                <w:iCs/>
                <w:sz w:val="20"/>
                <w:szCs w:val="20"/>
              </w:rPr>
              <w:t>Regulated Canadian Immigration Consultant</w:t>
            </w:r>
            <w:r>
              <w:rPr>
                <w:rFonts w:eastAsia="Cambria" w:cs="Cambria"/>
                <w:b w:val="false"/>
                <w:bCs w:val="false"/>
                <w:i w:val="false"/>
                <w:iCs w:val="false"/>
                <w:sz w:val="20"/>
                <w:szCs w:val="20"/>
              </w:rPr>
              <w:t>, RCIC) oder eine Anwältin beziehungsweise einen Anwalt für kanadisches Einwanderungsrecht.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Vorteil des Arbeitgeberwegs liegt in den niedrigen persönlichen Vorabkosten und dem Wegfall des Punktetests. Der Preis ist die Bindung: Ein LMIA-basiertes Arbeitsvisum ist an die konkrete Stelle gekoppelt, ein Arbeitgeberwechsel bedeutet in aller Regel ein neues Verfahren. Wer von dort aus die permanente Aufenthaltserlaubnis anstrebt, braucht meist zusätzlich kanadische Berufserfahrung für die Canadian Experience Class oder eine passende PNP-Kategorie.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Lukas Berger (fiktiv), 29, Öl- und Gasingenieur aus Hannover, alleinstehend, fand über eine Stellenausschreibung ein Unternehmen in Calgary, das bereit war, ihn zu sponsern. Der Arbeitgeber ließ eine LMIA für die Position durchführen, was einige Monate dauerte; erst danach konnte Lukas sein Arbeitsvisum beantragen. Persönlich zahlte er nur die Visums- und Biometriegebühr – deutlich weniger, als der Express-Entry-Weg der Familie Ahrens gekostet hätte. Im Gegenzug ist er für die Dauer des Arbeitsvisums an seinen Arbeitgeber gebunden; einen Wechsel zu einem anderen Unternehmen müsste er über ein komplett neues Verfahren organisieren, es sei denn, er sammelt genug kanadische Erfahrung für einen Wechsel zur Canadian Experience Class.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Study Permit und PGWP: der Umweg über den Studienabschluss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w:t>
      </w:r>
      <w:r>
        <w:rPr>
          <w:rFonts w:eastAsia="Cambria" w:cs="Cambria"/>
          <w:b w:val="false"/>
          <w:bCs w:val="false"/>
          <w:i/>
          <w:iCs/>
          <w:sz w:val="22"/>
          <w:szCs w:val="22"/>
        </w:rPr>
        <w:t>Study Permit</w:t>
      </w:r>
      <w:r>
        <w:rPr>
          <w:rFonts w:eastAsia="Cambria" w:cs="Cambria"/>
          <w:b w:val="false"/>
          <w:bCs w:val="false"/>
          <w:i w:val="false"/>
          <w:iCs w:val="false"/>
          <w:sz w:val="22"/>
          <w:szCs w:val="22"/>
        </w:rPr>
        <w:t xml:space="preserve"> (das kanadische Studienvisum) führt nicht direkt zum Daueraufenthalt, öffnet aber zwei Türen zugleich: einen kanadischen Abschluss, der die Eignung für die Canadian Experience Class erst schafft, und häufig den ersten Kontakt zu einem künftigen Arbeitgeber. Die Gebühr liegt bei 150 CAD, die Bearbeitung dauert laut Servicestandard rund 60 Tage außerhalb beziehungsweise 120 Tage innerhalb Kanadas; ob der beschleunigte </w:t>
      </w:r>
      <w:r>
        <w:rPr>
          <w:rFonts w:eastAsia="Cambria" w:cs="Cambria"/>
          <w:b w:val="false"/>
          <w:bCs w:val="false"/>
          <w:i/>
          <w:iCs/>
          <w:sz w:val="22"/>
          <w:szCs w:val="22"/>
        </w:rPr>
        <w:t>Student Direct Stream</w:t>
      </w:r>
      <w:r>
        <w:rPr>
          <w:rFonts w:eastAsia="Cambria" w:cs="Cambria"/>
          <w:b w:val="false"/>
          <w:bCs w:val="false"/>
          <w:i w:val="false"/>
          <w:iCs w:val="false"/>
          <w:sz w:val="22"/>
          <w:szCs w:val="22"/>
        </w:rPr>
        <w:t xml:space="preserve"> (rund 20 Tage) auch für deutsche Bewerber offensteht, ist in den verfügbaren Quellen nicht abschließend geklärt – das solltest du vor der Bewerbung direkt bei IRCC prüfen.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Nach dem Abschluss folgt für die meisten der </w:t>
      </w:r>
      <w:r>
        <w:rPr>
          <w:rFonts w:eastAsia="Cambria" w:cs="Cambria"/>
          <w:b w:val="false"/>
          <w:bCs w:val="false"/>
          <w:i/>
          <w:iCs/>
          <w:sz w:val="22"/>
          <w:szCs w:val="22"/>
        </w:rPr>
        <w:t>Post-Graduation Work Permit</w:t>
      </w:r>
      <w:r>
        <w:rPr>
          <w:rFonts w:eastAsia="Cambria" w:cs="Cambria"/>
          <w:b w:val="false"/>
          <w:bCs w:val="false"/>
          <w:i w:val="false"/>
          <w:iCs w:val="false"/>
          <w:sz w:val="22"/>
          <w:szCs w:val="22"/>
        </w:rPr>
        <w:t xml:space="preserve"> (PGWP, das befristete Arbeitsvisum für Hochschulabsolventen), Gebühr insgesamt 255 CAD. Er erlaubt befristetes Arbeiten in Kanada und damit das Sammeln der kanadischen Berufserfahrung, die die Canadian Experience Class voraussetzt. Seit einer Reform 2025 ist die Liste der PGWP-berechtigten Studienfächer bei nicht-akademischen Programmen (Diplom, Zertifikat) auf 1.107 anerkannte Programme eingegrenzt und für 2026 eingefroren; Bachelor-, Master- und Promotionsabschlüsse öffentlicher Hochschulen sind von dieser Feld-Einschränkung grundsätzlich ausgenommen.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sich für den Studienweg entscheidet, sollte schon bei der Programmwahl prüfen, ob das Fach auf der PGWP-Berechtigungsliste steht – ein nicht-berechtigtes Diplomprogramm kann sich später als teure Sackgasse erweisen, weil der Weg zur kanadischen Berufserfahrung dann fehlt.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Start-up Visa und Familiennachzug – kurz gestreift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w:t>
      </w:r>
      <w:r>
        <w:rPr>
          <w:rFonts w:eastAsia="Cambria" w:cs="Cambria"/>
          <w:b w:val="false"/>
          <w:bCs w:val="false"/>
          <w:i/>
          <w:iCs/>
          <w:sz w:val="22"/>
          <w:szCs w:val="22"/>
        </w:rPr>
        <w:t>Start-up Visa</w:t>
      </w:r>
      <w:r>
        <w:rPr>
          <w:rFonts w:eastAsia="Cambria" w:cs="Cambria"/>
          <w:b w:val="false"/>
          <w:bCs w:val="false"/>
          <w:i w:val="false"/>
          <w:iCs w:val="false"/>
          <w:sz w:val="22"/>
          <w:szCs w:val="22"/>
        </w:rPr>
        <w:t xml:space="preserve"> (der Weg für Unternehmensgründer mit Unterstützung einer designierten Organisation) ist seit dem 1. Januar 2026 für neue Anträge pausiert; nur Antragsteller mit einem gültigen Commitment Certificate aus 2025 konnten ihren Antrag noch bis zum 30. Juni 2026 einreichen. Ob und in welcher Form das Programm wieder öffnet, war zum Zeitpunkt dieses Kapitels offen. Familiennachzug – etwa für Ehepartner ohne eigenen gefragten Beruf oder für Eltern und Großeltern – folgt einer eigenen Logik mit eigenen Einkommensschwellen und ist hier nur gestreift; das </w:t>
      </w:r>
      <w:hyperlink w:anchor="tka04">
        <w:r>
          <w:rPr>
            <w:rStyle w:val="ListLabel113"/>
            <w:rFonts w:eastAsia="Cambria" w:cs="Cambria"/>
            <w:b w:val="false"/>
            <w:bCs w:val="false"/>
            <w:i w:val="false"/>
            <w:iCs w:val="false"/>
            <w:color w:val="0563C1"/>
            <w:sz w:val="22"/>
            <w:szCs w:val="22"/>
            <w:u w:val="single"/>
          </w:rPr>
          <w:t>Kapitel zu Familie, Partner, Investor- und Sonderwegen in diesem Teil</w:t>
        </w:r>
      </w:hyperlink>
      <w:r>
        <w:rPr>
          <w:rFonts w:eastAsia="Cambria" w:cs="Cambria"/>
          <w:b w:val="false"/>
          <w:bCs w:val="false"/>
          <w:i w:val="false"/>
          <w:iCs w:val="false"/>
          <w:sz w:val="22"/>
          <w:szCs w:val="22"/>
        </w:rPr>
        <w:t xml:space="preserve"> geht darauf im Detail ein.</w:t>
      </w:r>
    </w:p>
    <w:p>
      <w:pPr>
        <w:pStyle w:val="Heading3"/>
        <w:keepNext w:val="true"/>
        <w:spacing w:before="280" w:after="100"/>
        <w:jc w:val="center"/>
        <w:rPr/>
      </w:pPr>
      <w:r>
        <w:rPr>
          <w:rFonts w:eastAsia="Amazon Ember" w:cs="Amazon Ember" w:ascii="Amazon Ember" w:hAnsi="Amazon Ember"/>
          <w:b/>
          <w:bCs/>
          <w:color w:val="0000FF"/>
          <w:sz w:val="36"/>
          <w:szCs w:val="36"/>
        </w:rPr>
        <w:t>Typische Fehler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die Wege in diesem Kapitel zum ersten Mal vergleicht, tappt erfahrungsgemäß in ähnliche Fallen:</w:t>
      </w:r>
    </w:p>
    <w:p>
      <w:pPr>
        <w:pStyle w:val="ListParagraph"/>
        <w:numPr>
          <w:ilvl w:val="0"/>
          <w:numId w:val="1"/>
        </w:numPr>
        <w:spacing w:lineRule="exact" w:line="288" w:before="0" w:after="60"/>
        <w:rPr/>
      </w:pPr>
      <w:r>
        <w:rPr>
          <w:rFonts w:eastAsia="Cambria" w:cs="Cambria"/>
          <w:b w:val="false"/>
          <w:bCs w:val="false"/>
          <w:i w:val="false"/>
          <w:iCs w:val="false"/>
          <w:sz w:val="22"/>
          <w:szCs w:val="22"/>
        </w:rPr>
        <w:t>Verbreiteter Irrtum: Ein deutscher Hochschulabschluss werde für Express Entry automatisch anerkannt. Tatsächlich verlangt der FSW-Weg fast immer eine eigene, kostenpflichtige Bildungsbewertung (ECA) durch eine anerkannte Organisation – das deutsche Diplom ist dafür der Ausgangspunkt, nicht der Nachweis selbst.</w:t>
      </w:r>
    </w:p>
    <w:p>
      <w:pPr>
        <w:pStyle w:val="ListParagraph"/>
        <w:numPr>
          <w:ilvl w:val="0"/>
          <w:numId w:val="1"/>
        </w:numPr>
        <w:spacing w:lineRule="exact" w:line="288" w:before="0" w:after="60"/>
        <w:rPr/>
      </w:pPr>
      <w:r>
        <w:rPr>
          <w:rFonts w:eastAsia="Cambria" w:cs="Cambria"/>
          <w:b w:val="false"/>
          <w:bCs w:val="false"/>
          <w:i w:val="false"/>
          <w:iCs w:val="false"/>
          <w:sz w:val="22"/>
          <w:szCs w:val="22"/>
        </w:rPr>
        <w:t>Die gesetzliche Mindestpunktzahl von 67 im FSW-Zulassungsraster wird mit einer realistischen Einladungschance im CRS verwechselt; das sind zwei unterschiedliche Punktesysteme mit unterschiedlichen Schwellen.</w:t>
      </w:r>
    </w:p>
    <w:p>
      <w:pPr>
        <w:pStyle w:val="ListParagraph"/>
        <w:numPr>
          <w:ilvl w:val="0"/>
          <w:numId w:val="1"/>
        </w:numPr>
        <w:spacing w:lineRule="exact" w:line="288" w:before="0" w:after="60"/>
        <w:rPr/>
      </w:pPr>
      <w:r>
        <w:rPr>
          <w:rFonts w:eastAsia="Cambria" w:cs="Cambria"/>
          <w:b w:val="false"/>
          <w:bCs w:val="false"/>
          <w:i w:val="false"/>
          <w:iCs w:val="false"/>
          <w:sz w:val="22"/>
          <w:szCs w:val="22"/>
        </w:rPr>
        <w:t>LMIA-pflichtig und LMIA-frei werden verwechselt – wer ein Jobangebot hat, sollte früh klären, in welche Kategorie die Stelle fällt, weil sich Kosten und Bearbeitungsdauer stark unterscheiden.</w:t>
      </w:r>
    </w:p>
    <w:p>
      <w:pPr>
        <w:pStyle w:val="ListParagraph"/>
        <w:numPr>
          <w:ilvl w:val="0"/>
          <w:numId w:val="1"/>
        </w:numPr>
        <w:spacing w:lineRule="exact" w:line="288" w:before="0" w:after="60"/>
        <w:rPr/>
      </w:pPr>
      <w:r>
        <w:rPr>
          <w:rFonts w:eastAsia="Cambria" w:cs="Cambria"/>
          <w:b w:val="false"/>
          <w:bCs w:val="false"/>
          <w:i w:val="false"/>
          <w:iCs w:val="false"/>
          <w:sz w:val="22"/>
          <w:szCs w:val="22"/>
        </w:rPr>
        <w:t>Die eTA für Besuchsreisen wird mit einer Arbeitsberechtigung verwechselt – sie erlaubt Tourismus und Transit, aber weder Arbeit noch Studium.</w:t>
      </w:r>
    </w:p>
    <w:p>
      <w:pPr>
        <w:pStyle w:val="ListParagraph"/>
        <w:numPr>
          <w:ilvl w:val="0"/>
          <w:numId w:val="1"/>
        </w:numPr>
        <w:spacing w:lineRule="exact" w:line="288" w:before="0" w:after="60"/>
        <w:rPr/>
      </w:pPr>
      <w:r>
        <w:rPr>
          <w:rFonts w:eastAsia="Cambria" w:cs="Cambria"/>
          <w:b w:val="false"/>
          <w:bCs w:val="false"/>
          <w:i w:val="false"/>
          <w:iCs w:val="false"/>
          <w:sz w:val="22"/>
          <w:szCs w:val="22"/>
        </w:rPr>
        <w:t>Die Bearbeitungszeit wird unterschätzt, weil Online-Angaben oft nur die IRCC-Bearbeitung nach Einladung zeigen, nicht die Monate für Sprachtest, ECA und Dokumentenbeschaffung davor.</w:t>
      </w:r>
    </w:p>
    <w:p>
      <w:pPr>
        <w:pStyle w:val="ListParagraph"/>
        <w:numPr>
          <w:ilvl w:val="0"/>
          <w:numId w:val="1"/>
        </w:numPr>
        <w:spacing w:lineRule="exact" w:line="288" w:before="0" w:after="60"/>
        <w:rPr/>
      </w:pPr>
      <w:r>
        <w:rPr>
          <w:rFonts w:eastAsia="Cambria" w:cs="Cambria"/>
          <w:b w:val="false"/>
          <w:bCs w:val="false"/>
          <w:i w:val="false"/>
          <w:iCs w:val="false"/>
          <w:sz w:val="22"/>
          <w:szCs w:val="22"/>
        </w:rPr>
        <w:t>Der Sprachtest wird zu spät oder mit der falschen Erwartung gebucht: CELPIP rechnet eins zu eins in die Canadian Language Benchmark um, während IELTS je Fertigkeit unterschiedlich gestaffelte Bänder hat – zwei Bewerber mit „gutem Englisch“ können so unterschiedliche CLB-Stufen erreichen.</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Welcher Weg passt zu wem?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Entscheidung ist selten eine reine Punkterechnung. Wer eine Familie mitnimmt, gewichtet Planbarkeit und einen von Anfang an unbefristeten Status oft höher als Geschwindigkeit und bevorzugt Express Entry, notfalls mit PNP-Unterstützung. Wer alleinstehend ist und ein konkretes Jobangebot hat, kommt über den Arbeitgeberweg oft schneller ins Land – nimmt dafür die Bindung an den Betrieb in Kauf. Die folgende Übersicht ersetzt keine individuelle Rechnung, zeigt aber, wo die meisten Deutschen typischerweise landen:</w:t>
      </w:r>
    </w:p>
    <w:tbl>
      <w:tblPr>
        <w:tblW w:w="6480" w:type="dxa"/>
        <w:jc w:val="left"/>
        <w:tblInd w:w="0" w:type="dxa"/>
        <w:tblLayout w:type="fixed"/>
        <w:tblCellMar>
          <w:top w:w="50" w:type="dxa"/>
          <w:left w:w="80" w:type="dxa"/>
          <w:bottom w:w="50" w:type="dxa"/>
          <w:right w:w="80" w:type="dxa"/>
        </w:tblCellMar>
      </w:tblPr>
      <w:tblGrid>
        <w:gridCol w:w="3354"/>
        <w:gridCol w:w="3125"/>
      </w:tblGrid>
      <w:tr>
        <w:trPr>
          <w:tblHeader w:val="true"/>
          <w:cantSplit w:val="true"/>
        </w:trPr>
        <w:tc>
          <w:tcPr>
            <w:tcW w:w="335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Ausgangslage</w:t>
            </w:r>
          </w:p>
        </w:tc>
        <w:tc>
          <w:tcPr>
            <w:tcW w:w="312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Meist passender Weg</w:t>
            </w:r>
          </w:p>
        </w:tc>
      </w:tr>
      <w:tr>
        <w:trPr>
          <w:cantSplit w:val="true"/>
        </w:trPr>
        <w:tc>
          <w:tcPr>
            <w:tcW w:w="33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Guter CRS-Score, kein Jobangebot nötig, freie Wohnortwahl gewünscht</w:t>
            </w:r>
          </w:p>
        </w:tc>
        <w:tc>
          <w:tcPr>
            <w:tcW w:w="312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Express Entry (FSW)</w:t>
            </w:r>
          </w:p>
        </w:tc>
      </w:tr>
      <w:tr>
        <w:trPr>
          <w:cantSplit w:val="true"/>
        </w:trPr>
        <w:tc>
          <w:tcPr>
            <w:tcW w:w="33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Score knapp unter dem Cutoff, Bereitschaft zu Wohnsitzbindung</w:t>
            </w:r>
          </w:p>
        </w:tc>
        <w:tc>
          <w:tcPr>
            <w:tcW w:w="312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Provincial Nominee Program</w:t>
            </w:r>
          </w:p>
        </w:tc>
      </w:tr>
      <w:tr>
        <w:trPr>
          <w:cantSplit w:val="true"/>
        </w:trPr>
        <w:tc>
          <w:tcPr>
            <w:tcW w:w="33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Bereits ein Jahr qualifiziert in Kanada gearbeitet (z. B. nach PGWP)</w:t>
            </w:r>
          </w:p>
        </w:tc>
        <w:tc>
          <w:tcPr>
            <w:tcW w:w="312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Canadian Experience Class</w:t>
            </w:r>
          </w:p>
        </w:tc>
      </w:tr>
      <w:tr>
        <w:trPr>
          <w:cantSplit w:val="true"/>
        </w:trPr>
        <w:tc>
          <w:tcPr>
            <w:tcW w:w="33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Konkretes Jobangebot eines kanadischen Arbeitgebers liegt vor</w:t>
            </w:r>
          </w:p>
        </w:tc>
        <w:tc>
          <w:tcPr>
            <w:tcW w:w="312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LMIA-pflichtiges oder LMIA-freies Arbeitsvisum</w:t>
            </w:r>
          </w:p>
        </w:tc>
      </w:tr>
      <w:tr>
        <w:trPr>
          <w:cantSplit w:val="true"/>
        </w:trPr>
        <w:tc>
          <w:tcPr>
            <w:tcW w:w="33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Punktzahl oder Abschluss reichen noch nicht</w:t>
            </w:r>
          </w:p>
        </w:tc>
        <w:tc>
          <w:tcPr>
            <w:tcW w:w="312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Study Permit als Zwischenschritt</w:t>
            </w:r>
          </w:p>
        </w:tc>
      </w:tr>
      <w:tr>
        <w:trPr>
          <w:cantSplit w:val="true"/>
        </w:trPr>
        <w:tc>
          <w:tcPr>
            <w:tcW w:w="33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Unternehmensidee mit Unterstützung einer designierten Organisation</w:t>
            </w:r>
          </w:p>
        </w:tc>
        <w:tc>
          <w:tcPr>
            <w:tcW w:w="312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Start-up Visa (derzeit pausiert, siehe oben)</w:t>
            </w:r>
          </w:p>
        </w:tc>
      </w:tr>
      <w:tr>
        <w:trPr>
          <w:cantSplit w:val="true"/>
        </w:trPr>
        <w:tc>
          <w:tcPr>
            <w:tcW w:w="33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eigener gefragter Beruf, aber Familienangehörige mit Status in Kanada</w:t>
            </w:r>
          </w:p>
        </w:tc>
        <w:tc>
          <w:tcPr>
            <w:tcW w:w="312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siehe </w:t>
            </w:r>
            <w:hyperlink w:anchor="tka04">
              <w:r>
                <w:rPr>
                  <w:rStyle w:val="ListLabel117"/>
                  <w:rFonts w:eastAsia="Cambria" w:cs="Cambria"/>
                  <w:b w:val="false"/>
                  <w:bCs w:val="false"/>
                  <w:i w:val="false"/>
                  <w:iCs w:val="false"/>
                  <w:color w:val="0563C1"/>
                  <w:sz w:val="18"/>
                  <w:szCs w:val="18"/>
                  <w:u w:val="single"/>
                </w:rPr>
                <w:t>Kapitel zu Familie, Investor und Ruhestand in diesem Teil</w:t>
              </w:r>
            </w:hyperlink>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 Zuordnung ist eine grobe Orientierung, keine Garantie. CRS-Cutoffs, PNP-Kriterien und Berufslisten ändern sich mehrfach im Jahr. Prüfe jede Zahl vor einer Kündigung in Deutschland direkt bei IRCC.</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Mehrere parallele Wege erhöhen die Gesamtchance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Für die meisten Wege sind Sprachniveau oder ECA Voraussetzung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CRS ist transparent und selbst überschlagbar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Cutoffs schwanken von Runde zu Runde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Arbeitgeber-Sponsoring umgeht den Punktetest komplett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LMIA-pflichtige Visa binden dich an einen einzelnen Betrieb</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PGWP eröffnet zusätzliche Punkte über kanadische Erfahrung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Studienweg ist zeit- und kostenintensiv ohne Jobgarantie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feste Alters-Ausschlussgrenze wie in Australien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Start-up Visa seit 2026 für Neuanträge pausiert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PNP erhöht die Chance bei knappem CRS-Score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PNP bindet meist an eine Wohnsitzpflicht in der Provinz</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Beginne mit einer ehrlichen Bestandsaufnahme: Sprachniveau, Berufserfahrung, vorhandenes oder fehlendes Jobangebot, gewünschte Provinz. Prüfe, ob dein Beruf und Abschluss für eine Bildungsbewertung und den CRS überhaupt geeignet sind – ohne das lohnt sich die Detailarbeit an der Punktzahl kaum. Erst danach lohnt sich die Suche nach einem sponsernden Arbeitgeber oder die Vertiefung einer bestimmten PNP-Kategorie, die die folgenden Kapitel dieses Teils zeigen. Wer sich zwischen zwei Wegen nicht entscheiden kann, verliert selten Zeit, wenn er beide parallel vorbereitet: Ein begonnenes Express-Entry-Profil verfällt nicht, nur weil am Ende doch ein Jobangebot den Ausschlag gibt.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eigentliche Antragstellung läuft für praktisch alle Wege in diesem Kapitel gleich ab: online über das IRCC-Kundenkonto, ohne Beteiligung einer deutschen Botschaft oder eines Konsulats. Biometrische Daten – Fingerabdrücke und Foto – gibst du nach Aufforderung durch IRCC beim </w:t>
      </w:r>
      <w:r>
        <w:rPr>
          <w:rFonts w:eastAsia="Cambria" w:cs="Cambria"/>
          <w:b w:val="false"/>
          <w:bCs w:val="false"/>
          <w:i/>
          <w:iCs/>
          <w:sz w:val="22"/>
          <w:szCs w:val="22"/>
        </w:rPr>
        <w:t>Visa Application Centre</w:t>
      </w:r>
      <w:r>
        <w:rPr>
          <w:rFonts w:eastAsia="Cambria" w:cs="Cambria"/>
          <w:b w:val="false"/>
          <w:bCs w:val="false"/>
          <w:i w:val="false"/>
          <w:iCs w:val="false"/>
          <w:sz w:val="22"/>
          <w:szCs w:val="22"/>
        </w:rPr>
        <w:t xml:space="preserve"> in Berlin ab, das der Dienstleister VFS Global im Auftrag der kanadischen Regierung betreibt. Das ist ein reiner Verwaltungsschritt, kein Ersatz für die eigentliche Antragsprüfung, die immer bei IRCC in Kanada liegt.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Sprachtest (IELTS, CELPIP oder für Französisch TEF/TCF) gebucht oder Ergebnis vorliegend</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Geprüft, ob eine Bildungsbewertung (ECA) für den eigenen Abschluss nötig ist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Eigenen CRS-Score überschlägig berechnet und mit aktuellen Einladungsgrenzen verglichen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Geprüft, ob eine kategoriebasierte Express-Entry-Ziehung für den eigenen Beruf infrage kommt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PNP-Programme der bevorzugten Provinz oder Provinzen auf aktuelle Kriterien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Falls Jobangebot vorhanden: geklärt, ob die Stelle LMIA-pflichtig oder LMIA-frei ist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hyperlink w:anchor="tka04">
              <w:r>
                <w:rPr>
                  <w:rStyle w:val="ListLabel116"/>
                  <w:rFonts w:eastAsia="Cambria" w:cs="Cambria"/>
                  <w:b w:val="false"/>
                  <w:bCs w:val="false"/>
                  <w:i w:val="false"/>
                  <w:iCs w:val="false"/>
                  <w:color w:val="0563C1"/>
                  <w:sz w:val="20"/>
                  <w:szCs w:val="20"/>
                  <w:u w:val="single"/>
                </w:rPr>
                <w:t>Kapitel zu Familie, Investor und Ruhestand in diesem Teil</w:t>
              </w:r>
            </w:hyperlink>
            <w:r>
              <w:rPr>
                <w:rFonts w:eastAsia="Cambria" w:cs="Cambria"/>
                <w:b w:val="false"/>
                <w:bCs w:val="false"/>
                <w:i w:val="false"/>
                <w:iCs w:val="false"/>
                <w:sz w:val="20"/>
                <w:szCs w:val="20"/>
              </w:rPr>
              <w:t xml:space="preserve"> gelesen, falls kein eigener gefragter Beruf vorliegt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Aktuelle Gebühren, Cutoffs und Bearbeitungszeiten direkt bei IRCC geprüft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IRCC — Express Entry, CRS und Einladungsrunden (</w:t>
      </w:r>
      <w:hyperlink r:id="rId541">
        <w:r>
          <w:rPr>
            <w:rStyle w:val="ListLabel113"/>
            <w:rFonts w:eastAsia="Cambria" w:cs="Cambria"/>
            <w:b w:val="false"/>
            <w:bCs w:val="false"/>
            <w:i w:val="false"/>
            <w:iCs w:val="false"/>
            <w:color w:val="0563C1"/>
            <w:sz w:val="22"/>
            <w:szCs w:val="22"/>
            <w:u w:val="single"/>
          </w:rPr>
          <w:t>canada.ca/en/immigration-refugees-citizenship</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IRCC — Provincial Nominee Program, Übersicht je Provinz (</w:t>
      </w:r>
      <w:hyperlink r:id="rId542">
        <w:r>
          <w:rPr>
            <w:rStyle w:val="ListLabel113"/>
            <w:rFonts w:eastAsia="Cambria" w:cs="Cambria"/>
            <w:b w:val="false"/>
            <w:bCs w:val="false"/>
            <w:i w:val="false"/>
            <w:iCs w:val="false"/>
            <w:color w:val="0563C1"/>
            <w:sz w:val="22"/>
            <w:szCs w:val="22"/>
            <w:u w:val="single"/>
          </w:rPr>
          <w:t>canada.ca</w:t>
        </w:r>
      </w:hyperlink>
      <w:r>
        <w:rPr>
          <w:rFonts w:eastAsia="Cambria" w:cs="Cambria"/>
          <w:b w:val="false"/>
          <w:bCs w:val="false"/>
          <w:i w:val="false"/>
          <w:iCs w:val="false"/>
          <w:sz w:val="22"/>
          <w:szCs w:val="22"/>
        </w:rPr>
        <w:t>, Suche: provincial-nominees)</w:t>
      </w:r>
    </w:p>
    <w:p>
      <w:pPr>
        <w:pStyle w:val="ListParagraph"/>
        <w:numPr>
          <w:ilvl w:val="0"/>
          <w:numId w:val="1"/>
        </w:numPr>
        <w:spacing w:lineRule="exact" w:line="288" w:before="0" w:after="60"/>
        <w:rPr/>
      </w:pPr>
      <w:r>
        <w:rPr>
          <w:rFonts w:eastAsia="Cambria" w:cs="Cambria"/>
          <w:b w:val="false"/>
          <w:bCs w:val="false"/>
          <w:i w:val="false"/>
          <w:iCs w:val="false"/>
          <w:sz w:val="22"/>
          <w:szCs w:val="22"/>
        </w:rPr>
        <w:t>IRCC — Gebühren für Visa, PR und Biometrie (</w:t>
      </w:r>
      <w:hyperlink r:id="rId543">
        <w:r>
          <w:rPr>
            <w:rStyle w:val="ListLabel113"/>
            <w:rFonts w:eastAsia="Cambria" w:cs="Cambria"/>
            <w:b w:val="false"/>
            <w:bCs w:val="false"/>
            <w:i w:val="false"/>
            <w:iCs w:val="false"/>
            <w:color w:val="0563C1"/>
            <w:sz w:val="22"/>
            <w:szCs w:val="22"/>
            <w:u w:val="single"/>
          </w:rPr>
          <w:t>ircc.canada.ca/english/information/fees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ESDC — Labour Market Impact Assessment, Gebühren und Bearbeitungszeiten (</w:t>
      </w:r>
      <w:hyperlink r:id="rId544">
        <w:r>
          <w:rPr>
            <w:rStyle w:val="ListLabel113"/>
            <w:rFonts w:eastAsia="Cambria" w:cs="Cambria"/>
            <w:b w:val="false"/>
            <w:bCs w:val="false"/>
            <w:i w:val="false"/>
            <w:iCs w:val="false"/>
            <w:color w:val="0563C1"/>
            <w:sz w:val="22"/>
            <w:szCs w:val="22"/>
            <w:u w:val="single"/>
          </w:rPr>
          <w:t>canada.ca/en/employment-social-development</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IRCC — Study Permit und Post-Graduation Work Permit (</w:t>
      </w:r>
      <w:hyperlink r:id="rId545">
        <w:r>
          <w:rPr>
            <w:rStyle w:val="ListLabel113"/>
            <w:rFonts w:eastAsia="Cambria" w:cs="Cambria"/>
            <w:b w:val="false"/>
            <w:bCs w:val="false"/>
            <w:i w:val="false"/>
            <w:iCs w:val="false"/>
            <w:color w:val="0563C1"/>
            <w:sz w:val="22"/>
            <w:szCs w:val="22"/>
            <w:u w:val="single"/>
          </w:rPr>
          <w:t>canada.ca</w:t>
        </w:r>
      </w:hyperlink>
      <w:r>
        <w:rPr>
          <w:rFonts w:eastAsia="Cambria" w:cs="Cambria"/>
          <w:b w:val="false"/>
          <w:bCs w:val="false"/>
          <w:i w:val="false"/>
          <w:iCs w:val="false"/>
          <w:sz w:val="22"/>
          <w:szCs w:val="22"/>
        </w:rPr>
        <w:t>, Suche: study-permit, post-graduation-work-permit)</w:t>
      </w:r>
    </w:p>
    <w:p>
      <w:pPr>
        <w:pStyle w:val="ListParagraph"/>
        <w:numPr>
          <w:ilvl w:val="0"/>
          <w:numId w:val="1"/>
        </w:numPr>
        <w:spacing w:lineRule="exact" w:line="288" w:before="0" w:after="60"/>
        <w:rPr/>
      </w:pPr>
      <w:r>
        <w:rPr>
          <w:rFonts w:eastAsia="Cambria" w:cs="Cambria"/>
          <w:b w:val="false"/>
          <w:bCs w:val="false"/>
          <w:i w:val="false"/>
          <w:iCs w:val="false"/>
          <w:sz w:val="22"/>
          <w:szCs w:val="22"/>
        </w:rPr>
        <w:t>IRCC — Start-up Visa Program (</w:t>
      </w:r>
      <w:hyperlink r:id="rId546">
        <w:r>
          <w:rPr>
            <w:rStyle w:val="ListLabel113"/>
            <w:rFonts w:eastAsia="Cambria" w:cs="Cambria"/>
            <w:b w:val="false"/>
            <w:bCs w:val="false"/>
            <w:i w:val="false"/>
            <w:iCs w:val="false"/>
            <w:color w:val="0563C1"/>
            <w:sz w:val="22"/>
            <w:szCs w:val="22"/>
            <w:u w:val="single"/>
          </w:rPr>
          <w:t>canada.ca</w:t>
        </w:r>
      </w:hyperlink>
      <w:r>
        <w:rPr>
          <w:rFonts w:eastAsia="Cambria" w:cs="Cambria"/>
          <w:b w:val="false"/>
          <w:bCs w:val="false"/>
          <w:i w:val="false"/>
          <w:iCs w:val="false"/>
          <w:sz w:val="22"/>
          <w:szCs w:val="22"/>
        </w:rPr>
        <w:t>, Suche: start-visa)</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schnell: CRS-Cutoffs jeder Express-Entry-Runde, PNP-Kriterien und -Gebühren je Provinz, LMIA-Bearbeitungszeiten und die Regeln zum pausierten Start-up Visa. Prüfe vor jeder Entscheidung die aktuellen Werte direkt auf canada.ca/ircc.</w:t>
            </w:r>
          </w:p>
        </w:tc>
      </w:tr>
    </w:tbl>
    <w:p>
      <w:pPr>
        <w:pStyle w:val="Normal"/>
        <w:spacing w:lineRule="exact" w:line="220" w:before="0" w:after="0"/>
        <w:rPr/>
      </w:pPr>
      <w:r>
        <w:rPr/>
      </w:r>
      <w:r>
        <w:br w:type="page"/>
      </w:r>
    </w:p>
    <w:p>
      <w:pPr>
        <w:pStyle w:val="Heading2"/>
        <w:keepNext w:val="true"/>
        <w:spacing w:before="0" w:after="300"/>
        <w:jc w:val="center"/>
        <w:rPr/>
      </w:pPr>
      <w:bookmarkStart w:id="141" w:name="__RefHeading___Toc56571_3769931028"/>
      <w:bookmarkStart w:id="142" w:name="tka03"/>
      <w:bookmarkEnd w:id="141"/>
      <w:r>
        <w:rPr>
          <w:rFonts w:eastAsia="Amazon Ember" w:cs="Amazon Ember" w:ascii="Amazon Ember" w:hAnsi="Amazon Ember"/>
          <w:b/>
          <w:bCs/>
          <w:color w:val="0000FF"/>
          <w:sz w:val="36"/>
          <w:szCs w:val="36"/>
        </w:rPr>
        <w:t>Kanada: Der Arbeitsweg im Detail</w:t>
      </w:r>
      <w:bookmarkEnd w:id="142"/>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Kanadas Einwanderungssystem hat einen Charme, den man erst zu schätzen lernt, wenn man ihn selbst durchlebt: Es sagt dir, in nackten Zahlen, wie begehrenswert du gerade bist. Wer ein Profil bei </w:t>
      </w:r>
      <w:r>
        <w:rPr>
          <w:rFonts w:eastAsia="Cambria" w:cs="Cambria"/>
          <w:b w:val="false"/>
          <w:bCs w:val="false"/>
          <w:i/>
          <w:iCs/>
          <w:sz w:val="22"/>
          <w:szCs w:val="22"/>
        </w:rPr>
        <w:t>Express Entry</w:t>
      </w:r>
      <w:r>
        <w:rPr>
          <w:rFonts w:eastAsia="Cambria" w:cs="Cambria"/>
          <w:b w:val="false"/>
          <w:bCs w:val="false"/>
          <w:i w:val="false"/>
          <w:iCs w:val="false"/>
          <w:sz w:val="22"/>
          <w:szCs w:val="22"/>
        </w:rPr>
        <w:t xml:space="preserve"> (dem Online-Bewerbersystem für die wirtschaftliche Einwanderung nach Kanada) anlegt, bekommt einen Punktwert – und verbringt danach überraschend viele Abende damit, die Einladungsrunden der Einwanderungsbehörde IRCC zu aktualisieren, in der stillen Hoffnung, der eigene Marktwert sei über Nacht gestiegen. Die gute Nachricht: Anders als bei den meisten Lotterien lässt sich der eigene Score tatsächlich verbessern. Die weniger gute: Wie viel das am Ende bringt, hängt auch davon ab, welche Kategorie gerade Konjunktur hat – und die wechselt schneller, als mancher Sprachtest gültig bleibt.</w:t>
      </w:r>
    </w:p>
    <w:tbl>
      <w:tblPr>
        <w:tblW w:w="6480" w:type="dxa"/>
        <w:jc w:val="left"/>
        <w:tblInd w:w="0" w:type="dxa"/>
        <w:tblLayout w:type="fixed"/>
        <w:tblCellMar>
          <w:top w:w="110" w:type="dxa"/>
          <w:left w:w="200" w:type="dxa"/>
          <w:bottom w:w="80" w:type="dxa"/>
          <w:right w:w="160" w:type="dxa"/>
        </w:tblCellMar>
      </w:tblPr>
      <w:tblGrid>
        <w:gridCol w:w="6480"/>
      </w:tblGrid>
      <w:tr>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iCs/>
                <w:sz w:val="20"/>
                <w:szCs w:val="20"/>
              </w:rPr>
              <w:t>Express Entry</w:t>
            </w:r>
            <w:r>
              <w:rPr>
                <w:rFonts w:eastAsia="Cambria" w:cs="Cambria"/>
                <w:b w:val="false"/>
                <w:bCs w:val="false"/>
                <w:i w:val="false"/>
                <w:iCs w:val="false"/>
                <w:sz w:val="20"/>
                <w:szCs w:val="20"/>
              </w:rPr>
              <w:t xml:space="preserve"> bündelt drei Bundesprogramme (FSW, CEC, FST) und viele Provinzströme in einem Punktesystem; ein ausreichender Score bringt eine Einladung zum PR-Antrag (</w:t>
            </w:r>
            <w:r>
              <w:rPr>
                <w:rFonts w:eastAsia="Cambria" w:cs="Cambria"/>
                <w:b w:val="false"/>
                <w:bCs w:val="false"/>
                <w:i/>
                <w:iCs/>
                <w:sz w:val="20"/>
                <w:szCs w:val="20"/>
              </w:rPr>
              <w:t>Invitation to Apply</w:t>
            </w:r>
            <w:r>
              <w:rPr>
                <w:rFonts w:eastAsia="Cambria" w:cs="Cambria"/>
                <w:b w:val="false"/>
                <w:bCs w:val="false"/>
                <w:i w:val="false"/>
                <w:iCs w:val="false"/>
                <w:sz w:val="20"/>
                <w:szCs w:val="20"/>
              </w:rPr>
              <w:t>, ITA, Einladung zur Antragstellung).</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Der </w:t>
            </w:r>
            <w:r>
              <w:rPr>
                <w:rFonts w:eastAsia="Cambria" w:cs="Cambria"/>
                <w:b w:val="false"/>
                <w:bCs w:val="false"/>
                <w:i/>
                <w:iCs/>
                <w:sz w:val="20"/>
                <w:szCs w:val="20"/>
              </w:rPr>
              <w:t>Comprehensive Ranking System</w:t>
            </w:r>
            <w:r>
              <w:rPr>
                <w:rFonts w:eastAsia="Cambria" w:cs="Cambria"/>
                <w:b w:val="false"/>
                <w:bCs w:val="false"/>
                <w:i w:val="false"/>
                <w:iCs w:val="false"/>
                <w:sz w:val="20"/>
                <w:szCs w:val="20"/>
              </w:rPr>
              <w:t>-Score (CRS) entscheidet, wer eingeladen wird. 2026 lagen die allgemeinen Cutoffs meist bei 480–530 Punkten, kategoriebasierte Ziehungen (Gesundheit, Französisch, Ärzte) oft deutlich darunter.</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Das </w:t>
            </w:r>
            <w:r>
              <w:rPr>
                <w:rFonts w:eastAsia="Cambria" w:cs="Cambria"/>
                <w:b w:val="false"/>
                <w:bCs w:val="false"/>
                <w:i/>
                <w:iCs/>
                <w:sz w:val="20"/>
                <w:szCs w:val="20"/>
              </w:rPr>
              <w:t>Provincial Nominee Program</w:t>
            </w:r>
            <w:r>
              <w:rPr>
                <w:rFonts w:eastAsia="Cambria" w:cs="Cambria"/>
                <w:b w:val="false"/>
                <w:bCs w:val="false"/>
                <w:i w:val="false"/>
                <w:iCs w:val="false"/>
                <w:sz w:val="20"/>
                <w:szCs w:val="20"/>
              </w:rPr>
              <w:t xml:space="preserve"> (PNP, das provinzielle Nominierungsprogramm) ist der zweitgrößte Weg zur </w:t>
            </w:r>
            <w:r>
              <w:rPr>
                <w:rFonts w:eastAsia="Cambria" w:cs="Cambria"/>
                <w:b w:val="false"/>
                <w:bCs w:val="false"/>
                <w:i/>
                <w:iCs/>
                <w:sz w:val="20"/>
                <w:szCs w:val="20"/>
              </w:rPr>
              <w:t>Permanent Residence</w:t>
            </w:r>
            <w:r>
              <w:rPr>
                <w:rFonts w:eastAsia="Cambria" w:cs="Cambria"/>
                <w:b w:val="false"/>
                <w:bCs w:val="false"/>
                <w:i w:val="false"/>
                <w:iCs w:val="false"/>
                <w:sz w:val="20"/>
                <w:szCs w:val="20"/>
              </w:rPr>
              <w:t xml:space="preserve"> (PR, der unbefristete Aufenthaltsstatus Kanadas); jede Provinz setzt eigene Regeln, eine Nominierung bringt 600 CRS-Punkte extra.</w:t>
            </w:r>
          </w:p>
          <w:p>
            <w:pPr>
              <w:pStyle w:val="ListParagraph"/>
              <w:numPr>
                <w:ilvl w:val="0"/>
                <w:numId w:val="1"/>
              </w:numPr>
              <w:spacing w:lineRule="exact" w:line="264" w:before="0" w:after="50"/>
              <w:rPr/>
            </w:pPr>
            <w:r>
              <w:rPr>
                <w:rFonts w:eastAsia="Cambria" w:cs="Cambria"/>
                <w:b w:val="false"/>
                <w:bCs w:val="false"/>
                <w:i w:val="false"/>
                <w:iCs w:val="false"/>
                <w:sz w:val="20"/>
                <w:szCs w:val="20"/>
              </w:rPr>
              <w:t>Ontario und British Columbia zeigen beispielhaft, wie unterschiedlich – und wie unterschiedlich teuer – die Provinzverfahren ablaufen.</w:t>
            </w:r>
          </w:p>
          <w:p>
            <w:pPr>
              <w:pStyle w:val="ListParagraph"/>
              <w:numPr>
                <w:ilvl w:val="0"/>
                <w:numId w:val="1"/>
              </w:numPr>
              <w:spacing w:lineRule="exact" w:line="264" w:before="0" w:after="50"/>
              <w:rPr/>
            </w:pPr>
            <w:r>
              <w:rPr>
                <w:rFonts w:eastAsia="Cambria" w:cs="Cambria"/>
                <w:b w:val="false"/>
                <w:bCs w:val="false"/>
                <w:i w:val="false"/>
                <w:iCs w:val="false"/>
                <w:sz w:val="20"/>
                <w:szCs w:val="20"/>
              </w:rPr>
              <w:t>Für deutsche Fachkräfte mit soliden Englischkenntnissen, anerkanntem Abschluss und gefragtem Beruf ist Express Entry real erreichbar; ganz ohne Jobangebot oder Kanada-Bezug wird es eher zur Geduldsprobe.</w:t>
            </w:r>
          </w:p>
          <w:p>
            <w:pPr>
              <w:pStyle w:val="ListParagraph"/>
              <w:numPr>
                <w:ilvl w:val="0"/>
                <w:numId w:val="1"/>
              </w:numPr>
              <w:spacing w:lineRule="exact" w:line="264" w:before="0" w:after="50"/>
              <w:rPr/>
            </w:pPr>
            <w:r>
              <w:rPr>
                <w:rFonts w:eastAsia="Cambria" w:cs="Cambria"/>
                <w:b w:val="false"/>
                <w:bCs w:val="false"/>
                <w:i w:val="false"/>
                <w:iCs w:val="false"/>
                <w:sz w:val="20"/>
                <w:szCs w:val="20"/>
              </w:rPr>
              <w:t>Zahlen und Cutoffs ändern sich laufend: Prüfe vor jeder Entscheidung die aktuellen Werte auf canada.ca.</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Express Entry: drei Programme, ein Profil</w:t>
      </w:r>
    </w:p>
    <w:p>
      <w:pPr>
        <w:pStyle w:val="Normal"/>
        <w:keepNext w:val="false"/>
        <w:keepLines w:val="false"/>
        <w:spacing w:lineRule="exact" w:line="288" w:before="0" w:after="140"/>
        <w:jc w:val="left"/>
        <w:rPr/>
      </w:pPr>
      <w:r>
        <w:rPr>
          <w:rFonts w:eastAsia="Cambria" w:cs="Cambria"/>
          <w:b w:val="false"/>
          <w:bCs w:val="false"/>
          <w:i/>
          <w:iCs/>
          <w:sz w:val="22"/>
          <w:szCs w:val="22"/>
        </w:rPr>
        <w:t>Express Entry</w:t>
      </w:r>
      <w:r>
        <w:rPr>
          <w:rFonts w:eastAsia="Cambria" w:cs="Cambria"/>
          <w:b w:val="false"/>
          <w:bCs w:val="false"/>
          <w:i w:val="false"/>
          <w:iCs w:val="false"/>
          <w:sz w:val="22"/>
          <w:szCs w:val="22"/>
        </w:rPr>
        <w:t xml:space="preserve"> ist kein eigenes Visum, sondern das Verwaltungssystem, über das Kanada drei Bundesprogramme sowie die meisten provinziellen Nominierungen abwickelt. Du legst ein Online-Profil an, das System berechnet daraus deinen CRS-Score, und in regelmäßigen Runden lädt IRCC die am höchsten platzierten Profile zur Antragstellung auf die PR ein. Bis dahin ist nichts davon eine Zusage – dein Profil ist eher eine Bewerbung im Wartezimmer als ein Vertrag.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Drei Programme laufen darüber. Der </w:t>
      </w:r>
      <w:r>
        <w:rPr>
          <w:rFonts w:eastAsia="Cambria" w:cs="Cambria"/>
          <w:b w:val="false"/>
          <w:bCs w:val="false"/>
          <w:i/>
          <w:iCs/>
          <w:sz w:val="22"/>
          <w:szCs w:val="22"/>
        </w:rPr>
        <w:t>Federal Skilled Worker</w:t>
      </w:r>
      <w:r>
        <w:rPr>
          <w:rFonts w:eastAsia="Cambria" w:cs="Cambria"/>
          <w:b w:val="false"/>
          <w:bCs w:val="false"/>
          <w:i w:val="false"/>
          <w:iCs w:val="false"/>
          <w:sz w:val="22"/>
          <w:szCs w:val="22"/>
        </w:rPr>
        <w:t xml:space="preserve">-Weg (FSW) ist die Standardtür für alle, die noch keine kanadische Berufserfahrung haben – also der typische Fall für jemanden, der direkt aus Deutschland bewirbt. Voraussetzung sind mindestens ein Jahr durchgehende Vollzeit-Berufserfahrung in den letzten zehn Jahren in einem Beruf der Klassifikation </w:t>
      </w:r>
      <w:r>
        <w:rPr>
          <w:rFonts w:eastAsia="Cambria" w:cs="Cambria"/>
          <w:b w:val="false"/>
          <w:bCs w:val="false"/>
          <w:i/>
          <w:iCs/>
          <w:sz w:val="22"/>
          <w:szCs w:val="22"/>
        </w:rPr>
        <w:t>National Occupational Classification</w:t>
      </w:r>
      <w:r>
        <w:rPr>
          <w:rFonts w:eastAsia="Cambria" w:cs="Cambria"/>
          <w:b w:val="false"/>
          <w:bCs w:val="false"/>
          <w:i w:val="false"/>
          <w:iCs w:val="false"/>
          <w:sz w:val="22"/>
          <w:szCs w:val="22"/>
        </w:rPr>
        <w:t xml:space="preserve"> (NOC, das kanadische Berufsklassifikationssystem, gestaffelt nach </w:t>
      </w:r>
      <w:r>
        <w:rPr>
          <w:rFonts w:eastAsia="Cambria" w:cs="Cambria"/>
          <w:b w:val="false"/>
          <w:bCs w:val="false"/>
          <w:i/>
          <w:iCs/>
          <w:sz w:val="22"/>
          <w:szCs w:val="22"/>
        </w:rPr>
        <w:t>Training, Education, Experience and Responsibilities</w:t>
      </w:r>
      <w:r>
        <w:rPr>
          <w:rFonts w:eastAsia="Cambria" w:cs="Cambria"/>
          <w:b w:val="false"/>
          <w:bCs w:val="false"/>
          <w:i w:val="false"/>
          <w:iCs w:val="false"/>
          <w:sz w:val="22"/>
          <w:szCs w:val="22"/>
        </w:rPr>
        <w:t xml:space="preserve">, TEER, den Anforderungsstufen 0 bis 5) der Stufen 0 bis 3, ein Sprachniveau von mindestens </w:t>
      </w:r>
      <w:r>
        <w:rPr>
          <w:rFonts w:eastAsia="Cambria" w:cs="Cambria"/>
          <w:b w:val="false"/>
          <w:bCs w:val="false"/>
          <w:i/>
          <w:iCs/>
          <w:sz w:val="22"/>
          <w:szCs w:val="22"/>
        </w:rPr>
        <w:t>Canadian Language Benchmark</w:t>
      </w:r>
      <w:r>
        <w:rPr>
          <w:rFonts w:eastAsia="Cambria" w:cs="Cambria"/>
          <w:b w:val="false"/>
          <w:bCs w:val="false"/>
          <w:i w:val="false"/>
          <w:iCs w:val="false"/>
          <w:sz w:val="22"/>
          <w:szCs w:val="22"/>
        </w:rPr>
        <w:t xml:space="preserve"> (CLB) 7 in allen vier Fertigkeiten sowie bei ausländischen Abschlüssen eine </w:t>
      </w:r>
      <w:r>
        <w:rPr>
          <w:rFonts w:eastAsia="Cambria" w:cs="Cambria"/>
          <w:b w:val="false"/>
          <w:bCs w:val="false"/>
          <w:i/>
          <w:iCs/>
          <w:sz w:val="22"/>
          <w:szCs w:val="22"/>
        </w:rPr>
        <w:t>Educational Credential Assessment</w:t>
      </w:r>
      <w:r>
        <w:rPr>
          <w:rFonts w:eastAsia="Cambria" w:cs="Cambria"/>
          <w:b w:val="false"/>
          <w:bCs w:val="false"/>
          <w:i w:val="false"/>
          <w:iCs w:val="false"/>
          <w:sz w:val="22"/>
          <w:szCs w:val="22"/>
        </w:rPr>
        <w:t xml:space="preserve"> (ECA, eine amtlich anerkannte Abschlussbewertung). Zusätzlich musst du vor jeder CRS-Berechnung ein eigenes 67-von-100-Punkte-Raster bestehen (Sprache max. 28, Bildung max. 25, Berufserfahrung max. 15, Alter max. 12, vorliegendes Jobangebot max. 10, Anpassungsfähigkeit max. 10) – eine Zulässigkeitshürde, keine Rangliste.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w:t>
      </w:r>
      <w:r>
        <w:rPr>
          <w:rFonts w:eastAsia="Cambria" w:cs="Cambria"/>
          <w:b w:val="false"/>
          <w:bCs w:val="false"/>
          <w:i/>
          <w:iCs/>
          <w:sz w:val="22"/>
          <w:szCs w:val="22"/>
        </w:rPr>
        <w:t>Canadian Experience Class</w:t>
      </w:r>
      <w:r>
        <w:rPr>
          <w:rFonts w:eastAsia="Cambria" w:cs="Cambria"/>
          <w:b w:val="false"/>
          <w:bCs w:val="false"/>
          <w:i w:val="false"/>
          <w:iCs w:val="false"/>
          <w:sz w:val="22"/>
          <w:szCs w:val="22"/>
        </w:rPr>
        <w:t xml:space="preserve"> (CEC) verlangt dagegen mindestens ein Jahr qualifizierte Berufserfahrung </w:t>
      </w:r>
      <w:r>
        <w:rPr>
          <w:rFonts w:eastAsia="Cambria" w:cs="Cambria"/>
          <w:b w:val="false"/>
          <w:bCs w:val="false"/>
          <w:i/>
          <w:iCs/>
          <w:sz w:val="22"/>
          <w:szCs w:val="22"/>
        </w:rPr>
        <w:t>in Kanada</w:t>
      </w:r>
      <w:r>
        <w:rPr>
          <w:rFonts w:eastAsia="Cambria" w:cs="Cambria"/>
          <w:b w:val="false"/>
          <w:bCs w:val="false"/>
          <w:i w:val="false"/>
          <w:iCs w:val="false"/>
          <w:sz w:val="22"/>
          <w:szCs w:val="22"/>
        </w:rPr>
        <w:t xml:space="preserve"> innerhalb der letzten drei Jahre, dafür kein zwingendes ECA und ein niedrigeres Sprachniveau für einfachere Berufe (CLB 7 für TEER 0/1, CLB 5 für TEER 2/3). Sie ist für Neuankömmlinge aus Deutschland kein Einstiegsweg, sondern ein Anschlussweg, nachdem du bereits mit einem Arbeitsvisum in Kanada gearbeitet hast. Der dritte Weg, </w:t>
      </w:r>
      <w:r>
        <w:rPr>
          <w:rFonts w:eastAsia="Cambria" w:cs="Cambria"/>
          <w:b w:val="false"/>
          <w:bCs w:val="false"/>
          <w:i/>
          <w:iCs/>
          <w:sz w:val="22"/>
          <w:szCs w:val="22"/>
        </w:rPr>
        <w:t>Federal Skilled Trades</w:t>
      </w:r>
      <w:r>
        <w:rPr>
          <w:rFonts w:eastAsia="Cambria" w:cs="Cambria"/>
          <w:b w:val="false"/>
          <w:bCs w:val="false"/>
          <w:i w:val="false"/>
          <w:iCs w:val="false"/>
          <w:sz w:val="22"/>
          <w:szCs w:val="22"/>
        </w:rPr>
        <w:t xml:space="preserve"> (FST), richtet sich an Handwerksberufe mit Jobangebot oder kanadischem Befähigungsnachweis und spielt für die meisten Ingenieurs- und Wissenschaftsberufe kaum eine Rolle.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Vergleich mit Deutschland hilft beim Einordnen. Die Blaue Karte EU verlangt einen anerkannten Abschluss, ein Jobangebot und ein Mindestgehalt – aber kein Rennen gegen andere Bewerber um eine begrenzte Zahl an Einladungen. Express Entry dagegen ist ein echter Wettbewerb: Du trittst nicht nur gegen eine Behörde an, sondern gegen den gesamten Bewerberpool. Dein Profil bleibt zwölf Monate gültig und wird bei jeder Runde neu einsortiert, ohne dass du selbst etwas tun musst – bis sich deine Angaben ändern (neuer Sprachtest, neuer Job, ein weiteres Lebensjahr, das gegen dich zählt).</w:t>
      </w:r>
    </w:p>
    <w:p>
      <w:pPr>
        <w:pStyle w:val="Heading3"/>
        <w:keepNext w:val="true"/>
        <w:spacing w:before="280" w:after="100"/>
        <w:jc w:val="center"/>
        <w:rPr/>
      </w:pPr>
      <w:r>
        <w:rPr>
          <w:rFonts w:eastAsia="Amazon Ember" w:cs="Amazon Ember" w:ascii="Amazon Ember" w:hAnsi="Amazon Ember"/>
          <w:b/>
          <w:bCs/>
          <w:color w:val="0000FF"/>
          <w:sz w:val="36"/>
          <w:szCs w:val="36"/>
        </w:rPr>
        <w:t>Der Umweg über ein Arbeitsvisum: TFWP und IMP</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Nicht jeder Weg nach Kanada führt zuerst über Express Entry. Wer schneller einreisen will oder noch nicht genug CRS-Punkte hat, kann über ein befristetes Arbeitsvisum vorgehen – und sich die kanadische Erfahrung später für die Canadian Experience Class oder eine Provinznominierung anrechnen lassen. Kanada trennt befristete Arbeitserlaubnisse in zwei Schienen. Das </w:t>
      </w:r>
      <w:r>
        <w:rPr>
          <w:rFonts w:eastAsia="Cambria" w:cs="Cambria"/>
          <w:b w:val="false"/>
          <w:bCs w:val="false"/>
          <w:i/>
          <w:iCs/>
          <w:sz w:val="22"/>
          <w:szCs w:val="22"/>
        </w:rPr>
        <w:t>Temporary Foreign Worker Program</w:t>
      </w:r>
      <w:r>
        <w:rPr>
          <w:rFonts w:eastAsia="Cambria" w:cs="Cambria"/>
          <w:b w:val="false"/>
          <w:bCs w:val="false"/>
          <w:i w:val="false"/>
          <w:iCs w:val="false"/>
          <w:sz w:val="22"/>
          <w:szCs w:val="22"/>
        </w:rPr>
        <w:t xml:space="preserve"> (TFWP) verlangt vom kanadischen Arbeitgeber vorab eine positive </w:t>
      </w:r>
      <w:r>
        <w:rPr>
          <w:rFonts w:eastAsia="Cambria" w:cs="Cambria"/>
          <w:b w:val="false"/>
          <w:bCs w:val="false"/>
          <w:i/>
          <w:iCs/>
          <w:sz w:val="22"/>
          <w:szCs w:val="22"/>
        </w:rPr>
        <w:t>Labour Market Impact Assessment</w:t>
      </w:r>
      <w:r>
        <w:rPr>
          <w:rFonts w:eastAsia="Cambria" w:cs="Cambria"/>
          <w:b w:val="false"/>
          <w:bCs w:val="false"/>
          <w:i w:val="false"/>
          <w:iCs w:val="false"/>
          <w:sz w:val="22"/>
          <w:szCs w:val="22"/>
        </w:rPr>
        <w:t xml:space="preserve"> (LMIA, eine Arbeitsmarktprüfung), den behördlichen Nachweis, dass keine Kanadierin, kein Kanadier und keine bereits im Land lebende Person für die Stelle verfügbar ist. Die LMIA-Gebühr von 1.000 CAD je Stelle trägt allein der Arbeitgeber, nicht erstattungsfähig; die Bearbeitung dauert je nach Kategorie höchst unterschiedlich lang, von rund zehn Werktagen (Global Talent Stream) bis zu etwa 88 Werktagen bei Standardanträgen im hohen Lohnsegment.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w:t>
      </w:r>
      <w:r>
        <w:rPr>
          <w:rFonts w:eastAsia="Cambria" w:cs="Cambria"/>
          <w:b w:val="false"/>
          <w:bCs w:val="false"/>
          <w:i/>
          <w:iCs/>
          <w:sz w:val="22"/>
          <w:szCs w:val="22"/>
        </w:rPr>
        <w:t>International Mobility Program</w:t>
      </w:r>
      <w:r>
        <w:rPr>
          <w:rFonts w:eastAsia="Cambria" w:cs="Cambria"/>
          <w:b w:val="false"/>
          <w:bCs w:val="false"/>
          <w:i w:val="false"/>
          <w:iCs w:val="false"/>
          <w:sz w:val="22"/>
          <w:szCs w:val="22"/>
        </w:rPr>
        <w:t xml:space="preserve"> (IMP) befreit von dieser Pflicht, wenn die Stelle einen breiteren wirtschaftlichen, kulturellen oder reziproken Nutzen für Kanada hat. Für deutsche Bewerberinnen und Bewerber ist hier vor allem eine Kategorie interessant: Das Handelsabkommen </w:t>
      </w:r>
      <w:r>
        <w:rPr>
          <w:rFonts w:eastAsia="Cambria" w:cs="Cambria"/>
          <w:b w:val="false"/>
          <w:bCs w:val="false"/>
          <w:i/>
          <w:iCs/>
          <w:sz w:val="22"/>
          <w:szCs w:val="22"/>
        </w:rPr>
        <w:t>CETA</w:t>
      </w:r>
      <w:r>
        <w:rPr>
          <w:rFonts w:eastAsia="Cambria" w:cs="Cambria"/>
          <w:b w:val="false"/>
          <w:bCs w:val="false"/>
          <w:i w:val="false"/>
          <w:iCs w:val="false"/>
          <w:sz w:val="22"/>
          <w:szCs w:val="22"/>
        </w:rPr>
        <w:t xml:space="preserve"> (das Freihandelsabkommen zwischen der EU und Kanada) erlaubt bestimmten Berufsgruppen – etwa in Management- oder Spezialistenfunktionen – ein LMIA-freies Arbeitsvisum, sofern die Voraussetzungen des Abkommens erfüllt sind. Auch konzerninterne Versetzungen (</w:t>
      </w:r>
      <w:r>
        <w:rPr>
          <w:rFonts w:eastAsia="Cambria" w:cs="Cambria"/>
          <w:b w:val="false"/>
          <w:bCs w:val="false"/>
          <w:i/>
          <w:iCs/>
          <w:sz w:val="22"/>
          <w:szCs w:val="22"/>
        </w:rPr>
        <w:t>Intra-Company Transfer</w:t>
      </w:r>
      <w:r>
        <w:rPr>
          <w:rFonts w:eastAsia="Cambria" w:cs="Cambria"/>
          <w:b w:val="false"/>
          <w:bCs w:val="false"/>
          <w:i w:val="false"/>
          <w:iCs w:val="false"/>
          <w:sz w:val="22"/>
          <w:szCs w:val="22"/>
        </w:rPr>
        <w:t>, ICT) laufen über das IMP, ebenso das Post-Graduation Work Permit für Absolventinnen und Absolventen kanadischer Hochschulen.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Seit Februar 2026 prüft IRCC einige dieser LMIA-freien Kategorien deutlich strenger: Bei konzerninternen Versetzungen muss die Muttergesellschaft inzwischen eine umsatzerzielende Geschäftstätigkeit in mindestens zwei Ländern nachweisen; eine reine kanadische Neugründung ohne bestehendes Auslandsgeschäft qualifiziert nicht mehr. Ein Standard-Arbeitsvisum kostet 155 CAD je Person (inklusive Verlängerungen), ein offenes, nicht arbeitgebergebundenes Arbeitsvisum zusätzlich 100 CAD Zuschlag.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Arbeitsvisum über TFWP oder IMP ist immer befristet und meist an einen einzigen Arbeitgeber gebunden. Es ersetzt keinen PR-Antrag – wer nicht rechtzeitig einen Anschlussweg einleitet (CEC, Provinznominierung, eine neue Express-Entry-Runde), muss Kanada nach Ablauf des Visums wieder verlassen.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CRS-Score: was wirklich zählt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CRS-Score summiert vier Blöcke. Die Kern-Humankapitalfaktoren (Alter, Bildungsniveau, Sprachkenntnisse, kanadische Berufserfahrung) bringen mit Partner bis zu 460 Punkte, ohne Partner bis zu 500. Bewirbst du dich mit Ehepartner oder Lebenspartner, kommen dessen Bildungs-, Sprach- und Erfahrungswerte in einem eigenen, kleineren Block hinzu. Ein dritter Block, die Skill-Transferability-Kombinationen (etwa Sprache plus Bildung oder Sprache plus Auslandserfahrung), kann bis zu 100 weitere Punkte liefern. Maximal sind 1.200 Punkte erreichbar, real bewegen sich die meisten Profile deutscher Fachkräfte irgendwo zwischen 350 und 480 – abhängig vor allem von Alter, Sprache und Bildungsniveau.</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Den größten Sprung bringen die Zusatzpunkte: eine Nominierung durch eine Provinz (plus 600 Punkte, praktisch eine Einladungsgarantie), gute Französischkenntnisse, ein in Kanada erworbener Studienabschluss oder ein Geschwisterteil mit kanadischer Staatsbürgerschaft oder PR-Status, das in Kanada lebt. Ein bloßes Jobangebot bringt dagegen seit einer Regeländerung vom 25. März 2025 im CRS selbst keine Zusatzpunkte mehr – wertvoll bleibt es trotzdem, weil es andere Wege wie die Canadian Experience Class oder ein Arbeitgeber-Sponsoring eröffnet. Wer keinen dieser Zusatzpunkte mitbringt, ist auf einen guten Grundscore angewiesen – und der hängt stärker vom Alter ab, als viele erwarten: Die volle Alterspunktzahl gibt es nur bis Anfang 30, danach sinkt sie schrittweise.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Skill-Transferability-Kombinationen belohnen vor allem eine seltene Mischung: hohe Sprachkenntnisse zusammen mit einem hohen Bildungsabschluss oder hohe Sprachkenntnisse zusammen mit ausländischer Berufserfahrung. Wer beides mitbringt – etwa CLB 9 in allen vier Fertigkeiten und einen Master –, schöpft diesen Block eher aus als jemand mit nur einem starken Faktor. Für die meisten deutschen Bewerberinnen und Bewerber ohne Kanada-Bezug ist genau dieser Block oft der Hebel, der zwischen einem knapp nicht ausreichenden und einem soliden Score entscheidet.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Wähle den Sprachtest strategisch. </w:t>
            </w:r>
            <w:r>
              <w:rPr>
                <w:rFonts w:eastAsia="Cambria" w:cs="Cambria"/>
                <w:b w:val="false"/>
                <w:bCs w:val="false"/>
                <w:i/>
                <w:iCs/>
                <w:sz w:val="20"/>
                <w:szCs w:val="20"/>
              </w:rPr>
              <w:t>CELPIP-General</w:t>
            </w:r>
            <w:r>
              <w:rPr>
                <w:rFonts w:eastAsia="Cambria" w:cs="Cambria"/>
                <w:b w:val="false"/>
                <w:bCs w:val="false"/>
                <w:i w:val="false"/>
                <w:iCs w:val="false"/>
                <w:sz w:val="20"/>
                <w:szCs w:val="20"/>
              </w:rPr>
              <w:t xml:space="preserve"> rechnet eins zu eins in CLB-Stufen um (CELPIP 7 in einer Fertigkeit ergibt CLB 7 in eben dieser Fertigkeit), planbar und ohne Überraschungen. </w:t>
            </w:r>
            <w:r>
              <w:rPr>
                <w:rFonts w:eastAsia="Cambria" w:cs="Cambria"/>
                <w:b w:val="false"/>
                <w:bCs w:val="false"/>
                <w:i/>
                <w:iCs/>
                <w:sz w:val="20"/>
                <w:szCs w:val="20"/>
              </w:rPr>
              <w:t>IELTS General Training</w:t>
            </w:r>
            <w:r>
              <w:rPr>
                <w:rFonts w:eastAsia="Cambria" w:cs="Cambria"/>
                <w:b w:val="false"/>
                <w:bCs w:val="false"/>
                <w:i w:val="false"/>
                <w:iCs w:val="false"/>
                <w:sz w:val="20"/>
                <w:szCs w:val="20"/>
              </w:rPr>
              <w:t xml:space="preserve"> staffelt dagegen pro Fertigkeit unterschiedlich: Ein Hörverstehen von 6,5 kann bereits CLB 7 ergeben, ein Leseverständnis von 6,5 dagegen erst CLB 8 verlangen. Wer knapp an einer Schwelle liegt, sollte beide Testformate vergleichen, bevor er einen bucht – ein zweiter Testtermin kostet mehr Zeit und Geld als ein Blick in die Umrechnungstabelle vorher.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Verlauf 2026: Cutoffs und Kategorien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Seit 2023 zieht IRCC nicht mehr nur breite „All-Program“-Runden, sondern auch gezielte, kategoriebasierte Ziehungen für Berufsfelder, die Kanada besonders braucht. 2026 liefen zehn solcher Kategorien parallel: Französisch, Gesundheit und Soziales, MINT (Wissenschaft, Technik, Ingenieurwesen, Mathematik), Handwerk, Bildung, Transport, Ärztinnen und Ärzte mit kanadischer Erfahrung, Senior Manager mit kanadischer Erfahrung, Forschende mit kanadischer Erfahrung sowie qualifizierte Militärangehörige. Wer in eine dieser Kategorien passt, konkurriert nicht mehr im großen Pool, sondern in einem viel kleineren.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Unterschied ist erheblich:</w:t>
      </w:r>
    </w:p>
    <w:tbl>
      <w:tblPr>
        <w:tblW w:w="6480" w:type="dxa"/>
        <w:jc w:val="left"/>
        <w:tblInd w:w="0" w:type="dxa"/>
        <w:tblLayout w:type="fixed"/>
        <w:tblCellMar>
          <w:top w:w="50" w:type="dxa"/>
          <w:left w:w="80" w:type="dxa"/>
          <w:bottom w:w="50" w:type="dxa"/>
          <w:right w:w="80" w:type="dxa"/>
        </w:tblCellMar>
      </w:tblPr>
      <w:tblGrid>
        <w:gridCol w:w="2606"/>
        <w:gridCol w:w="1280"/>
        <w:gridCol w:w="2594"/>
      </w:tblGrid>
      <w:tr>
        <w:trPr>
          <w:tblHeader w:val="true"/>
          <w:cantSplit w:val="true"/>
        </w:trPr>
        <w:tc>
          <w:tcPr>
            <w:tcW w:w="260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Kategorie</w:t>
            </w:r>
          </w:p>
        </w:tc>
        <w:tc>
          <w:tcPr>
            <w:tcW w:w="128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CRS-Cutoff 2026</w:t>
            </w:r>
          </w:p>
        </w:tc>
        <w:tc>
          <w:tcPr>
            <w:tcW w:w="259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Beispielrunde</w:t>
            </w:r>
          </w:p>
        </w:tc>
      </w:tr>
      <w:tr>
        <w:trPr>
          <w:cantSplit w:val="true"/>
        </w:trPr>
        <w:tc>
          <w:tcPr>
            <w:tcW w:w="26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Allgemeine Runden</w:t>
            </w:r>
          </w:p>
        </w:tc>
        <w:tc>
          <w:tcPr>
            <w:tcW w:w="12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480–530</w:t>
            </w:r>
          </w:p>
        </w:tc>
        <w:tc>
          <w:tcPr>
            <w:tcW w:w="25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laufend</w:t>
            </w:r>
          </w:p>
        </w:tc>
      </w:tr>
      <w:tr>
        <w:trPr>
          <w:cantSplit w:val="true"/>
        </w:trPr>
        <w:tc>
          <w:tcPr>
            <w:tcW w:w="26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CEC</w:t>
            </w:r>
          </w:p>
        </w:tc>
        <w:tc>
          <w:tcPr>
            <w:tcW w:w="12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507–521</w:t>
            </w:r>
          </w:p>
        </w:tc>
        <w:tc>
          <w:tcPr>
            <w:tcW w:w="25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15.09.2026: 519</w:t>
            </w:r>
          </w:p>
        </w:tc>
      </w:tr>
      <w:tr>
        <w:trPr>
          <w:cantSplit w:val="true"/>
        </w:trPr>
        <w:tc>
          <w:tcPr>
            <w:tcW w:w="26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Gesundheit/Soziales</w:t>
            </w:r>
          </w:p>
        </w:tc>
        <w:tc>
          <w:tcPr>
            <w:tcW w:w="12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475</w:t>
            </w:r>
          </w:p>
        </w:tc>
        <w:tc>
          <w:tcPr>
            <w:tcW w:w="25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04.09.2026: 3.500 Einladungen</w:t>
            </w:r>
          </w:p>
        </w:tc>
      </w:tr>
      <w:tr>
        <w:trPr>
          <w:cantSplit w:val="true"/>
        </w:trPr>
        <w:tc>
          <w:tcPr>
            <w:tcW w:w="26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Französisch</w:t>
            </w:r>
          </w:p>
        </w:tc>
        <w:tc>
          <w:tcPr>
            <w:tcW w:w="12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382–419</w:t>
            </w:r>
          </w:p>
        </w:tc>
        <w:tc>
          <w:tcPr>
            <w:tcW w:w="25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19.08.2026: Tiefstwert 382</w:t>
            </w:r>
          </w:p>
        </w:tc>
      </w:tr>
      <w:tr>
        <w:trPr>
          <w:cantSplit w:val="true"/>
        </w:trPr>
        <w:tc>
          <w:tcPr>
            <w:tcW w:w="26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Ärztinnen/Ärzte (kanad. Erfahrung)</w:t>
            </w:r>
          </w:p>
        </w:tc>
        <w:tc>
          <w:tcPr>
            <w:tcW w:w="12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169–198</w:t>
            </w:r>
          </w:p>
        </w:tc>
        <w:tc>
          <w:tcPr>
            <w:tcW w:w="25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19.02.2026: 169</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Wer im Internet liest, man brauche „mindestens 500 CRS-Punkte“, verwechselt die alten, breiten Runden mit der heutigen Realität. Bei der Ärzte-Kategorie lag der Cutoff im Februar 2026 bei nur 169 Punkten – nach Sekundärquellen mit Bezug auf IRCC-Daten der niedrigste je verzeichnete Wert der Programmgeschichte. Wer zu einer eng zugeschnittenen Kategorie passt, sollte sich von hohen allgemeinen Cutoffs nicht entmutigen lassen.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Insgesamt verschickte IRCC bis Mitte September 2026 mehr als 128.000 Einladungen seit Jahresbeginn – nach Auswertungen mehrerer Sekundärquellen, die offiziellen IRCC-Rundendaten aggregieren, ohne dass die offizielle Rundenliste für diesen Wert direkt eingesehen wurde. Nicht jede Kategorie zieht gleich oft: Die MINT-Kategorie hatte laut Berichten von September 2026 seit mehr als 28 Monaten keine eigene Ziehung mehr.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MINT-Kategorie klingt für Ingenieurinnen und Informatiker vielversprechend, zieht aber laut aktuellen Berichten seit über zwei Jahren nicht eigenständig. Verlass dich nicht darauf, dass „dein“ Berufsfeld demnächst eine eigene Runde bekommt – kalkuliere mit den allgemeinen und CEC-Cutoffs als realistischer Grundlage und behandle jede Kategorie-Ziehung als willkommenen Bonus, nicht als Plan.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Provincial Nominee Program: die zweite Schiene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Neben dem Bundesweg nominiert jede Provinz und jedes Territorium außer Québec eigenständig Kandidaten für die PR – Québec betreibt ein vollständig eigenes System (Arrima), das hier nicht behandelt wird. Eine Nominierung ist keine Garantie für die PR selbst, aber praktisch ein Türöffner, der 600 zusätzliche CRS-Punkte bringt und die nächste Einladung so gut wie sicher macht. Für den Levels Plan 2026–2028 hat Kanada die PNP-Zielzahl auf 91.500 Personen für 2026 angehoben (plus 66 % gegenüber dem vorherigen Plan) und damit das PNP zum zweitgrößten Wirtschaftskanal nach den föderalen Programmen für hochqualifizierte Fachkräfte gemacht.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Weg zur Nominierung läuft meist über eine </w:t>
      </w:r>
      <w:r>
        <w:rPr>
          <w:rFonts w:eastAsia="Cambria" w:cs="Cambria"/>
          <w:b w:val="false"/>
          <w:bCs w:val="false"/>
          <w:i/>
          <w:iCs/>
          <w:sz w:val="22"/>
          <w:szCs w:val="22"/>
        </w:rPr>
        <w:t>Expression of Interest</w:t>
      </w:r>
      <w:r>
        <w:rPr>
          <w:rFonts w:eastAsia="Cambria" w:cs="Cambria"/>
          <w:b w:val="false"/>
          <w:bCs w:val="false"/>
          <w:i w:val="false"/>
          <w:iCs w:val="false"/>
          <w:sz w:val="22"/>
          <w:szCs w:val="22"/>
        </w:rPr>
        <w:t xml:space="preserve"> (EOI, eine Interessensbekundung) bei der jeweiligen Provinz, oft gekoppelt an ein konkretes Jobangebot oder an einen Beruf auf der provinziellen Bedarfsliste. Dabei unterscheiden die meisten Provinzen zwei Wege: eine „Enhanced“-Nominierung, die an ein bestehendes Express-Entry-Profil andockt und die 600 CRS-Punkte sofort gutschreibt, sowie eine „Base“-Nominierung außerhalb von Express Entry, die zwar keine Kanada-Erfahrung oder hohen Sprachtest verlangt, dafür aber ohne CRS-Bonus auskommt und meist deutlich länger bis zur PR braucht. Für die meisten deutschen Fachkräfte mit ordentlichem Englisch ist der Enhanced-Weg über Express Entry der planbarere.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Verfahren der Provinzen unterscheiden sich zudem stark in Kosten und Ablauf, wie die beiden größten Provinzen zeigen.</w:t>
      </w:r>
    </w:p>
    <w:p>
      <w:pPr>
        <w:pStyle w:val="Heading4"/>
        <w:keepNext w:val="true"/>
        <w:spacing w:before="200" w:after="80"/>
        <w:jc w:val="center"/>
        <w:rPr/>
      </w:pPr>
      <w:r>
        <w:rPr>
          <w:rFonts w:eastAsia="Amazon Ember" w:cs="Amazon Ember" w:ascii="Amazon Ember" w:hAnsi="Amazon Ember"/>
          <w:b/>
          <w:bCs/>
          <w:color w:val="0000FF"/>
          <w:sz w:val="36"/>
          <w:szCs w:val="36"/>
        </w:rPr>
        <w:t>Ontario (OINP)</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Ontario hat sein Programm 2026 grundlegend vereinfacht: Acht frühere Einzelströme wurden durch den neuen, arbeitgebergeführten „Ontario Workforce Priority Stream“ ersetzt. Die Antragsgebühr liegt bei 1.500 CAD, nicht erstattungsfähig. Ein mit Express Entry verknüpfter Fall summiert sich inklusive der föderalen Gebühren (1.675 CAD) und der Provinzgebühr auf rund 3.175 CAD – noch vor Sprachtest, ECA, medizinischer Untersuchung, Führungszeugnis und Übersetzungskosten.</w:t>
      </w:r>
    </w:p>
    <w:p>
      <w:pPr>
        <w:pStyle w:val="Heading4"/>
        <w:keepNext w:val="true"/>
        <w:spacing w:before="200" w:after="80"/>
        <w:jc w:val="center"/>
        <w:rPr/>
      </w:pPr>
      <w:r>
        <w:rPr>
          <w:rFonts w:eastAsia="Amazon Ember" w:cs="Amazon Ember" w:ascii="Amazon Ember" w:hAnsi="Amazon Ember"/>
          <w:b/>
          <w:bCs/>
          <w:color w:val="0000FF"/>
          <w:sz w:val="36"/>
          <w:szCs w:val="36"/>
        </w:rPr>
        <w:t>British Columbia (BC PNP)</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British Columbia hat seine Gebühren zum 22. Januar 2026 angehoben: Die Antragsgebühr für die Kategorie Skills Immigration liegt seither bei 1.750 CAD, in bestimmten Strömen (Skilled Worker, Entry Level &amp; Semi-Skilled, Health Authority) bei bis zu 2.000 CAD. British Columbia ist besonders für Fachkräfte in Technologie- und Gesundheitsberufen im Großraum Vancouver attraktiv, verlangt aber wie Ontario meist ein konkretes Jobangebot eines Arbeitgebers in der Provinz.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Alberta (AAIP), Manitoba (MPNP), Saskatchewan (SINP) und die Atlantikprovinzen betreiben jeweils eigene, mit Express Entry verknüpfte und eigenständige Ströme mit unterschiedlichen Punktesystemen, Vorregistrierungspflichten für Arbeitgeber und Zielberufslisten, die sich an der jeweiligen regionalen Wirtschaft orientieren. Die Details sprengen den Rahmen dieses Kapitels; wer eine bestimmte Provinz ins Auge fasst, sollte deren Programm gesondert und aktuell prüfen, statt sich auf Erfahrungsberichte aus Foren zu verlassen.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Eine Nominierung ist kein Freifahrtschein. IRCC trifft am Ende die eigene, unabhängige Entscheidung über Zulässigkeit, medizinische Untersuchung und Sicherheitsprüfung. Wer wegen einer Vorstrafe, einer schweren Erkrankung oder Unstimmigkeiten in den Unterlagen scheitert, verliert trotz Nominierung die PR – und meist auch die Gebühr.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für deutsche Fachkräfte realistisch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gut ausgebildete deutsche Fachkräfte mit solidem Englisch, einem anerkannten Studienabschluss und mindestens einem Jahr einschlägiger Berufserfahrung ist Express Entry ein real gangbarer Weg, aber selten ein schneller. Ohne kanadische Erfahrung, ohne Jobangebot und ohne Provinznominierung bewegen sich viele Profile in einem Bereich, der bei allgemeinen Runden knapp reicht oder knapp nicht reicht – dann entscheidet häufig, ob dein Beruf gerade in einer Kategorie-Ziehung auftaucht. Wer zusätzlich Französisch auf CLB 7 bringt, eröffnet sich mit den regelmäßigen und vergleichsweise niedrig angesetzten Französisch-Runden einen echten Vorteil, auch außerhalb Québecs. Das lohnt sich vor allem für alle, die ohnehin schon Grundkenntnisse aus der Schule mitbringen: Der Sprung von brauchbarem Schulfranzösisch auf CLB 7 ist überschaubarer als ein völliger Neuanfang.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der Zeitrahmen gehört zur ehrlichen Bilanz. IRCC nennt für Express Entry einen Bearbeitungs-Service-Standard von sechs Monaten nach Einreichung des vollständigen PR-Antrags, seit Anfang 2022 in der Regel eingehalten. Bis zur Einladung selbst vergeht oft deutlich mehr Zeit: Wer zu keiner aktuellen Kategorie passt und keine Provinznominierung hat, kann Monate oder über ein Jahr im Profil-Pool verbringen, ohne je einen Cutoff zu unterbieten. Realistisch heißt das für die meisten Interessierten ohne Kanada-Bezug: ein bis drei Jahre von der ersten Bewerbung bis zur PR. Der Umweg über ein Arbeitsvisum bringt dich zwar schneller ins Land, verkürzt aber nicht zwangsläufig den Weg zur PR selbst – nur den zur ersten kanadischen Gehaltsabrechnung.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Eine zweite, oft unterschätzte Realität: Viele deutsche Fachkräfte kommen gar nicht über den direkten Express-Entry-Weg, sondern zunächst über ein befristetes, arbeitgebergebundenes Arbeitsvisum – und sammeln erst danach die kanadische Erfahrung, die CEC oder eine Provinznominierung leichter macht.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Ahrens (fiktiv). Markus, 40, Softwarearchitekt aus Leipzig, bringt einen Masterabschluss, CLB-8-Englisch und sieben Jahre Berufserfahrung mit – genau die Kombination, die im Skill-Transferability-Block zusätzliche Punkte bringt. Zusammen mit den Werten seiner mitreisenden Partnerin Julia, 37, Apothekerin, ergibt das einen CRS-Score, der bei den meisten allgemeinen Runden 2026 komfortabel über der Einladungsgrenze liegt. Mit Finn, 11, und Mia, 7, im Gepäck zieht die Familie nach Toronto, Ontario.</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Lukas Berger (fiktiv), 29, Öl- und Gasingenieur aus Hannover, hat parallel zum Jobangebot aus Calgary ein Express-Entry-Profil angelegt und vergleicht beide Wege. Sein Beruf taucht auf keiner aktuellen Kategorie-Liste auf, und ausgerechnet die MINT-Kategorie, die auf den ersten Blick passend wirkt, hat seit Monaten nicht gezogen. Er entscheidet sich für das LMIA-pflichtige Arbeitsvisum, lässt das Express-Entry-Profil vorerst ruhen und reist nach Alberta – nach einem Jahr kanadischer Erfahrung will er über die Canadian Experience Class neu ansetzen, diesmal mit einer Kategorie oder Provinz im Rücken, die zu seinem Beruf passt.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Work Permit ist keine PR. Es ist eine befristete, meist an einen einzigen Arbeitgeber gebundene Arbeitserlaubnis – die PR dagegen ist der unbefristete Aufenthaltsstatus, unabhängig von einem bestimmten Job. Wer über ein Arbeitsvisum einreist, hat noch keinen gesicherten Verbleib in Kanada, sondern nur einen zusätzlichen Trumpf für den späteren PR-Antrag.</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Dieses Kapitel erklärt Regeln und Praxis der kanadischen Einwanderung, ersetzt aber keine Beratung durch eine bei der </w:t>
            </w:r>
            <w:r>
              <w:rPr>
                <w:rFonts w:eastAsia="Cambria" w:cs="Cambria"/>
                <w:b w:val="false"/>
                <w:bCs w:val="false"/>
                <w:i/>
                <w:iCs/>
                <w:sz w:val="20"/>
                <w:szCs w:val="20"/>
              </w:rPr>
              <w:t>College of Immigration and Citizenship Consultants</w:t>
            </w:r>
            <w:r>
              <w:rPr>
                <w:rFonts w:eastAsia="Cambria" w:cs="Cambria"/>
                <w:b w:val="false"/>
                <w:bCs w:val="false"/>
                <w:i w:val="false"/>
                <w:iCs w:val="false"/>
                <w:sz w:val="20"/>
                <w:szCs w:val="20"/>
              </w:rPr>
              <w:t xml:space="preserve"> zugelassene Fachperson (</w:t>
            </w:r>
            <w:r>
              <w:rPr>
                <w:rFonts w:eastAsia="Cambria" w:cs="Cambria"/>
                <w:b w:val="false"/>
                <w:bCs w:val="false"/>
                <w:i/>
                <w:iCs/>
                <w:sz w:val="20"/>
                <w:szCs w:val="20"/>
              </w:rPr>
              <w:t>Regulated Canadian Immigration Consultant</w:t>
            </w:r>
            <w:r>
              <w:rPr>
                <w:rFonts w:eastAsia="Cambria" w:cs="Cambria"/>
                <w:b w:val="false"/>
                <w:bCs w:val="false"/>
                <w:i w:val="false"/>
                <w:iCs w:val="false"/>
                <w:sz w:val="20"/>
                <w:szCs w:val="20"/>
              </w:rPr>
              <w:t xml:space="preserve">, RCIC) oder eine Einwanderungsanwältin beziehungsweise einen Einwanderungsanwalt. Wie du eine seriöse Beratung findest und was sie kostet, steht im </w:t>
            </w:r>
            <w:hyperlink w:anchor="tka05">
              <w:r>
                <w:rPr>
                  <w:rStyle w:val="ListLabel116"/>
                  <w:rFonts w:eastAsia="Cambria" w:cs="Cambria"/>
                  <w:b w:val="false"/>
                  <w:bCs w:val="false"/>
                  <w:i w:val="false"/>
                  <w:iCs w:val="false"/>
                  <w:color w:val="0563C1"/>
                  <w:sz w:val="20"/>
                  <w:szCs w:val="20"/>
                  <w:u w:val="single"/>
                </w:rPr>
                <w:t>Kapitel zu Antrag, Kosten und Bearbeitungszeit in diesem Teil</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Punktesystem ist transparent und öffentlich einsehbar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Cutoffs schwanken stark und sind Monate im Voraus kaum vorhersagbar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Kategorie-Ziehungen können den Score-Bedarf drastisch senken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jedes Berufsfeld bekommt regelmäßig eine eigene Kategorie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Provinznominierung macht die Einladung fast sicher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Provinzverfahren sind teuer und verlangen oft ein Jobangebot vor Ort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Arbeitsvisum als schnellerer Zwischenschritt möglich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Arbeitsvisum bindet an einen Arbeitgeber und bringt noch keine PR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Profil bleibt zwölf Monate automatisch im Rennen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Kanada-Bezug bewegt sich der Score oft im knappen Mittelfeld</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Beginne mit der Bestandsaufnahme: Lass deinen Abschluss über eine anerkannte Stelle bewerten (ECA), bevor du dich festlegst, und mache einen Probetest bei CELPIP oder IELTS, um deine CLB-Stufe realistisch einzuschätzen. Lege dein Express-Entry-Profil auch bei einem noch unsicheren Score an – nur so siehst du, wo du im Vergleich zu aktuellen Runden stehst, und das Profil kostet zunächst nichts. Prüfe parallel, ob dein Beruf auf einer aktuellen Kategorie-Liste oder einer provinziellen Bedarfsliste auftaucht, und beobachte, ob ein Arbeitgeberkontakt in Ontario, British Columbia oder einer anderen Provinz realistisch ist. Wer in einem gefragten Beruf arbeitet, sollte auch gezielt bei Arbeitgebern mit kanadischem Standort nach Sponsoring fragen – ein Arbeitsvisum über CETA oder eine konzerninterne Versetzung kann schneller zum Ziel führen als das Warten auf die nächste Runde. Die Gebühren und der Ablauf nach einer Einladung stehen im </w:t>
      </w:r>
      <w:hyperlink w:anchor="tka05">
        <w:r>
          <w:rPr>
            <w:rStyle w:val="ListLabel113"/>
            <w:rFonts w:eastAsia="Cambria" w:cs="Cambria"/>
            <w:b w:val="false"/>
            <w:bCs w:val="false"/>
            <w:i w:val="false"/>
            <w:iCs w:val="false"/>
            <w:color w:val="0563C1"/>
            <w:sz w:val="22"/>
            <w:szCs w:val="22"/>
            <w:u w:val="single"/>
          </w:rPr>
          <w:t>Kapitel zu Antrag, Botschaft, Kosten und Bearbeitungszeit in diesem Teil</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Abschluss über eine anerkannte Stelle bewerten lassen (ECA)</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Sprachtest wählen (CELPIP oder IELTS) und CLB-Stufe realistisch einschätzen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Express-Entry-Profil anlegen, auch bei unsicherem Score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Aktuelle Kategorie-Ziehungen mit dem eigenen Beruf abgleichen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Provinzielle Bedarfslisten (mindestens Ontario und British Columbia)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Prüfen, ob ein befristetes Arbeitsvisum als schnellerer Zwischenschritt infrage kommt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knappem Score: Französischkenntnisse als zusätzlichen Hebel erwägen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jeder Entscheidung aktuelle Cutoffs und Gebühren auf canada.ca prüfen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IRCC — Express Entry: So funktioniert das System (</w:t>
      </w:r>
      <w:hyperlink r:id="rId547">
        <w:r>
          <w:rPr>
            <w:rStyle w:val="ListLabel113"/>
            <w:rFonts w:eastAsia="Cambria" w:cs="Cambria"/>
            <w:b w:val="false"/>
            <w:bCs w:val="false"/>
            <w:i w:val="false"/>
            <w:iCs w:val="false"/>
            <w:color w:val="0563C1"/>
            <w:sz w:val="22"/>
            <w:szCs w:val="22"/>
            <w:u w:val="single"/>
          </w:rPr>
          <w:t>canada.ca/en/immigration-refugees-citizenship/services/immigrate-canada/express-entry.html</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IRCC — CRS-Kriterien und Punkteberechnung (</w:t>
      </w:r>
      <w:hyperlink r:id="rId548">
        <w:r>
          <w:rPr>
            <w:rStyle w:val="ListLabel113"/>
            <w:rFonts w:eastAsia="Cambria" w:cs="Cambria"/>
            <w:b w:val="false"/>
            <w:bCs w:val="false"/>
            <w:i w:val="false"/>
            <w:iCs w:val="false"/>
            <w:color w:val="0563C1"/>
            <w:sz w:val="22"/>
            <w:szCs w:val="22"/>
            <w:u w:val="single"/>
          </w:rPr>
          <w:t>canada.ca/.../express-entry/eligibility/criteria-comprehensive-ranking-system.html</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IRCC — Federal Skilled Worker Program (</w:t>
      </w:r>
      <w:hyperlink r:id="rId549">
        <w:r>
          <w:rPr>
            <w:rStyle w:val="ListLabel113"/>
            <w:rFonts w:eastAsia="Cambria" w:cs="Cambria"/>
            <w:b w:val="false"/>
            <w:bCs w:val="false"/>
            <w:i w:val="false"/>
            <w:iCs w:val="false"/>
            <w:color w:val="0563C1"/>
            <w:sz w:val="22"/>
            <w:szCs w:val="22"/>
            <w:u w:val="single"/>
          </w:rPr>
          <w:t>canada.ca/.../express-entry/eligibility/federal-skilled-workers.html</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IRCC — Provincial Nominee Program: Übersicht (</w:t>
      </w:r>
      <w:hyperlink r:id="rId550">
        <w:r>
          <w:rPr>
            <w:rStyle w:val="ListLabel113"/>
            <w:rFonts w:eastAsia="Cambria" w:cs="Cambria"/>
            <w:b w:val="false"/>
            <w:bCs w:val="false"/>
            <w:i w:val="false"/>
            <w:iCs w:val="false"/>
            <w:color w:val="0563C1"/>
            <w:sz w:val="22"/>
            <w:szCs w:val="22"/>
            <w:u w:val="single"/>
          </w:rPr>
          <w:t>canada.ca/.../provincial-nominees.html</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IRCC — Gebührenübersicht (</w:t>
      </w:r>
      <w:hyperlink r:id="rId551">
        <w:r>
          <w:rPr>
            <w:rStyle w:val="ListLabel113"/>
            <w:rFonts w:eastAsia="Cambria" w:cs="Cambria"/>
            <w:b w:val="false"/>
            <w:bCs w:val="false"/>
            <w:i w:val="false"/>
            <w:iCs w:val="false"/>
            <w:color w:val="0563C1"/>
            <w:sz w:val="22"/>
            <w:szCs w:val="22"/>
            <w:u w:val="single"/>
          </w:rPr>
          <w:t>ircc.canada.ca/english/information/fees/fees.asp</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Ontario Immigrant Nominee Program (</w:t>
      </w:r>
      <w:hyperlink r:id="rId552">
        <w:r>
          <w:rPr>
            <w:rStyle w:val="ListLabel113"/>
            <w:rFonts w:eastAsia="Cambria" w:cs="Cambria"/>
            <w:b w:val="false"/>
            <w:bCs w:val="false"/>
            <w:i w:val="false"/>
            <w:iCs w:val="false"/>
            <w:color w:val="0563C1"/>
            <w:sz w:val="22"/>
            <w:szCs w:val="22"/>
            <w:u w:val="single"/>
          </w:rPr>
          <w:t>ontario.ca/page/ontario-immigrant-nominee-program</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British Columbia Provincial Nominee Program (</w:t>
      </w:r>
      <w:hyperlink r:id="rId553">
        <w:r>
          <w:rPr>
            <w:rStyle w:val="ListLabel113"/>
            <w:rFonts w:eastAsia="Cambria" w:cs="Cambria"/>
            <w:b w:val="false"/>
            <w:bCs w:val="false"/>
            <w:i w:val="false"/>
            <w:iCs w:val="false"/>
            <w:color w:val="0563C1"/>
            <w:sz w:val="22"/>
            <w:szCs w:val="22"/>
            <w:u w:val="single"/>
          </w:rPr>
          <w:t>welcomebc.ca/immigrate-to-b-c/about-the-bc-pnp</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besonders schnell: die CRS-Cutoffs jeder einzelnen Runde, ob und wie oft eine Kategorie zieht, die PNP-Gebühren und -Ströme der Provinzen sowie die Bearbeitungszeiten. Prüfe vor jeder Entscheidung die aktuellen Werte auf canada.ca und den Webseiten der jeweiligen Provinz.</w:t>
            </w:r>
          </w:p>
        </w:tc>
      </w:tr>
    </w:tbl>
    <w:p>
      <w:pPr>
        <w:pStyle w:val="Normal"/>
        <w:spacing w:lineRule="exact" w:line="220" w:before="0" w:after="0"/>
        <w:rPr/>
      </w:pPr>
      <w:r>
        <w:rPr/>
      </w:r>
      <w:r>
        <w:br w:type="page"/>
      </w:r>
    </w:p>
    <w:p>
      <w:pPr>
        <w:pStyle w:val="Heading2"/>
        <w:keepNext w:val="true"/>
        <w:spacing w:before="0" w:after="300"/>
        <w:jc w:val="center"/>
        <w:rPr/>
      </w:pPr>
      <w:bookmarkStart w:id="143" w:name="__RefHeading___Toc56573_3769931028"/>
      <w:bookmarkStart w:id="144" w:name="tka04"/>
      <w:bookmarkEnd w:id="143"/>
      <w:r>
        <w:rPr>
          <w:rFonts w:eastAsia="Amazon Ember" w:cs="Amazon Ember" w:ascii="Amazon Ember" w:hAnsi="Amazon Ember"/>
          <w:b/>
          <w:bCs/>
          <w:color w:val="0000FF"/>
          <w:sz w:val="36"/>
          <w:szCs w:val="36"/>
        </w:rPr>
        <w:t>Kanada: Familie, Investoren und der Ruhestand</w:t>
      </w:r>
      <w:bookmarkEnd w:id="144"/>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glaubt, ein erwachsenes Kind mit Wohnsitz in Toronto oder Calgary öffne automatisch die Tür für die eigenen Eltern, hat die kanadische Einwanderungsbürokratie noch nicht kennengelernt. Sie ist höflich, gründlich – und in Sachen Ruhestand bemerkenswert unbeeindruckt von familiären Bindungen. „Kommt doch einfach zu uns“, sagt sich leicht am Telefon nach Leipzig oder Hannover; die kanadische Einwanderungsbehörde sieht das naturgemäß nüchterner. Wer ohne Job auswandern will, findet in Kanada nicht das großzügigste, sondern eines der restriktivsten Systeme der vier in diesem Buch behandelten Länder. Dieses Kapitel zeigt, was beim Familiennachzug tatsächlich zählt, warum das Start-up Visa derzeit keine Option ist, und was für Ruheständler ohne Job realistisch bleibt.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Ehepartner- und Lebenspartner-Sponsoring verlangt kein Mindesteinkommen des Sponsors, dauert aber laut Kanzleiangaben 15 bis 24 Monate.</w:t>
            </w:r>
          </w:p>
          <w:p>
            <w:pPr>
              <w:pStyle w:val="ListParagraph"/>
              <w:numPr>
                <w:ilvl w:val="0"/>
                <w:numId w:val="1"/>
              </w:numPr>
              <w:spacing w:lineRule="exact" w:line="264" w:before="0" w:after="50"/>
              <w:rPr/>
            </w:pPr>
            <w:r>
              <w:rPr>
                <w:rFonts w:eastAsia="Cambria" w:cs="Cambria"/>
                <w:b w:val="false"/>
                <w:bCs w:val="false"/>
                <w:i w:val="false"/>
                <w:iCs w:val="false"/>
                <w:sz w:val="20"/>
                <w:szCs w:val="20"/>
              </w:rPr>
              <w:t>Das Start-up Visa ist seit dem 1. Januar 2026 für Neuanträge pausiert; nur wer bereits ein Commitment Certificate aus 2025 hält, kommt noch zum Zug.</w:t>
            </w:r>
          </w:p>
          <w:p>
            <w:pPr>
              <w:pStyle w:val="ListParagraph"/>
              <w:numPr>
                <w:ilvl w:val="0"/>
                <w:numId w:val="1"/>
              </w:numPr>
              <w:spacing w:lineRule="exact" w:line="264" w:before="0" w:after="50"/>
              <w:rPr/>
            </w:pPr>
            <w:r>
              <w:rPr>
                <w:rFonts w:eastAsia="Cambria" w:cs="Cambria"/>
                <w:b w:val="false"/>
                <w:bCs w:val="false"/>
                <w:i w:val="false"/>
                <w:iCs w:val="false"/>
                <w:sz w:val="20"/>
                <w:szCs w:val="20"/>
              </w:rPr>
              <w:t>Das Eltern- und Großeltern-Programm (PGP) ist die zentrale Enttäuschung für Ruheständler: Seit 2026 nimmt IRCC keine neuen Interessensbekundungen mehr an.</w:t>
            </w:r>
          </w:p>
          <w:p>
            <w:pPr>
              <w:pStyle w:val="ListParagraph"/>
              <w:numPr>
                <w:ilvl w:val="0"/>
                <w:numId w:val="1"/>
              </w:numPr>
              <w:spacing w:lineRule="exact" w:line="264" w:before="0" w:after="50"/>
              <w:rPr/>
            </w:pPr>
            <w:r>
              <w:rPr>
                <w:rFonts w:eastAsia="Cambria" w:cs="Cambria"/>
                <w:b w:val="false"/>
                <w:bCs w:val="false"/>
                <w:i w:val="false"/>
                <w:iCs w:val="false"/>
                <w:sz w:val="20"/>
                <w:szCs w:val="20"/>
              </w:rPr>
              <w:t>Das Super Visa – ein Mehrfacheinreise-Besuchervisum, kein Daueraufenthaltstitel – ist 2026 der einzige praktisch verlässliche Weg für Eltern und Großeltern.</w:t>
            </w:r>
          </w:p>
          <w:p>
            <w:pPr>
              <w:pStyle w:val="ListParagraph"/>
              <w:numPr>
                <w:ilvl w:val="0"/>
                <w:numId w:val="1"/>
              </w:numPr>
              <w:spacing w:lineRule="exact" w:line="264" w:before="0" w:after="50"/>
              <w:rPr/>
            </w:pPr>
            <w:r>
              <w:rPr>
                <w:rFonts w:eastAsia="Cambria" w:cs="Cambria"/>
                <w:b w:val="false"/>
                <w:bCs w:val="false"/>
                <w:i w:val="false"/>
                <w:iCs w:val="false"/>
                <w:sz w:val="20"/>
                <w:szCs w:val="20"/>
              </w:rPr>
              <w:t>Ohne ein bereits in Kanada lebendes Kind oder Enkelkind gibt es keinen eigenständigen Ruhestandsweg nach Kanada – anders als etwa in Neuseeland.</w:t>
            </w:r>
          </w:p>
          <w:p>
            <w:pPr>
              <w:pStyle w:val="ListParagraph"/>
              <w:numPr>
                <w:ilvl w:val="0"/>
                <w:numId w:val="1"/>
              </w:numPr>
              <w:spacing w:lineRule="exact" w:line="264" w:before="0" w:after="50"/>
              <w:rPr/>
            </w:pPr>
            <w:r>
              <w:rPr>
                <w:rFonts w:eastAsia="Cambria" w:cs="Cambria"/>
                <w:b w:val="false"/>
                <w:bCs w:val="false"/>
                <w:i w:val="false"/>
                <w:iCs w:val="false"/>
                <w:sz w:val="20"/>
                <w:szCs w:val="20"/>
              </w:rPr>
              <w:t>Diese Regeln ändern sich häufig und teils kurzfristig: Prüfe vor jeder Entscheidung die aktuellen Angaben auf canada.ca.</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Ehepartner, Lebenspartner und der Familiennachzug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verheiratet ist oder in einer eingetragenen Lebenspartnerschaft lebt, hat es beim Familiennachzug leichter als fast überall sonst im kanadischen System. IRCC unterscheidet dabei drei Fallgruppen: </w:t>
      </w:r>
      <w:r>
        <w:rPr>
          <w:rFonts w:eastAsia="Cambria" w:cs="Cambria"/>
          <w:b w:val="false"/>
          <w:bCs w:val="false"/>
          <w:i/>
          <w:iCs/>
          <w:sz w:val="22"/>
          <w:szCs w:val="22"/>
        </w:rPr>
        <w:t>Spousal Sponsorship</w:t>
      </w:r>
      <w:r>
        <w:rPr>
          <w:rFonts w:eastAsia="Cambria" w:cs="Cambria"/>
          <w:b w:val="false"/>
          <w:bCs w:val="false"/>
          <w:i w:val="false"/>
          <w:iCs w:val="false"/>
          <w:sz w:val="22"/>
          <w:szCs w:val="22"/>
        </w:rPr>
        <w:t xml:space="preserve"> für Ehepaare, </w:t>
      </w:r>
      <w:r>
        <w:rPr>
          <w:rFonts w:eastAsia="Cambria" w:cs="Cambria"/>
          <w:b w:val="false"/>
          <w:bCs w:val="false"/>
          <w:i/>
          <w:iCs/>
          <w:sz w:val="22"/>
          <w:szCs w:val="22"/>
        </w:rPr>
        <w:t>Common-law Sponsorship</w:t>
      </w:r>
      <w:r>
        <w:rPr>
          <w:rFonts w:eastAsia="Cambria" w:cs="Cambria"/>
          <w:b w:val="false"/>
          <w:bCs w:val="false"/>
          <w:i w:val="false"/>
          <w:iCs w:val="false"/>
          <w:sz w:val="22"/>
          <w:szCs w:val="22"/>
        </w:rPr>
        <w:t xml:space="preserve"> für Paare, die mindestens zwölf Monate ununterbrochen zusammengelebt haben, ohne verheiratet zu sein, und </w:t>
      </w:r>
      <w:r>
        <w:rPr>
          <w:rFonts w:eastAsia="Cambria" w:cs="Cambria"/>
          <w:b w:val="false"/>
          <w:bCs w:val="false"/>
          <w:i/>
          <w:iCs/>
          <w:sz w:val="22"/>
          <w:szCs w:val="22"/>
        </w:rPr>
        <w:t>Conjugal Sponsorship</w:t>
      </w:r>
      <w:r>
        <w:rPr>
          <w:rFonts w:eastAsia="Cambria" w:cs="Cambria"/>
          <w:b w:val="false"/>
          <w:bCs w:val="false"/>
          <w:i w:val="false"/>
          <w:iCs w:val="false"/>
          <w:sz w:val="22"/>
          <w:szCs w:val="22"/>
        </w:rPr>
        <w:t xml:space="preserve"> für Paare, die aus rechtlichen oder tatsächlichen Gründen (etwa fehlende Möglichkeit zur Heirat oder ein Einwanderungshindernis) nicht zusammenleben konnten, ihre Beziehung aber seit mindestens einem Jahr nachweisen können. Für alle drei Kategorien verlangt IRCC vom sponsernden Partner mit kanadischer Staatsbürgerschaft oder PR kein festes Mindesteinkommen. Einzige Ausnahme: Wer aus anderen Gründen als einer Behinderung Sozialhilfe bezieht, disqualifiziert sich als Sponsor. Die Gebühr aus dem Ausland liegt bei 1.260 CAD (660 CAD ohne die </w:t>
      </w:r>
      <w:r>
        <w:rPr>
          <w:rFonts w:eastAsia="Cambria" w:cs="Cambria"/>
          <w:b w:val="false"/>
          <w:bCs w:val="false"/>
          <w:i/>
          <w:iCs/>
          <w:sz w:val="22"/>
          <w:szCs w:val="22"/>
        </w:rPr>
        <w:t>Right of Permanent Residence Fee</w:t>
      </w:r>
      <w:r>
        <w:rPr>
          <w:rFonts w:eastAsia="Cambria" w:cs="Cambria"/>
          <w:b w:val="false"/>
          <w:bCs w:val="false"/>
          <w:i w:val="false"/>
          <w:iCs w:val="false"/>
          <w:sz w:val="22"/>
          <w:szCs w:val="22"/>
        </w:rPr>
        <w:t>, eine zusätzliche Gebühr für das Recht auf Daueraufenthalt), zuzüglich 180 CAD je mitreisendem Kind.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Preis für die vergleichsweise entspannten Einkommensregeln ist die Zeit: Kanzleien nennen für die Bearbeitung 15 bis 24 Monate, in denen Paare häufig getrennt leben oder der auswandernde Partner mit einem befristeten Besuchervisum überbrückt – was rechtlich heikel ist, wenn die Grenzbehörde eine bereits gefasste Zuwanderungsabsicht vermutet. Wer heiratet, um schneller nach Kanada zu kommen, sollte wissen, dass IRCC Scheinehen aktiv prüft; die Beziehung muss echt und die Ehe oder Partnerschaft entsprechend belegbar sein, etwa durch gemeinsame Fotos, Korrespondenz, Kontoauszüge oder Besuche über einen längeren Zeitraum.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Ob die Bearbeitung als „Inland“- oder „Outland“-Antrag läuft, macht praktisch einen Unterschied. Hält sich der einwandernde Partner bereits rechtmäßig in Kanada auf, etwa mit einem Studien- oder Arbeitsvisum, läuft das Verfahren als Inland-Sponsoring, häufig mit der Möglichkeit eines offenen Arbeitsvisums für die Wartezeit. Wer aus Deutschland heraus beantragt (Outland), bleibt bis zur Entscheidung in aller Regel im Herkunftsland und darf während der Wartezeit nicht in Kanada arbeiten, auch wenn Besuchsreisen grundsätzlich möglich sind.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Kinder unter 22 Jahren, die noch nicht verheiratet sind, läuft der Nachzug meist über denselben Antrag wie der eines einwandernden Elternteils, etwa im Rahmen von Express Entry (siehe das </w:t>
      </w:r>
      <w:hyperlink w:anchor="tka03">
        <w:r>
          <w:rPr>
            <w:rStyle w:val="ListLabel113"/>
            <w:rFonts w:eastAsia="Cambria" w:cs="Cambria"/>
            <w:b w:val="false"/>
            <w:bCs w:val="false"/>
            <w:i w:val="false"/>
            <w:iCs w:val="false"/>
            <w:color w:val="0563C1"/>
            <w:sz w:val="22"/>
            <w:szCs w:val="22"/>
            <w:u w:val="single"/>
          </w:rPr>
          <w:t>vorherige Kapitel in diesem Teil</w:t>
        </w:r>
      </w:hyperlink>
      <w:r>
        <w:rPr>
          <w:rFonts w:eastAsia="Cambria" w:cs="Cambria"/>
          <w:b w:val="false"/>
          <w:bCs w:val="false"/>
          <w:i w:val="false"/>
          <w:iCs w:val="false"/>
          <w:sz w:val="22"/>
          <w:szCs w:val="22"/>
        </w:rPr>
        <w:t>). Wer älter als 22 ist, zählt nur dann noch als unterhaltsberechtigtes Kind, wenn eine dauerhafte körperliche oder geistige Beeinträchtigung finanzielle Unterstützung durch die Eltern nötig macht; ein laufendes Studium allein reicht seit einer Regelverschärfung nicht mehr aus, um über diese Altersgrenze hinaus als abhängiges Kind zu gelten. Eigenständige Anträge für erwachsene, bereits selbstständig lebende Kinder sieht das kanadische Familienrecht dagegen kaum vor – ein Unterschied zu manchen anderen Ländern, in denen erwachsene Kinder unter bestimmten Bedingungen ebenfalls nachziehen können.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Kanada unterscheidet klar zwischen dem befristeten Besuchervisum (max. sechs Monate pro Einreise, ohne Arbeits- oder Studienrecht) und einem echten Aufenthaltsstatus. Wer während eines laufenden Sponsoring-Verfahrens „einfach mal besuchen“ will, riskiert bei der Einreise Nachfragen zur wahren Absicht – nimm entsprechende Nachweise (Rückflugticket, Adresse in Deutschland, laufender Mietvertrag) mit.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Start-up Visa: pausiert seit 2026</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gründungswillige Fachkräfte war das </w:t>
      </w:r>
      <w:r>
        <w:rPr>
          <w:rFonts w:eastAsia="Cambria" w:cs="Cambria"/>
          <w:b w:val="false"/>
          <w:bCs w:val="false"/>
          <w:i/>
          <w:iCs/>
          <w:sz w:val="22"/>
          <w:szCs w:val="22"/>
        </w:rPr>
        <w:t>Start-up Visa</w:t>
      </w:r>
      <w:r>
        <w:rPr>
          <w:rFonts w:eastAsia="Cambria" w:cs="Cambria"/>
          <w:b w:val="false"/>
          <w:bCs w:val="false"/>
          <w:i w:val="false"/>
          <w:iCs w:val="false"/>
          <w:sz w:val="22"/>
          <w:szCs w:val="22"/>
        </w:rPr>
        <w:t xml:space="preserve"> lange ein attraktiver Weg zur PR ohne klassisches Punktesystem – gerade für Ingenieurinnen, Informatiker oder andere Fachkräfte, die neben einer Festanstellung eine eigene Geschäftsidee mitbringen. Ein qualifizierendes Geschäftskonzept, ein Unterstützungsbrief einer designierten Organisation (Venture-Capital-Fonds, Angel-Investor-Gruppe oder Business-Incubator), Sprachniveau CLB 5 und Siedlungsmittel von mindestens 15.263 CAD genügten – dazu mussten Antragstellende mindestens 10 % der Stimmrechte halten, Antragstellende und designierte Organisation zusammen mehr als 50 %.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Seit dem 1. Januar 2026 ist das Programm für Neuanträge pausiert. Wer bereits 2025 ein Commitment Certificate einer designierten Organisation erhalten hat, muss den PR-Antrag bis zum 30. Juni 2026 einreichen; danach verfällt auch dieser Übergangsweg. Nur noch 79 designierte Organisationen sind aktiv (Stand Sommer 2026), gedeckelt auf maximal zehn vollständige Gruppenanträge je Organisation und Kalenderjahr bis Ende 2026 – nach dem Windhundprinzip vergeben.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Plane derzeit nicht mit dem Start-up Visa als Einwanderungsweg. Ob und wann das Programm für neue Bewerbungen wieder öffnet, ist offen. Wer eine Gründungsidee mitbringt, sollte stattdessen die unternehmerischen Ströme einzelner Provinzen prüfen (etwa in Ontario, British Columbia oder Alberta) – diese haben eigene Kapital- und Geschäftsplananforderungen und sind von der Bundes-Pause nicht betroffen.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Diese provinzialen Unternehmerströme funktionieren nach einer anderen Logik als das Bundes-Start-up-Visa: Statt einer Organisation, die dein Geschäftskonzept unterstützt, verlangt die Provinz meist ein eigenes Kapital (persönliches Nettovermögen und Mindestinvestition, je nach Provinz unterschiedlich hoch), einen tragfähigen Geschäftsplan und häufig einen vorherigen Besuch zur Prüfung des Vorhabens vor Ort. Die Nominierung erfolgt oft erst, nachdem das Unternehmen eine gewisse Zeit erfolgreich läuft und Arbeitsplätze für Kanadierinnen und Kanadier geschaffen hat – ein längerer, aber von der Bundes-Pause unabhängiger Weg.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Lukas Berger (fiktiv), 29, Öl- und Gasingenieur aus Hannover, erwägt neben seinem Job in Calgary eine eigene Beratungsfirma für Energieeffizienz. Als er sich über das Start-up Visa informiert, stellt er fest, dass das Programm für Neuanträge pausiert ist und die verbliebenen designierten Organisationen kaum noch Kapazität haben. Er verschiebt die Gründungsidee, bleibt zunächst bei seinem arbeitgebergebundenen Work Permit und beobachtet stattdessen die unternehmerischen PNP-Ströme Albertas für einen möglichen späteren Anlauf.</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Ruhestand ohne Job: die ehrliche Lage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Deutsche, die nicht mehr arbeiten, sondern von gesetzlicher Rente, Ersparnissen oder Kapitalerträgen leben und dauerhaft nach Kanada ziehen wollen, ist die Botschaft unbequem, aber eindeutig: Ohne ein bereits in Kanada lebendes, volljähriges Kind oder Enkelkind gibt es keinen legalen Weg zum Daueraufenthalt. Kanadas Einwanderungssystem ist fast vollständig auf jüngere, arbeitsmarktrelevante Zuwanderer zugeschnitten – Express Entry, das Provincial Nominee Program und selbst das (derzeit pausierte) Start-up Visa verlangen Sprachtests, Berufserfahrung oder Geschäftskonzepte, die für reine Ruheständler ohne Erwerbsabsicht schlicht nicht gemacht sind.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Im Vergleich der vier in diesem Buch behandelten Zielländer liegt Kanada damit am restriktiven Ende. Australien verlangt zwar ebenfalls ein dort lebendes Kind, bietet aber wenigstens eine – wenn auch nach Berichten des dortigen Einwanderungsministeriums teils jahrzehntelange – Warteliste zur Daueraufenthaltserlaubnis für Eltern. Neuseeland geht noch weiter und öffnet mit einem rein vermögensbasierten Besuchervisum sogar einen befristeten Weg ganz ohne Kind vor Ort (Details dazu im jeweiligen Länder-Teil dieses Buches). Kanada bietet nichts dergleichen: kein Vermögensweg, keine Warteliste mit Aussicht auf PR – nur die Bindung an ein bereits ansässiges Kind, und selbst die derzeit nur in Form eines befristeten Besuchervisums.</w:t>
      </w:r>
    </w:p>
    <w:p>
      <w:pPr>
        <w:pStyle w:val="Heading4"/>
        <w:keepNext w:val="true"/>
        <w:spacing w:before="200" w:after="80"/>
        <w:jc w:val="center"/>
        <w:rPr/>
      </w:pPr>
      <w:r>
        <w:rPr>
          <w:rFonts w:eastAsia="Amazon Ember" w:cs="Amazon Ember" w:ascii="Amazon Ember" w:hAnsi="Amazon Ember"/>
          <w:b/>
          <w:bCs/>
          <w:color w:val="0000FF"/>
          <w:sz w:val="36"/>
          <w:szCs w:val="36"/>
        </w:rPr>
        <w:t>Das Eltern- und Großeltern-Programm: pausiert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einzige familienbasierte Weg zur PR für Eltern und Großeltern, das </w:t>
      </w:r>
      <w:r>
        <w:rPr>
          <w:rFonts w:eastAsia="Cambria" w:cs="Cambria"/>
          <w:b w:val="false"/>
          <w:bCs w:val="false"/>
          <w:i/>
          <w:iCs/>
          <w:sz w:val="22"/>
          <w:szCs w:val="22"/>
        </w:rPr>
        <w:t>Parent and Grandparent Program</w:t>
      </w:r>
      <w:r>
        <w:rPr>
          <w:rFonts w:eastAsia="Cambria" w:cs="Cambria"/>
          <w:b w:val="false"/>
          <w:bCs w:val="false"/>
          <w:i w:val="false"/>
          <w:iCs w:val="false"/>
          <w:sz w:val="22"/>
          <w:szCs w:val="22"/>
        </w:rPr>
        <w:t xml:space="preserve"> (PGP), war schon vor der aktuellen Pause kein schneller Weg. Sponsernde Kinder mussten ein Mindesteinkommen von </w:t>
      </w:r>
      <w:r>
        <w:rPr>
          <w:rFonts w:eastAsia="Cambria" w:cs="Cambria"/>
          <w:b w:val="false"/>
          <w:bCs w:val="false"/>
          <w:i/>
          <w:iCs/>
          <w:sz w:val="22"/>
          <w:szCs w:val="22"/>
        </w:rPr>
        <w:t>Low Income Cut-Off</w:t>
      </w:r>
      <w:r>
        <w:rPr>
          <w:rFonts w:eastAsia="Cambria" w:cs="Cambria"/>
          <w:b w:val="false"/>
          <w:bCs w:val="false"/>
          <w:i w:val="false"/>
          <w:iCs w:val="false"/>
          <w:sz w:val="22"/>
          <w:szCs w:val="22"/>
        </w:rPr>
        <w:t xml:space="preserve"> (LICO) plus 30 % über drei aufeinanderfolgende Steuerjahre nachweisen – für eine vierköpfige Familie umgerechnet rund 58.500 CAD. Der Zugang lief über ein Lotterieverfahren: Wer 2020 ein „Interest to Sponsor“-Formular einreichte, wurde – wenn überhaupt – erst ab Juli 2025 eingeladen; in nur zwei Wochen verschickte IRCC damals 17.860 Einladungen an über fünf Jahre alte Interessensbekundungen.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Seit Juli 2026 nimmt IRCC keine neuen Interessensbekundungen oder Einladungen mehr für das PGP an; bearbeitet werden nur noch die bereits 2025 eingeladenen Fälle. Einen Termin für eine Wiedereröffnung hat IRCC nicht genannt. Für Familien, die auf diesem Weg planen, heißt das: Selbst wer heute ein Formular einreichen wollte, kann es schlicht nicht.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Verlass dich nicht darauf, dass das PGP „bald wieder aufmacht“. Selbst in den Jahren, in denen es lief, lagen zwischen Interessensbekundung und tatsächlicher Einladung mehrere Jahre. Wer seine Eltern langfristig nach Kanada holen will, sollte das Super Visa als das planbarere Werkzeug behandeln, nicht als Notlösung bis zur PGP-Wiedereröffnung.</w:t>
            </w:r>
          </w:p>
        </w:tc>
      </w:tr>
    </w:tbl>
    <w:p>
      <w:pPr>
        <w:pStyle w:val="Normal"/>
        <w:spacing w:lineRule="exact" w:line="220" w:before="0" w:after="0"/>
        <w:rPr/>
      </w:pPr>
      <w:r>
        <w:rPr/>
      </w:r>
    </w:p>
    <w:p>
      <w:pPr>
        <w:pStyle w:val="Heading4"/>
        <w:keepNext w:val="true"/>
        <w:spacing w:before="200" w:after="80"/>
        <w:jc w:val="center"/>
        <w:rPr/>
      </w:pPr>
      <w:r>
        <w:rPr>
          <w:rFonts w:eastAsia="Amazon Ember" w:cs="Amazon Ember" w:ascii="Amazon Ember" w:hAnsi="Amazon Ember"/>
          <w:b/>
          <w:bCs/>
          <w:color w:val="0000FF"/>
          <w:sz w:val="36"/>
          <w:szCs w:val="36"/>
        </w:rPr>
        <w:t>Super Visa: der realistische Weg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w:t>
      </w:r>
      <w:r>
        <w:rPr>
          <w:rFonts w:eastAsia="Cambria" w:cs="Cambria"/>
          <w:b w:val="false"/>
          <w:bCs w:val="false"/>
          <w:i/>
          <w:iCs/>
          <w:sz w:val="22"/>
          <w:szCs w:val="22"/>
        </w:rPr>
        <w:t>Super Visa</w:t>
      </w:r>
      <w:r>
        <w:rPr>
          <w:rFonts w:eastAsia="Cambria" w:cs="Cambria"/>
          <w:b w:val="false"/>
          <w:bCs w:val="false"/>
          <w:i w:val="false"/>
          <w:iCs w:val="false"/>
          <w:sz w:val="22"/>
          <w:szCs w:val="22"/>
        </w:rPr>
        <w:t xml:space="preserve"> ist kein Aufenthaltstitel, sondern ein Mehrfacheinreise-Langzeit-Besuchervisum für Eltern und Großeltern einer kanadischen Staatsbürgerin, eines kanadischen Staatsbürgers, einer Person mit PR-Status oder eines Status-Indianers. Es erlaubt Einreisen über bis zu zehn Jahre und einen einzelnen Aufenthalt von bis zu fünf Jahren am Stück – gegenüber den sonst üblichen sechs Monaten beim regulären Besuchervisum ein erheblicher Unterschied.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Super Visa gilt ausschließlich für Eltern und Großeltern selbst – minderjährige Geschwister, Tanten, Onkel oder andere Angehörige lassen sich darüber nicht mitbringen; für sie bleibt nur ein reguläres Besuchervisum mit der üblichen Sechs-Monats-Grenze.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Voraussetzung ist eine private Kranken-Notfallversicherung von mindestens 100.000 CAD Deckung, gültig für mindestens ein Jahr ab Einreise, die Behandlung, Krankenhausaufenthalt und Rückführung abdeckt. Seit dem 28. Januar 2025 dürfen dafür auch ausländische Versicherer genutzt werden, sofern sie bei der kanadischen Finanzaufsicht OSFI registriert sind und über ihr kanadisches Versicherungsgeschäft ausstellen. Zusätzlich muss die einladende Person in Kanada ein Mindesteinkommen nachweisen, gestaffelt nach Haushaltsgröße – Richtwerte reichen von etwa 30.526 CAD für eine Person bis 80.784 CAD für sieben Personen, zuzüglich 8.224 CAD je weiterer Person. Seit dem 31. März 2026 darf außerdem das Einkommen des besuchenden Elternteils oder Großelternteils angerechnet werden, um diese Schwelle zu erreichen – eine Erleichterung gerade für Familien, in denen die eigene deutsche Rente nicht ausreicht, das Kind in Kanada aber knapp unter der Schwelle liegt.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Antragstellung läuft wie bei einem regulären Besuchervisum, ergänzt um die Nachweise zur Familienbeziehung und zur Versicherung: Formular, Biometrie (85 CAD), Nachweis der Versicherung sowie – weil der beantragte Aufenthalt über sechs Monate hinausgeht – eine ärztliche Untersuchung (</w:t>
      </w:r>
      <w:r>
        <w:rPr>
          <w:rFonts w:eastAsia="Cambria" w:cs="Cambria"/>
          <w:b w:val="false"/>
          <w:bCs w:val="false"/>
          <w:i/>
          <w:iCs/>
          <w:sz w:val="22"/>
          <w:szCs w:val="22"/>
        </w:rPr>
        <w:t>Immigration Medical Exam</w:t>
      </w:r>
      <w:r>
        <w:rPr>
          <w:rFonts w:eastAsia="Cambria" w:cs="Cambria"/>
          <w:b w:val="false"/>
          <w:bCs w:val="false"/>
          <w:i w:val="false"/>
          <w:iCs w:val="false"/>
          <w:sz w:val="22"/>
          <w:szCs w:val="22"/>
        </w:rPr>
        <w:t>) bei einer von IRCC anerkannten Ärztin oder einem anerkannten Arzt. Weil dem Super Visa ein Besucher- und kein Einwanderungsverfahren zugrunde liegt, bearbeitet IRCC die Anträge in aller Regel spürbar schneller als PR-Verfahren wie das PGP es je war.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Ahrens (fiktiv) lebt seit einigen Jahren in Toronto. Julias Eltern aus Leipzig würden gern mehrere Monate im Jahr bei Finn und Mia verbringen, ohne jedes halbe Jahr die Einreise neu zu organisieren. Da das Eltern- und Großeltern-Programm pausiert ist, beantragen sie stattdessen ein Super Visa: eine Kranken-Notfallversicherung mit 100.000 CAD Deckung, ein Einkommensnachweis von Markus und Julia als einladendem Paar, die ärztliche Untersuchung sowie die üblichen Unterlagen zur Familienbeziehung. Nach Genehmigung dürfen die Großeltern bis zu fünf Jahre am Stück bleiben – ein Daueraufenthaltstitel ist das Super Visa trotzdem nicht, und ohne gültige Versicherung erlischt die Berechtigung.</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Vergleiche mehrere Anbieter für die Kranken-Notfallversicherung, bevor du dich festlegst. Seit ausländische, bei der OSFI registrierte Versicherer zugelassen sind, lohnt sich auch ein Blick auf internationale Krankenversicherer neben den klassischen kanadischen Anbietern – die Prämien für Personen über 60 oder 70 Jahre unterscheiden sich zwischen Anbietern merklich. Prüfe zudem, ob eine Police für die volle mögliche Aufenthaltsdauer oder nur für ein Jahr mit Verlängerungsoption günstiger ist, und kläre vorab, was bei einer vorzeitigen Rückreise nach Deutschland mit bereits gezahlten Beiträgen passiert.</w:t>
            </w:r>
          </w:p>
        </w:tc>
      </w:tr>
    </w:tbl>
    <w:p>
      <w:pPr>
        <w:pStyle w:val="Normal"/>
        <w:spacing w:lineRule="exact" w:line="220" w:before="0" w:after="0"/>
        <w:rPr/>
      </w:pPr>
      <w:r>
        <w:rPr/>
      </w:r>
    </w:p>
    <w:p>
      <w:pPr>
        <w:pStyle w:val="Heading4"/>
        <w:keepNext w:val="true"/>
        <w:spacing w:before="200" w:after="80"/>
        <w:jc w:val="center"/>
        <w:rPr/>
      </w:pPr>
      <w:r>
        <w:rPr>
          <w:rFonts w:eastAsia="Amazon Ember" w:cs="Amazon Ember" w:ascii="Amazon Ember" w:hAnsi="Amazon Ember"/>
          <w:b/>
          <w:bCs/>
          <w:color w:val="0000FF"/>
          <w:sz w:val="36"/>
          <w:szCs w:val="36"/>
        </w:rPr>
        <w:t>Kein eigenständiger Weg ohne kanadisches Kind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keine Kinder oder Enkelkinder mit kanadischem Status hat, findet in Kanada keine Alternative wie ein rein vermögensbasiertes Ruhestandsvisum. Bleibt die Bindung an ein bereits im Land lebendes Kind aus, bleibt nur der reguläre Besuchsstatus – maximal sechs Monate pro Einreise, ohne jede Perspektive auf Daueraufenthalt und ohne Zugang zum öffentlichen Gesundheitssystem.</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Wiederholte Aufenthalte von jeweils knapp sechs Monaten als Dauerbesucherin oder Dauerbesucher ohne echten Status sind keine Lösung. Grenzbeamtinnen und Grenzbeamte werten ein Muster aus immer wiederkehrenden Langzeitbesuchen als faktische Wohnsitznahme und können eine weitere Einreise verweigern, selbst mit gültiger eTA. Wer dauerhaft bei der Familie leben will, braucht einen echten Status – und ohne kanadisches Kind gibt es dafür in Kanada derzeit keinen Weg.</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Wichtig für die Familienplanung ist außerdem, wer überhaupt sponsern darf: Nur wer selbst kanadische Staatsbürgerschaft, PR-Status oder den Status eines Status-Indianers hat, kann Ehepartner, Eltern oder Großeltern sponsern. Ein Kind, das gerade erst mit einem befristeten Arbeitsvisum eingereist ist oder noch auf die Entscheidung über sein eigenes Express-Entry-Profil wartet (siehe das </w:t>
      </w:r>
      <w:hyperlink w:anchor="tka03">
        <w:r>
          <w:rPr>
            <w:rStyle w:val="ListLabel113"/>
            <w:rFonts w:eastAsia="Cambria" w:cs="Cambria"/>
            <w:b w:val="false"/>
            <w:bCs w:val="false"/>
            <w:i w:val="false"/>
            <w:iCs w:val="false"/>
            <w:color w:val="0563C1"/>
            <w:sz w:val="22"/>
            <w:szCs w:val="22"/>
            <w:u w:val="single"/>
          </w:rPr>
          <w:t>vorherige Kapitel in diesem Teil</w:t>
        </w:r>
      </w:hyperlink>
      <w:r>
        <w:rPr>
          <w:rFonts w:eastAsia="Cambria" w:cs="Cambria"/>
          <w:b w:val="false"/>
          <w:bCs w:val="false"/>
          <w:i w:val="false"/>
          <w:iCs w:val="false"/>
          <w:sz w:val="22"/>
          <w:szCs w:val="22"/>
        </w:rPr>
        <w:t>), kann diese Rolle noch nicht übernehmen. Wer als Elternteil oder Großelternteil auf einen Nachzug hofft, sollte deshalb realistisch einplanen, dass zwischen der Ankunft des Kindes in Kanada und dessen eigener Berechtigung als Sponsor häufig mehrere Jahre liegen – die Zeit, die das Kind für den eigenen PR-Antrag und gegebenenfalls die Einbürgerung braucht.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Kanada belohnt in der Einwanderungspolitik konsequent Arbeitsmarktbezug und familiäre Bindung vor Ort – nicht Vermögen allein. Wer ohne kanadisches Kind und ohne Erwerbsabsicht plant, sollte diesen Weg so früh wie möglich aus der Planung streichen, statt auf eine künftige Programmöffnung zu hoffen.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Krankenversicherung und Steuern für Ruheständler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öffentlichen Provinz-Gesundheitspläne (etwa OHIP in Ontario) stehen Super-Visa-Inhaberinnen und -Inhabern nicht offen – daher die Pflicht zur privaten Notfallversicherung von mindestens 100.000 CAD. Konkrete Monatsprämien für Personen über 60 oder 70 Jahre ließen sich in der Recherche zu diesem Kapitel nicht mit belastbaren Zahlen belegen; sie schwanken stark nach Alter, Vorerkrankungen und Versicherer. Hole vor der Antragstellung mehrere Angebote ein und rechne mit einem spürbaren Aufschlag gegenüber jüngeren Reisenden. Ausführlich behandelt das </w:t>
      </w:r>
      <w:hyperlink w:anchor="tka08">
        <w:r>
          <w:rPr>
            <w:rStyle w:val="ListLabel113"/>
            <w:rFonts w:eastAsia="Cambria" w:cs="Cambria"/>
            <w:b w:val="false"/>
            <w:bCs w:val="false"/>
            <w:i w:val="false"/>
            <w:iCs w:val="false"/>
            <w:color w:val="0563C1"/>
            <w:sz w:val="22"/>
            <w:szCs w:val="22"/>
            <w:u w:val="single"/>
          </w:rPr>
          <w:t>Gesundheitssystem-Kapitel in diesem Teil</w:t>
        </w:r>
      </w:hyperlink>
      <w:r>
        <w:rPr>
          <w:rFonts w:eastAsia="Cambria" w:cs="Cambria"/>
          <w:b w:val="false"/>
          <w:bCs w:val="false"/>
          <w:i w:val="false"/>
          <w:iCs w:val="false"/>
          <w:sz w:val="22"/>
          <w:szCs w:val="22"/>
        </w:rPr>
        <w:t>, wie sich Kanadas Provinz-Gesundheitssysteme grundsätzlich von der deutschen gesetzlichen Krankenversicherung unterscheiden.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Steuerlich gilt: Kanada und Deutschland haben seit dem 28. März 2002 ein Doppelbesteuerungsabkommen. Anders als im deutsch-amerikanischen Abkommen ist die Behandlung der gesetzlichen deutschen Rente hier zu deinen Ungunsten geregelt: Seit einer Gesetzesänderung zum 1. Januar 2005 bleibt die gesetzliche Rente weiterhin in Deutschland steuerpflichtig, bestätigt durch ein Urteil des Bundesfinanzhofs vom Mai 2018. Kanadische Steueransässige müssen die Rente zwar zusätzlich als Welteinkommen in der kanadischen Steuererklärung angeben, können die in Deutschland gezahlte Steuer aber als Anrechnung (</w:t>
      </w:r>
      <w:r>
        <w:rPr>
          <w:rFonts w:eastAsia="Cambria" w:cs="Cambria"/>
          <w:b w:val="false"/>
          <w:bCs w:val="false"/>
          <w:i/>
          <w:iCs/>
          <w:sz w:val="22"/>
          <w:szCs w:val="22"/>
        </w:rPr>
        <w:t>Foreign Tax Credit</w:t>
      </w:r>
      <w:r>
        <w:rPr>
          <w:rFonts w:eastAsia="Cambria" w:cs="Cambria"/>
          <w:b w:val="false"/>
          <w:bCs w:val="false"/>
          <w:i w:val="false"/>
          <w:iCs w:val="false"/>
          <w:sz w:val="22"/>
          <w:szCs w:val="22"/>
        </w:rPr>
        <w:t>) gegenrechnen – eine echte Doppelbesteuerung entsteht dadurch in der Regel nicht, wohl aber zusätzlicher Erklärungsaufwand in zwei Ländern. Die deutsche Seite dieser Rechnung, samt Rente, Riester/Rürup und Vorsorge, behandelt das Kapitel zu Steuern, Rente und Geld in diesem Buch im Detail.</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beschreibt Regeln und gängige Praxis, ersetzt aber keine Beratung durch eine zugelassene Einwanderungsfachperson (RCIC) oder eine Steuerberatung mit Erfahrung in deutsch-kanadischen Fällen. Gerade bei Familiennachzug, Super Visa und der Rentenbesteuerung lohnt sich eine individuelle Prüfung, bevor du Verträge kündigst oder Anträge einreichst.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Ehepartner-Sponsoring verlangt kein Mindesteinkommen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Bearbeitung dauert dennoch 15 bis 24 Monate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Super Visa erlaubt bis zu fünf Jahre am Stück</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Super Visa ist kein Daueraufenthaltstitel</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Einkommensanrechnung der Eltern seit 2026 erleichtert die Schwelle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Pflichtversicherung von mindestens 100.000 CAD nötig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PNP-Unternehmerströme bleiben trotz Start-up-Visa-Pause offen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Start-up Visa selbst faktisch geschlossen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Doppelbesteuerung wird durch das DBA vermieden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Rente bleibt trotzdem in Deutschland steuerpflichtig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kanadisches Kind kein Ruhestandsweg überhaupt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Kläre zuerst ehrlich, welcher Fall auf deine Familie zutrifft: Ehepartner-Sponsoring, Eltern-/Großeltern-Besuch über das Super Visa oder – ohne kanadisches Kind – realistisch gar keiner dieser Wege. Prüfe bei einem Sponsoring-Vorhaben frühzeitig die Einkommensschwellen und beginne die Unterlagen (Nachweise der Beziehung, Einkommensnachweise, Übersetzungen) rechtzeitig, da die Bearbeitung Monate bis Jahre dauert. Kläre außerdem, ob die sponsernde Person in Kanada überhaupt schon Staatsbürgerin, Staatsbürger oder PR-Inhaberin beziehungsweise PR-Inhaber ist – ohne diesen Status kann sie noch niemanden sponsern, egal wie gut die übrigen Voraussetzungen aussehen.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ältere Eltern oder Großeltern lohnt sich ein früher Blick auf die Kranken-Notfallversicherung fürs Super Visa: Angebote einholen, Deckungssumme und -dauer genau mit den IRCC-Vorgaben abgleichen, und die ärztliche Untersuchung rechtzeitig terminieren. Wer eine Gründungsidee verfolgt, sollte provinzielle Unternehmerströme statt des pausierten Start-up Visa prüfen. Und wer ohne jeden Kanada-Bezug an den Ruhestand dort denkt, sollte diesen Plan gegen realistischere Alternativen abwägen – etwa gegen die in den anderen Länder-Teilen dieses Buches beschriebenen Wege.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Klären, ob Ehepartner-Sponsoring, Super Visa oder kein familienbasierter Weg zutrifft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Ehepartner-Sponsoring: Einkommensnachweis des Sponsors und Beziehungsnachweise vorbereiten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Super Visa: mehrere Angebote für die Kranken-Notfallversicherung (mind. 100.000 CAD) einholen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Einkommensschwelle der einladenden Person berechnen, inklusive möglicher Anrechnung ab 2026</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Gründungsplänen: provinzielle Unternehmerströme statt Start-up Visa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Steuerliche Behandlung der deutschen Rente mit einer Steuerberatung klären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Regelmäßig auf canada.ca prüfen, ob sich am PGP oder am Start-up Visa etwas ändert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IRCC — Gebührenübersicht (</w:t>
      </w:r>
      <w:hyperlink r:id="rId554">
        <w:r>
          <w:rPr>
            <w:rStyle w:val="ListLabel113"/>
            <w:rFonts w:eastAsia="Cambria" w:cs="Cambria"/>
            <w:b w:val="false"/>
            <w:bCs w:val="false"/>
            <w:i w:val="false"/>
            <w:iCs w:val="false"/>
            <w:color w:val="0563C1"/>
            <w:sz w:val="22"/>
            <w:szCs w:val="22"/>
            <w:u w:val="single"/>
          </w:rPr>
          <w:t>ircc.canada.ca/english/information/fees/fees.asp</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IRCC — Ehepartner- und Lebenspartner-Sponsoring (</w:t>
      </w:r>
      <w:hyperlink r:id="rId555">
        <w:r>
          <w:rPr>
            <w:rStyle w:val="ListLabel113"/>
            <w:rFonts w:eastAsia="Cambria" w:cs="Cambria"/>
            <w:b w:val="false"/>
            <w:bCs w:val="false"/>
            <w:i w:val="false"/>
            <w:iCs w:val="false"/>
            <w:color w:val="0563C1"/>
            <w:sz w:val="22"/>
            <w:szCs w:val="22"/>
            <w:u w:val="single"/>
          </w:rPr>
          <w:t>canada.ca/.../sponsor-spouse-partner-child.html</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IRCC — Eltern- und Großeltern-Programm, Einkommensvoraussetzungen (</w:t>
      </w:r>
      <w:hyperlink r:id="rId556">
        <w:r>
          <w:rPr>
            <w:rStyle w:val="ListLabel113"/>
            <w:rFonts w:eastAsia="Cambria" w:cs="Cambria"/>
            <w:b w:val="false"/>
            <w:bCs w:val="false"/>
            <w:i w:val="false"/>
            <w:iCs w:val="false"/>
            <w:color w:val="0563C1"/>
            <w:sz w:val="22"/>
            <w:szCs w:val="22"/>
            <w:u w:val="single"/>
          </w:rPr>
          <w:t>canada.ca/.../sponsor-parents-grandparents/eligibility/income.html</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IRCC — Super Visa: Informationen und Anforderungen (</w:t>
      </w:r>
      <w:hyperlink r:id="rId557">
        <w:r>
          <w:rPr>
            <w:rStyle w:val="ListLabel113"/>
            <w:rFonts w:eastAsia="Cambria" w:cs="Cambria"/>
            <w:b w:val="false"/>
            <w:bCs w:val="false"/>
            <w:i w:val="false"/>
            <w:iCs w:val="false"/>
            <w:color w:val="0563C1"/>
            <w:sz w:val="22"/>
            <w:szCs w:val="22"/>
            <w:u w:val="single"/>
          </w:rPr>
          <w:t>canada.ca/.../super-visa.html</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IRCC — Start-up Visa: Zulässigkeit und designierte Organisationen (</w:t>
      </w:r>
      <w:hyperlink r:id="rId558">
        <w:r>
          <w:rPr>
            <w:rStyle w:val="ListLabel113"/>
            <w:rFonts w:eastAsia="Cambria" w:cs="Cambria"/>
            <w:b w:val="false"/>
            <w:bCs w:val="false"/>
            <w:i w:val="false"/>
            <w:iCs w:val="false"/>
            <w:color w:val="0563C1"/>
            <w:sz w:val="22"/>
            <w:szCs w:val="22"/>
            <w:u w:val="single"/>
          </w:rPr>
          <w:t>canada.ca/.../start-visa.html</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Canada Revenue Agency / BZSt — Doppelbesteuerungsabkommen Kanada–Deutschland (</w:t>
      </w:r>
      <w:hyperlink r:id="rId559">
        <w:r>
          <w:rPr>
            <w:rStyle w:val="ListLabel113"/>
            <w:rFonts w:eastAsia="Cambria" w:cs="Cambria"/>
            <w:b w:val="false"/>
            <w:bCs w:val="false"/>
            <w:i w:val="false"/>
            <w:iCs w:val="false"/>
            <w:color w:val="0563C1"/>
            <w:sz w:val="22"/>
            <w:szCs w:val="22"/>
            <w:u w:val="single"/>
          </w:rPr>
          <w:t>canada.ca</w:t>
        </w:r>
      </w:hyperlink>
      <w:r>
        <w:rPr>
          <w:rFonts w:eastAsia="Cambria" w:cs="Cambria"/>
          <w:b w:val="false"/>
          <w:bCs w:val="false"/>
          <w:i w:val="false"/>
          <w:iCs w:val="false"/>
          <w:sz w:val="22"/>
          <w:szCs w:val="22"/>
        </w:rPr>
        <w:t xml:space="preserve"> Competent Authority Notices; </w:t>
      </w:r>
      <w:hyperlink r:id="rId560">
        <w:r>
          <w:rPr>
            <w:rStyle w:val="ListLabel113"/>
            <w:rFonts w:eastAsia="Cambria" w:cs="Cambria"/>
            <w:b w:val="false"/>
            <w:bCs w:val="false"/>
            <w:i w:val="false"/>
            <w:iCs w:val="false"/>
            <w:color w:val="0563C1"/>
            <w:sz w:val="22"/>
            <w:szCs w:val="22"/>
            <w:u w:val="single"/>
          </w:rPr>
          <w:t>bzst.de</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besonders schnell: ob und wann das Eltern- und Großeltern-Programm oder das Start-up Visa wieder für Neuanträge öffnen, die Einkommensschwellen für Sponsoring und Super Visa sowie die Bearbeitungszeiten beim Familiennachzug. Prüfe vor jeder Entscheidung die aktuellen Angaben auf canada.ca.</w:t>
            </w:r>
          </w:p>
        </w:tc>
      </w:tr>
    </w:tbl>
    <w:p>
      <w:pPr>
        <w:pStyle w:val="Normal"/>
        <w:spacing w:lineRule="exact" w:line="220" w:before="0" w:after="0"/>
        <w:rPr/>
      </w:pPr>
      <w:r>
        <w:rPr/>
      </w:r>
      <w:r>
        <w:br w:type="page"/>
      </w:r>
    </w:p>
    <w:p>
      <w:pPr>
        <w:pStyle w:val="Heading2"/>
        <w:keepNext w:val="true"/>
        <w:spacing w:before="0" w:after="300"/>
        <w:jc w:val="center"/>
        <w:rPr/>
      </w:pPr>
      <w:bookmarkStart w:id="145" w:name="__RefHeading___Toc56575_3769931028"/>
      <w:bookmarkStart w:id="146" w:name="tka05"/>
      <w:bookmarkEnd w:id="145"/>
      <w:r>
        <w:rPr>
          <w:rFonts w:eastAsia="Amazon Ember" w:cs="Amazon Ember" w:ascii="Amazon Ember" w:hAnsi="Amazon Ember"/>
          <w:b/>
          <w:bCs/>
          <w:color w:val="0000FF"/>
          <w:sz w:val="36"/>
          <w:szCs w:val="36"/>
        </w:rPr>
        <w:t>Kanada: Antrag, Konsulat und Kosten</w:t>
      </w:r>
      <w:bookmarkEnd w:id="146"/>
    </w:p>
    <w:p>
      <w:pPr>
        <w:pStyle w:val="Normal"/>
        <w:keepNext w:val="false"/>
        <w:keepLines w:val="false"/>
        <w:spacing w:lineRule="exact" w:line="288" w:before="0" w:after="140"/>
        <w:jc w:val="left"/>
        <w:rPr/>
      </w:pPr>
      <w:r>
        <w:rPr>
          <w:rFonts w:eastAsia="Cambria" w:cs="Cambria"/>
          <w:b w:val="false"/>
          <w:bCs w:val="false"/>
          <w:i w:val="false"/>
          <w:iCs w:val="false"/>
          <w:sz w:val="22"/>
          <w:szCs w:val="22"/>
        </w:rPr>
        <w:t>Markus Ahrens sitzt am Küchentisch in Leipzig, aktualisiert zum wiederholten Mal sein Online-Bewerberprofil für die kanadische Einwanderung und findet zwischen zwei Schlucken Kaffee eine Nachricht vor: „You have been invited to apply.“ Kein Feuerwerk, kein Anruf, nicht einmal ein Ausrufezeichen – nur eine betont sachliche E-Mail, und von nun an laufen 60 Tage, in denen aus einem Online-Profil ein vollständiger Antrag werden muss. Was folgt, ist keine Reise zu einer Botschaft mit Wartenummer und Sicherheitsschleuse, sondern ein Verwaltungsmarathon am Bildschirm: ein Online-Konto, mehrere Gebühren in kanadischen Dollar, ein Termin bei einem privaten Dienstleister in Berlin für Fingerabdrücke – und die leise Erkenntnis, dass „online erledigt“ in Kanada nicht dasselbe bedeutet wie „schnell erledigt“.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Fast der gesamte Antrag läuft online über dein persönliches Konto bei </w:t>
            </w:r>
            <w:r>
              <w:rPr>
                <w:rFonts w:eastAsia="Cambria" w:cs="Cambria"/>
                <w:b w:val="false"/>
                <w:bCs w:val="false"/>
                <w:i/>
                <w:iCs/>
                <w:sz w:val="20"/>
                <w:szCs w:val="20"/>
              </w:rPr>
              <w:t>Immigration, Refugees and Citizenship Canada</w:t>
            </w:r>
            <w:r>
              <w:rPr>
                <w:rFonts w:eastAsia="Cambria" w:cs="Cambria"/>
                <w:b w:val="false"/>
                <w:bCs w:val="false"/>
                <w:i w:val="false"/>
                <w:iCs w:val="false"/>
                <w:sz w:val="20"/>
                <w:szCs w:val="20"/>
              </w:rPr>
              <w:t xml:space="preserve"> (IRCC), der kanadischen Einwanderungsbehörde. Einen Termin bei einer kanadischen Auslandsvertretung gibt es für die meisten Antragsarten nicht.</w:t>
            </w:r>
          </w:p>
          <w:p>
            <w:pPr>
              <w:pStyle w:val="ListParagraph"/>
              <w:numPr>
                <w:ilvl w:val="0"/>
                <w:numId w:val="1"/>
              </w:numPr>
              <w:spacing w:lineRule="exact" w:line="264" w:before="0" w:after="50"/>
              <w:rPr/>
            </w:pPr>
            <w:r>
              <w:rPr>
                <w:rFonts w:eastAsia="Cambria" w:cs="Cambria"/>
                <w:b w:val="false"/>
                <w:bCs w:val="false"/>
                <w:i w:val="false"/>
                <w:iCs w:val="false"/>
                <w:sz w:val="20"/>
                <w:szCs w:val="20"/>
              </w:rPr>
              <w:t>Die Kosten hängen stark vom Weg ab: Ein einzelnes Arbeitsvisum kostet 155 CAD, der Antrag auf permanenten Aufenthalt für eine vierköpfige Familie schnell über 5.000 CAD – und eine Gebühr wird dabei gern übersehen.</w:t>
            </w:r>
          </w:p>
          <w:p>
            <w:pPr>
              <w:pStyle w:val="ListParagraph"/>
              <w:numPr>
                <w:ilvl w:val="0"/>
                <w:numId w:val="1"/>
              </w:numPr>
              <w:spacing w:lineRule="exact" w:line="264" w:before="0" w:after="50"/>
              <w:rPr/>
            </w:pPr>
            <w:r>
              <w:rPr>
                <w:rFonts w:eastAsia="Cambria" w:cs="Cambria"/>
                <w:b w:val="false"/>
                <w:bCs w:val="false"/>
                <w:i w:val="false"/>
                <w:iCs w:val="false"/>
                <w:sz w:val="20"/>
                <w:szCs w:val="20"/>
              </w:rPr>
              <w:t>Gesundheitsuntersuchung und polizeiliches Führungszeugnis sind eigene Pflichtschritte mit eigenen Fristen, keine Fußnoten im Antrag.</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Biometrische Daten gibst du nicht bei einer Botschaft ab, sondern bei </w:t>
            </w:r>
            <w:r>
              <w:rPr>
                <w:rFonts w:eastAsia="Cambria" w:cs="Cambria"/>
                <w:b w:val="false"/>
                <w:bCs w:val="false"/>
                <w:i/>
                <w:iCs/>
                <w:sz w:val="20"/>
                <w:szCs w:val="20"/>
              </w:rPr>
              <w:t>VFS Global</w:t>
            </w:r>
            <w:r>
              <w:rPr>
                <w:rFonts w:eastAsia="Cambria" w:cs="Cambria"/>
                <w:b w:val="false"/>
                <w:bCs w:val="false"/>
                <w:i w:val="false"/>
                <w:iCs w:val="false"/>
                <w:sz w:val="20"/>
                <w:szCs w:val="20"/>
              </w:rPr>
              <w:t>, einem privaten Dienstleister mit Standort in Berlin.</w:t>
            </w:r>
          </w:p>
          <w:p>
            <w:pPr>
              <w:pStyle w:val="ListParagraph"/>
              <w:numPr>
                <w:ilvl w:val="0"/>
                <w:numId w:val="1"/>
              </w:numPr>
              <w:spacing w:lineRule="exact" w:line="264" w:before="0" w:after="50"/>
              <w:rPr/>
            </w:pPr>
            <w:r>
              <w:rPr>
                <w:rFonts w:eastAsia="Cambria" w:cs="Cambria"/>
                <w:b w:val="false"/>
                <w:bCs w:val="false"/>
                <w:i w:val="false"/>
                <w:iCs w:val="false"/>
                <w:sz w:val="20"/>
                <w:szCs w:val="20"/>
              </w:rPr>
              <w:t>Bearbeitungszeiten schwanken zwischen wenigen Wochen und über einem halben Jahr, je nach Programm und Auslastung.</w:t>
            </w:r>
          </w:p>
          <w:p>
            <w:pPr>
              <w:pStyle w:val="ListParagraph"/>
              <w:numPr>
                <w:ilvl w:val="0"/>
                <w:numId w:val="1"/>
              </w:numPr>
              <w:spacing w:lineRule="exact" w:line="264" w:before="0" w:after="50"/>
              <w:rPr/>
            </w:pPr>
            <w:r>
              <w:rPr>
                <w:rFonts w:eastAsia="Cambria" w:cs="Cambria"/>
                <w:b w:val="false"/>
                <w:bCs w:val="false"/>
                <w:i w:val="false"/>
                <w:iCs w:val="false"/>
                <w:sz w:val="20"/>
                <w:szCs w:val="20"/>
              </w:rPr>
              <w:t>Die deutschen Auslandsvertretungen in Kanada helfen bei deutschen Dokumenten – beim kanadischen Antrag selbst helfen sie nicht, das entscheidet ausschließlich IRCC.</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Kein Botschaftstermin, aber ein Aktenberg: das IRCC-System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aus Deutschland kommt, verbindet einen Visumantrag automatisch mit einem Termin: Botschaft, Wartenummer, ein Beamter hinter Panzerglas. Für die meisten kanadischen Antragsarten fällt das komplett weg. Ob Arbeitsvisum, Studienvisum oder der Antrag auf permanenten Aufenthalt (die kanadische </w:t>
      </w:r>
      <w:r>
        <w:rPr>
          <w:rFonts w:eastAsia="Cambria" w:cs="Cambria"/>
          <w:b w:val="false"/>
          <w:bCs w:val="false"/>
          <w:i/>
          <w:iCs/>
          <w:sz w:val="22"/>
          <w:szCs w:val="22"/>
        </w:rPr>
        <w:t>Permanent Residence</w:t>
      </w:r>
      <w:r>
        <w:rPr>
          <w:rFonts w:eastAsia="Cambria" w:cs="Cambria"/>
          <w:b w:val="false"/>
          <w:bCs w:val="false"/>
          <w:i w:val="false"/>
          <w:iCs w:val="false"/>
          <w:sz w:val="22"/>
          <w:szCs w:val="22"/>
        </w:rPr>
        <w:t>, kurz PR, funktional vergleichbar mit der amerikanischen Green Card) – alles läuft über dein persönliches IRCC-Konto. Dort lädst du Dokumente hoch, bezahlst Gebühren per Kreditkarte, verfolgst den Status und erhältst jede Nachricht der Behörde – nicht per Brief, nicht per Anruf, ausschließlich im Konto.</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Grundsätzlich unterscheidet Kanada bei befristeten Arbeitsvisa zwei Schienen. Braucht dein Arbeitgeber vorab eine behördliche Bestätigung, dass keine Kanadierin oder kein </w:t>
      </w:r>
      <w:r>
        <w:rPr>
          <w:rFonts w:eastAsia="Cambria" w:cs="Cambria"/>
          <w:b w:val="false"/>
          <w:bCs w:val="false"/>
          <w:i/>
          <w:iCs/>
          <w:sz w:val="22"/>
          <w:szCs w:val="22"/>
        </w:rPr>
        <w:t>Permanent Resident</w:t>
      </w:r>
      <w:r>
        <w:rPr>
          <w:rFonts w:eastAsia="Cambria" w:cs="Cambria"/>
          <w:b w:val="false"/>
          <w:bCs w:val="false"/>
          <w:i w:val="false"/>
          <w:iCs w:val="false"/>
          <w:sz w:val="22"/>
          <w:szCs w:val="22"/>
        </w:rPr>
        <w:t xml:space="preserve"> für die Stelle verfügbar ist – die </w:t>
      </w:r>
      <w:r>
        <w:rPr>
          <w:rFonts w:eastAsia="Cambria" w:cs="Cambria"/>
          <w:b w:val="false"/>
          <w:bCs w:val="false"/>
          <w:i/>
          <w:iCs/>
          <w:sz w:val="22"/>
          <w:szCs w:val="22"/>
        </w:rPr>
        <w:t>Labour Market Impact Assessment</w:t>
      </w:r>
      <w:r>
        <w:rPr>
          <w:rFonts w:eastAsia="Cambria" w:cs="Cambria"/>
          <w:b w:val="false"/>
          <w:bCs w:val="false"/>
          <w:i w:val="false"/>
          <w:iCs w:val="false"/>
          <w:sz w:val="22"/>
          <w:szCs w:val="22"/>
        </w:rPr>
        <w:t xml:space="preserve">, LMIA –, läufst du über das </w:t>
      </w:r>
      <w:r>
        <w:rPr>
          <w:rFonts w:eastAsia="Cambria" w:cs="Cambria"/>
          <w:b w:val="false"/>
          <w:bCs w:val="false"/>
          <w:i/>
          <w:iCs/>
          <w:sz w:val="22"/>
          <w:szCs w:val="22"/>
        </w:rPr>
        <w:t>Temporary Foreign Worker Program</w:t>
      </w:r>
      <w:r>
        <w:rPr>
          <w:rFonts w:eastAsia="Cambria" w:cs="Cambria"/>
          <w:b w:val="false"/>
          <w:bCs w:val="false"/>
          <w:i w:val="false"/>
          <w:iCs w:val="false"/>
          <w:sz w:val="22"/>
          <w:szCs w:val="22"/>
        </w:rPr>
        <w:t xml:space="preserve"> (TFWP, das LMIA-pflichtige Programm für befristete Arbeitskräfte). Zählt deine Stelle zu einer der über 50 Ausnahmekategorien – etwa konzerninterne Transfers oder bestimmte Handelsabkommen –, läuft sie stattdessen LMIA-frei über das </w:t>
      </w:r>
      <w:r>
        <w:rPr>
          <w:rFonts w:eastAsia="Cambria" w:cs="Cambria"/>
          <w:b w:val="false"/>
          <w:bCs w:val="false"/>
          <w:i/>
          <w:iCs/>
          <w:sz w:val="22"/>
          <w:szCs w:val="22"/>
        </w:rPr>
        <w:t>International Mobility Program</w:t>
      </w:r>
      <w:r>
        <w:rPr>
          <w:rFonts w:eastAsia="Cambria" w:cs="Cambria"/>
          <w:b w:val="false"/>
          <w:bCs w:val="false"/>
          <w:i w:val="false"/>
          <w:iCs w:val="false"/>
          <w:sz w:val="22"/>
          <w:szCs w:val="22"/>
        </w:rPr>
        <w:t xml:space="preserve"> (IMP). Welcher Weg für dich passt und wie </w:t>
      </w:r>
      <w:r>
        <w:rPr>
          <w:rFonts w:eastAsia="Cambria" w:cs="Cambria"/>
          <w:b w:val="false"/>
          <w:bCs w:val="false"/>
          <w:i/>
          <w:iCs/>
          <w:sz w:val="22"/>
          <w:szCs w:val="22"/>
        </w:rPr>
        <w:t>Express Entry</w:t>
      </w:r>
      <w:r>
        <w:rPr>
          <w:rFonts w:eastAsia="Cambria" w:cs="Cambria"/>
          <w:b w:val="false"/>
          <w:bCs w:val="false"/>
          <w:i w:val="false"/>
          <w:iCs w:val="false"/>
          <w:sz w:val="22"/>
          <w:szCs w:val="22"/>
        </w:rPr>
        <w:t xml:space="preserve">, das Bundesprogramm für die permanente Aufenthaltserlaubnis über ein Punktesystem, im Detail funktioniert, erklärt das </w:t>
      </w:r>
      <w:hyperlink w:anchor="tka03">
        <w:r>
          <w:rPr>
            <w:rStyle w:val="ListLabel113"/>
            <w:rFonts w:eastAsia="Cambria" w:cs="Cambria"/>
            <w:b w:val="false"/>
            <w:bCs w:val="false"/>
            <w:i w:val="false"/>
            <w:iCs w:val="false"/>
            <w:color w:val="0563C1"/>
            <w:sz w:val="22"/>
            <w:szCs w:val="22"/>
            <w:u w:val="single"/>
          </w:rPr>
          <w:t>Kapitel zum Arbeitsweg in diesem Teil</w:t>
        </w:r>
      </w:hyperlink>
      <w:r>
        <w:rPr>
          <w:rFonts w:eastAsia="Cambria" w:cs="Cambria"/>
          <w:b w:val="false"/>
          <w:bCs w:val="false"/>
          <w:i w:val="false"/>
          <w:iCs w:val="false"/>
          <w:sz w:val="22"/>
          <w:szCs w:val="22"/>
        </w:rPr>
        <w:t xml:space="preserve"> ausführlich. Hier geht es um das, was nach der Entscheidung für einen Weg kommt: das nüchterne Kleingedruckte aus Formularen, Gebühren und Fristen.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Ein genehmigtes Visum ist noch keine Einreise. Bei den meisten Wegen bekommst du zunächst nur die Zusage; Arbeitsvisum oder der Status als Permanent Resident werden formal erst an der Grenze beziehungsweise bei der Landung wirksam – dazu mehr im </w:t>
            </w:r>
            <w:hyperlink w:anchor="tka06">
              <w:r>
                <w:rPr>
                  <w:rStyle w:val="ListLabel116"/>
                  <w:rFonts w:eastAsia="Cambria" w:cs="Cambria"/>
                  <w:b w:val="false"/>
                  <w:bCs w:val="false"/>
                  <w:i w:val="false"/>
                  <w:iCs w:val="false"/>
                  <w:color w:val="0563C1"/>
                  <w:sz w:val="20"/>
                  <w:szCs w:val="20"/>
                  <w:u w:val="single"/>
                </w:rPr>
                <w:t>Kapitel zur Ankunft in diesem Teil</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der Antrag wirklich kostet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Gebühren unterscheiden sich drastisch je nach Antragsart, und wie so oft im Leben ist die erste Zahl, die man findet, selten die letzte.</w:t>
      </w:r>
    </w:p>
    <w:tbl>
      <w:tblPr>
        <w:tblW w:w="6480" w:type="dxa"/>
        <w:jc w:val="left"/>
        <w:tblInd w:w="0" w:type="dxa"/>
        <w:tblLayout w:type="fixed"/>
        <w:tblCellMar>
          <w:top w:w="50" w:type="dxa"/>
          <w:left w:w="80" w:type="dxa"/>
          <w:bottom w:w="50" w:type="dxa"/>
          <w:right w:w="80" w:type="dxa"/>
        </w:tblCellMar>
      </w:tblPr>
      <w:tblGrid>
        <w:gridCol w:w="1872"/>
        <w:gridCol w:w="950"/>
        <w:gridCol w:w="1421"/>
        <w:gridCol w:w="2236"/>
      </w:tblGrid>
      <w:tr>
        <w:trPr>
          <w:tblHeader w:val="true"/>
          <w:cantSplit w:val="true"/>
        </w:trPr>
        <w:tc>
          <w:tcPr>
            <w:tcW w:w="187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Antragsart</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Gebühr Hauptantragsteller</w:t>
            </w:r>
          </w:p>
        </w:tc>
        <w:tc>
          <w:tcPr>
            <w:tcW w:w="142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Zusatzgebühr Partner/Kind</w:t>
            </w:r>
          </w:p>
        </w:tc>
        <w:tc>
          <w:tcPr>
            <w:tcW w:w="223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Bemerkung</w:t>
            </w:r>
          </w:p>
        </w:tc>
      </w:tr>
      <w:tr>
        <w:trPr>
          <w:cantSplit w:val="true"/>
        </w:trPr>
        <w:tc>
          <w:tcPr>
            <w:tcW w:w="1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Arbeitsvisum (Work Permit)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155 CAD</w:t>
            </w:r>
          </w:p>
        </w:tc>
        <w:tc>
          <w:tcPr>
            <w:tcW w:w="14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 Person gleich</w:t>
            </w:r>
          </w:p>
        </w:tc>
        <w:tc>
          <w:tcPr>
            <w:tcW w:w="22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zzgl. 100 CAD bei offenem, nicht arbeitgebergebundenem Visum</w:t>
            </w:r>
          </w:p>
        </w:tc>
      </w:tr>
      <w:tr>
        <w:trPr>
          <w:cantSplit w:val="true"/>
        </w:trPr>
        <w:tc>
          <w:tcPr>
            <w:tcW w:w="1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Studienvisum (Study Permit)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150 CAD</w:t>
            </w:r>
          </w:p>
        </w:tc>
        <w:tc>
          <w:tcPr>
            <w:tcW w:w="14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 Person gleich</w:t>
            </w:r>
          </w:p>
        </w:tc>
        <w:tc>
          <w:tcPr>
            <w:tcW w:w="22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r>
      <w:tr>
        <w:trPr>
          <w:cantSplit w:val="true"/>
        </w:trPr>
        <w:tc>
          <w:tcPr>
            <w:tcW w:w="1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 Wirtschaftskategorie (Express Entry/PNP)</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1.590 CAD</w:t>
            </w:r>
          </w:p>
        </w:tc>
        <w:tc>
          <w:tcPr>
            <w:tcW w:w="14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Partner 1.590 CAD, Kind 270 CAD</w:t>
            </w:r>
          </w:p>
        </w:tc>
        <w:tc>
          <w:tcPr>
            <w:tcW w:w="22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Recht-auf-PR-Gebühr nur 990 CAD</w:t>
            </w:r>
          </w:p>
        </w:tc>
      </w:tr>
      <w:tr>
        <w:trPr>
          <w:cantSplit w:val="true"/>
        </w:trPr>
        <w:tc>
          <w:tcPr>
            <w:tcW w:w="1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Recht-auf-permanenten-Aufenthalt-Gebühr (RPRF)</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600 CAD</w:t>
            </w:r>
          </w:p>
        </w:tc>
        <w:tc>
          <w:tcPr>
            <w:tcW w:w="14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Partner 600 CAD, Kind entfällt</w:t>
            </w:r>
          </w:p>
        </w:tc>
        <w:tc>
          <w:tcPr>
            <w:tcW w:w="22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separate Zusatzgebühr, wird gern übersehen</w:t>
            </w:r>
          </w:p>
        </w:tc>
      </w:tr>
      <w:tr>
        <w:trPr>
          <w:cantSplit w:val="true"/>
        </w:trPr>
        <w:tc>
          <w:tcPr>
            <w:tcW w:w="1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Familiennachzug Ehepartner (aus dem Ausland)</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1.260 CAD</w:t>
            </w:r>
          </w:p>
        </w:tc>
        <w:tc>
          <w:tcPr>
            <w:tcW w:w="14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 180 CAD</w:t>
            </w:r>
          </w:p>
        </w:tc>
        <w:tc>
          <w:tcPr>
            <w:tcW w:w="22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RPRF 660 CAD</w:t>
            </w:r>
          </w:p>
        </w:tc>
      </w:tr>
      <w:tr>
        <w:trPr>
          <w:cantSplit w:val="true"/>
        </w:trPr>
        <w:tc>
          <w:tcPr>
            <w:tcW w:w="1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Biometrie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85 CAD/Person</w:t>
            </w:r>
          </w:p>
        </w:tc>
        <w:tc>
          <w:tcPr>
            <w:tcW w:w="14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Familien-Höchstsatz 170 CAD</w:t>
            </w:r>
          </w:p>
        </w:tc>
        <w:tc>
          <w:tcPr>
            <w:tcW w:w="22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unabhängig von der Familiengröße gedeckelt</w:t>
            </w:r>
          </w:p>
        </w:tc>
      </w:tr>
      <w:tr>
        <w:trPr>
          <w:cantSplit w:val="true"/>
        </w:trPr>
        <w:tc>
          <w:tcPr>
            <w:tcW w:w="1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Einbürgerung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653 CAD (Erwachsene)</w:t>
            </w:r>
          </w:p>
        </w:tc>
        <w:tc>
          <w:tcPr>
            <w:tcW w:w="14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Minderjährige 100 CAD</w:t>
            </w:r>
          </w:p>
        </w:tc>
        <w:tc>
          <w:tcPr>
            <w:tcW w:w="22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zzgl. 75 CAD Staatsbürgerschaftszertifikat</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(Stand nach der Gebührenerhöhung vom 30. April 2026; Kanada erhebt seine Gebühren in kanadischen Dollar, unabhängig vom Wechselkurs zum Euro.)</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Auffällig ist die </w:t>
      </w:r>
      <w:r>
        <w:rPr>
          <w:rFonts w:eastAsia="Cambria" w:cs="Cambria"/>
          <w:b w:val="false"/>
          <w:bCs w:val="false"/>
          <w:i/>
          <w:iCs/>
          <w:sz w:val="22"/>
          <w:szCs w:val="22"/>
        </w:rPr>
        <w:t>Right of Permanent Residence Fee</w:t>
      </w:r>
      <w:r>
        <w:rPr>
          <w:rFonts w:eastAsia="Cambria" w:cs="Cambria"/>
          <w:b w:val="false"/>
          <w:bCs w:val="false"/>
          <w:i w:val="false"/>
          <w:iCs w:val="false"/>
          <w:sz w:val="22"/>
          <w:szCs w:val="22"/>
        </w:rPr>
        <w:t xml:space="preserve"> (RPRF, die Gebühr für das Recht auf permanenten Aufenthalt). Sie taucht in vielen ersten Kostenschätzungen gar nicht auf, weil sie getrennt von der eigentlichen Antragsgebühr erhoben wird – 600 CAD pro Erwachsenem, nicht für Kinder, seit dem 30. April 2026 angehoben von zuvor 575 CAD. Wer nur die Zahl aus der Antragsgebühren-Tabelle im Kopf hat, erlebt beim tatsächlichen Bezahlbildschirm eine unangenehme Überraschung.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Biometriegebühr ist pro Familie auf 170 CAD gedeckelt – unabhängig davon, ob ihr zu zweit oder zu fünft seid. Für Einzelpersonen lohnt sich der Vergleich nicht, für Familien mit mehreren Kindern ist das eine der wenigen Stellen im gesamten Verfahren, an denen es günstiger wird, je größer die Familie ist.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Ahrens (Markus, 40, Softwarearchitekt; Julia, 37, Apothekerin; Finn, 11; Mia, 7; Leipzig) reicht nach der Einladung den PR-Antrag über Express Entry ein. Markus und Julia zahlen je 1.590 CAD Antragsgebühr, für Finn und Mia kommen je 270 CAD dazu – macht 3.720 CAD allein an Antragsgebühren. Dazu die RPRF für die Eltern (2 × 600 CAD) und die gedeckelte Familien-Biometriegebühr von 170 CAD. Summe: 5.090 CAD, bevor Sprachtest, Kompetenzbewertung des Abschlusses, Gesundheitsuntersuchung und Führungszeugnisse überhaupt eingerechnet sind. Am Küchentisch in Leipzig hatte das vorher niemand so konkret aufgeschrieben. (Fiktives Beispiel.)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Bearbeitungszeiten: Versprechen und Wirklichkeit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IRCC veröffentlicht für die meisten Programme einen Servicestandard, keine Garantie. Für Express Entry gilt seit Anfang 2022 in der Regel eine Bearbeitungszeit von 6 Monaten ab vollständigem Antrag, die IRCC nach eigenen Angaben meist einhält. Ein Arbeitsvisum, das auf einer bereits genehmigten LMIA beruht und von außerhalb Kanadas gestellt wird, braucht üblicherweise 7 bis 13 Wochen – wobei die LMIA selbst, je nach Kategorie, weitere 8 bis 88 Werktage in Anspruch nimmt, bevor dein Arbeitgeber überhaupt mit deinem eigentlichen Antrag beginnen kann. Ein Studienvisum ist mit 60 Tagen bei Antragstellung außerhalb Kanadas beziehungsweise 120 Tagen von innerhalb veranschlagt.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Diese Zahlen sind, wie IRCC selbst einräumt, „rollende Schätzungen“ auf Basis zuletzt abgeschlossener Fälle – keine Zusage für deinen konkreten Antrag. Realistisch bedeutet das: Zwischen Einladung und tatsächlicher Einreise können bei Express Entry leicht sechs bis zwölf Monate liegen, bei einem klassischen Arbeitgeber-Antrag mit vorgeschalteter LMIA eher vier bis acht Monate insgesamt.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Kündige Wohnung, Job oder Kinderbetreuung in Deutschland erst, wenn die Genehmigung tatsächlich vorliegt – nicht schon, wenn die LMIA deines künftigen Arbeitgebers durchgekommen ist. Zwischen diesen beiden Schritten liegt in der Praxis noch der komplette eigentliche Visumantrag.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Biometrie: der Termin bei VFS Global in Berlin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meisten Antragsarten verlangt IRCC Fingerabdrücke und ein digitales Foto. Die Gebühr dafür zahlst du zusammen mit dem Antrag direkt an IRCC; die eigentliche Erfassung übernimmt VFS Global, ein privater Dienstleister, den die kanadische Regierung mit dieser Aufgabe beauftragt hat – eine Art ausgelagerte Behördenfiliale, kein kanadisches Konsulat und ohne inhaltliche Entscheidungsbefugnis über deinen Antrag. In Deutschland betreibt VFS Global dafür ein Visa Application Centre in Berlin (Neue Grünstraße 17/18, 10179 Berlin). Sobald IRCC deinen Antrag registriert hat, bekommst du eine Aufforderung, dort einen Termin zu buchen; VFS erhebt für die Terminorganisation üblicherweise eine eigene, separate Servicegebühr – die aktuelle Höhe steht auf der VFS-Seite, nicht bei IRCC. Die eigentliche Prüfung deines Antrags bleibt vollständig bei IRCC, dort werden lediglich biometrische Daten erfasst und teils Dokumente entgegengenommen.</w:t>
      </w:r>
    </w:p>
    <w:p>
      <w:pPr>
        <w:pStyle w:val="Heading3"/>
        <w:keepNext w:val="true"/>
        <w:spacing w:before="280" w:after="100"/>
        <w:jc w:val="center"/>
        <w:rPr/>
      </w:pPr>
      <w:r>
        <w:rPr>
          <w:rFonts w:eastAsia="Amazon Ember" w:cs="Amazon Ember" w:ascii="Amazon Ember" w:hAnsi="Amazon Ember"/>
          <w:b/>
          <w:bCs/>
          <w:color w:val="0000FF"/>
          <w:sz w:val="36"/>
          <w:szCs w:val="36"/>
        </w:rPr>
        <w:t>Die Gesundheitsuntersuchung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die permanente Aufenthaltserlaubnis und viele befristete Visa ist eine vollständige </w:t>
      </w:r>
      <w:r>
        <w:rPr>
          <w:rFonts w:eastAsia="Cambria" w:cs="Cambria"/>
          <w:b w:val="false"/>
          <w:bCs w:val="false"/>
          <w:i/>
          <w:iCs/>
          <w:sz w:val="22"/>
          <w:szCs w:val="22"/>
        </w:rPr>
        <w:t>Immigration Medical Exam</w:t>
      </w:r>
      <w:r>
        <w:rPr>
          <w:rFonts w:eastAsia="Cambria" w:cs="Cambria"/>
          <w:b w:val="false"/>
          <w:bCs w:val="false"/>
          <w:i w:val="false"/>
          <w:iCs w:val="false"/>
          <w:sz w:val="22"/>
          <w:szCs w:val="22"/>
        </w:rPr>
        <w:t xml:space="preserve"> (IME, die Einwanderungs-Gesundheitsuntersuchung) Pflicht – und zwar ausschließlich bei einem von IRCC zugelassenen </w:t>
      </w:r>
      <w:r>
        <w:rPr>
          <w:rFonts w:eastAsia="Cambria" w:cs="Cambria"/>
          <w:b w:val="false"/>
          <w:bCs w:val="false"/>
          <w:i/>
          <w:iCs/>
          <w:sz w:val="22"/>
          <w:szCs w:val="22"/>
        </w:rPr>
        <w:t>Panel Physician</w:t>
      </w:r>
      <w:r>
        <w:rPr>
          <w:rFonts w:eastAsia="Cambria" w:cs="Cambria"/>
          <w:b w:val="false"/>
          <w:bCs w:val="false"/>
          <w:i w:val="false"/>
          <w:iCs w:val="false"/>
          <w:sz w:val="22"/>
          <w:szCs w:val="22"/>
        </w:rPr>
        <w:t xml:space="preserve"> (einem behördlich anerkannten Vertragsarzt). Der eigene Hausarzt, und sei er noch so vertrauenswürdig, darf diese Untersuchung nicht durchführen; Ergebnisse von nicht gelisteten Ärzten werden automatisch abgelehnt. Je nach Alter gehören eine allgemeine körperliche Untersuchung, ein Röntgenbild des Brustkorbs ab 11 Jahren sowie Blut- und Urintests dazu. Die Kosten liegen bei 200 bis 450 CAD pro Erwachsenem und 140 bis 180 CAD pro Kind, direkt beim Arzt zu zahlen; das Ergebnis gilt 12 Monate. Seit dem 21. August 2025 müssen Express-Entry-Antragsteller auf dem Weg zur permanenten Aufenthaltserlaubnis die Untersuchung bereits vor der eigentlichen Antragstellung absolvieren, nicht erst danach.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Sonderfall, den man kennen sollte, ohne sich davon verunsichern zu lassen: Bei erheblichem, dauerhaftem Pflege- oder Behandlungsbedarf eines Familienmitglieds prüft IRCC, ob die zu erwartenden Kosten für das kanadische Gesundheits- oder Sozialsystem eine bestimmte Schwelle übersteigen – 2026 liegt sie bei 144.390 CAD über 5 Jahre. Das betrifft die wenigsten Familien, ist aber bei bekannten chronischen Erkrankungen oder Behinderungen eines Kindes ein Punkt, den du frühzeitig mit einer Fachperson besprechen solltest, nicht erst beim Untersuchungstermin.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Panel Physicians sind nicht an jeder deutschen Ecke zu finden. Buche den Termin, sobald die Aufforderung im IRCC-Konto erscheint – ein voller Terminkalender beim nächstgelegenen zugelassenen Arzt verzögert sonst den gesamten Antrag.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Polizeiliches Führungszeugnis: einfacher, als du vielleicht denkst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Antragstellerinnen und Antragsteller ab 18 Jahren verlangt IRCC ein </w:t>
      </w:r>
      <w:r>
        <w:rPr>
          <w:rFonts w:eastAsia="Cambria" w:cs="Cambria"/>
          <w:b w:val="false"/>
          <w:bCs w:val="false"/>
          <w:i/>
          <w:iCs/>
          <w:sz w:val="22"/>
          <w:szCs w:val="22"/>
        </w:rPr>
        <w:t>Police Certificate</w:t>
      </w:r>
      <w:r>
        <w:rPr>
          <w:rFonts w:eastAsia="Cambria" w:cs="Cambria"/>
          <w:b w:val="false"/>
          <w:bCs w:val="false"/>
          <w:i w:val="false"/>
          <w:iCs w:val="false"/>
          <w:sz w:val="22"/>
          <w:szCs w:val="22"/>
        </w:rPr>
        <w:t xml:space="preserve"> aus jedem Land, in dem seit dem 18. Geburtstag mindestens sechs zusammenhängende Monate gelebt wurde; das Zeugnis für das aktuelle Wohnsitzland muss zudem vergleichsweise frisch sein. Für Deutschland ist das der </w:t>
      </w:r>
      <w:r>
        <w:rPr>
          <w:rFonts w:eastAsia="Cambria" w:cs="Cambria"/>
          <w:b w:val="false"/>
          <w:bCs w:val="false"/>
          <w:i/>
          <w:iCs/>
          <w:sz w:val="22"/>
          <w:szCs w:val="22"/>
        </w:rPr>
        <w:t>Certificate of Good Conduct</w:t>
      </w:r>
      <w:r>
        <w:rPr>
          <w:rFonts w:eastAsia="Cambria" w:cs="Cambria"/>
          <w:b w:val="false"/>
          <w:bCs w:val="false"/>
          <w:i w:val="false"/>
          <w:iCs w:val="false"/>
          <w:sz w:val="22"/>
          <w:szCs w:val="22"/>
        </w:rPr>
        <w:t xml:space="preserve"> – das bekannte Führungszeugnis, das du beim Bundesamt für Justiz in Bonn online, postalisch oder persönlich beantragst, für 13 €.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Viele nehmen an, ein Führungszeugnis für eine ausländische Behörde brauche automatisch eine </w:t>
      </w:r>
      <w:r>
        <w:rPr>
          <w:rFonts w:eastAsia="Cambria" w:cs="Cambria"/>
          <w:b w:val="false"/>
          <w:bCs w:val="false"/>
          <w:i/>
          <w:iCs/>
          <w:sz w:val="22"/>
          <w:szCs w:val="22"/>
        </w:rPr>
        <w:t>Apostille</w:t>
      </w:r>
      <w:r>
        <w:rPr>
          <w:rFonts w:eastAsia="Cambria" w:cs="Cambria"/>
          <w:b w:val="false"/>
          <w:bCs w:val="false"/>
          <w:i w:val="false"/>
          <w:iCs w:val="false"/>
          <w:sz w:val="22"/>
          <w:szCs w:val="22"/>
        </w:rPr>
        <w:t>, die internationale Beglaubigung nach dem Haager Übereinkommen. Für Kanada ist das in aller Regel nicht der Fall. IRCC verlangt lediglich das Original; einzige Einschränkung: Wurde dein Führungszeugnis vor Februar 2019 ausgestellt, brauchst du zusätzlich eine beglaubigte Übersetzung ins Englische oder Französische, weil ältere Exemplare nur auf Deutsch ausgestellt wurden. Neuere Führungszeugnisse sind bereits mehrsprachig und werden ohne weitere Übersetzung akzeptiert.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seit dem 18. Geburtstag schon einmal länger als sechs Monate am Stück in einem dritten Land gelebt hat – ein Auslandssemester zählt in der Regel nicht, ein längerer Arbeitsaufenthalt schon –, braucht außerdem ein Führungszeugnis von dort. Das gerät in der Vorbereitung leicht in Vergessenheit, weil man zuerst nur an das eigene Heimatland denkt.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Einwanderungsberater oder allein durch den Antrag?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sich professionelle Unterstützung holen möchte, findet in Kanada einen eigenen regulierten Berufsstand: den </w:t>
      </w:r>
      <w:r>
        <w:rPr>
          <w:rFonts w:eastAsia="Cambria" w:cs="Cambria"/>
          <w:b w:val="false"/>
          <w:bCs w:val="false"/>
          <w:i/>
          <w:iCs/>
          <w:sz w:val="22"/>
          <w:szCs w:val="22"/>
        </w:rPr>
        <w:t>Regulated Canadian Immigration Consultant</w:t>
      </w:r>
      <w:r>
        <w:rPr>
          <w:rFonts w:eastAsia="Cambria" w:cs="Cambria"/>
          <w:b w:val="false"/>
          <w:bCs w:val="false"/>
          <w:i w:val="false"/>
          <w:iCs w:val="false"/>
          <w:sz w:val="22"/>
          <w:szCs w:val="22"/>
        </w:rPr>
        <w:t xml:space="preserve"> (RCIC, den zugelassenen Einwanderungsberater). Reguliert wird dieser Berufsstand vom </w:t>
      </w:r>
      <w:r>
        <w:rPr>
          <w:rFonts w:eastAsia="Cambria" w:cs="Cambria"/>
          <w:b w:val="false"/>
          <w:bCs w:val="false"/>
          <w:i/>
          <w:iCs/>
          <w:sz w:val="22"/>
          <w:szCs w:val="22"/>
        </w:rPr>
        <w:t>College of Immigration and Citizenship Consultants</w:t>
      </w:r>
      <w:r>
        <w:rPr>
          <w:rFonts w:eastAsia="Cambria" w:cs="Cambria"/>
          <w:b w:val="false"/>
          <w:bCs w:val="false"/>
          <w:i w:val="false"/>
          <w:iCs w:val="false"/>
          <w:sz w:val="22"/>
          <w:szCs w:val="22"/>
        </w:rPr>
        <w:t xml:space="preserve"> (CICC, der kanadischen Aufsichtsbehörde für Einwanderungsberater), das seit November 2021 die Zulassung und Disziplinarverfahren führt; ein öffentliches Register auf der CICC-Website zeigt, ob eine Person aktuell zugelassen ist. Daneben dürfen auch kanadische Rechtsanwälte einwanderungsrechtlich beraten.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ein einzelnes, klar geregeltes Arbeitsvisum brauchst du in der Regel keinen Berater. Bei Express Entry mit mehreren Familienmitgliedern, bei einer knappen Punktzahl, die durch eine Nominierung eines Provincial Nominee Program noch gerettet werden könnte, oder bei Vorstrafen und früheren Ablehnungen kann ein registrierter RCIC dagegen echte Fehler vermeiden. Er ersetzt aber keine Garantie: Niemand kann eine Einladung oder Genehmigung versprechen, und wer das behauptet, verkauft dir vor allem eine gut formulierte Rechnung. Warnsignale sind universell: Erfolgsgarantie, Drängen auf sofortige Vorkasse an ein Privatkonto, keine schriftliche Honorarvereinbarung, angebliche „Kontakte“ bei IRCC.</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beschreibt Verfahren und Praxis, keine Rechtsberatung. Bei komplexen Fällen – Vorstrafen, frühere Visumsablehnungen, ungewöhnliche Familienkonstellationen – lohnt sich die Beratung durch einen registrierten RCIC oder eine kanadische Anwältin mit Migrationsrecht als Schwerpunkt.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deutsche Auslandsvertretung – und die kanadische in Deutschland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Viele erwarten, dass die kanadische Botschaft in Berlin beim eigenen Visumantrag hilft oder wenigstens Auskunft gibt. Tatsächlich bearbeitet die Botschaft keine eingehenden Anträge deutscher Antragsteller; das erledigt IRCC ausschließlich online, wie oben beschrieben. Die kanadische Botschaft (Leipziger Platz 17, 10117 Berlin) und die Konsularvertretungen in München, Düsseldorf und Stuttgart sind in erster Linie für kanadische Staatsangehörige da – Pässe, Notfallhilfe, Beglaubigungen –, nicht für den deutschen Antragsteller im eigenen Wohnzimmer.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Umgekehrt gilt dasselbe für die deutsche Seite: Die deutschen Auslandsvertretungen in Kanada helfen bei deutschen Angelegenheiten, nicht beim kanadischen Verfahren. Das Netz ist dort in Amtsbezirke aufgeteilt, die auf den ersten Blick wenig mit der geografischen Logik einer Landkarte zu tun haben. Die Botschaft in Ottawa führt für die meisten konsularischen Fragen keinen eigenen Amtsbezirk; sie verweist an das Generalkonsulat Toronto. Dieses wiederum ist zuständig für Ontario, Manitoba, New Brunswick, Neufundland und Labrador, Nova Scotia, Prince Edward Island, Québec und das Territorium Nunavut – geografisch der halbe Kontinent. Für den Westen – British Columbia, Alberta, Saskatchewan, Yukon und die Nordwest-Territorien – ist stattdessen das Generalkonsulat Vancouver zuständig.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Lukas Berger mit Ziel Calgary bedeutet das etwas, das auf den ersten Blick wenig einleuchtet: Calgary liegt rund 1.000 Kilometer von Vancouver entfernt, konsularisch gehört er trotzdem dorthin – nicht zum vermeintlich naheliegenderen Toronto. Ein Generalkonsulat gibt es zudem in Montreal, das nach eigener Aufgabenbeschreibung allerdings keine klassischen Konsulardienste mehr anbietet; für Pass, Beglaubigung oder Notfallhilfe bleibt trotz Sitz in Québec das Generalkonsulat Toronto zuständig.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Welche deutsche Vertretung für dich zuständig ist, hängt von der Provinz ab, nicht von der Entfernung auf der Landkarte. Prüfe das früh, nicht erst, wenn du einen neuen Reisepass brauchst.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Lukas Berger (29, Öl- und Gasingenieur, Hannover) bekommt ein Jobangebot eines Unternehmens in Calgary, das für ihn die LMIA beantragt – Kosten für Lukas: nur die Work-Permit-Gebühr von 155 CAD plus 85 CAD Biometrie, den Rest trägt der Arbeitgeber. Sein Führungszeugnis braucht keine Apostille, seine Gesundheitsuntersuchung beim Panel Physician in Hannover kostet ihn rund 280 CAD. Vom Jobangebot bis zur Genehmigung des Arbeitsvisums vergehen gut fünf Monate – die LMIA seines Arbeitgebers allein braucht schon zwei davon. Für Passfragen bleibt Lukas später übrigens das Generalkonsulat Vancouver zuständig, nicht das geografisch nähere Toronto. (Fiktives Beispiel.)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Alles online nachverfolgbar, kein Reisen zu einem Konsulattermin nötig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Recht-auf-PR-Gebühr wird in ersten Kostenschätzungen leicht übersehen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Biometrie-Termin in Berlin gut erreichbar, keine lange Anfahrt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Gesundheitsuntersuchung nur bei zugelassenem Panel Physician möglich</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Apostille-Aufwand beim Führungszeugnis wie bei manch anderem Zielland</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Bearbeitungszeiten schwanken stark und sind reine Schätzwerte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Biometriegebühr pro Familie gedeckelt, nicht pro Kopf</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 Ablehnung sind alle gezahlten Gebühren verloren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Kläre zuerst über das Kapitel zum Arbeitsweg, welcher Weg für dich passt – das entscheidet, ob eine LMIA deines Arbeitgebers oder ein eigenes Express-Entry-Profil der erste Schritt ist. Lege dein IRCC-Konto an, kalkuliere die Gesamtkosten inklusive RPRF realistisch, und bestelle Führungszeugnis sowie gegebenenfalls die passende Übersetzung frühzeitig. Buche Biometrie- und Gesundheitstermin, sobald IRCC dich dazu auffordert, und entscheide bewusst, ob ein registrierter RCIC für deinen Fall einen Unterschied macht.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Zielweg geklärt (Work Permit LMIA-pflichtig/-frei, Express Entry, PNP, Study Permit)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IRCC-Kundenkonto angelegt, Benachrichtigungen aktiviert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Alle Gebühren realistisch kalkuliert, inklusive der separaten RPRF von 600 CAD pro Erwachsenem</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Führungszeugnis für jedes Land mit mindestens sechs zusammenhängenden Monaten Aufenthalt seit dem 18. Geburtstag beantragt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Führungszeugnis mit Ausstellungsdatum vor Februar 2019: beglaubigte Übersetzung eingeplant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Termin bei VFS Global Berlin für Biometrie gebucht, sobald IRCC dazu auffordert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Termin bei einem zugelassenen Panel Physician für die Gesundheitsuntersuchung terminiert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Entschieden, ob ein registrierter RCIC sinnvoll ist; Registrierung im CICC-Register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Zuständige deutsche Auslandsvertretung für die Zielprovinz identifiziert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Aktuelle Bearbeitungszeiten auf der IRCC-Seite geprüft, Job und Wohnung in Deutschland erst nach der Genehmigung gekündigt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IRCC — Gebühren: </w:t>
      </w:r>
      <w:hyperlink r:id="rId561">
        <w:r>
          <w:rPr>
            <w:rStyle w:val="ListLabel113"/>
            <w:rFonts w:eastAsia="Cambria" w:cs="Cambria"/>
            <w:b w:val="false"/>
            <w:bCs w:val="false"/>
            <w:i w:val="false"/>
            <w:iCs w:val="false"/>
            <w:color w:val="0563C1"/>
            <w:sz w:val="22"/>
            <w:szCs w:val="22"/>
            <w:u w:val="single"/>
          </w:rPr>
          <w:t>ircc.canada.ca/english/information/fees/fees.asp</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IRCC — Bearbeitungszeiten: </w:t>
      </w:r>
      <w:hyperlink r:id="rId562">
        <w:r>
          <w:rPr>
            <w:rStyle w:val="ListLabel113"/>
            <w:rFonts w:eastAsia="Cambria" w:cs="Cambria"/>
            <w:b w:val="false"/>
            <w:bCs w:val="false"/>
            <w:i w:val="false"/>
            <w:iCs w:val="false"/>
            <w:color w:val="0563C1"/>
            <w:sz w:val="22"/>
            <w:szCs w:val="22"/>
            <w:u w:val="single"/>
          </w:rPr>
          <w:t>canada.ca/en/immigration-refugees-citizenship/services/application/check-processing-times.html</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IRCC — Panel Physicians: </w:t>
      </w:r>
      <w:hyperlink r:id="rId563">
        <w:r>
          <w:rPr>
            <w:rStyle w:val="ListLabel113"/>
            <w:rFonts w:eastAsia="Cambria" w:cs="Cambria"/>
            <w:b w:val="false"/>
            <w:bCs w:val="false"/>
            <w:i w:val="false"/>
            <w:iCs w:val="false"/>
            <w:color w:val="0563C1"/>
            <w:sz w:val="22"/>
            <w:szCs w:val="22"/>
            <w:u w:val="single"/>
          </w:rPr>
          <w:t>canada.ca/en/immigration-refugees-citizenship/corporate/partners-service-providers/panel-physicians.html</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IRCC — Polizeiliches Führungszeugnis aus Deutschland: </w:t>
      </w:r>
      <w:hyperlink r:id="rId564">
        <w:r>
          <w:rPr>
            <w:rStyle w:val="ListLabel113"/>
            <w:rFonts w:eastAsia="Cambria" w:cs="Cambria"/>
            <w:b w:val="false"/>
            <w:bCs w:val="false"/>
            <w:i w:val="false"/>
            <w:iCs w:val="false"/>
            <w:color w:val="0563C1"/>
            <w:sz w:val="22"/>
            <w:szCs w:val="22"/>
            <w:u w:val="single"/>
          </w:rPr>
          <w:t>canada.ca/en/immigration-refugees-citizenship/services/application/medical-police/police-certificates/how/germany.html</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College of Immigration and Citizenship Consultants — Register: </w:t>
      </w:r>
      <w:hyperlink r:id="rId565">
        <w:r>
          <w:rPr>
            <w:rStyle w:val="ListLabel113"/>
            <w:rFonts w:eastAsia="Cambria" w:cs="Cambria"/>
            <w:b w:val="false"/>
            <w:bCs w:val="false"/>
            <w:i w:val="false"/>
            <w:iCs w:val="false"/>
            <w:color w:val="0563C1"/>
            <w:sz w:val="22"/>
            <w:szCs w:val="22"/>
            <w:u w:val="single"/>
          </w:rPr>
          <w:t>college-ic.ca</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VFS Global — Visa Application Centre Berlin: </w:t>
      </w:r>
      <w:hyperlink r:id="rId566">
        <w:r>
          <w:rPr>
            <w:rStyle w:val="ListLabel113"/>
            <w:rFonts w:eastAsia="Cambria" w:cs="Cambria"/>
            <w:b w:val="false"/>
            <w:bCs w:val="false"/>
            <w:i w:val="false"/>
            <w:iCs w:val="false"/>
            <w:color w:val="0563C1"/>
            <w:sz w:val="22"/>
            <w:szCs w:val="22"/>
            <w:u w:val="single"/>
          </w:rPr>
          <w:t>visa.vfsglobal.com/deu/de/can</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Deutsche Vertretungen in Kanada: </w:t>
      </w:r>
      <w:hyperlink r:id="rId567">
        <w:r>
          <w:rPr>
            <w:rStyle w:val="ListLabel113"/>
            <w:rFonts w:eastAsia="Cambria" w:cs="Cambria"/>
            <w:b w:val="false"/>
            <w:bCs w:val="false"/>
            <w:i w:val="false"/>
            <w:iCs w:val="false"/>
            <w:color w:val="0563C1"/>
            <w:sz w:val="22"/>
            <w:szCs w:val="22"/>
            <w:u w:val="single"/>
          </w:rPr>
          <w:t>kanada.diplo.de</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Bundesamt für Justiz — Führungszeugnis: </w:t>
      </w:r>
      <w:hyperlink r:id="rId568">
        <w:r>
          <w:rPr>
            <w:rStyle w:val="ListLabel113"/>
            <w:rFonts w:eastAsia="Cambria" w:cs="Cambria"/>
            <w:b w:val="false"/>
            <w:bCs w:val="false"/>
            <w:i w:val="false"/>
            <w:iCs w:val="false"/>
            <w:color w:val="0563C1"/>
            <w:sz w:val="22"/>
            <w:szCs w:val="22"/>
            <w:u w:val="single"/>
          </w:rPr>
          <w:t>bundesjustizamt.de</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schnell: Gebühren (letzte große Erhöhungsrunde 30. April 2026), Bearbeitungszeiten (fortlaufend aktualisiert), die Vorgabe zur vorgezogenen Gesundheitsuntersuchung bei Express Entry (seit 21. August 2025) sowie die Zuständigkeiten der deutschen Auslandsvertretungen. Prüfe vor jeder Entscheidung ircc.canada.ca und die Seiten der deutschen Vertretungen.</w:t>
            </w:r>
          </w:p>
        </w:tc>
      </w:tr>
    </w:tbl>
    <w:p>
      <w:pPr>
        <w:pStyle w:val="Normal"/>
        <w:spacing w:lineRule="exact" w:line="220" w:before="0" w:after="0"/>
        <w:rPr/>
      </w:pPr>
      <w:r>
        <w:rPr/>
      </w:r>
      <w:r>
        <w:br w:type="page"/>
      </w:r>
    </w:p>
    <w:p>
      <w:pPr>
        <w:pStyle w:val="Heading2"/>
        <w:keepNext w:val="true"/>
        <w:spacing w:before="0" w:after="300"/>
        <w:jc w:val="center"/>
        <w:rPr/>
      </w:pPr>
      <w:bookmarkStart w:id="147" w:name="__RefHeading___Toc56577_3769931028"/>
      <w:bookmarkStart w:id="148" w:name="tka06"/>
      <w:bookmarkEnd w:id="147"/>
      <w:r>
        <w:rPr>
          <w:rFonts w:eastAsia="Amazon Ember" w:cs="Amazon Ember" w:ascii="Amazon Ember" w:hAnsi="Amazon Ember"/>
          <w:b/>
          <w:bCs/>
          <w:color w:val="0000FF"/>
          <w:sz w:val="36"/>
          <w:szCs w:val="36"/>
        </w:rPr>
        <w:t>Kanada: Ankunft, erste Tage und Wochen</w:t>
      </w:r>
      <w:bookmarkEnd w:id="148"/>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Koffer steht noch halb gepackt in der Ecke, der Jetlag hat sich noch nicht verzogen, und schon wartet ein Stapel erster Termine, von dem kein Reiseführer je etwas erwähnt hat: eine Sozialversicherungsnummer, ein Bankkonto, eine Handynummer, eine Krankenversicherungskarte, irgendwann auch eine Wohnung, die nicht nur für zwei Wochen gemietet ist. Wer aus Deutschland kommt, unterschätzt gern, wie viel Verwaltung sich in den ersten kanadischen Wochen ballt – nicht, weil Kanada besonders bürokratisch wäre, sondern weil sich höflich und gründlich hier offenbar nicht gegenseitig ausschließen. Dieses Kapitel bringt Reihenfolge in das Durcheinander zwischen Landung und dem Gefühl, tatsächlich angekommen zu sein.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Die Einreisekontrolle der </w:t>
            </w:r>
            <w:r>
              <w:rPr>
                <w:rFonts w:eastAsia="Cambria" w:cs="Cambria"/>
                <w:b w:val="false"/>
                <w:bCs w:val="false"/>
                <w:i/>
                <w:iCs/>
                <w:sz w:val="20"/>
                <w:szCs w:val="20"/>
              </w:rPr>
              <w:t>Canada Border Services Agency</w:t>
            </w:r>
            <w:r>
              <w:rPr>
                <w:rFonts w:eastAsia="Cambria" w:cs="Cambria"/>
                <w:b w:val="false"/>
                <w:bCs w:val="false"/>
                <w:i w:val="false"/>
                <w:iCs w:val="false"/>
                <w:sz w:val="20"/>
                <w:szCs w:val="20"/>
              </w:rPr>
              <w:t xml:space="preserve"> (CBSA, der kanadische Grenzschutz) ist meist zügig – bei einer permanenten Aufenthaltserlaubnis wird dort aber erst formal dein Status wirksam, nicht schon mit der Genehmigung aus Deutschland.</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Beantrage die </w:t>
            </w:r>
            <w:r>
              <w:rPr>
                <w:rFonts w:eastAsia="Cambria" w:cs="Cambria"/>
                <w:b w:val="false"/>
                <w:bCs w:val="false"/>
                <w:i/>
                <w:iCs/>
                <w:sz w:val="20"/>
                <w:szCs w:val="20"/>
              </w:rPr>
              <w:t>Social Insurance Number</w:t>
            </w:r>
            <w:r>
              <w:rPr>
                <w:rFonts w:eastAsia="Cambria" w:cs="Cambria"/>
                <w:b w:val="false"/>
                <w:bCs w:val="false"/>
                <w:i w:val="false"/>
                <w:iCs w:val="false"/>
                <w:sz w:val="20"/>
                <w:szCs w:val="20"/>
              </w:rPr>
              <w:t xml:space="preserve"> (SIN, die kanadische Sozialversicherungsnummer) sofort: kostenlos, oft binnen fünf Werktagen bestätigt, aber ohne sie kein Gehalt und keine Steuererklärung.</w:t>
            </w:r>
          </w:p>
          <w:p>
            <w:pPr>
              <w:pStyle w:val="ListParagraph"/>
              <w:numPr>
                <w:ilvl w:val="0"/>
                <w:numId w:val="1"/>
              </w:numPr>
              <w:spacing w:lineRule="exact" w:line="264" w:before="0" w:after="50"/>
              <w:rPr/>
            </w:pPr>
            <w:r>
              <w:rPr>
                <w:rFonts w:eastAsia="Cambria" w:cs="Cambria"/>
                <w:b w:val="false"/>
                <w:bCs w:val="false"/>
                <w:i w:val="false"/>
                <w:iCs w:val="false"/>
                <w:sz w:val="20"/>
                <w:szCs w:val="20"/>
              </w:rPr>
              <w:t>Ein Bankkonto lässt sich bei mehreren Großbanken schon von Deutschland aus online vorbereiten.</w:t>
            </w:r>
          </w:p>
          <w:p>
            <w:pPr>
              <w:pStyle w:val="ListParagraph"/>
              <w:numPr>
                <w:ilvl w:val="0"/>
                <w:numId w:val="1"/>
              </w:numPr>
              <w:spacing w:lineRule="exact" w:line="264" w:before="0" w:after="50"/>
              <w:rPr/>
            </w:pPr>
            <w:r>
              <w:rPr>
                <w:rFonts w:eastAsia="Cambria" w:cs="Cambria"/>
                <w:b w:val="false"/>
                <w:bCs w:val="false"/>
                <w:i w:val="false"/>
                <w:iCs w:val="false"/>
                <w:sz w:val="20"/>
                <w:szCs w:val="20"/>
              </w:rPr>
              <w:t>Ob du sofort Zugang zur staatlichen Provinz-Krankenversicherung hast, hängt stark von der Provinz ab – Ontario ohne Wartezeit, andere Provinzen mit bis zu drei Monaten.</w:t>
            </w:r>
          </w:p>
          <w:p>
            <w:pPr>
              <w:pStyle w:val="ListParagraph"/>
              <w:numPr>
                <w:ilvl w:val="0"/>
                <w:numId w:val="1"/>
              </w:numPr>
              <w:spacing w:lineRule="exact" w:line="264" w:before="0" w:after="50"/>
              <w:rPr/>
            </w:pPr>
            <w:r>
              <w:rPr>
                <w:rFonts w:eastAsia="Cambria" w:cs="Cambria"/>
                <w:b w:val="false"/>
                <w:bCs w:val="false"/>
                <w:i w:val="false"/>
                <w:iCs w:val="false"/>
                <w:sz w:val="20"/>
                <w:szCs w:val="20"/>
              </w:rPr>
              <w:t>Organisiere SIM-Karte und Internet früh, idealerweise schon vor dem Abflug.</w:t>
            </w:r>
          </w:p>
          <w:p>
            <w:pPr>
              <w:pStyle w:val="ListParagraph"/>
              <w:numPr>
                <w:ilvl w:val="0"/>
                <w:numId w:val="1"/>
              </w:numPr>
              <w:spacing w:lineRule="exact" w:line="264" w:before="0" w:after="50"/>
              <w:rPr/>
            </w:pPr>
            <w:r>
              <w:rPr>
                <w:rFonts w:eastAsia="Cambria" w:cs="Cambria"/>
                <w:b w:val="false"/>
                <w:bCs w:val="false"/>
                <w:i w:val="false"/>
                <w:iCs w:val="false"/>
                <w:sz w:val="20"/>
                <w:szCs w:val="20"/>
              </w:rPr>
              <w:t>Buche die erste Unterkunft nur als flexible Übergangslösung; die eigentliche Wohnungssuche läuft besser vor Ort.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Einreise: CBSA und die eigentliche „Landung“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An der Grenzkontrolle prüft die CBSA Pass und Einreisedokumente; für die meisten deutschen Reisenden geht das ohne größere Umstände. Wer allerdings mit einer bereits genehmigten permanenten Aufenthaltserlaubnis (PR) einreist, erlebt einen Verwaltungsschritt, der in Erzählungen gern untergeht: Der PR-Status wird nicht schon mit der IRCC-Genehmigung in Deutschland wirksam, sondern erst mit der sogenannten „Landung“ an der Grenze, bei der ein CBSA-Beamter deine </w:t>
      </w:r>
      <w:r>
        <w:rPr>
          <w:rFonts w:eastAsia="Cambria" w:cs="Cambria"/>
          <w:b w:val="false"/>
          <w:bCs w:val="false"/>
          <w:i/>
          <w:iCs/>
          <w:sz w:val="22"/>
          <w:szCs w:val="22"/>
        </w:rPr>
        <w:t>Confirmation of Permanent Residence</w:t>
      </w:r>
      <w:r>
        <w:rPr>
          <w:rFonts w:eastAsia="Cambria" w:cs="Cambria"/>
          <w:b w:val="false"/>
          <w:bCs w:val="false"/>
          <w:i w:val="false"/>
          <w:iCs w:val="false"/>
          <w:sz w:val="22"/>
          <w:szCs w:val="22"/>
        </w:rPr>
        <w:t xml:space="preserve"> (COPR, die Bestätigung des permanenten Aufenthalts) prüft und deinen Status offiziell aktiviert. Ohne dieses Dokument im Handgepäck – nicht im aufgegebenen Koffer – klappt die Landung nicht.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stattdessen mit einem befristeten Arbeitsvisum einreist, bekommt das eigentliche, physische Arbeitsvisum in vielen Fällen ebenfalls erst am Grenzübergang ausgestellt, auf Basis der vorab von IRCC erteilten Genehmigung. Führe deshalb sämtliche Bestätigungsschreiben, die Genehmigung deines Arbeitgebers und, falls schon erledigt, die Ergebnisse der Gesundheitsuntersuchung griffbereit im Handgepäck mit, nicht nur digital auf dem Handy, dessen Akku ausgerechnet nach zehn Stunden Flug selten volle Leistung zeigt.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Verwechsle die IRCC-Genehmigung nicht mit der tatsächlichen Einreiseerlaubnis. Beides ist rechtlich getrennt, und der zweite Schritt findet ausschließlich am Grenzübergang statt – vorbereitet, aber nicht vorweggenommen.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Vom Flughafen kommst du in Toronto, Calgary oder Vancouver meist per Zug, Bus, Taxi oder Fahrdienst wie Uber in die Innenstadt; der </w:t>
      </w:r>
      <w:r>
        <w:rPr>
          <w:rFonts w:eastAsia="Cambria" w:cs="Cambria"/>
          <w:b w:val="false"/>
          <w:bCs w:val="false"/>
          <w:i/>
          <w:iCs/>
          <w:sz w:val="22"/>
          <w:szCs w:val="22"/>
        </w:rPr>
        <w:t>Union Pearson Express</w:t>
      </w:r>
      <w:r>
        <w:rPr>
          <w:rFonts w:eastAsia="Cambria" w:cs="Cambria"/>
          <w:b w:val="false"/>
          <w:bCs w:val="false"/>
          <w:i w:val="false"/>
          <w:iCs w:val="false"/>
          <w:sz w:val="22"/>
          <w:szCs w:val="22"/>
        </w:rPr>
        <w:t xml:space="preserve"> etwa verbindet den Flughafen Toronto Pearson direkt und ohne Umsteigen mit der Innenstadt. Wechsle nur so viel Bargeld wie nötig am Flughafenschalter – die Kurse dort sind selten die besten –, den Rest erledigst du bequemer über Karte oder das neue Konto.</w:t>
      </w:r>
    </w:p>
    <w:p>
      <w:pPr>
        <w:pStyle w:val="Heading3"/>
        <w:keepNext w:val="true"/>
        <w:spacing w:before="280" w:after="100"/>
        <w:jc w:val="center"/>
        <w:rPr/>
      </w:pPr>
      <w:r>
        <w:rPr>
          <w:rFonts w:eastAsia="Amazon Ember" w:cs="Amazon Ember" w:ascii="Amazon Ember" w:hAnsi="Amazon Ember"/>
          <w:b/>
          <w:bCs/>
          <w:color w:val="0000FF"/>
          <w:sz w:val="36"/>
          <w:szCs w:val="36"/>
        </w:rPr>
        <w:t>Jetlag, Zeitzonen und die ersten Tage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Kanada ist geografisch so groß, dass ein einzelner „Zeitunterschied zu Kanada“ wenig aussagt: Toronto liegt in der Eastern Time Zone, rund sechs Stunden hinter Deutschland, Calgary in der Mountain Time Zone, rund acht Stunden dahinter – und wer beide Städte auf einer Reise verbinden will, verschiebt die eigene innere Uhr gleich zweimal. Plane die ersten zwei, drei Tage bewusst ohne wichtige Termine ein: kein Bankgespräch am Ankunftstag, keine Wohnungsbesichtigung mit Kopfschmerzen vom Nachtflug. Tageslicht, ein kurzer Spaziergang und das bewusste Durchhalten bis zum lokalen Abend helfen dem Rhythmus spürbar schneller auf die Sprünge als noch eine Tasse Kaffee.</w:t>
      </w:r>
    </w:p>
    <w:p>
      <w:pPr>
        <w:pStyle w:val="Heading3"/>
        <w:keepNext w:val="true"/>
        <w:spacing w:before="280" w:after="100"/>
        <w:jc w:val="center"/>
        <w:rPr/>
      </w:pPr>
      <w:r>
        <w:rPr>
          <w:rFonts w:eastAsia="Amazon Ember" w:cs="Amazon Ember" w:ascii="Amazon Ember" w:hAnsi="Amazon Ember"/>
          <w:b/>
          <w:bCs/>
          <w:color w:val="0000FF"/>
          <w:sz w:val="36"/>
          <w:szCs w:val="36"/>
        </w:rPr>
        <w:t>Die Social Insurance Number: dein erster Behördengang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Eine der ersten Amtshandlungen nach der Ankunft sollte die Beantragung der SIN sein – der neunstelligen Nummer, ohne die in Kanada weder ein Gehalt fließt noch eine Steuererklärung möglich ist, und ohne die auch ein vollwertiges Bankkonto kaum zu eröffnen ist. Die Beantragung ist in allen drei Verfahren kostenlos: online über das eSIN-Portal mit hochgeladenen Dokumentenkopien, postalisch mit unterschriebenem Formular, oder persönlich bei einer Filiale von </w:t>
      </w:r>
      <w:r>
        <w:rPr>
          <w:rFonts w:eastAsia="Cambria" w:cs="Cambria"/>
          <w:b w:val="false"/>
          <w:bCs w:val="false"/>
          <w:i/>
          <w:iCs/>
          <w:sz w:val="22"/>
          <w:szCs w:val="22"/>
        </w:rPr>
        <w:t>Service Canada</w:t>
      </w:r>
      <w:r>
        <w:rPr>
          <w:rFonts w:eastAsia="Cambria" w:cs="Cambria"/>
          <w:b w:val="false"/>
          <w:bCs w:val="false"/>
          <w:i w:val="false"/>
          <w:iCs w:val="false"/>
          <w:sz w:val="22"/>
          <w:szCs w:val="22"/>
        </w:rPr>
        <w:t xml:space="preserve"> – dort meist mit sofortiger Ausstellung. Nötig sind ein gültiges Primärdokument (Pass plus Arbeits- oder Studienvisum beziehungsweise die PR-Bestätigung) sowie ein Sekundärdokument zum Identitätsnachweis. Die Online-Bestätigung dauert in der Regel bis zu fünf Werktage über dein </w:t>
      </w:r>
      <w:r>
        <w:rPr>
          <w:rFonts w:eastAsia="Cambria" w:cs="Cambria"/>
          <w:b w:val="false"/>
          <w:bCs w:val="false"/>
          <w:i/>
          <w:iCs/>
          <w:sz w:val="22"/>
          <w:szCs w:val="22"/>
        </w:rPr>
        <w:t>My Service Canada Account</w:t>
      </w:r>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mit einem befristeten Visum einreist, erhält eine SIN, die mit der Ziffer 9 beginnt und ein Ablaufdatum entsprechend dem Visum trägt; nach dem Wechsel zum PR-Status beantragst du eine neue, unbefristete SIN. Trage dir außerdem fest ein: Ohne SIN behält mancher Arbeitgeber vorsorglich einen höheren Steuersatz ein, den du dir erst über die nächste Steuererklärung zurückholst – ein Betrag, der in den ohnehin teuren ersten Wochen schlicht fehlt.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Die SIN ist reine Steuer- und Arbeits-ID. Für die Provinz-Krankenversicherung und für Sozialleistungen meldest du dich separat an – dazu gleich mehr. Das </w:t>
            </w:r>
            <w:hyperlink w:anchor="tka07">
              <w:r>
                <w:rPr>
                  <w:rStyle w:val="ListLabel116"/>
                  <w:rFonts w:eastAsia="Cambria" w:cs="Cambria"/>
                  <w:b w:val="false"/>
                  <w:bCs w:val="false"/>
                  <w:i w:val="false"/>
                  <w:iCs w:val="false"/>
                  <w:color w:val="0563C1"/>
                  <w:sz w:val="20"/>
                  <w:szCs w:val="20"/>
                  <w:u w:val="single"/>
                </w:rPr>
                <w:t>Kapitel zu Steuer-ID, Bank und Kredit in diesem Teil</w:t>
              </w:r>
            </w:hyperlink>
            <w:r>
              <w:rPr>
                <w:rFonts w:eastAsia="Cambria" w:cs="Cambria"/>
                <w:b w:val="false"/>
                <w:bCs w:val="false"/>
                <w:i w:val="false"/>
                <w:iCs w:val="false"/>
                <w:sz w:val="20"/>
                <w:szCs w:val="20"/>
              </w:rPr>
              <w:t xml:space="preserve"> vertieft, was danach mit deiner ersten Steuererklärung als „Newcomer“ passiert.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Bankkonto: am besten schon vor dem Abflug vorbereitet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Gehalt, Miete und Alltag brauchst du ein kanadisches Bankkonto – und die gute Nachricht vorweg: Bei den „Big Five“, den fünf großen Retailbanken (Royal Bank of Canada, TD, Scotiabank, BMO, CIBC), lässt sich ein Konto oft schon von Deutschland aus online vorbereiten, teils Wochen vor dem Abflug. Alle fünf bieten dedizierte Newcomer-Pakete mit gebührenfreier Kontoführung für einen befristeten Zeitraum und einer ersten Kreditkarte ohne kanadische Bonitätshistorie. Nutze das, wenn deine Zielbank es anbietet: Dann bist du vom ersten Arbeitstag an zahlungsfähig, statt in der turbulentesten Woche noch einen Filialtermin einzuschieben. Ohne Voreröffnung holst du das nach der Landung nach; alle Banken verlangen dafür einmalig eine persönliche Identifizierung mit Pass und Aufenthaltsnachweis in der Filiale.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zweiter Punkt, den viele erst hier lernen: Deine deutsche Bonität zählt in Kanada nicht das Geringste. Die kanadischen Auskunfteien Equifax Canada und TransUnion Canada übernehmen keine ausländische Kredithistorie – der Aufbau beginnt bei null, unabhängig davon, wie zuverlässig du in Deutschland je deine Rechnungen bezahlt hast. Der klassische Weg: eine </w:t>
      </w:r>
      <w:r>
        <w:rPr>
          <w:rFonts w:eastAsia="Cambria" w:cs="Cambria"/>
          <w:b w:val="false"/>
          <w:bCs w:val="false"/>
          <w:i/>
          <w:iCs/>
          <w:sz w:val="22"/>
          <w:szCs w:val="22"/>
        </w:rPr>
        <w:t>Secured Credit Card</w:t>
      </w:r>
      <w:r>
        <w:rPr>
          <w:rFonts w:eastAsia="Cambria" w:cs="Cambria"/>
          <w:b w:val="false"/>
          <w:bCs w:val="false"/>
          <w:i w:val="false"/>
          <w:iCs w:val="false"/>
          <w:sz w:val="22"/>
          <w:szCs w:val="22"/>
        </w:rPr>
        <w:t xml:space="preserve"> (eine durch Kaution gedeckte Kreditkarte) oder direkt eine Newcomer-Kreditkarte deiner Bank ohne Kaution, aktiv und pünktlich genutzt. Ein erster Score liegt meist nach 90 bis 180 Tagen regelmäßig gemeldeter Nutzung vor. Wie du Kreditwürdigkeit gezielt aufbaust und welche Bank sich wirklich lohnt, vertieft das </w:t>
      </w:r>
      <w:hyperlink w:anchor="tka07">
        <w:r>
          <w:rPr>
            <w:rStyle w:val="ListLabel113"/>
            <w:rFonts w:eastAsia="Cambria" w:cs="Cambria"/>
            <w:b w:val="false"/>
            <w:bCs w:val="false"/>
            <w:i w:val="false"/>
            <w:iCs w:val="false"/>
            <w:color w:val="0563C1"/>
            <w:sz w:val="22"/>
            <w:szCs w:val="22"/>
            <w:u w:val="single"/>
          </w:rPr>
          <w:t>Kapitel zu Steuer-ID, Bank und Kredit in diesem Teil</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Beantrage die Kreditkarte gleich in der ersten Woche, auch wenn du sie kaum brauchst. Jeder Monat, den du wartest, ist ein Monat, den du später bei Miet-, Auto- oder Hypothekenanträgen an Kredithistorie vermisst.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Provinz-Krankenversicherung: der Unterschied, der sofort zählt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Kanada hat kein einziges nationales „Medicare“-System, sondern 13 getrennte Provinz- und Territorialsysteme mit gemeinsamem gesetzlichem Rahmen. Für Neuankömmlinge ist das mehr als eine verwaltungstechnische Feinheit: Ob du ab Tag eins abgesichert bist oder erst nach einer Wartefrist, entscheidet allein die Provinz, in der du dich niederlässt.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Ontario (</w:t>
      </w:r>
      <w:r>
        <w:rPr>
          <w:rFonts w:eastAsia="Cambria" w:cs="Cambria"/>
          <w:b w:val="false"/>
          <w:bCs w:val="false"/>
          <w:i/>
          <w:iCs/>
          <w:sz w:val="22"/>
          <w:szCs w:val="22"/>
        </w:rPr>
        <w:t>OHIP</w:t>
      </w:r>
      <w:r>
        <w:rPr>
          <w:rFonts w:eastAsia="Cambria" w:cs="Cambria"/>
          <w:b w:val="false"/>
          <w:bCs w:val="false"/>
          <w:i w:val="false"/>
          <w:iCs w:val="false"/>
          <w:sz w:val="22"/>
          <w:szCs w:val="22"/>
        </w:rPr>
        <w:t>, dem Ontario Health Insurance Plan) wurde die frühere dreimonatige Wartefrist bereits 2020 abgeschafft; die Deckung gilt ab Antragstellung, die Karte selbst kommt praktisch erst vier bis sechs Wochen später per Post. In British Columbia (</w:t>
      </w:r>
      <w:r>
        <w:rPr>
          <w:rFonts w:eastAsia="Cambria" w:cs="Cambria"/>
          <w:b w:val="false"/>
          <w:bCs w:val="false"/>
          <w:i/>
          <w:iCs/>
          <w:sz w:val="22"/>
          <w:szCs w:val="22"/>
        </w:rPr>
        <w:t>MSP</w:t>
      </w:r>
      <w:r>
        <w:rPr>
          <w:rFonts w:eastAsia="Cambria" w:cs="Cambria"/>
          <w:b w:val="false"/>
          <w:bCs w:val="false"/>
          <w:i w:val="false"/>
          <w:iCs w:val="false"/>
          <w:sz w:val="22"/>
          <w:szCs w:val="22"/>
        </w:rPr>
        <w:t>, dem Medical Services Plan) dagegen bleibt eine Wartefrist von drei vollen Kalendermonaten plus dem Rest des Ankunftsmonats bestehen, auch wenn die Versicherung selbst seit 2020 beitragsfrei ist. Für Alberta und Saskatchewan berichten mehrere unabhängige Quellen von keiner oder nur einer sehr kurzen Wartefrist – im Einzelfall lohnt sich vor dem Umzug trotzdem eine direkte Nachfrage bei der Provinzbehörde, da diese Angabe nicht amtlich im Detail geprüft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jede Wartefrist gilt dieselbe Empfehlung: eine private Übergangsversicherung abschließen, nicht abwarten und hoffen. Anbieter wie Manulife, Sun Life oder Blue Cross bieten Policen für Neuankömmlinge in einer Preisspanne von grob 100 bis 200 CAD pro Person und Monat, je nach Deckungsumfang. Was die Provinz-Pläne abdecken – und was, wie Zahnbehandlung oder Medikamente außerhalb des Krankenhauses, meist zusätzlich versichert werden muss –, erklärt das </w:t>
      </w:r>
      <w:hyperlink w:anchor="tka08">
        <w:r>
          <w:rPr>
            <w:rStyle w:val="ListLabel113"/>
            <w:rFonts w:eastAsia="Cambria" w:cs="Cambria"/>
            <w:b w:val="false"/>
            <w:bCs w:val="false"/>
            <w:i w:val="false"/>
            <w:iCs w:val="false"/>
            <w:color w:val="0563C1"/>
            <w:sz w:val="22"/>
            <w:szCs w:val="22"/>
            <w:u w:val="single"/>
          </w:rPr>
          <w:t>Kapitel zum Gesundheitssystem in diesem Teil</w:t>
        </w:r>
      </w:hyperlink>
      <w:r>
        <w:rPr>
          <w:rFonts w:eastAsia="Cambria" w:cs="Cambria"/>
          <w:b w:val="false"/>
          <w:bCs w:val="false"/>
          <w:i w:val="false"/>
          <w:iCs w:val="false"/>
          <w:sz w:val="22"/>
          <w:szCs w:val="22"/>
        </w:rPr>
        <w:t xml:space="preserve"> ausführlich.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Verwechsle die Regeln deiner Zielprovinz nicht mit denen einer anderen. Wer aus Erzählungen von Bekannten in Toronto ableitet, es gebe generell keine Wartefrist in Kanada, steht in Vancouver oder Montreal unter Umständen drei Monate ohne jede staatliche Absicherung da.</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Ahrens landet mit bereits genehmigtem PR-Status in Toronto und lässt die COPR bei der CBSA prüfen – ab diesem Moment sind alle vier offiziell Permanent Residents. Noch in derselben Woche beantragen Markus und Julia online die SIN für sich und die Kinder, bestätigt binnen vier Werktagen. Da Ontario keine Wartefrist kennt, melden sie sich direkt für die Gesundheitskarten an; die Plastikkarten selbst treffen erst gut einen Monat später per Post ein, bis dahin gilt für die Familie noch die deutsche Auslandskrankenversicherung. Das Bankkonto bei einer der Big-Five-Banken hatte Julia bereits vier Wochen vor dem Abflug online eingerichtet – am zweiten Tag in Toronto reicht ein kurzer Filialbesuch zur Identifizierung. (Fiktives Beispiel.)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SIM-Karte und Internet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Deutsche Mobilfunktarife bieten für Kanada in aller Regel kein EU-Roaming, und wer das erst am Flughafen bemerkt, zahlt für die ersten Anrufe unangenehm viel. Praktischer ist eine </w:t>
      </w:r>
      <w:r>
        <w:rPr>
          <w:rFonts w:eastAsia="Cambria" w:cs="Cambria"/>
          <w:b w:val="false"/>
          <w:bCs w:val="false"/>
          <w:i/>
          <w:iCs/>
          <w:sz w:val="22"/>
          <w:szCs w:val="22"/>
        </w:rPr>
        <w:t>eSIM</w:t>
      </w:r>
      <w:r>
        <w:rPr>
          <w:rFonts w:eastAsia="Cambria" w:cs="Cambria"/>
          <w:b w:val="false"/>
          <w:bCs w:val="false"/>
          <w:i w:val="false"/>
          <w:iCs w:val="false"/>
          <w:sz w:val="22"/>
          <w:szCs w:val="22"/>
        </w:rPr>
        <w:t xml:space="preserve"> (eine rein digitale SIM-Karte) mit Kanada-Datenpaket, eingerichtet schon vor dem Abflug, oder eine physische Prepaid-SIM direkt nach der Landung – erhältlich an Kiosken im Ankunftsbereich, in Drogerien und bei den Netzbetreibern selbst. Die drei etablierten Anbieter Rogers, Bell und Telus decken das Land am dichtesten ab, auch abseits der Großstädte, verlangen dafür aber meist höhere Preise als ihre eigenen Zweitmarken – etwa Fido, Koodo, Virgin Plus oder Chatr –, die auf demselben Netz laufen, jedoch günstiger und meist ganz ohne Bonitätsprüfung zu haben sind. Für den Anfang ist Prepaid die unkompliziertere Wahl; einen Laufzeitvertrag verlangt ohnehin oft eine kanadische Kreditkarte oder Bonitätsprüfung, die frisch Angekommene naturgemäß noch nicht vorweisen können. Behalte deine deutsche Nummer als Zweit-SIM, solange dort noch Bestätigungscodes von Bank oder deutschen Behörden ankommen.</w:t>
      </w:r>
    </w:p>
    <w:p>
      <w:pPr>
        <w:pStyle w:val="Heading3"/>
        <w:keepNext w:val="true"/>
        <w:spacing w:before="280" w:after="100"/>
        <w:jc w:val="center"/>
        <w:rPr/>
      </w:pPr>
      <w:r>
        <w:rPr>
          <w:rFonts w:eastAsia="Amazon Ember" w:cs="Amazon Ember" w:ascii="Amazon Ember" w:hAnsi="Amazon Ember"/>
          <w:b/>
          <w:bCs/>
          <w:color w:val="0000FF"/>
          <w:sz w:val="36"/>
          <w:szCs w:val="36"/>
        </w:rPr>
        <w:t>Die erste Wohnung: Übergang und Suche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erste kanadische Adresse ist selten die endgültige, und so solltest du sie auch buchen: mit kostenloser Stornierung, ohne Langzeitvertrag. Ein möbliertes Apartment auf Zeit, ein Airbnb oder ein Hotel mit Wochenpreisen überbrücken die ersten ein bis zwei Wochen, in denen du erst SIN, Bankkonto und einen ersten Gehaltsnachweis vorweisen solltest, bevor du dich um einen regulären Mietvertrag bemühst – viele Vermieter verlangen genau diese Unterlagen als Teil der Bewerbung.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eigentliche Wohnungssuche läuft überwiegend online über Immobilienportale; wer sich bewirbt, legt in der Regel Gehaltsnachweis oder Jobangebot, Referenzen und einen Ausweis mit Aufenthaltsnachweis vor. Eine kanadische Kredithistorie hast du naturgemäß noch nicht, weshalb manche Vermieter eine höhere Kaution, eine Bürgschaft oder gleich mehrere Monatsmieten im Voraus verlangen – Praxis und genaue Regeln unterscheiden sich je nach Provinz spürbar. Rechne außerdem mit einer Kaution, deren Höhe und Hinterlegungsart ebenfalls je nach Provinz geregelt ist. Mietpreise, Kautionshöhen und die passende Stadt nach Berufsfeld und Budget behandelt das </w:t>
      </w:r>
      <w:hyperlink w:anchor="tka09">
        <w:r>
          <w:rPr>
            <w:rStyle w:val="ListLabel113"/>
            <w:rFonts w:eastAsia="Cambria" w:cs="Cambria"/>
            <w:b w:val="false"/>
            <w:bCs w:val="false"/>
            <w:i w:val="false"/>
            <w:iCs w:val="false"/>
            <w:color w:val="0563C1"/>
            <w:sz w:val="22"/>
            <w:szCs w:val="22"/>
            <w:u w:val="single"/>
          </w:rPr>
          <w:t>Kapitel zum Wohnen in diesem Teil</w:t>
        </w:r>
      </w:hyperlink>
      <w:r>
        <w:rPr>
          <w:rFonts w:eastAsia="Cambria" w:cs="Cambria"/>
          <w:b w:val="false"/>
          <w:bCs w:val="false"/>
          <w:i w:val="false"/>
          <w:iCs w:val="false"/>
          <w:sz w:val="22"/>
          <w:szCs w:val="22"/>
        </w:rPr>
        <w:t xml:space="preserve"> ausführlich.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Nutze die Tage in der Übergangsunterkunft aktiv für Besichtigungen, statt erst mit schrumpfendem Hotelbudget in Torschlusspanik zu geraten. Mit vollständigen Unterlagen und einer Terminliste in der Tasche kommst du in begehrten Vierteln von Toronto oder Vancouver deutlich weiter als mit der Hoffnung, es werde sich schon fügen.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ersten zwei Wochen als Fahrplan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folgende Übersicht ordnet die wichtigsten Schritte grob nach Zeitpunkt – wie schnell es tatsächlich geht, hängt von Visumtyp, Provinz und Flug ab.</w:t>
      </w:r>
    </w:p>
    <w:tbl>
      <w:tblPr>
        <w:tblW w:w="6480" w:type="dxa"/>
        <w:jc w:val="left"/>
        <w:tblInd w:w="0" w:type="dxa"/>
        <w:tblLayout w:type="fixed"/>
        <w:tblCellMar>
          <w:top w:w="50" w:type="dxa"/>
          <w:left w:w="80" w:type="dxa"/>
          <w:bottom w:w="50" w:type="dxa"/>
          <w:right w:w="80" w:type="dxa"/>
        </w:tblCellMar>
      </w:tblPr>
      <w:tblGrid>
        <w:gridCol w:w="949"/>
        <w:gridCol w:w="4352"/>
        <w:gridCol w:w="1179"/>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Zeitraum</w:t>
            </w:r>
          </w:p>
        </w:tc>
        <w:tc>
          <w:tcPr>
            <w:tcW w:w="435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Aufgabe</w:t>
            </w:r>
          </w:p>
        </w:tc>
        <w:tc>
          <w:tcPr>
            <w:tcW w:w="117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Mehr dazu</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Tag 1–2</w:t>
            </w:r>
          </w:p>
        </w:tc>
        <w:tc>
          <w:tcPr>
            <w:tcW w:w="43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Einreise, Landung/COPR-Prüfung, Übergangsunterkunft beziehen, SIM aktivieren</w:t>
            </w:r>
          </w:p>
        </w:tc>
        <w:tc>
          <w:tcPr>
            <w:tcW w:w="11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Tag 2–4</w:t>
            </w:r>
          </w:p>
        </w:tc>
        <w:tc>
          <w:tcPr>
            <w:tcW w:w="43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SIN beantragen; Bankkonto eröffnen oder vor Ort verifizieren</w:t>
            </w:r>
          </w:p>
        </w:tc>
        <w:tc>
          <w:tcPr>
            <w:tcW w:w="11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Steuer-ID/Bank</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Tag 3–10</w:t>
            </w:r>
          </w:p>
        </w:tc>
        <w:tc>
          <w:tcPr>
            <w:tcW w:w="43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Anmeldung bei der Provinz-Krankenversicherung, sofern keine Wartefrist gilt; sonst private Übergangsversicherung prüfen</w:t>
            </w:r>
          </w:p>
        </w:tc>
        <w:tc>
          <w:tcPr>
            <w:tcW w:w="11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Gesundheitssystem</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Woche 1–2</w:t>
            </w:r>
          </w:p>
        </w:tc>
        <w:tc>
          <w:tcPr>
            <w:tcW w:w="43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Wohnungssuche: Portale einrichten, Besichtigungen, Bewerbungsmappe vorbereiten</w:t>
            </w:r>
          </w:p>
        </w:tc>
        <w:tc>
          <w:tcPr>
            <w:tcW w:w="11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Woche 2</w:t>
            </w:r>
          </w:p>
        </w:tc>
        <w:tc>
          <w:tcPr>
            <w:tcW w:w="43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Erste Rückfragen zu Lohnsteuerabzug und Sozialleistungen mit dem Arbeitgeber klären</w:t>
            </w:r>
          </w:p>
        </w:tc>
        <w:tc>
          <w:tcPr>
            <w:tcW w:w="11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Steuer-ID/Bank</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Lukas Berger reist mit seinem Arbeitsvisum allein nach Calgary, zunächst für zwei Wochen in ein möbliertes Apartment mit Wochenpreis. Am dritten Tag holt er seine vorab online bestellte Prepaid-SIM in einer Drogerie ab, am vierten Tag beantragt er online die SIN – bestätigt fünf Tage später. Da Alberta laut den ihm vorliegenden Informationen ohne nennenswerte Wartefrist arbeitet, meldet er sich in der zweiten Woche direkt bei der Provinzbehörde für die Gesundheitsversicherung an, sicherheitshalber mit einer zusätzlichen kurzen privaten Überbrückungspolice für die ersten Tage. Die Wohnungssuche beginnt er bewusst erst, nachdem der erste Gehaltsnachweis vorliegt. (Fiktives Beispiel.)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157"/>
        <w:gridCol w:w="3322"/>
      </w:tblGrid>
      <w:tr>
        <w:trPr>
          <w:tblHeader w:val="true"/>
          <w:cantSplit w:val="true"/>
        </w:trPr>
        <w:tc>
          <w:tcPr>
            <w:tcW w:w="315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32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1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Bankkonto oft schon vor Abflug online vorbereitbar</w:t>
            </w:r>
          </w:p>
        </w:tc>
        <w:tc>
          <w:tcPr>
            <w:tcW w:w="33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SIN erst nach Ankunft mit gültigem Status-Nachweis beantragbar</w:t>
            </w:r>
          </w:p>
        </w:tc>
      </w:tr>
      <w:tr>
        <w:trPr>
          <w:cantSplit w:val="true"/>
        </w:trPr>
        <w:tc>
          <w:tcPr>
            <w:tcW w:w="31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SIN-Bestätigung meist innerhalb weniger Werktage</w:t>
            </w:r>
          </w:p>
        </w:tc>
        <w:tc>
          <w:tcPr>
            <w:tcW w:w="33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Kanadische Kredithistorie beginnt trotz deutscher Bonität bei null</w:t>
            </w:r>
          </w:p>
        </w:tc>
      </w:tr>
      <w:tr>
        <w:trPr>
          <w:cantSplit w:val="true"/>
        </w:trPr>
        <w:tc>
          <w:tcPr>
            <w:tcW w:w="31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Ontario ganz ohne Wartefrist beim Gesundheitssystem</w:t>
            </w:r>
          </w:p>
        </w:tc>
        <w:tc>
          <w:tcPr>
            <w:tcW w:w="33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BC und einige andere Provinzen mit bis zu drei Monaten Wartefrist</w:t>
            </w:r>
          </w:p>
        </w:tc>
      </w:tr>
      <w:tr>
        <w:trPr>
          <w:cantSplit w:val="true"/>
        </w:trPr>
        <w:tc>
          <w:tcPr>
            <w:tcW w:w="31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Prepaid-SIM unkompliziert und ohne Bonitätsprüfung</w:t>
            </w:r>
          </w:p>
        </w:tc>
        <w:tc>
          <w:tcPr>
            <w:tcW w:w="33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Wohnungssuche ohne Kredithistorie stellenweise mühsam</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Kläre vor dem Abflug, welche Bank eine Online-Voreröffnung anbietet, richte die eSIM ein und buche eine flexible Übergangsunterkunft. Nach der Landung hat die SIN-Beantragung Priorität, dicht gefolgt von der Anmeldung bei der Provinz-Krankenversicherung oder, bei Wartefrist, der Bestätigung deiner privaten Übergangsversicherung. Starte parallel mit der Wohnungssuche, statt sie auf später zu verschieben.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Bank-Voreröffnung vor Abflug geprüft, sonst Filialtermin für die erste Woche eingeplant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eSIM oder Prepaid-SIM organisiert, deutsche Nummer als Zweit-SIM behalten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Übergangsunterkunft mit Stornierungsoption für mindestens ein bis zwei Wochen gebucht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COPR beziehungsweise Visumsbestätigung und alle Nachweise griffbereit im Handgepäck</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SIN-Antrag direkt nach Ankunft gestellt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Wartefrist der Ziel-Provinz beim Gesundheitssystem vorab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Wartefrist: private Übergangsversicherung ab Ankunftstag aktiv</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Secured Credit Card oder Newcomer-Kreditkarte in der ersten Woche beantragt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Bewerbungsmappe für die Wohnungssuche zusammengestellt (Gehaltsnachweis, Referenzen, Ausweis)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Canada Border Services Agency — Einreise: </w:t>
      </w:r>
      <w:hyperlink r:id="rId569">
        <w:r>
          <w:rPr>
            <w:rStyle w:val="ListLabel113"/>
            <w:rFonts w:eastAsia="Cambria" w:cs="Cambria"/>
            <w:b w:val="false"/>
            <w:bCs w:val="false"/>
            <w:i w:val="false"/>
            <w:iCs w:val="false"/>
            <w:color w:val="0563C1"/>
            <w:sz w:val="22"/>
            <w:szCs w:val="22"/>
            <w:u w:val="single"/>
          </w:rPr>
          <w:t>cbsa-asfc.gc.ca</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Service Canada — Social Insurance Number: </w:t>
      </w:r>
      <w:hyperlink r:id="rId570">
        <w:r>
          <w:rPr>
            <w:rStyle w:val="ListLabel113"/>
            <w:rFonts w:eastAsia="Cambria" w:cs="Cambria"/>
            <w:b w:val="false"/>
            <w:bCs w:val="false"/>
            <w:i w:val="false"/>
            <w:iCs w:val="false"/>
            <w:color w:val="0563C1"/>
            <w:sz w:val="22"/>
            <w:szCs w:val="22"/>
            <w:u w:val="single"/>
          </w:rPr>
          <w:t>canada.ca/en/employment-social-development/services/sin.html</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Ontario — OHIP-Anmeldung: </w:t>
      </w:r>
      <w:hyperlink r:id="rId571">
        <w:r>
          <w:rPr>
            <w:rStyle w:val="ListLabel113"/>
            <w:rFonts w:eastAsia="Cambria" w:cs="Cambria"/>
            <w:b w:val="false"/>
            <w:bCs w:val="false"/>
            <w:i w:val="false"/>
            <w:iCs w:val="false"/>
            <w:color w:val="0563C1"/>
            <w:sz w:val="22"/>
            <w:szCs w:val="22"/>
            <w:u w:val="single"/>
          </w:rPr>
          <w:t>ontario.ca/page/apply-ohip-and-get-health-card</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British Columbia — MSP-Wartefrist: </w:t>
      </w:r>
      <w:hyperlink r:id="rId572">
        <w:r>
          <w:rPr>
            <w:rStyle w:val="ListLabel113"/>
            <w:rFonts w:eastAsia="Cambria" w:cs="Cambria"/>
            <w:b w:val="false"/>
            <w:bCs w:val="false"/>
            <w:i w:val="false"/>
            <w:iCs w:val="false"/>
            <w:color w:val="0563C1"/>
            <w:sz w:val="22"/>
            <w:szCs w:val="22"/>
            <w:u w:val="single"/>
          </w:rPr>
          <w:t>www2.gov.bc.ca/gov/content/health/health-drug-coverage/msp</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CRA — Steuern für Neuankömmlinge: </w:t>
      </w:r>
      <w:hyperlink r:id="rId573">
        <w:r>
          <w:rPr>
            <w:rStyle w:val="ListLabel113"/>
            <w:rFonts w:eastAsia="Cambria" w:cs="Cambria"/>
            <w:b w:val="false"/>
            <w:bCs w:val="false"/>
            <w:i w:val="false"/>
            <w:iCs w:val="false"/>
            <w:color w:val="0563C1"/>
            <w:sz w:val="22"/>
            <w:szCs w:val="22"/>
            <w:u w:val="single"/>
          </w:rPr>
          <w:t>canada.ca/en/revenue-agency/services/tax/individuals/international-tax/newcomers-canada-immigrants.html</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Deutsche Vertretungen in Kanada: </w:t>
      </w:r>
      <w:hyperlink r:id="rId574">
        <w:r>
          <w:rPr>
            <w:rStyle w:val="ListLabel113"/>
            <w:rFonts w:eastAsia="Cambria" w:cs="Cambria"/>
            <w:b w:val="false"/>
            <w:bCs w:val="false"/>
            <w:i w:val="false"/>
            <w:iCs w:val="false"/>
            <w:color w:val="0563C1"/>
            <w:sz w:val="22"/>
            <w:szCs w:val="22"/>
            <w:u w:val="single"/>
          </w:rPr>
          <w:t>kanada.diplo.de</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schnell: Wartefristen der Provinz-Krankenversicherungen, SIN-Verfahren, Bankkonditionen für Neuankömmlinge sowie Mobilfunktarife. Prüfe vor der Einreise die aktuellen Seiten von CBSA, Service Canada und der Provinzbehörde deines Zielorts.</w:t>
            </w:r>
          </w:p>
        </w:tc>
      </w:tr>
    </w:tbl>
    <w:p>
      <w:pPr>
        <w:pStyle w:val="Normal"/>
        <w:spacing w:lineRule="exact" w:line="220" w:before="0" w:after="0"/>
        <w:rPr/>
      </w:pPr>
      <w:r>
        <w:rPr/>
      </w:r>
      <w:r>
        <w:br w:type="page"/>
      </w:r>
    </w:p>
    <w:p>
      <w:pPr>
        <w:pStyle w:val="Heading2"/>
        <w:keepNext w:val="true"/>
        <w:spacing w:before="0" w:after="300"/>
        <w:jc w:val="center"/>
        <w:rPr/>
      </w:pPr>
      <w:bookmarkStart w:id="149" w:name="__RefHeading___Toc56579_3769931028"/>
      <w:bookmarkStart w:id="150" w:name="tka07"/>
      <w:bookmarkEnd w:id="149"/>
      <w:r>
        <w:rPr>
          <w:rFonts w:eastAsia="Amazon Ember" w:cs="Amazon Ember" w:ascii="Amazon Ember" w:hAnsi="Amazon Ember"/>
          <w:b/>
          <w:bCs/>
          <w:color w:val="0000FF"/>
          <w:sz w:val="36"/>
          <w:szCs w:val="36"/>
        </w:rPr>
        <w:t>Kanada: SIN, Steuern, Bank und Kredit aufbauen</w:t>
      </w:r>
      <w:bookmarkEnd w:id="150"/>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Lukas Bergers erster Arbeitstag in Calgary beginnt vielversprechend: Bürotour, Laptop, ein Firmenausweis mit einem Foto, auf dem er müder aussieht, als er sich fühlt. Dann fragt die Personalabteilung nach seiner </w:t>
      </w:r>
      <w:r>
        <w:rPr>
          <w:rFonts w:eastAsia="Cambria" w:cs="Cambria"/>
          <w:b w:val="false"/>
          <w:bCs w:val="false"/>
          <w:i/>
          <w:iCs/>
          <w:sz w:val="22"/>
          <w:szCs w:val="22"/>
        </w:rPr>
        <w:t>Social Insurance Number</w:t>
      </w:r>
      <w:r>
        <w:rPr>
          <w:rFonts w:eastAsia="Cambria" w:cs="Cambria"/>
          <w:b w:val="false"/>
          <w:bCs w:val="false"/>
          <w:i w:val="false"/>
          <w:iCs w:val="false"/>
          <w:sz w:val="22"/>
          <w:szCs w:val="22"/>
        </w:rPr>
        <w:t xml:space="preserve"> (SIN, der neunstelligen kanadischen Sozialversicherungsnummer) – und Lukas muss zugeben, dass er sie noch gar nicht hat. Kein Beinbruch, aber ein deutlicher Hinweis darauf, dass ein kanadisches Arbeitsleben mit einem Formular beginnt, nicht mit einem Handschlag. Dieses Kapitel zeigt, wie du die SIN beantragst, wie das kanadische Steuersystem für Neuankömmlinge funktioniert, was Einkommen- und Verbrauchsteuer je nach Provinz kosten – und wie du dir bei null eine kanadische Kreditwürdigkeit aufbaust.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Die SIN beantragst du kostenlos online, per Post oder persönlich; ohne sie gibt es kein Gehalt, keine Steuererklärung und kein vollwertiges Bankkonto.</w:t>
            </w:r>
          </w:p>
          <w:p>
            <w:pPr>
              <w:pStyle w:val="ListParagraph"/>
              <w:numPr>
                <w:ilvl w:val="0"/>
                <w:numId w:val="1"/>
              </w:numPr>
              <w:spacing w:lineRule="exact" w:line="264" w:before="0" w:after="50"/>
              <w:rPr/>
            </w:pPr>
            <w:r>
              <w:rPr>
                <w:rFonts w:eastAsia="Cambria" w:cs="Cambria"/>
                <w:b w:val="false"/>
                <w:bCs w:val="false"/>
                <w:i w:val="false"/>
                <w:iCs w:val="false"/>
                <w:sz w:val="20"/>
                <w:szCs w:val="20"/>
              </w:rPr>
              <w:t>Kanada besteuert nach steuerlicher Ansässigkeit, nicht nach Staatsangehörigkeit: Ab dem Tag deiner Ansässigkeit zählt dein Weltjahreseinkommen.</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Der bisherige GST/HST-Credit wird zum 3. Juli 2026 durch die neue </w:t>
            </w:r>
            <w:r>
              <w:rPr>
                <w:rFonts w:eastAsia="Cambria" w:cs="Cambria"/>
                <w:b w:val="false"/>
                <w:bCs w:val="false"/>
                <w:i/>
                <w:iCs/>
                <w:sz w:val="20"/>
                <w:szCs w:val="20"/>
              </w:rPr>
              <w:t>Canada Groceries and Essentials Benefit</w:t>
            </w:r>
            <w:r>
              <w:rPr>
                <w:rFonts w:eastAsia="Cambria" w:cs="Cambria"/>
                <w:b w:val="false"/>
                <w:bCs w:val="false"/>
                <w:i w:val="false"/>
                <w:iCs w:val="false"/>
                <w:sz w:val="20"/>
                <w:szCs w:val="20"/>
              </w:rPr>
              <w:t xml:space="preserve"> (CGEB) abgelöst – melde dich trotzdem früh mit Formular RC151 an.</w:t>
            </w:r>
          </w:p>
          <w:p>
            <w:pPr>
              <w:pStyle w:val="ListParagraph"/>
              <w:numPr>
                <w:ilvl w:val="0"/>
                <w:numId w:val="1"/>
              </w:numPr>
              <w:spacing w:lineRule="exact" w:line="264" w:before="0" w:after="50"/>
              <w:rPr/>
            </w:pPr>
            <w:r>
              <w:rPr>
                <w:rFonts w:eastAsia="Cambria" w:cs="Cambria"/>
                <w:b w:val="false"/>
                <w:bCs w:val="false"/>
                <w:i w:val="false"/>
                <w:iCs w:val="false"/>
                <w:sz w:val="20"/>
                <w:szCs w:val="20"/>
              </w:rPr>
              <w:t>Einkommensteuer ist Bundessache plus Provinzsache: 2026 liegt der Bundessatz zwischen 14 % und 33 %, dazu kommt eine eigene Provinztabelle – Ontario und British Columbia unterscheiden sich in der Spitzenbelastung deutlich.</w:t>
            </w:r>
          </w:p>
          <w:p>
            <w:pPr>
              <w:pStyle w:val="ListParagraph"/>
              <w:numPr>
                <w:ilvl w:val="0"/>
                <w:numId w:val="1"/>
              </w:numPr>
              <w:spacing w:lineRule="exact" w:line="264" w:before="0" w:after="50"/>
              <w:rPr/>
            </w:pPr>
            <w:r>
              <w:rPr>
                <w:rFonts w:eastAsia="Cambria" w:cs="Cambria"/>
                <w:b w:val="false"/>
                <w:bCs w:val="false"/>
                <w:i w:val="false"/>
                <w:iCs w:val="false"/>
                <w:sz w:val="20"/>
                <w:szCs w:val="20"/>
              </w:rPr>
              <w:t>Die Mehrwertsteuer reicht von 5 % in Alberta bis 15 % in mehreren Ostprovinzen – ein Umzug über eine Provinzgrenze verändert jeden Einkaufszettel.</w:t>
            </w:r>
          </w:p>
          <w:p>
            <w:pPr>
              <w:pStyle w:val="ListParagraph"/>
              <w:numPr>
                <w:ilvl w:val="0"/>
                <w:numId w:val="1"/>
              </w:numPr>
              <w:spacing w:lineRule="exact" w:line="264" w:before="0" w:after="50"/>
              <w:rPr/>
            </w:pPr>
            <w:r>
              <w:rPr>
                <w:rFonts w:eastAsia="Cambria" w:cs="Cambria"/>
                <w:b w:val="false"/>
                <w:bCs w:val="false"/>
                <w:i w:val="false"/>
                <w:iCs w:val="false"/>
                <w:sz w:val="20"/>
                <w:szCs w:val="20"/>
              </w:rPr>
              <w:t>Deine deutsche Bonität zählt bei Equifax Canada und TransUnion Canada nichts: Du baust deine Kreditwürdigkeit über eine gesicherte Kreditkarte oder ein Newcomer-Paket der großen Banken neu auf.</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SIN: dein Zugang zum System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SIN ist die Voraussetzung, um in Kanada legal zu arbeiten, Steuererklärungen abzugeben und Sozialleistungen wie die </w:t>
      </w:r>
      <w:r>
        <w:rPr>
          <w:rFonts w:eastAsia="Cambria" w:cs="Cambria"/>
          <w:b w:val="false"/>
          <w:bCs w:val="false"/>
          <w:i/>
          <w:iCs/>
          <w:sz w:val="22"/>
          <w:szCs w:val="22"/>
        </w:rPr>
        <w:t>Employment Insurance</w:t>
      </w:r>
      <w:r>
        <w:rPr>
          <w:rFonts w:eastAsia="Cambria" w:cs="Cambria"/>
          <w:b w:val="false"/>
          <w:bCs w:val="false"/>
          <w:i w:val="false"/>
          <w:iCs w:val="false"/>
          <w:sz w:val="22"/>
          <w:szCs w:val="22"/>
        </w:rPr>
        <w:t xml:space="preserve"> (Arbeitslosenversicherung) oder den </w:t>
      </w:r>
      <w:r>
        <w:rPr>
          <w:rFonts w:eastAsia="Cambria" w:cs="Cambria"/>
          <w:b w:val="false"/>
          <w:bCs w:val="false"/>
          <w:i/>
          <w:iCs/>
          <w:sz w:val="22"/>
          <w:szCs w:val="22"/>
        </w:rPr>
        <w:t>Canada Pension Plan</w:t>
      </w:r>
      <w:r>
        <w:rPr>
          <w:rFonts w:eastAsia="Cambria" w:cs="Cambria"/>
          <w:b w:val="false"/>
          <w:bCs w:val="false"/>
          <w:i w:val="false"/>
          <w:iCs w:val="false"/>
          <w:sz w:val="22"/>
          <w:szCs w:val="22"/>
        </w:rPr>
        <w:t xml:space="preserve"> (CPP, die gesetzliche Rente) zu beziehen. Auch ein Bankkonto mit vollem Funktionsumfang setzt sie in der Regel voraus. Ohne SIN bist du im kanadischen System schlicht nicht vorhanden – eine erstaunlich wirkungsvolle Art, dir vorübergehend jede Bürokratie zu ersparen, nur leider auch jedes Gehalt.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Drei Wege führen zur SIN: online über das </w:t>
      </w:r>
      <w:r>
        <w:rPr>
          <w:rFonts w:eastAsia="Cambria" w:cs="Cambria"/>
          <w:b w:val="false"/>
          <w:bCs w:val="false"/>
          <w:i/>
          <w:iCs/>
          <w:sz w:val="22"/>
          <w:szCs w:val="22"/>
        </w:rPr>
        <w:t>eSIN-Portal</w:t>
      </w:r>
      <w:r>
        <w:rPr>
          <w:rFonts w:eastAsia="Cambria" w:cs="Cambria"/>
          <w:b w:val="false"/>
          <w:bCs w:val="false"/>
          <w:i w:val="false"/>
          <w:iCs w:val="false"/>
          <w:sz w:val="22"/>
          <w:szCs w:val="22"/>
        </w:rPr>
        <w:t xml:space="preserve"> (die digitale Antragsstrecke von Service Canada) mit hochgeladenen Dokumentkopien, postalisch mit unterschriebenem Antrag und Originaldokumenten, oder persönlich in einer Service-Canada-Filiale, wo die Nummer meist sofort ausgestellt wird. Du brauchst ein gültiges Primärdokument, das Identität und legalen Status in Kanada belegt – etwa dein Work Permit oder die PR-Karte –, dazu ein Sekundärdokument wie den Reisepass. Bei Namensabweichungen zwischen den Dokumenten verlangt Service Canada einen zusätzlichen Nachweis. Die Beantragung ist in allen drei Verfahren kostenlos; die Online-Bestätigung kommt meist binnen fünf Werktagen über dein </w:t>
      </w:r>
      <w:r>
        <w:rPr>
          <w:rFonts w:eastAsia="Cambria" w:cs="Cambria"/>
          <w:b w:val="false"/>
          <w:bCs w:val="false"/>
          <w:i/>
          <w:iCs/>
          <w:sz w:val="22"/>
          <w:szCs w:val="22"/>
        </w:rPr>
        <w:t>My Service Canada Account</w:t>
      </w:r>
      <w:r>
        <w:rPr>
          <w:rFonts w:eastAsia="Cambria" w:cs="Cambria"/>
          <w:b w:val="false"/>
          <w:bCs w:val="false"/>
          <w:i w:val="false"/>
          <w:iCs w:val="false"/>
          <w:sz w:val="22"/>
          <w:szCs w:val="22"/>
        </w:rPr>
        <w:t xml:space="preserve"> (MSCA, das persönliche Online-Konto bei Service Canada).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Inhaber befristeter Aufenthaltstitel – also Work oder Study Permit – erhalten eine SIN, die mit der Ziffer „9“ beginnt und ein Ablaufdatum entsprechend dem Aufenthaltstitel trägt. Nach der Umstellung auf den unbefristeten </w:t>
      </w:r>
      <w:r>
        <w:rPr>
          <w:rFonts w:eastAsia="Cambria" w:cs="Cambria"/>
          <w:b w:val="false"/>
          <w:bCs w:val="false"/>
          <w:i/>
          <w:iCs/>
          <w:sz w:val="22"/>
          <w:szCs w:val="22"/>
        </w:rPr>
        <w:t>Permanent-Resident</w:t>
      </w:r>
      <w:r>
        <w:rPr>
          <w:rFonts w:eastAsia="Cambria" w:cs="Cambria"/>
          <w:b w:val="false"/>
          <w:bCs w:val="false"/>
          <w:i w:val="false"/>
          <w:iCs w:val="false"/>
          <w:sz w:val="22"/>
          <w:szCs w:val="22"/>
        </w:rPr>
        <w:t>-Status (PR) musst du eine neue, unbefristete SIN beantragen; die alte „9er“-Nummer läuft dann einfach aus.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Beantrage die SIN in deiner ersten Woche in Kanada, auch wenn Wohnungssuche und Jetlag drängender wirken. Ohne SIN kann die Personalabteilung deinen Lohn nicht korrekt melden, und die erste Gehaltsabrechnung verzögert sich im ungünstigsten Fall um Wochen.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Anders als in den USA wird die SIN in der Praxis seltener als allgemeiner Ausweis bei Vermietern oder Ladengeschäften verlangt; gib sie deshalb nur an autorisierte Stellen weiter – Arbeitgeber, die Steuerbehörde </w:t>
      </w:r>
      <w:r>
        <w:rPr>
          <w:rFonts w:eastAsia="Cambria" w:cs="Cambria"/>
          <w:b w:val="false"/>
          <w:bCs w:val="false"/>
          <w:i/>
          <w:iCs/>
          <w:sz w:val="22"/>
          <w:szCs w:val="22"/>
        </w:rPr>
        <w:t>Canada Revenue Agency</w:t>
      </w:r>
      <w:r>
        <w:rPr>
          <w:rFonts w:eastAsia="Cambria" w:cs="Cambria"/>
          <w:b w:val="false"/>
          <w:bCs w:val="false"/>
          <w:i w:val="false"/>
          <w:iCs w:val="false"/>
          <w:sz w:val="22"/>
          <w:szCs w:val="22"/>
        </w:rPr>
        <w:t xml:space="preserve"> (CRA) und Banken für Zinsmeldungen. Eine SIN-Karte im Portemonnaie ist ebenso riskant wie eine Kreditkarte: lieber zu Hause verwahren und nur die Nummer selbst bei Bedarf mitteilen.</w:t>
      </w:r>
    </w:p>
    <w:p>
      <w:pPr>
        <w:pStyle w:val="Heading3"/>
        <w:keepNext w:val="true"/>
        <w:spacing w:before="280" w:after="100"/>
        <w:jc w:val="center"/>
        <w:rPr/>
      </w:pPr>
      <w:r>
        <w:rPr>
          <w:rFonts w:eastAsia="Amazon Ember" w:cs="Amazon Ember" w:ascii="Amazon Ember" w:hAnsi="Amazon Ember"/>
          <w:b/>
          <w:bCs/>
          <w:color w:val="0000FF"/>
          <w:sz w:val="36"/>
          <w:szCs w:val="36"/>
        </w:rPr>
        <w:t>CRA: Besteuerung nach Wohnsitz statt nach Pass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CRA ist die kanadische Bundessteuerbehörde und damit ungefähr das, was in Deutschland Finanzamt und Bundeszentralamt für Steuern zusammen wären. Entscheidend für Neuankömmlinge ist ein einziges Prinzip: Kanada besteuert nach steuerlicher Ansässigkeit (</w:t>
      </w:r>
      <w:r>
        <w:rPr>
          <w:rFonts w:eastAsia="Cambria" w:cs="Cambria"/>
          <w:b w:val="false"/>
          <w:bCs w:val="false"/>
          <w:i/>
          <w:iCs/>
          <w:sz w:val="22"/>
          <w:szCs w:val="22"/>
        </w:rPr>
        <w:t>Residency</w:t>
      </w:r>
      <w:r>
        <w:rPr>
          <w:rFonts w:eastAsia="Cambria" w:cs="Cambria"/>
          <w:b w:val="false"/>
          <w:bCs w:val="false"/>
          <w:i w:val="false"/>
          <w:iCs w:val="false"/>
          <w:sz w:val="22"/>
          <w:szCs w:val="22"/>
        </w:rPr>
        <w:t>), nicht nach Staatsangehörigkeit. Sobald du im Einwanderungsjahr als ansässig giltst, musst du ab genau diesem Tag dein Weltjahreseinkommen versteuern; Einkommen, das du vor dem Zuzug im Ausland erzielt hast, bleibt in Kanada steuerfrei.</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das erste Jahr deiner steuerlichen Ansässigkeit giltst du bei der CRA als „Newcomer“. Der persönliche Grundfreibetrag (</w:t>
      </w:r>
      <w:r>
        <w:rPr>
          <w:rFonts w:eastAsia="Cambria" w:cs="Cambria"/>
          <w:b w:val="false"/>
          <w:bCs w:val="false"/>
          <w:i/>
          <w:iCs/>
          <w:sz w:val="22"/>
          <w:szCs w:val="22"/>
        </w:rPr>
        <w:t>Basic Personal Amount</w:t>
      </w:r>
      <w:r>
        <w:rPr>
          <w:rFonts w:eastAsia="Cambria" w:cs="Cambria"/>
          <w:b w:val="false"/>
          <w:bCs w:val="false"/>
          <w:i w:val="false"/>
          <w:iCs w:val="false"/>
          <w:sz w:val="22"/>
          <w:szCs w:val="22"/>
        </w:rPr>
        <w:t>) wird dabei anteilig nach den Tagen berechnet, die du im Jahr tatsächlich in Kanada ansässig warst – ziehst du im September zu, bekommst du also nur einen Bruchteil des vollen Jahresfreibetrags. Die SIN ist Voraussetzung für die elektronische Steuererklärung; ohne sie bleibt nur der Postweg.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Zwei Formulare lohnen sich früh, nicht erst zur ersten Steuererklärung: Mit Formular RC151 (</w:t>
      </w:r>
      <w:r>
        <w:rPr>
          <w:rFonts w:eastAsia="Cambria" w:cs="Cambria"/>
          <w:b w:val="false"/>
          <w:bCs w:val="false"/>
          <w:i/>
          <w:iCs/>
          <w:sz w:val="22"/>
          <w:szCs w:val="22"/>
        </w:rPr>
        <w:t>GST/HST Credit Application for Individuals Who Become Residents of Canada</w:t>
      </w:r>
      <w:r>
        <w:rPr>
          <w:rFonts w:eastAsia="Cambria" w:cs="Cambria"/>
          <w:b w:val="false"/>
          <w:bCs w:val="false"/>
          <w:i w:val="false"/>
          <w:iCs w:val="false"/>
          <w:sz w:val="22"/>
          <w:szCs w:val="22"/>
        </w:rPr>
        <w:t xml:space="preserve">) meldest du dich für die Verbrauchsteuer-Gutschrift an; mit Formular RC66 beantragst du, sofern du Kinder hast, die </w:t>
      </w:r>
      <w:r>
        <w:rPr>
          <w:rFonts w:eastAsia="Cambria" w:cs="Cambria"/>
          <w:b w:val="false"/>
          <w:bCs w:val="false"/>
          <w:i/>
          <w:iCs/>
          <w:sz w:val="22"/>
          <w:szCs w:val="22"/>
        </w:rPr>
        <w:t>Canada Child Benefit</w:t>
      </w:r>
      <w:r>
        <w:rPr>
          <w:rFonts w:eastAsia="Cambria" w:cs="Cambria"/>
          <w:b w:val="false"/>
          <w:bCs w:val="false"/>
          <w:i w:val="false"/>
          <w:iCs w:val="false"/>
          <w:sz w:val="22"/>
          <w:szCs w:val="22"/>
        </w:rPr>
        <w:t xml:space="preserve"> (das kanadische Kindergeld). Der Anspruch kann schon vor der ersten Steuererklärung entstehen – wer wartet, verschenkt bares Geld.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Reiche RC151 und, falls zutreffend, RC66 gleich mit dem SIN-Antrag oder kurz nach der Ankunft ein. Beide Leistungen laufen unabhängig von deiner ersten Steuererklärung und sollen speziell die ersten, finanziell engen Monate abfedern.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Reform 2026: Vom GST/HST-Credit zur CGEB</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bisherige GST/HST-Credit – eine vierteljährliche Gutschrift, die einen Teil der Verbrauchsteuerlast für niedrige und mittlere Einkommen ausgleicht – wird zum Zahlungstermin 3. Juli 2026 durch die neue </w:t>
      </w:r>
      <w:r>
        <w:rPr>
          <w:rFonts w:eastAsia="Cambria" w:cs="Cambria"/>
          <w:b w:val="false"/>
          <w:bCs w:val="false"/>
          <w:i/>
          <w:iCs/>
          <w:sz w:val="22"/>
          <w:szCs w:val="22"/>
        </w:rPr>
        <w:t>Canada Groceries and Essentials Benefit</w:t>
      </w:r>
      <w:r>
        <w:rPr>
          <w:rFonts w:eastAsia="Cambria" w:cs="Cambria"/>
          <w:b w:val="false"/>
          <w:bCs w:val="false"/>
          <w:i w:val="false"/>
          <w:iCs w:val="false"/>
          <w:sz w:val="22"/>
          <w:szCs w:val="22"/>
        </w:rPr>
        <w:t xml:space="preserve"> (CGEB, wörtlich „Kanada-Zuschuss für Lebensmittel und Grundbedarf“) abgelöst. Die letzte reguläre GST/HST-Credit-Zahlung nach altem System erfolgt am 2. April 2026, dazwischen gibt es einen einmaligen Zuschlag am 5. Juni 2026.</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genauen Anspruchsvoraussetzungen und Beträge der CGEB waren zum Zeitpunkt dieses Kapitels noch nicht im Detail dokumentiert – die Reform wurde erst im Januar 2026 angekündigt. Melde dich trotzdem, wie oben beschrieben, über RC151 an: Diese Anmeldung bleibt die Grundlage, über die dich die CRA für die Nachfolgeleistung berücksichtigt.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Verlass dich vor deiner Ankunft nicht auf konkrete CGEB-Beträge aus Foren oder älteren Ratgebern. Prüfe kurz vor dem Umzug direkt bei der CRA (canada.ca), wie die Leistung zum Zeitpunkt deiner Einwanderung tatsächlich ausgestaltet ist.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Einkommensteuer: Bund, Ontario, British Columbia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Deine Einkommensteuer setzt sich in Kanada aus zwei Schichten zusammen: einem Bundestarif, der überall gleich gilt, und einem Provinztarif, der von Provinz zu Provinz erheblich variiert. Für 2026 gilt bundesweit dieser progressive Tarif:</w:t>
      </w:r>
    </w:p>
    <w:tbl>
      <w:tblPr>
        <w:tblW w:w="6480" w:type="dxa"/>
        <w:jc w:val="left"/>
        <w:tblInd w:w="0" w:type="dxa"/>
        <w:tblLayout w:type="fixed"/>
        <w:tblCellMar>
          <w:top w:w="50" w:type="dxa"/>
          <w:left w:w="80" w:type="dxa"/>
          <w:bottom w:w="50" w:type="dxa"/>
          <w:right w:w="80" w:type="dxa"/>
        </w:tblCellMar>
      </w:tblPr>
      <w:tblGrid>
        <w:gridCol w:w="4523"/>
        <w:gridCol w:w="1956"/>
      </w:tblGrid>
      <w:tr>
        <w:trPr>
          <w:tblHeader w:val="true"/>
          <w:cantSplit w:val="true"/>
        </w:trPr>
        <w:tc>
          <w:tcPr>
            <w:tcW w:w="452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Zu versteuerndes Einkommen (CAD)</w:t>
            </w:r>
          </w:p>
        </w:tc>
        <w:tc>
          <w:tcPr>
            <w:tcW w:w="195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Bundessatz</w:t>
            </w:r>
          </w:p>
        </w:tc>
      </w:tr>
      <w:tr>
        <w:trPr>
          <w:cantSplit w:val="true"/>
        </w:trPr>
        <w:tc>
          <w:tcPr>
            <w:tcW w:w="45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0–58.523</w:t>
            </w:r>
          </w:p>
        </w:tc>
        <w:tc>
          <w:tcPr>
            <w:tcW w:w="19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14 %</w:t>
            </w:r>
          </w:p>
        </w:tc>
      </w:tr>
      <w:tr>
        <w:trPr>
          <w:cantSplit w:val="true"/>
        </w:trPr>
        <w:tc>
          <w:tcPr>
            <w:tcW w:w="45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58.523–117.045</w:t>
            </w:r>
          </w:p>
        </w:tc>
        <w:tc>
          <w:tcPr>
            <w:tcW w:w="19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20,5 %</w:t>
            </w:r>
          </w:p>
        </w:tc>
      </w:tr>
      <w:tr>
        <w:trPr>
          <w:cantSplit w:val="true"/>
        </w:trPr>
        <w:tc>
          <w:tcPr>
            <w:tcW w:w="45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117.045–181.440</w:t>
            </w:r>
          </w:p>
        </w:tc>
        <w:tc>
          <w:tcPr>
            <w:tcW w:w="19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26 %</w:t>
            </w:r>
          </w:p>
        </w:tc>
      </w:tr>
      <w:tr>
        <w:trPr>
          <w:cantSplit w:val="true"/>
        </w:trPr>
        <w:tc>
          <w:tcPr>
            <w:tcW w:w="45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181.440–258.482</w:t>
            </w:r>
          </w:p>
        </w:tc>
        <w:tc>
          <w:tcPr>
            <w:tcW w:w="19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29 %</w:t>
            </w:r>
          </w:p>
        </w:tc>
      </w:tr>
      <w:tr>
        <w:trPr>
          <w:cantSplit w:val="true"/>
        </w:trPr>
        <w:tc>
          <w:tcPr>
            <w:tcW w:w="45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 258.482</w:t>
            </w:r>
          </w:p>
        </w:tc>
        <w:tc>
          <w:tcPr>
            <w:tcW w:w="19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33 %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Eingangssatz sank von historisch 15 % auf 14 %, gesetzlich bereits 2025 beschlossen und seit 2026 voll wirksam. Der Bundes-Grundfreibetrag liegt 2026 bei 16.452 CAD und schmilzt für sehr hohe Einkommen im Bereich 181.440 bis 258.482 CAD auf 14.829 CAD ab.</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Ontario erhebt zusätzlich einen eigenen, niedriger wirkenden Tarif – der Eindruck täuscht allerdings, denn hier kommt eine Besonderheit hinzu:</w:t>
      </w:r>
    </w:p>
    <w:tbl>
      <w:tblPr>
        <w:tblW w:w="6480" w:type="dxa"/>
        <w:jc w:val="left"/>
        <w:tblInd w:w="0" w:type="dxa"/>
        <w:tblLayout w:type="fixed"/>
        <w:tblCellMar>
          <w:top w:w="50" w:type="dxa"/>
          <w:left w:w="80" w:type="dxa"/>
          <w:bottom w:w="50" w:type="dxa"/>
          <w:right w:w="80" w:type="dxa"/>
        </w:tblCellMar>
      </w:tblPr>
      <w:tblGrid>
        <w:gridCol w:w="4523"/>
        <w:gridCol w:w="1956"/>
      </w:tblGrid>
      <w:tr>
        <w:trPr>
          <w:tblHeader w:val="true"/>
          <w:cantSplit w:val="true"/>
        </w:trPr>
        <w:tc>
          <w:tcPr>
            <w:tcW w:w="452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Zu versteuerndes Einkommen (CAD)</w:t>
            </w:r>
          </w:p>
        </w:tc>
        <w:tc>
          <w:tcPr>
            <w:tcW w:w="195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Ontario-Satz</w:t>
            </w:r>
          </w:p>
        </w:tc>
      </w:tr>
      <w:tr>
        <w:trPr>
          <w:cantSplit w:val="true"/>
        </w:trPr>
        <w:tc>
          <w:tcPr>
            <w:tcW w:w="45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0–53.891</w:t>
            </w:r>
          </w:p>
        </w:tc>
        <w:tc>
          <w:tcPr>
            <w:tcW w:w="19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5,05 %</w:t>
            </w:r>
          </w:p>
        </w:tc>
      </w:tr>
      <w:tr>
        <w:trPr>
          <w:cantSplit w:val="true"/>
        </w:trPr>
        <w:tc>
          <w:tcPr>
            <w:tcW w:w="45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53.891–107.785</w:t>
            </w:r>
          </w:p>
        </w:tc>
        <w:tc>
          <w:tcPr>
            <w:tcW w:w="19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9,15 %</w:t>
            </w:r>
          </w:p>
        </w:tc>
      </w:tr>
      <w:tr>
        <w:trPr>
          <w:cantSplit w:val="true"/>
        </w:trPr>
        <w:tc>
          <w:tcPr>
            <w:tcW w:w="45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107.785–150.000</w:t>
            </w:r>
          </w:p>
        </w:tc>
        <w:tc>
          <w:tcPr>
            <w:tcW w:w="19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11,16 %</w:t>
            </w:r>
          </w:p>
        </w:tc>
      </w:tr>
      <w:tr>
        <w:trPr>
          <w:cantSplit w:val="true"/>
        </w:trPr>
        <w:tc>
          <w:tcPr>
            <w:tcW w:w="45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150.000–220.000</w:t>
            </w:r>
          </w:p>
        </w:tc>
        <w:tc>
          <w:tcPr>
            <w:tcW w:w="19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12,16 %</w:t>
            </w:r>
          </w:p>
        </w:tc>
      </w:tr>
      <w:tr>
        <w:trPr>
          <w:cantSplit w:val="true"/>
        </w:trPr>
        <w:tc>
          <w:tcPr>
            <w:tcW w:w="45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 220.000</w:t>
            </w:r>
          </w:p>
        </w:tc>
        <w:tc>
          <w:tcPr>
            <w:tcW w:w="19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13,16 %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Ontario erhebt on top eine Zuschlagsteuer (</w:t>
      </w:r>
      <w:r>
        <w:rPr>
          <w:rFonts w:eastAsia="Cambria" w:cs="Cambria"/>
          <w:b w:val="false"/>
          <w:bCs w:val="false"/>
          <w:i/>
          <w:iCs/>
          <w:sz w:val="22"/>
          <w:szCs w:val="22"/>
        </w:rPr>
        <w:t>Surtax</w:t>
      </w:r>
      <w:r>
        <w:rPr>
          <w:rFonts w:eastAsia="Cambria" w:cs="Cambria"/>
          <w:b w:val="false"/>
          <w:bCs w:val="false"/>
          <w:i w:val="false"/>
          <w:iCs w:val="false"/>
          <w:sz w:val="22"/>
          <w:szCs w:val="22"/>
        </w:rPr>
        <w:t>): 20 % auf die Ontario-Steuer, die 5.818 CAD übersteigt, plus weitere 36 % auf den Teil über 7.446 CAD. Eine Steuer auf die eigene Steuer klingt zunächst wie ein Verwaltungsscherz, ist aber bittere Ernsthaftigkeit – sie wirkt faktisch wie eine sechste, verschärfte Progressionsstufe schon ab mittleren Einkommen. Der Ontario-Grundfreibetrag liegt bei 12.989 CAD.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British Columbia rechnet in sieben statt fünf Stufen und geht deutlich höher hinauf:</w:t>
      </w:r>
    </w:p>
    <w:tbl>
      <w:tblPr>
        <w:tblW w:w="6480" w:type="dxa"/>
        <w:jc w:val="left"/>
        <w:tblInd w:w="0" w:type="dxa"/>
        <w:tblLayout w:type="fixed"/>
        <w:tblCellMar>
          <w:top w:w="50" w:type="dxa"/>
          <w:left w:w="80" w:type="dxa"/>
          <w:bottom w:w="50" w:type="dxa"/>
          <w:right w:w="80" w:type="dxa"/>
        </w:tblCellMar>
      </w:tblPr>
      <w:tblGrid>
        <w:gridCol w:w="4510"/>
        <w:gridCol w:w="1969"/>
      </w:tblGrid>
      <w:tr>
        <w:trPr>
          <w:tblHeader w:val="true"/>
          <w:cantSplit w:val="true"/>
        </w:trPr>
        <w:tc>
          <w:tcPr>
            <w:tcW w:w="451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Zu versteuerndes Einkommen (CAD)</w:t>
            </w:r>
          </w:p>
        </w:tc>
        <w:tc>
          <w:tcPr>
            <w:tcW w:w="196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BC-Satz</w:t>
            </w:r>
          </w:p>
        </w:tc>
      </w:tr>
      <w:tr>
        <w:trPr>
          <w:cantSplit w:val="true"/>
        </w:trPr>
        <w:tc>
          <w:tcPr>
            <w:tcW w:w="45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0–50.363</w:t>
            </w:r>
          </w:p>
        </w:tc>
        <w:tc>
          <w:tcPr>
            <w:tcW w:w="19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5,60 %</w:t>
            </w:r>
          </w:p>
        </w:tc>
      </w:tr>
      <w:tr>
        <w:trPr>
          <w:cantSplit w:val="true"/>
        </w:trPr>
        <w:tc>
          <w:tcPr>
            <w:tcW w:w="45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50.363–100.728</w:t>
            </w:r>
          </w:p>
        </w:tc>
        <w:tc>
          <w:tcPr>
            <w:tcW w:w="19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7,70 %</w:t>
            </w:r>
          </w:p>
        </w:tc>
      </w:tr>
      <w:tr>
        <w:trPr>
          <w:cantSplit w:val="true"/>
        </w:trPr>
        <w:tc>
          <w:tcPr>
            <w:tcW w:w="45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100.728–115.648</w:t>
            </w:r>
          </w:p>
        </w:tc>
        <w:tc>
          <w:tcPr>
            <w:tcW w:w="19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10,50 %</w:t>
            </w:r>
          </w:p>
        </w:tc>
      </w:tr>
      <w:tr>
        <w:trPr>
          <w:cantSplit w:val="true"/>
        </w:trPr>
        <w:tc>
          <w:tcPr>
            <w:tcW w:w="45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115.648–140.430</w:t>
            </w:r>
          </w:p>
        </w:tc>
        <w:tc>
          <w:tcPr>
            <w:tcW w:w="19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12,29 %</w:t>
            </w:r>
          </w:p>
        </w:tc>
      </w:tr>
      <w:tr>
        <w:trPr>
          <w:cantSplit w:val="true"/>
        </w:trPr>
        <w:tc>
          <w:tcPr>
            <w:tcW w:w="45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140.430–190.405</w:t>
            </w:r>
          </w:p>
        </w:tc>
        <w:tc>
          <w:tcPr>
            <w:tcW w:w="19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14,70 %</w:t>
            </w:r>
          </w:p>
        </w:tc>
      </w:tr>
      <w:tr>
        <w:trPr>
          <w:cantSplit w:val="true"/>
        </w:trPr>
        <w:tc>
          <w:tcPr>
            <w:tcW w:w="45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190.405–265.545</w:t>
            </w:r>
          </w:p>
        </w:tc>
        <w:tc>
          <w:tcPr>
            <w:tcW w:w="19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16,80 %</w:t>
            </w:r>
          </w:p>
        </w:tc>
      </w:tr>
      <w:tr>
        <w:trPr>
          <w:cantSplit w:val="true"/>
        </w:trPr>
        <w:tc>
          <w:tcPr>
            <w:tcW w:w="45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 265.545</w:t>
            </w:r>
          </w:p>
        </w:tc>
        <w:tc>
          <w:tcPr>
            <w:tcW w:w="19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20,50 %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einem zu versteuernden Einkommen bis 24.580 CAD fällt in British Columbia dank der Niedrigeinkommen-Steuerreduktion in der Regel gar keine Provinzsteuer an. Überschlägig (eigene Näherungsrechnung aus den Tabellen oben, keine offizielle Kombinationszahl) liegt der kombinierte Spitzensteuersatz aus Bund und Provinz in Ontario bei rund 46 % einschließlich Surtax-Effekt, in British Columbia bei rund 53 % für Einkommen über 265.545 CAD.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Ahrens zieht mit hohem CRS-Score über Express Entry nach Toronto, Ontario. Markus, Softwarearchitekt, verdient klar über dem Ontario-Surtax-Schwellenwert. Bei der ersten gemeinsamen Steuerschätzung mit einer kanadischen Steuerberaterin stutzt Julia, als neben der eigentlichen Ontario-Steuer noch eine „Surtax“-Zeile auftaucht – eine Steuer auf die Steuer war ihr aus dem deutschen System schlicht nicht bekannt. Die Beraterin erklärt gelassen, dass Ontario damit seit Jahrzehnten arbeitet und die Zahl auf dem Bescheid trotzdem korrekt ist. Familie Ahrens plant die kombinierte Bundes- und Provinzlast von da an bewusst mit ein, statt sich jedes Jahr aufs Neue zu wundern.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Mehrwertsteuer: ein System, viele Gesichter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Wer nur die bundesweite </w:t>
      </w:r>
      <w:r>
        <w:rPr>
          <w:rFonts w:eastAsia="Cambria" w:cs="Cambria"/>
          <w:b w:val="false"/>
          <w:bCs w:val="false"/>
          <w:i/>
          <w:iCs/>
          <w:sz w:val="22"/>
          <w:szCs w:val="22"/>
        </w:rPr>
        <w:t>Goods and Services Tax</w:t>
      </w:r>
      <w:r>
        <w:rPr>
          <w:rFonts w:eastAsia="Cambria" w:cs="Cambria"/>
          <w:b w:val="false"/>
          <w:bCs w:val="false"/>
          <w:i w:val="false"/>
          <w:iCs w:val="false"/>
          <w:sz w:val="22"/>
          <w:szCs w:val="22"/>
        </w:rPr>
        <w:t xml:space="preserve"> (GST) von 5 % kennt, geht oft davon aus, in Kanada gelte überall dieselbe Verbrauchsteuer. Tatsächlich bestimmt die Provinz, in der du einkaufst, den tatsächlichen Satz – und der schwankt zwischen 5 und 15 %.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Fünf Provinzen erheben eine harmonisierte Steuer (</w:t>
      </w:r>
      <w:r>
        <w:rPr>
          <w:rFonts w:eastAsia="Cambria" w:cs="Cambria"/>
          <w:b w:val="false"/>
          <w:bCs w:val="false"/>
          <w:i/>
          <w:iCs/>
          <w:sz w:val="22"/>
          <w:szCs w:val="22"/>
        </w:rPr>
        <w:t>Harmonized Sales Tax</w:t>
      </w:r>
      <w:r>
        <w:rPr>
          <w:rFonts w:eastAsia="Cambria" w:cs="Cambria"/>
          <w:b w:val="false"/>
          <w:bCs w:val="false"/>
          <w:i w:val="false"/>
          <w:iCs w:val="false"/>
          <w:sz w:val="22"/>
          <w:szCs w:val="22"/>
        </w:rPr>
        <w:t>, HST), die GST und Provinzanteil in einem Satz zusammenfasst: Ontario 13 %; New Brunswick, Neufundland &amp; Labrador und Prince Edward Island je 15 %; Nova Scotia 14 % (zum 1. April 2025 von 15 % gesenkt). Vier Provinzen erheben die GST plus eine separate Provinzsteuer: British Columbia 12 % (5 % GST + 7 % PST), Manitoba 12 % (5 % + 7 % RST), Saskatchewan 11 % (5 % + 6 % PST) und Québec 14,975 % (5 % + 9,975 % QST, von der eigenen Provinzbehörde Revenu Québec verwaltet). Vier Gebiete verlangen nur die 5 % GST ohne Provinzanteil: Alberta, Yukon, die Nordwest-Territorien und Nunavut.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von Alberta nach Ontario oder gar in eine HST-Provinz mit 15 % umzieht, zahlt beim gleichen Einkauf fast das Dreifache an Verbrauchsteuer – nicht weil die Regale dort teurer bestückt wären, sondern weil eine unsichtbare Provinzgrenze plötzlich sehr real wird.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Lukas Berger arbeitet als Öl- und Gasingenieur mit einem LMIA-pflichtigen Work Permit in Calgary, Alberta. Beim ersten großen Einkauf für die neue Wohnung rechnet er aus alter Gewohnheit automatisch mit 19 % Mehrwertsteuer und wundert sich über den niedrigen Kassenbon – bis ihm auffällt, dass Alberta schlicht nur die 5 % GST kennt, ganz ohne Provinzsteuer. Als er das seinem ehemaligen Studienkollegen erzählt, der zeitgleich nach Toronto gezogen ist und dort 13 % HST zahlt, folgt am Telefon erst Unglauben, dann leiser Neid.</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Bankkonto eröffnen: die Big Five und ihre Newcomer-Pakete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kanadische Privatkundenmarkt wird von den „Big Five“ dominiert: </w:t>
      </w:r>
      <w:r>
        <w:rPr>
          <w:rFonts w:eastAsia="Cambria" w:cs="Cambria"/>
          <w:b w:val="false"/>
          <w:bCs w:val="false"/>
          <w:i/>
          <w:iCs/>
          <w:sz w:val="22"/>
          <w:szCs w:val="22"/>
        </w:rPr>
        <w:t>Royal Bank of Canada</w:t>
      </w:r>
      <w:r>
        <w:rPr>
          <w:rFonts w:eastAsia="Cambria" w:cs="Cambria"/>
          <w:b w:val="false"/>
          <w:bCs w:val="false"/>
          <w:i w:val="false"/>
          <w:iCs w:val="false"/>
          <w:sz w:val="22"/>
          <w:szCs w:val="22"/>
        </w:rPr>
        <w:t xml:space="preserve"> (RBC), </w:t>
      </w:r>
      <w:r>
        <w:rPr>
          <w:rFonts w:eastAsia="Cambria" w:cs="Cambria"/>
          <w:b w:val="false"/>
          <w:bCs w:val="false"/>
          <w:i/>
          <w:iCs/>
          <w:sz w:val="22"/>
          <w:szCs w:val="22"/>
        </w:rPr>
        <w:t>TD Canada Trust</w:t>
      </w:r>
      <w:r>
        <w:rPr>
          <w:rFonts w:eastAsia="Cambria" w:cs="Cambria"/>
          <w:b w:val="false"/>
          <w:bCs w:val="false"/>
          <w:i w:val="false"/>
          <w:iCs w:val="false"/>
          <w:sz w:val="22"/>
          <w:szCs w:val="22"/>
        </w:rPr>
        <w:t xml:space="preserve">, </w:t>
      </w:r>
      <w:r>
        <w:rPr>
          <w:rFonts w:eastAsia="Cambria" w:cs="Cambria"/>
          <w:b w:val="false"/>
          <w:bCs w:val="false"/>
          <w:i/>
          <w:iCs/>
          <w:sz w:val="22"/>
          <w:szCs w:val="22"/>
        </w:rPr>
        <w:t>Scotiabank</w:t>
      </w:r>
      <w:r>
        <w:rPr>
          <w:rFonts w:eastAsia="Cambria" w:cs="Cambria"/>
          <w:b w:val="false"/>
          <w:bCs w:val="false"/>
          <w:i w:val="false"/>
          <w:iCs w:val="false"/>
          <w:sz w:val="22"/>
          <w:szCs w:val="22"/>
        </w:rPr>
        <w:t xml:space="preserve">, </w:t>
      </w:r>
      <w:r>
        <w:rPr>
          <w:rFonts w:eastAsia="Cambria" w:cs="Cambria"/>
          <w:b w:val="false"/>
          <w:bCs w:val="false"/>
          <w:i/>
          <w:iCs/>
          <w:sz w:val="22"/>
          <w:szCs w:val="22"/>
        </w:rPr>
        <w:t>Bank of Montreal</w:t>
      </w:r>
      <w:r>
        <w:rPr>
          <w:rFonts w:eastAsia="Cambria" w:cs="Cambria"/>
          <w:b w:val="false"/>
          <w:bCs w:val="false"/>
          <w:i w:val="false"/>
          <w:iCs w:val="false"/>
          <w:sz w:val="22"/>
          <w:szCs w:val="22"/>
        </w:rPr>
        <w:t xml:space="preserve"> (BMO) und </w:t>
      </w:r>
      <w:r>
        <w:rPr>
          <w:rFonts w:eastAsia="Cambria" w:cs="Cambria"/>
          <w:b w:val="false"/>
          <w:bCs w:val="false"/>
          <w:i/>
          <w:iCs/>
          <w:sz w:val="22"/>
          <w:szCs w:val="22"/>
        </w:rPr>
        <w:t>CIBC</w:t>
      </w:r>
      <w:r>
        <w:rPr>
          <w:rFonts w:eastAsia="Cambria" w:cs="Cambria"/>
          <w:b w:val="false"/>
          <w:bCs w:val="false"/>
          <w:i w:val="false"/>
          <w:iCs w:val="false"/>
          <w:sz w:val="22"/>
          <w:szCs w:val="22"/>
        </w:rPr>
        <w:t xml:space="preserve">. Alle fünf bieten dedizierte Newcomer-Pakete an, die typischerweise ein gebührenfreies Konto für sechs bis 24 Monate sowie eine Kreditkarte ohne kanadische Kredithistorie umfassen. RBC wirbt mit seinem „Newcomer Advantage“-Paket für ein gebührenfreies Konto samt unbegrenzten </w:t>
      </w:r>
      <w:r>
        <w:rPr>
          <w:rFonts w:eastAsia="Cambria" w:cs="Cambria"/>
          <w:b w:val="false"/>
          <w:bCs w:val="false"/>
          <w:i/>
          <w:iCs/>
          <w:sz w:val="22"/>
          <w:szCs w:val="22"/>
        </w:rPr>
        <w:t>Interac-e-Transfers</w:t>
      </w:r>
      <w:r>
        <w:rPr>
          <w:rFonts w:eastAsia="Cambria" w:cs="Cambria"/>
          <w:b w:val="false"/>
          <w:bCs w:val="false"/>
          <w:i w:val="false"/>
          <w:iCs w:val="false"/>
          <w:sz w:val="22"/>
          <w:szCs w:val="22"/>
        </w:rPr>
        <w:t xml:space="preserve"> (der in Kanada allgegenwärtigen Sofortüberweisung zwischen Bankkonten) und gebührenfreien Geldautomaten-Abhebungen im Inland. CIBC bietet mit dem „Smart Account for Newcomers“ bis zu 24 gebührenfreie Monate, teils mit Cash-Bonus bei eingerichtetem Lohn-Dauerauftrag; TD verspricht im „New to Canada“-Paket zwölf gebührenfreie Monate beim Unlimited-Chequing-Konto. Diese Konditionen sind zeitlich befristete Marketingangebote und ändern sich häufig – verifiziere sie direkt bei der Bank, bevor du dich festlegst.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Vergleiche die Newcomer-Pakete schon aus Deutschland, idealerweise online oder telefonisch mit der jeweiligen Filiale. Manche Angebote lassen sich bereits vor der Einreise vorbereiten, sodass du am ersten Tag in Kanada nicht auch noch eine Bankentscheidung unter Zeitdruck triffst.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Alle fünf Banken verlangen für das Basis-Newcomer-Konto und die zugehörige Kreditkarte keine kanadische Kredithistorie – ein deutlicher Unterschied zum regulären Kreditkartengeschäft, bei dem die Bonitätsprüfung sonst zum Standard gehört.</w:t>
      </w:r>
    </w:p>
    <w:p>
      <w:pPr>
        <w:pStyle w:val="Heading3"/>
        <w:keepNext w:val="true"/>
        <w:spacing w:before="280" w:after="100"/>
        <w:jc w:val="center"/>
        <w:rPr/>
      </w:pPr>
      <w:r>
        <w:rPr>
          <w:rFonts w:eastAsia="Amazon Ember" w:cs="Amazon Ember" w:ascii="Amazon Ember" w:hAnsi="Amazon Ember"/>
          <w:b/>
          <w:bCs/>
          <w:color w:val="0000FF"/>
          <w:sz w:val="36"/>
          <w:szCs w:val="36"/>
        </w:rPr>
        <w:t>Kreditwürdigkeit aufbauen: bei null anfangen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Deine makellose Schufa-Akte interessiert Equifax Canada und TransUnion Canada – die beiden großen kanadischen Kreditauskunfteien – ungefähr so sehr wie ein deutscher Wetterbericht: gar nicht. Jahrzehnte pünktlicher Zahlungen in Deutschland werden nicht importiert, übersetzt oder auch nur zur Kenntnis genommen. Du startest bei null, unabhängig davon, wie sauber deine Bonität zu Hause war.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klassische Einstieg ist die gesicherte Kreditkarte (</w:t>
      </w:r>
      <w:r>
        <w:rPr>
          <w:rFonts w:eastAsia="Cambria" w:cs="Cambria"/>
          <w:b w:val="false"/>
          <w:bCs w:val="false"/>
          <w:i/>
          <w:iCs/>
          <w:sz w:val="22"/>
          <w:szCs w:val="22"/>
        </w:rPr>
        <w:t>Secured Credit Card</w:t>
      </w:r>
      <w:r>
        <w:rPr>
          <w:rFonts w:eastAsia="Cambria" w:cs="Cambria"/>
          <w:b w:val="false"/>
          <w:bCs w:val="false"/>
          <w:i w:val="false"/>
          <w:iCs w:val="false"/>
          <w:sz w:val="22"/>
          <w:szCs w:val="22"/>
        </w:rPr>
        <w:t>): Du hinterlegst eine Kaution, häufig um die 500 CAD, die zugleich dein Kreditlimit bildet. Der Anbieter meldet deine Nutzung monatlich an die Auskunfteien. Alternativ bieten die Big-Five-Banken eigene Newcomer-Kreditkarten ohne Kaution an, die ebenfalls ohne kanadische Vorgeschichte auskommen. Nach 90 bis 180 Tagen regelmäßiger, pünktlich zurückgezahlter Nutzung meldet sich meist ein erster Score; nach drei bis sechs Monaten wird er belastbarer.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Eine zusätzliche, zunehmend verbreitete Strategie ist </w:t>
      </w:r>
      <w:r>
        <w:rPr>
          <w:rFonts w:eastAsia="Cambria" w:cs="Cambria"/>
          <w:b w:val="false"/>
          <w:bCs w:val="false"/>
          <w:i/>
          <w:iCs/>
          <w:sz w:val="22"/>
          <w:szCs w:val="22"/>
        </w:rPr>
        <w:t>Rent Reporting</w:t>
      </w:r>
      <w:r>
        <w:rPr>
          <w:rFonts w:eastAsia="Cambria" w:cs="Cambria"/>
          <w:b w:val="false"/>
          <w:bCs w:val="false"/>
          <w:i w:val="false"/>
          <w:iCs w:val="false"/>
          <w:sz w:val="22"/>
          <w:szCs w:val="22"/>
        </w:rPr>
        <w:t>: Mietzahlungen lassen sich über bestimmte Dienste an die Auskunfteien melden und zählen dann ebenfalls für den Score-Aufbau – ein Weg, der sich lohnt, bevor die erste Kreditkarte überhaupt genehmigt ist.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Kreditwürdigkeit in Kanada ist ein eigenständiges System, komplett getrennt von der deutschen Schufa. Niemand „nimmt sie mit“ – du baust sie ab dem ersten Tag in Kanada neu auf, und je früher du damit beginnst, desto eher zahlt es sich bei Miete, Autofinanzierung oder späterer Hypothek aus.</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Beantrage nicht mehrere Kreditkarten gleichzeitig, nur um den Aufbau zu beschleunigen. Jede Anfrage hinterlässt eine Spur in deiner Akte und kann den frisch entstehenden Score kurzfristig eher drücken als stützen.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Steuererklärung: Fristen im Blick</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reguläre Frist für die Steuererklärung ist der 30. April des Folgejahres, für die meisten Privatpersonen unabhängig vom Einreisedatum. Bist du selbstständig, gilt in der Regel der 15. Juni als Abgabefrist für die Erklärung selbst – die tatsächliche Zahlung ist aber unverändert bereits zum 30. April fällig, was gerne übersehen wird. Deine erste vollständige Steuererklärung als „Newcomer“ wird üblicherweise für das Kalenderjahr fällig, in dem du steuerlich ansässig geworden bist; bewahre dafür von Anfang an Gehaltsabrechnungen und Belege sorgfältig auf.</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erklärt das System und nennt Richtwerte, ersetzt aber keine individuelle Steuer- oder Rechtsberatung. Ob du im Einreisejahr als ansässig giltst, wie sich der Grundfreibetrag anteilig berechnet und wie das Doppelbesteuerungsabkommen zwischen Deutschland und Kanada mit deutschem Einkommen, Mieteinnahmen oder der gesetzlichen Rente umgeht, hängt vom Einzelfall ab. Lass das von einer kanadischen Steuerberatung prüfen, die die deutsche Seite kennt oder sich mit einer deutschen Steuerberatung abstimmt.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SIN-Beantragung ist kostenlos und meist zügig erledigt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SIN keine korrekte Lohnabrechnung und keine Steuererklärung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RC151 und RC66 lassen sich schon vor der ersten Steuererklärung einreichen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CGEB-Reform 2026 bringt Unsicherheit bei den genauen Leistungen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Newcomer-Bankpakete öffnen Konto und Kreditkarte ohne Wartezeit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Konditionen der Bankpakete sind befristet und ändern sich häufig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Provinzwahl kann die Steuer- und Verbrauchsteuerlast spürbar senken (z. B. Alberta)</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Ontario- und BC-Spitzensteuersätze liegen kombiniert bei rund 46 bis 53 %</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Gesicherte Kreditkarte liefert schon nach wenigen Monaten einen ersten Score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Start ohne jede kanadische Kredithistorie, Schufa zählt nicht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Beantrage die SIN in deiner ersten Woche in Kanada und reiche RC151 sowie bei Kindern RC66 zeitnah ein. Vergleiche die Newcomer-Pakete der Big-Five-Banken schon vor der Ankunft und eröffne dein Konto so früh wie möglich. Beantrage danach zügig eine gesicherte Kreditkarte oder ein Newcomer-Kreditkartenpaket, zahle jede Rechnung pünktlich und vollständig, und kalkuliere bei der Wahl deiner Provinz die tatsächliche Steuer- und Verbrauchsteuerlast mit ein.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SIN online, postalisch oder persönlich beantragt, Primär- und Sekundärdokument bereitgelegt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My Service Canada Account (MSCA) eingerichtet, Bestätigung der SIN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Formular RC151 (GST/HST-Credit bzw. CGEB) eingereicht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Kindern: Formular RC66 (Canada Child Benefit) eingereicht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Newcomer-Bankpaket verglichen und Konto bei einer der Big-Five-Banken eröffnet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Bundes- und Provinzsteuertabelle für deine Zielprovinz durchgerechnet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GST/HST-Satz deiner Zielprovinz beim Haushaltsbudget berücksichtigt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Gesicherte Kreditkarte oder Newcomer-Kreditkarte beantragt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Nicht mehrere Kreditanträge gleichzeitig gestellt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Frist für die erste kanadische Steuererklärung (30. April) im Kalender notiert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hyperlink r:id="rId575">
        <w:r>
          <w:rPr>
            <w:rStyle w:val="ListLabel113"/>
            <w:rFonts w:eastAsia="Cambria" w:cs="Cambria"/>
            <w:b w:val="false"/>
            <w:bCs w:val="false"/>
            <w:i w:val="false"/>
            <w:iCs w:val="false"/>
            <w:color w:val="0563C1"/>
            <w:sz w:val="22"/>
            <w:szCs w:val="22"/>
            <w:u w:val="single"/>
          </w:rPr>
          <w:t>canada.ca/en/revenue-agency</w:t>
        </w:r>
      </w:hyperlink>
      <w:r>
        <w:rPr>
          <w:rFonts w:eastAsia="Cambria" w:cs="Cambria"/>
          <w:b w:val="false"/>
          <w:bCs w:val="false"/>
          <w:i w:val="false"/>
          <w:iCs w:val="false"/>
          <w:sz w:val="22"/>
          <w:szCs w:val="22"/>
        </w:rPr>
        <w:t xml:space="preserve"> – CRA: SIN-Beantragung, Steuersätze, Newcomer-Regeln, RC151/RC66</w:t>
      </w:r>
    </w:p>
    <w:p>
      <w:pPr>
        <w:pStyle w:val="ListParagraph"/>
        <w:numPr>
          <w:ilvl w:val="0"/>
          <w:numId w:val="1"/>
        </w:numPr>
        <w:spacing w:lineRule="exact" w:line="288" w:before="0" w:after="60"/>
        <w:rPr/>
      </w:pPr>
      <w:hyperlink r:id="rId576">
        <w:r>
          <w:rPr>
            <w:rStyle w:val="ListLabel113"/>
            <w:rFonts w:eastAsia="Cambria" w:cs="Cambria"/>
            <w:b w:val="false"/>
            <w:bCs w:val="false"/>
            <w:i w:val="false"/>
            <w:iCs w:val="false"/>
            <w:color w:val="0563C1"/>
            <w:sz w:val="22"/>
            <w:szCs w:val="22"/>
            <w:u w:val="single"/>
          </w:rPr>
          <w:t>canada.ca/en/employment-social-development/services/sin</w:t>
        </w:r>
      </w:hyperlink>
      <w:r>
        <w:rPr>
          <w:rFonts w:eastAsia="Cambria" w:cs="Cambria"/>
          <w:b w:val="false"/>
          <w:bCs w:val="false"/>
          <w:i w:val="false"/>
          <w:iCs w:val="false"/>
          <w:sz w:val="22"/>
          <w:szCs w:val="22"/>
        </w:rPr>
        <w:t xml:space="preserve"> – SIN-Antrag im Detail</w:t>
      </w:r>
    </w:p>
    <w:p>
      <w:pPr>
        <w:pStyle w:val="ListParagraph"/>
        <w:numPr>
          <w:ilvl w:val="0"/>
          <w:numId w:val="1"/>
        </w:numPr>
        <w:spacing w:lineRule="exact" w:line="288" w:before="0" w:after="60"/>
        <w:rPr/>
      </w:pPr>
      <w:hyperlink r:id="rId577">
        <w:r>
          <w:rPr>
            <w:rStyle w:val="ListLabel113"/>
            <w:rFonts w:eastAsia="Cambria" w:cs="Cambria"/>
            <w:b w:val="false"/>
            <w:bCs w:val="false"/>
            <w:i w:val="false"/>
            <w:iCs w:val="false"/>
            <w:color w:val="0563C1"/>
            <w:sz w:val="22"/>
            <w:szCs w:val="22"/>
            <w:u w:val="single"/>
          </w:rPr>
          <w:t>www2.gov.bc.ca/gov/content/taxes/income-taxes</w:t>
        </w:r>
      </w:hyperlink>
      <w:r>
        <w:rPr>
          <w:rFonts w:eastAsia="Cambria" w:cs="Cambria"/>
          <w:b w:val="false"/>
          <w:bCs w:val="false"/>
          <w:i w:val="false"/>
          <w:iCs w:val="false"/>
          <w:sz w:val="22"/>
          <w:szCs w:val="22"/>
        </w:rPr>
        <w:t xml:space="preserve"> – British-Columbia-Steuersätze</w:t>
      </w:r>
    </w:p>
    <w:p>
      <w:pPr>
        <w:pStyle w:val="ListParagraph"/>
        <w:numPr>
          <w:ilvl w:val="0"/>
          <w:numId w:val="1"/>
        </w:numPr>
        <w:spacing w:lineRule="exact" w:line="288" w:before="0" w:after="60"/>
        <w:rPr/>
      </w:pPr>
      <w:hyperlink r:id="rId578">
        <w:r>
          <w:rPr>
            <w:rStyle w:val="ListLabel113"/>
            <w:rFonts w:eastAsia="Cambria" w:cs="Cambria"/>
            <w:b w:val="false"/>
            <w:bCs w:val="false"/>
            <w:i w:val="false"/>
            <w:iCs w:val="false"/>
            <w:color w:val="0563C1"/>
            <w:sz w:val="22"/>
            <w:szCs w:val="22"/>
            <w:u w:val="single"/>
          </w:rPr>
          <w:t>taxtips.ca</w:t>
        </w:r>
      </w:hyperlink>
      <w:r>
        <w:rPr>
          <w:rFonts w:eastAsia="Cambria" w:cs="Cambria"/>
          <w:b w:val="false"/>
          <w:bCs w:val="false"/>
          <w:i w:val="false"/>
          <w:iCs w:val="false"/>
          <w:sz w:val="22"/>
          <w:szCs w:val="22"/>
        </w:rPr>
        <w:t xml:space="preserve"> – unabhängige kanadische Steuer-Referenzseite (Ontario- und Provinztabellen)</w:t>
      </w:r>
    </w:p>
    <w:p>
      <w:pPr>
        <w:pStyle w:val="ListParagraph"/>
        <w:numPr>
          <w:ilvl w:val="0"/>
          <w:numId w:val="1"/>
        </w:numPr>
        <w:spacing w:lineRule="exact" w:line="288" w:before="0" w:after="60"/>
        <w:rPr/>
      </w:pPr>
      <w:hyperlink r:id="rId579">
        <w:r>
          <w:rPr>
            <w:rStyle w:val="ListLabel113"/>
            <w:rFonts w:eastAsia="Cambria" w:cs="Cambria"/>
            <w:b w:val="false"/>
            <w:bCs w:val="false"/>
            <w:i w:val="false"/>
            <w:iCs w:val="false"/>
            <w:color w:val="0563C1"/>
            <w:sz w:val="22"/>
            <w:szCs w:val="22"/>
            <w:u w:val="single"/>
          </w:rPr>
          <w:t>rbc.com</w:t>
        </w:r>
      </w:hyperlink>
      <w:r>
        <w:rPr>
          <w:rFonts w:eastAsia="Cambria" w:cs="Cambria"/>
          <w:b w:val="false"/>
          <w:bCs w:val="false"/>
          <w:i w:val="false"/>
          <w:iCs w:val="false"/>
          <w:sz w:val="22"/>
          <w:szCs w:val="22"/>
        </w:rPr>
        <w:t xml:space="preserve"> / </w:t>
      </w:r>
      <w:hyperlink r:id="rId580">
        <w:r>
          <w:rPr>
            <w:rStyle w:val="ListLabel113"/>
            <w:rFonts w:eastAsia="Cambria" w:cs="Cambria"/>
            <w:b w:val="false"/>
            <w:bCs w:val="false"/>
            <w:i w:val="false"/>
            <w:iCs w:val="false"/>
            <w:color w:val="0563C1"/>
            <w:sz w:val="22"/>
            <w:szCs w:val="22"/>
            <w:u w:val="single"/>
          </w:rPr>
          <w:t>td.com</w:t>
        </w:r>
      </w:hyperlink>
      <w:r>
        <w:rPr>
          <w:rFonts w:eastAsia="Cambria" w:cs="Cambria"/>
          <w:b w:val="false"/>
          <w:bCs w:val="false"/>
          <w:i w:val="false"/>
          <w:iCs w:val="false"/>
          <w:sz w:val="22"/>
          <w:szCs w:val="22"/>
        </w:rPr>
        <w:t xml:space="preserve"> / </w:t>
      </w:r>
      <w:hyperlink r:id="rId581">
        <w:r>
          <w:rPr>
            <w:rStyle w:val="ListLabel113"/>
            <w:rFonts w:eastAsia="Cambria" w:cs="Cambria"/>
            <w:b w:val="false"/>
            <w:bCs w:val="false"/>
            <w:i w:val="false"/>
            <w:iCs w:val="false"/>
            <w:color w:val="0563C1"/>
            <w:sz w:val="22"/>
            <w:szCs w:val="22"/>
            <w:u w:val="single"/>
          </w:rPr>
          <w:t>scotiabank.com</w:t>
        </w:r>
      </w:hyperlink>
      <w:r>
        <w:rPr>
          <w:rFonts w:eastAsia="Cambria" w:cs="Cambria"/>
          <w:b w:val="false"/>
          <w:bCs w:val="false"/>
          <w:i w:val="false"/>
          <w:iCs w:val="false"/>
          <w:sz w:val="22"/>
          <w:szCs w:val="22"/>
        </w:rPr>
        <w:t xml:space="preserve"> / </w:t>
      </w:r>
      <w:hyperlink r:id="rId582">
        <w:r>
          <w:rPr>
            <w:rStyle w:val="ListLabel113"/>
            <w:rFonts w:eastAsia="Cambria" w:cs="Cambria"/>
            <w:b w:val="false"/>
            <w:bCs w:val="false"/>
            <w:i w:val="false"/>
            <w:iCs w:val="false"/>
            <w:color w:val="0563C1"/>
            <w:sz w:val="22"/>
            <w:szCs w:val="22"/>
            <w:u w:val="single"/>
          </w:rPr>
          <w:t>bmo.com</w:t>
        </w:r>
      </w:hyperlink>
      <w:r>
        <w:rPr>
          <w:rFonts w:eastAsia="Cambria" w:cs="Cambria"/>
          <w:b w:val="false"/>
          <w:bCs w:val="false"/>
          <w:i w:val="false"/>
          <w:iCs w:val="false"/>
          <w:sz w:val="22"/>
          <w:szCs w:val="22"/>
        </w:rPr>
        <w:t xml:space="preserve"> / </w:t>
      </w:r>
      <w:hyperlink r:id="rId583">
        <w:r>
          <w:rPr>
            <w:rStyle w:val="ListLabel113"/>
            <w:rFonts w:eastAsia="Cambria" w:cs="Cambria"/>
            <w:b w:val="false"/>
            <w:bCs w:val="false"/>
            <w:i w:val="false"/>
            <w:iCs w:val="false"/>
            <w:color w:val="0563C1"/>
            <w:sz w:val="22"/>
            <w:szCs w:val="22"/>
            <w:u w:val="single"/>
          </w:rPr>
          <w:t>cibc.com</w:t>
        </w:r>
      </w:hyperlink>
      <w:r>
        <w:rPr>
          <w:rFonts w:eastAsia="Cambria" w:cs="Cambria"/>
          <w:b w:val="false"/>
          <w:bCs w:val="false"/>
          <w:i w:val="false"/>
          <w:iCs w:val="false"/>
          <w:sz w:val="22"/>
          <w:szCs w:val="22"/>
        </w:rPr>
        <w:t xml:space="preserve"> – Newcomer-Bankpakete der Big Five</w:t>
      </w:r>
    </w:p>
    <w:p>
      <w:pPr>
        <w:pStyle w:val="ListParagraph"/>
        <w:numPr>
          <w:ilvl w:val="0"/>
          <w:numId w:val="1"/>
        </w:numPr>
        <w:spacing w:lineRule="exact" w:line="288" w:before="0" w:after="60"/>
        <w:rPr/>
      </w:pPr>
      <w:hyperlink r:id="rId584">
        <w:r>
          <w:rPr>
            <w:rStyle w:val="ListLabel113"/>
            <w:rFonts w:eastAsia="Cambria" w:cs="Cambria"/>
            <w:b w:val="false"/>
            <w:bCs w:val="false"/>
            <w:i w:val="false"/>
            <w:iCs w:val="false"/>
            <w:color w:val="0563C1"/>
            <w:sz w:val="22"/>
            <w:szCs w:val="22"/>
            <w:u w:val="single"/>
          </w:rPr>
          <w:t>equifax.ca</w:t>
        </w:r>
      </w:hyperlink>
      <w:r>
        <w:rPr>
          <w:rFonts w:eastAsia="Cambria" w:cs="Cambria"/>
          <w:b w:val="false"/>
          <w:bCs w:val="false"/>
          <w:i w:val="false"/>
          <w:iCs w:val="false"/>
          <w:sz w:val="22"/>
          <w:szCs w:val="22"/>
        </w:rPr>
        <w:t xml:space="preserve"> / </w:t>
      </w:r>
      <w:hyperlink r:id="rId585">
        <w:r>
          <w:rPr>
            <w:rStyle w:val="ListLabel113"/>
            <w:rFonts w:eastAsia="Cambria" w:cs="Cambria"/>
            <w:b w:val="false"/>
            <w:bCs w:val="false"/>
            <w:i w:val="false"/>
            <w:iCs w:val="false"/>
            <w:color w:val="0563C1"/>
            <w:sz w:val="22"/>
            <w:szCs w:val="22"/>
            <w:u w:val="single"/>
          </w:rPr>
          <w:t>transunion.ca</w:t>
        </w:r>
      </w:hyperlink>
      <w:r>
        <w:rPr>
          <w:rFonts w:eastAsia="Cambria" w:cs="Cambria"/>
          <w:b w:val="false"/>
          <w:bCs w:val="false"/>
          <w:i w:val="false"/>
          <w:iCs w:val="false"/>
          <w:sz w:val="22"/>
          <w:szCs w:val="22"/>
        </w:rPr>
        <w:t xml:space="preserve"> – Kreditauskunft und Score-Aufbau in Kanada</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schnell: die genaue Ausgestaltung der CGEB ab Juli 2026, jährliche Indexierung der Bundes- und Provinzsteuersätze, Konditionen der Newcomer-Bankpakete sowie Nova-Scotia- und andere Provinzänderungen bei der Verbrauchsteuer. Prüfe vor jeder Entscheidung die aktuellen Werte auf canada.ca und den Websites deiner gewählten Bank.</w:t>
            </w:r>
          </w:p>
        </w:tc>
      </w:tr>
    </w:tbl>
    <w:p>
      <w:pPr>
        <w:pStyle w:val="Normal"/>
        <w:spacing w:lineRule="exact" w:line="220" w:before="0" w:after="0"/>
        <w:rPr/>
      </w:pPr>
      <w:r>
        <w:rPr/>
      </w:r>
      <w:r>
        <w:br w:type="page"/>
      </w:r>
    </w:p>
    <w:p>
      <w:pPr>
        <w:pStyle w:val="Heading2"/>
        <w:keepNext w:val="true"/>
        <w:spacing w:before="0" w:after="300"/>
        <w:jc w:val="center"/>
        <w:rPr/>
      </w:pPr>
      <w:bookmarkStart w:id="151" w:name="__RefHeading___Toc56581_3769931028"/>
      <w:bookmarkStart w:id="152" w:name="tka08"/>
      <w:bookmarkEnd w:id="151"/>
      <w:r>
        <w:rPr>
          <w:rFonts w:eastAsia="Amazon Ember" w:cs="Amazon Ember" w:ascii="Amazon Ember" w:hAnsi="Amazon Ember"/>
          <w:b/>
          <w:bCs/>
          <w:color w:val="0000FF"/>
          <w:sz w:val="36"/>
          <w:szCs w:val="36"/>
        </w:rPr>
        <w:t>Kanada: Das Gesundheitssystem</w:t>
      </w:r>
      <w:bookmarkEnd w:id="152"/>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in Deutschland aufgewachsen ist, kennt es nicht anders: Krankenversicherung ist Pflicht, greift ab dem ersten Tag, fertig. Kanada gilt in Deutschland als das Land mit der freundlichen, kostenlosen „Medicare“ für alle – ein Ruf, der bei genauerem Hinsehen eine wichtige Einschränkung verschweigt. Tatsächlich gibt es kein einziges nationales System, sondern 13 getrennte Provinz- und Territorialsysteme, und mehrere davon lassen Neuankömmlinge erst nach einer Wartefrist ohne Deckung dastehen. Dieses Kapitel erklärt, wie die Provinz-Krankenversicherung funktioniert, wo genau die Lücke lauert – und wie du sie überbrückst.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Kanada hat kein einheitliches „Medicare“-System, sondern 13 separate Provinz- und Territorialsysteme mit dem </w:t>
            </w:r>
            <w:r>
              <w:rPr>
                <w:rFonts w:eastAsia="Cambria" w:cs="Cambria"/>
                <w:b w:val="false"/>
                <w:bCs w:val="false"/>
                <w:i/>
                <w:iCs/>
                <w:sz w:val="20"/>
                <w:szCs w:val="20"/>
              </w:rPr>
              <w:t>Canada Health Act</w:t>
            </w:r>
            <w:r>
              <w:rPr>
                <w:rFonts w:eastAsia="Cambria" w:cs="Cambria"/>
                <w:b w:val="false"/>
                <w:bCs w:val="false"/>
                <w:i w:val="false"/>
                <w:iCs w:val="false"/>
                <w:sz w:val="20"/>
                <w:szCs w:val="20"/>
              </w:rPr>
              <w:t xml:space="preserve"> als bundesweitem Mindeststandard.</w:t>
            </w:r>
          </w:p>
          <w:p>
            <w:pPr>
              <w:pStyle w:val="ListParagraph"/>
              <w:numPr>
                <w:ilvl w:val="0"/>
                <w:numId w:val="1"/>
              </w:numPr>
              <w:spacing w:lineRule="exact" w:line="264" w:before="0" w:after="50"/>
              <w:rPr/>
            </w:pPr>
            <w:r>
              <w:rPr>
                <w:rFonts w:eastAsia="Cambria" w:cs="Cambria"/>
                <w:b w:val="false"/>
                <w:bCs w:val="false"/>
                <w:i w:val="false"/>
                <w:iCs w:val="false"/>
                <w:sz w:val="20"/>
                <w:szCs w:val="20"/>
              </w:rPr>
              <w:t>Ontario hat die frühere Drei-Monats-Wartefrist bereits 2020 abgeschafft: Die Deckung gilt dort ab Antragstellung.</w:t>
            </w:r>
          </w:p>
          <w:p>
            <w:pPr>
              <w:pStyle w:val="ListParagraph"/>
              <w:numPr>
                <w:ilvl w:val="0"/>
                <w:numId w:val="1"/>
              </w:numPr>
              <w:spacing w:lineRule="exact" w:line="264" w:before="0" w:after="50"/>
              <w:rPr/>
            </w:pPr>
            <w:r>
              <w:rPr>
                <w:rFonts w:eastAsia="Cambria" w:cs="Cambria"/>
                <w:b w:val="false"/>
                <w:bCs w:val="false"/>
                <w:i w:val="false"/>
                <w:iCs w:val="false"/>
                <w:sz w:val="20"/>
                <w:szCs w:val="20"/>
              </w:rPr>
              <w:t>British Columbia und Québec verlangen weiterhin eine Wartefrist von rund drei Monaten ab Zuzug.</w:t>
            </w:r>
          </w:p>
          <w:p>
            <w:pPr>
              <w:pStyle w:val="ListParagraph"/>
              <w:numPr>
                <w:ilvl w:val="0"/>
                <w:numId w:val="1"/>
              </w:numPr>
              <w:spacing w:lineRule="exact" w:line="264" w:before="0" w:after="50"/>
              <w:rPr/>
            </w:pPr>
            <w:r>
              <w:rPr>
                <w:rFonts w:eastAsia="Cambria" w:cs="Cambria"/>
                <w:b w:val="false"/>
                <w:bCs w:val="false"/>
                <w:i w:val="false"/>
                <w:iCs w:val="false"/>
                <w:sz w:val="20"/>
                <w:szCs w:val="20"/>
              </w:rPr>
              <w:t>Alberta und Saskatchewan gelten laut mehreren Quellen als praktisch wartefrei, das ist aber nicht für jede Provinz einzeln amtlich bestätigt – vor dem Umzug direkt bei der Provinz nachfragen.</w:t>
            </w:r>
          </w:p>
          <w:p>
            <w:pPr>
              <w:pStyle w:val="ListParagraph"/>
              <w:numPr>
                <w:ilvl w:val="0"/>
                <w:numId w:val="1"/>
              </w:numPr>
              <w:spacing w:lineRule="exact" w:line="264" w:before="0" w:after="50"/>
              <w:rPr/>
            </w:pPr>
            <w:r>
              <w:rPr>
                <w:rFonts w:eastAsia="Cambria" w:cs="Cambria"/>
                <w:b w:val="false"/>
                <w:bCs w:val="false"/>
                <w:i w:val="false"/>
                <w:iCs w:val="false"/>
                <w:sz w:val="20"/>
                <w:szCs w:val="20"/>
              </w:rPr>
              <w:t>Für die Wartefrist brauchst du eine private Übergangsversicherung, meist rund 100 bis 200 CAD pro Person und Monat.</w:t>
            </w:r>
          </w:p>
          <w:p>
            <w:pPr>
              <w:pStyle w:val="ListParagraph"/>
              <w:numPr>
                <w:ilvl w:val="0"/>
                <w:numId w:val="1"/>
              </w:numPr>
              <w:spacing w:lineRule="exact" w:line="264" w:before="0" w:after="50"/>
              <w:rPr/>
            </w:pPr>
            <w:r>
              <w:rPr>
                <w:rFonts w:eastAsia="Cambria" w:cs="Cambria"/>
                <w:b w:val="false"/>
                <w:bCs w:val="false"/>
                <w:i w:val="false"/>
                <w:iCs w:val="false"/>
                <w:sz w:val="20"/>
                <w:szCs w:val="20"/>
              </w:rPr>
              <w:t>Selbst mit Provinz-Krankenversicherung bleiben Zahnbehandlung, verschreibungspflichtige Medikamente außerhalb der Klinik, Sehhilfen und Physiotherapie meist unversichert – dafür brauchst du eine private Zusatzversicherung.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Ein System, 13 Varianten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w:t>
      </w:r>
      <w:r>
        <w:rPr>
          <w:rFonts w:eastAsia="Cambria" w:cs="Cambria"/>
          <w:b w:val="false"/>
          <w:bCs w:val="false"/>
          <w:i/>
          <w:iCs/>
          <w:sz w:val="22"/>
          <w:szCs w:val="22"/>
        </w:rPr>
        <w:t>Canada Health Act</w:t>
      </w:r>
      <w:r>
        <w:rPr>
          <w:rFonts w:eastAsia="Cambria" w:cs="Cambria"/>
          <w:b w:val="false"/>
          <w:bCs w:val="false"/>
          <w:i w:val="false"/>
          <w:iCs w:val="false"/>
          <w:sz w:val="22"/>
          <w:szCs w:val="22"/>
        </w:rPr>
        <w:t xml:space="preserve"> von 1984 ist ein Rahmengesetz: Er verpflichtet jede Provinz und jedes Territorium, eine öffentliche Krankenversicherung mit bestimmten Mindeststandards anzubieten – medizinisch notwendige Arzt- und Krankenhausleistungen, allgemein zugänglich, ohne Zuzahlung an der Behandlungsstelle. Wie im Detail die einzelne Provinz das umsetzt, welche Wartefrist für Neuankömmlinge gilt und wie die Anmeldung abläuft, entscheidet sie aber selbst.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Viele deutsche Auswanderer stellen sich unter „kanadischem Gesundheitssystem“ so etwas wie eine nationale Einheitskasse vor, vergleichbar mit einem zentralisierten NHS. Tatsächlich heißt das Programm in jeder Provinz anders – in Ontario etwa </w:t>
      </w:r>
      <w:r>
        <w:rPr>
          <w:rFonts w:eastAsia="Cambria" w:cs="Cambria"/>
          <w:b w:val="false"/>
          <w:bCs w:val="false"/>
          <w:i/>
          <w:iCs/>
          <w:sz w:val="22"/>
          <w:szCs w:val="22"/>
        </w:rPr>
        <w:t>OHIP</w:t>
      </w:r>
      <w:r>
        <w:rPr>
          <w:rFonts w:eastAsia="Cambria" w:cs="Cambria"/>
          <w:b w:val="false"/>
          <w:bCs w:val="false"/>
          <w:i w:val="false"/>
          <w:iCs w:val="false"/>
          <w:sz w:val="22"/>
          <w:szCs w:val="22"/>
        </w:rPr>
        <w:t xml:space="preserve"> (</w:t>
      </w:r>
      <w:r>
        <w:rPr>
          <w:rFonts w:eastAsia="Cambria" w:cs="Cambria"/>
          <w:b w:val="false"/>
          <w:bCs w:val="false"/>
          <w:i/>
          <w:iCs/>
          <w:sz w:val="22"/>
          <w:szCs w:val="22"/>
        </w:rPr>
        <w:t>Ontario Health Insurance Plan</w:t>
      </w:r>
      <w:r>
        <w:rPr>
          <w:rFonts w:eastAsia="Cambria" w:cs="Cambria"/>
          <w:b w:val="false"/>
          <w:bCs w:val="false"/>
          <w:i w:val="false"/>
          <w:iCs w:val="false"/>
          <w:sz w:val="22"/>
          <w:szCs w:val="22"/>
        </w:rPr>
        <w:t xml:space="preserve">), in British Columbia </w:t>
      </w:r>
      <w:r>
        <w:rPr>
          <w:rFonts w:eastAsia="Cambria" w:cs="Cambria"/>
          <w:b w:val="false"/>
          <w:bCs w:val="false"/>
          <w:i/>
          <w:iCs/>
          <w:sz w:val="22"/>
          <w:szCs w:val="22"/>
        </w:rPr>
        <w:t>MSP</w:t>
      </w:r>
      <w:r>
        <w:rPr>
          <w:rFonts w:eastAsia="Cambria" w:cs="Cambria"/>
          <w:b w:val="false"/>
          <w:bCs w:val="false"/>
          <w:i w:val="false"/>
          <w:iCs w:val="false"/>
          <w:sz w:val="22"/>
          <w:szCs w:val="22"/>
        </w:rPr>
        <w:t xml:space="preserve"> (</w:t>
      </w:r>
      <w:r>
        <w:rPr>
          <w:rFonts w:eastAsia="Cambria" w:cs="Cambria"/>
          <w:b w:val="false"/>
          <w:bCs w:val="false"/>
          <w:i/>
          <w:iCs/>
          <w:sz w:val="22"/>
          <w:szCs w:val="22"/>
        </w:rPr>
        <w:t>Medical Services Plan</w:t>
      </w:r>
      <w:r>
        <w:rPr>
          <w:rFonts w:eastAsia="Cambria" w:cs="Cambria"/>
          <w:b w:val="false"/>
          <w:bCs w:val="false"/>
          <w:i w:val="false"/>
          <w:iCs w:val="false"/>
          <w:sz w:val="22"/>
          <w:szCs w:val="22"/>
        </w:rPr>
        <w:t xml:space="preserve">), in Québec </w:t>
      </w:r>
      <w:r>
        <w:rPr>
          <w:rFonts w:eastAsia="Cambria" w:cs="Cambria"/>
          <w:b w:val="false"/>
          <w:bCs w:val="false"/>
          <w:i/>
          <w:iCs/>
          <w:sz w:val="22"/>
          <w:szCs w:val="22"/>
        </w:rPr>
        <w:t>RAMQ</w:t>
      </w:r>
      <w:r>
        <w:rPr>
          <w:rFonts w:eastAsia="Cambria" w:cs="Cambria"/>
          <w:b w:val="false"/>
          <w:bCs w:val="false"/>
          <w:i w:val="false"/>
          <w:iCs w:val="false"/>
          <w:sz w:val="22"/>
          <w:szCs w:val="22"/>
        </w:rPr>
        <w:t xml:space="preserve"> (</w:t>
      </w:r>
      <w:r>
        <w:rPr>
          <w:rFonts w:eastAsia="Cambria" w:cs="Cambria"/>
          <w:b w:val="false"/>
          <w:bCs w:val="false"/>
          <w:i/>
          <w:iCs/>
          <w:sz w:val="22"/>
          <w:szCs w:val="22"/>
        </w:rPr>
        <w:t>Régie de l’assurance maladie du Québec</w:t>
      </w:r>
      <w:r>
        <w:rPr>
          <w:rFonts w:eastAsia="Cambria" w:cs="Cambria"/>
          <w:b w:val="false"/>
          <w:bCs w:val="false"/>
          <w:i w:val="false"/>
          <w:iCs w:val="false"/>
          <w:sz w:val="22"/>
          <w:szCs w:val="22"/>
        </w:rPr>
        <w:t>) –, und die Regeln für Neuankömmlinge unterscheiden sich spürbar. Wer aus Ontario-Erfahrungsberichten pauschal auf ganz Kanada schließt, kann eine teure Überraschung erleben, sobald er nach British Columbia oder Québec zieht.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Die Provinz, in der du dich niederlässt, bestimmt maßgeblich, wie lange du ohne Krankenversicherungsschutz bist. Das ist bei der Wahl deines Zielorts (siehe das </w:t>
            </w:r>
            <w:hyperlink w:anchor="tka09">
              <w:r>
                <w:rPr>
                  <w:rStyle w:val="ListLabel116"/>
                  <w:rFonts w:eastAsia="Cambria" w:cs="Cambria"/>
                  <w:b w:val="false"/>
                  <w:bCs w:val="false"/>
                  <w:i w:val="false"/>
                  <w:iCs w:val="false"/>
                  <w:color w:val="0563C1"/>
                  <w:sz w:val="20"/>
                  <w:szCs w:val="20"/>
                  <w:u w:val="single"/>
                </w:rPr>
                <w:t>Kapitel zum Wohnen in diesem Teil</w:t>
              </w:r>
            </w:hyperlink>
            <w:r>
              <w:rPr>
                <w:rFonts w:eastAsia="Cambria" w:cs="Cambria"/>
                <w:b w:val="false"/>
                <w:bCs w:val="false"/>
                <w:i w:val="false"/>
                <w:iCs w:val="false"/>
                <w:sz w:val="20"/>
                <w:szCs w:val="20"/>
              </w:rPr>
              <w:t>) ein Faktor, den viele erst zu spät bedenken.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Ontario: keine Wartefrist mehr seit 2020</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Ontario hat seine historische Drei-Monats-Wartefrist, die seit 1994 galt, im März 2020 abgeschafft – und sie ist 2026 weiterhin außer Kraft. Wer sich bei OHIP anmeldet und die Zulassungskriterien erfüllt, ist ab dem Tag der Antragstellung versichert, auch wenn die physische Gesundheitskarte erst nach vier bis sechs Wochen im Briefkasten liegt. Bis dahin gilt die Anmeldebestätigung als Nachweis.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Ahrens zieht über Express Entry mit hohem CRS-Score nach Toronto. Vor der Abreise aus Leipzig hatte Julia, von Beruf Apothekerin, aus Erzählungen von Bekannten in Vancouver eine dreimonatige Deckungslücke einkalkuliert und bereits nach einer teuren privaten Übergangsversicherung für die ganze Familie gesucht. In der ersten Woche in Toronto stellt sich beim OHIP-Antrag heraus, dass diese Sorge unbegründet war: Ontario schützt ab dem Tag der Antragstellung, die Wartefrist gibt es seit 2020 schlicht nicht mehr. Finn und Mia sind bei ihrem ersten Kinderarztbesuch bereits regulär versichert, ohne dass die Familie einen einzigen Dollar für eine Übergangspolice ausgegeben hat.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praktische Bearbeitungsdauer bis zur Kartenzustellung liegt bei etwa vier bis sechs Wochen; melde dich trotzdem so früh wie möglich an, damit die Deckung selbst keinen Tag Verzögerung hat.</w:t>
      </w:r>
    </w:p>
    <w:p>
      <w:pPr>
        <w:pStyle w:val="Heading3"/>
        <w:keepNext w:val="true"/>
        <w:spacing w:before="280" w:after="100"/>
        <w:jc w:val="center"/>
        <w:rPr/>
      </w:pPr>
      <w:r>
        <w:rPr>
          <w:rFonts w:eastAsia="Amazon Ember" w:cs="Amazon Ember" w:ascii="Amazon Ember" w:hAnsi="Amazon Ember"/>
          <w:b/>
          <w:bCs/>
          <w:color w:val="0000FF"/>
          <w:sz w:val="36"/>
          <w:szCs w:val="36"/>
        </w:rPr>
        <w:t>British Columbia und Québec: drei Monate ohne Deckung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British Columbia hält an der Drei-Monats-Wartefrist fest – sie umfasst den Rest des Ankunftsmonats plus zwei weitere volle Kalendermonate. Wer am 10. eines Monats einreist, ist also erst ab dem Ersten des übernächsten Folgemonats über den MSP versichert. Immerhin ist der MSP seit dem 1. Januar 2020 beitragsfrei – die Wartefrist bleibt trotzdem bestehen, unabhängig von dieser Entlastung.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Québec verlangt über den RAMQ nach vorliegenden Quellen ebenfalls rund drei Monate Wartefrist für Neuankömmlinge; eine einzelne, direkt bei der Provinzbehörde geprüfte Primärquelle liegt dafür nicht vor, weshalb du die genaue Regel vor dem Umzug direkt bei der RAMQ bestätigen solltest.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Stelle den MSP- oder RAMQ-Antrag sofort nach der Ankunft, auch wenn die Wartefrist ohnehin läuft. Die Bearbeitung braucht Zeit, und ein verspäteter Antrag verlängert die faktische Lücke zusätzlich, statt sie nur auf dem Papier zu verkürzen.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Alberta und Saskatchewan: praktisch keine Wartefrist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Alberta und Saskatchewan berichten mehrere unabhängige Quellen übereinstimmend von keiner oder so gut wie keiner Wartefrist – solltest du also in eine dieser beiden Provinzen ziehen, greift der Versicherungsschutz in der Regel ohne die in British Columbia oder Québec übliche Lücke. Für einzelne Provinzen liegt dafür allerdings keine direkt geprüfte Primärquelle vor; bestätige den genauen Stand deshalb kurz vor dem Umzug beim zuständigen Provinzministerium.</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Lukas Berger zieht mit einem LMIA-pflichtigen Work Permit als Öl- und Gasingenieur nach Calgary, Alberta. Auf Empfehlung eines Kollegen hatte er sich vorsorglich schon auf eine mehrmonatige Übergangsversicherung eingestellt – die Erfahrungen seiner Bekannten in British Columbia hatten ihn entsprechend vorsichtig gemacht. Beim Antrag stellt sich heraus, dass Alberta ohne nennenswerte Wartefrist arbeitet; die Alberta Health Care Insurance Plan-Karte greift fast unmittelbar nach der Anmeldung. Lukas storniert die bereits fast abgeschlossene private Zwischenpolice wieder – ein Anruf, den er gerne führt.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die Lücke für Neuankömmlinge bedeutet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in einer Provinz mit Wartefrist ankommt und keine Übergangsversicherung hat, trägt jede Behandlung in dieser Zeit vollständig selbst – von der Praxisgebühr bis zu einem möglichen Krankenhausaufenthalt, der schnell in die Tausende gehen kann. Anders als in Deutschland gibt es in dieser Übergangsphase keinerlei automatischen Auffangmechanismus: keine europäische Krankenversicherungskarte, kein Anschluss an ein anderes System, keine Kulanzregel. Wer die Lücke ignoriert, spekuliert schlicht darauf, in den ersten Monaten nicht krank zu werden oder zu stürzen – eine Wette, die sich nicht jeder bewusst eingeht, aber viele unbewusst eingehen.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Auch scheinbar kleine Ereignisse – ein gebrochener Finger beim Umzugskisten-Tragen, eine Mittelohrentzündung bei Kindern – lösen ohne Versicherung volle Rechnungen aus. Plane die Wartefrist aktiv ein, statt sie zu verdrängen.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Private Übergangsversicherung überbrücken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Wartefrist in British Columbia, Québec und vorsichtshalber auch anderen Provinzen mit unklarer Regelung empfiehlt sich durchgängig eine private Übergangsversicherung. Anbieter wie Manulife, Sun Life oder Blue Cross führen entsprechende Produkte, oft unter Bezeichnungen wie „Visitors to Canada“ oder „Newcomer“-Tarife. Die Kosten liegen grob bei 100 bis 200 CAD pro Person und Monat, abhängig von Alter, Anbieter und Deckungsumfang; die genauen 2026er-Tarife solltest du direkt beim Versicherer vor der Buchung abfragen, da sie sich häufig ändern.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Schließe die Übergangsversicherung, wenn möglich, schon aus Deutschland ab, mit Beginn zum geplanten Ankunftstag. So entsteht keine zusätzliche Lücke zwischen Abflug und dem frühestmöglichen Vertragsbeginn vor Ort, und du musst dich in der turbulenten ersten Woche nicht auch noch um diesen Papierkram kümmern.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Anmeldung: was du mitbringst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Anmeldung zur Provinz-Krankenversicherung läuft in der Regel über ein Formular der jeweiligen Provinzbehörde, meist online oder postalisch, teils zusätzlich persönlich möglich. Du brauchst üblicherweise deinen Reisepass, den Nachweis über deinen Aufenthaltsstatus (Work Permit, Study Permit oder PR-Bestätigung), einen Adressnachweis sowie deine SIN, sobald du sie hast (siehe das </w:t>
      </w:r>
      <w:hyperlink w:anchor="tka07">
        <w:r>
          <w:rPr>
            <w:rStyle w:val="ListLabel113"/>
            <w:rFonts w:eastAsia="Cambria" w:cs="Cambria"/>
            <w:b w:val="false"/>
            <w:bCs w:val="false"/>
            <w:i w:val="false"/>
            <w:iCs w:val="false"/>
            <w:color w:val="0563C1"/>
            <w:sz w:val="22"/>
            <w:szCs w:val="22"/>
            <w:u w:val="single"/>
          </w:rPr>
          <w:t>Kapitel zu SIN, Steuern, Bank und Kredit in diesem Teil</w:t>
        </w:r>
      </w:hyperlink>
      <w:r>
        <w:rPr>
          <w:rFonts w:eastAsia="Cambria" w:cs="Cambria"/>
          <w:b w:val="false"/>
          <w:bCs w:val="false"/>
          <w:i w:val="false"/>
          <w:iCs w:val="false"/>
          <w:sz w:val="22"/>
          <w:szCs w:val="22"/>
        </w:rPr>
        <w:t>). Melde neben dir selbst auch Partner und Kinder gleich mit an; Kinder laufen in den meisten Provinzen über denselben Familieneintrag wie die Eltern.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Beantrage die Provinz-Krankenversicherung in deiner ersten Woche, unabhängig davon, ob eine Wartefrist gilt oder nicht. In Ontario beginnt die Deckung ab Antragstellung – jeder Tag Verzögerung beim Antrag ist ein Tag ohne Schutz, obwohl er vermeidbar gewesen wäre. In British Columbia und Québec läuft die Wartefrist ohnehin, verkürzt sich aber nicht durch Zuwarten.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Vergleich: GKV und Provinz-Krankenversicherung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direkter Vergleich hinkt, weil die beiden Systeme unterschiedlich finanziert sind – hilft aber trotzdem, die größten Unterschiede einzuordnen:</w:t>
      </w:r>
    </w:p>
    <w:tbl>
      <w:tblPr>
        <w:tblW w:w="6480" w:type="dxa"/>
        <w:jc w:val="left"/>
        <w:tblInd w:w="0" w:type="dxa"/>
        <w:tblLayout w:type="fixed"/>
        <w:tblCellMar>
          <w:top w:w="50" w:type="dxa"/>
          <w:left w:w="80" w:type="dxa"/>
          <w:bottom w:w="50" w:type="dxa"/>
          <w:right w:w="80" w:type="dxa"/>
        </w:tblCellMar>
      </w:tblPr>
      <w:tblGrid>
        <w:gridCol w:w="1110"/>
        <w:gridCol w:w="2684"/>
        <w:gridCol w:w="2686"/>
      </w:tblGrid>
      <w:tr>
        <w:trPr>
          <w:tblHeader w:val="true"/>
          <w:cantSplit w:val="true"/>
        </w:trPr>
        <w:tc>
          <w:tcPr>
            <w:tcW w:w="111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Kriterium</w:t>
            </w:r>
          </w:p>
        </w:tc>
        <w:tc>
          <w:tcPr>
            <w:tcW w:w="268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GKV (Deutschland)</w:t>
            </w:r>
          </w:p>
        </w:tc>
        <w:tc>
          <w:tcPr>
            <w:tcW w:w="268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Provinz-Krankenversicherung (Kanada)</w:t>
            </w:r>
          </w:p>
        </w:tc>
      </w:tr>
      <w:tr>
        <w:trPr>
          <w:cantSplit w:val="true"/>
        </w:trPr>
        <w:tc>
          <w:tcPr>
            <w:tcW w:w="11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Finanzierung</w:t>
            </w:r>
          </w:p>
        </w:tc>
        <w:tc>
          <w:tcPr>
            <w:tcW w:w="26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Beitrag vom Bruttolohn, je zur Hälfte Arbeitnehmer und Arbeitgeber</w:t>
            </w:r>
          </w:p>
        </w:tc>
        <w:tc>
          <w:tcPr>
            <w:tcW w:w="26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allgemeine Steuermittel der Provinz, keine laufende Monatsprämie (British Columbia erhob sie bis 2020, seither ebenfalls beitragsfrei)</w:t>
            </w:r>
          </w:p>
        </w:tc>
      </w:tr>
      <w:tr>
        <w:trPr>
          <w:cantSplit w:val="true"/>
        </w:trPr>
        <w:tc>
          <w:tcPr>
            <w:tcW w:w="11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Beginn der Deckung</w:t>
            </w:r>
          </w:p>
        </w:tc>
        <w:tc>
          <w:tcPr>
            <w:tcW w:w="26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praktisch ab Beschäftigungsbeginn beziehungsweise Anmeldung</w:t>
            </w:r>
          </w:p>
        </w:tc>
        <w:tc>
          <w:tcPr>
            <w:tcW w:w="26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Ontario: ab Antragstellung; British Columbia und Québec: erst nach rund drei Monaten Wartefrist</w:t>
            </w:r>
          </w:p>
        </w:tc>
      </w:tr>
      <w:tr>
        <w:trPr>
          <w:cantSplit w:val="true"/>
        </w:trPr>
        <w:tc>
          <w:tcPr>
            <w:tcW w:w="11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Hausarztwahl</w:t>
            </w:r>
          </w:p>
        </w:tc>
        <w:tc>
          <w:tcPr>
            <w:tcW w:w="26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freie Wahl unter allen Kassenärzten</w:t>
            </w:r>
          </w:p>
        </w:tc>
        <w:tc>
          <w:tcPr>
            <w:tcW w:w="26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grundsätzlich freie Wahl, in der Praxis aber vielerorts Mangel an aufnahmefähigen Hausärzten</w:t>
            </w:r>
          </w:p>
        </w:tc>
      </w:tr>
      <w:tr>
        <w:trPr>
          <w:cantSplit w:val="true"/>
        </w:trPr>
        <w:tc>
          <w:tcPr>
            <w:tcW w:w="11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enthaltene Leistungen</w:t>
            </w:r>
          </w:p>
        </w:tc>
        <w:tc>
          <w:tcPr>
            <w:tcW w:w="26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vergleichsweise wenige, je nach Kasse teils Zusatzleistungen</w:t>
            </w:r>
          </w:p>
        </w:tc>
        <w:tc>
          <w:tcPr>
            <w:tcW w:w="268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Zahn, Medikamente außerhalb der Klinik, Sehhilfen, Physiotherapie, Krankentransport</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auffälligste Unterschied für Neuankömmlinge ist selten die Leistung selbst, sondern der Zeitpunkt, ab dem sie greift – und genau darauf zielt dieses Kapitel.</w:t>
      </w:r>
    </w:p>
    <w:p>
      <w:pPr>
        <w:pStyle w:val="Heading3"/>
        <w:keepNext w:val="true"/>
        <w:spacing w:before="280" w:after="100"/>
        <w:jc w:val="center"/>
        <w:rPr/>
      </w:pPr>
      <w:r>
        <w:rPr>
          <w:rFonts w:eastAsia="Amazon Ember" w:cs="Amazon Ember" w:ascii="Amazon Ember" w:hAnsi="Amazon Ember"/>
          <w:b/>
          <w:bCs/>
          <w:color w:val="0000FF"/>
          <w:sz w:val="36"/>
          <w:szCs w:val="36"/>
        </w:rPr>
        <w:t>Alltag mit der Provinz-Karte: Hausarzt, Walk-in-Klinik, Notaufnahme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Ist die Provinz-Krankenversicherung einmal aktiv, unterscheidet sich der Praxisalltag spürbar von Deutschland. Ein fester Hausarzt (</w:t>
      </w:r>
      <w:r>
        <w:rPr>
          <w:rFonts w:eastAsia="Cambria" w:cs="Cambria"/>
          <w:b w:val="false"/>
          <w:bCs w:val="false"/>
          <w:i/>
          <w:iCs/>
          <w:sz w:val="22"/>
          <w:szCs w:val="22"/>
        </w:rPr>
        <w:t>Family Doctor</w:t>
      </w:r>
      <w:r>
        <w:rPr>
          <w:rFonts w:eastAsia="Cambria" w:cs="Cambria"/>
          <w:b w:val="false"/>
          <w:bCs w:val="false"/>
          <w:i w:val="false"/>
          <w:iCs w:val="false"/>
          <w:sz w:val="22"/>
          <w:szCs w:val="22"/>
        </w:rPr>
        <w:t xml:space="preserve">) ist in Kanada keine Selbstverständlichkeit: In vielen Regionen sind Praxen bereits ausgelastet und führen Wartelisten für neue Patienten, die sich über Monate ziehen können. Bis sich ein fester Hausarzt findet, weichen viele Neuankömmlinge auf eine </w:t>
      </w:r>
      <w:r>
        <w:rPr>
          <w:rFonts w:eastAsia="Cambria" w:cs="Cambria"/>
          <w:b w:val="false"/>
          <w:bCs w:val="false"/>
          <w:i/>
          <w:iCs/>
          <w:sz w:val="22"/>
          <w:szCs w:val="22"/>
        </w:rPr>
        <w:t>Walk-in-Klinik</w:t>
      </w:r>
      <w:r>
        <w:rPr>
          <w:rFonts w:eastAsia="Cambria" w:cs="Cambria"/>
          <w:b w:val="false"/>
          <w:bCs w:val="false"/>
          <w:i w:val="false"/>
          <w:iCs w:val="false"/>
          <w:sz w:val="22"/>
          <w:szCs w:val="22"/>
        </w:rPr>
        <w:t xml:space="preserve"> (Klinik ohne Terminvereinbarung, meist mit längeren Wartezeiten im Wartezimmer statt vorab) aus, die über die Provinz-Karte abrechnet, ohne dass eine feste Anmeldung nötig wäre.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Frage schon in den ersten Wochen bei mehreren Hausarztpraxen in deiner Nähe an, ob sie neue Patienten aufnehmen, und trage dich notfalls auf mehrere Wartelisten gleichzeitig ein. Je früher du startest, desto eher hast du einen festen Hausarzt, bevor du ihn wirklich brauchst.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nicht dringende medizinische Fragen bieten mehrere Provinzen eine telefonische Gesundheitsberatung an, häufig unter der Nummer 811 erreichbar; das genaue Angebot unterscheidet sich je Provinz. Für Fachärzte ist in der Regel weiterhin eine Überweisung vom Hausarzt nötig, ähnlich wie in Deutschland – planbare, nicht dringende Eingriffe können je nach Provinz und Fachrichtung länger dauern, als du es von zu Hause gewohnt bist. Konkrete Wartezeiten unterscheiden sich stark zwischen Provinzen und Fachrichtungen und ändern sich laufend; aktuelle Werte erfährst du am besten direkt bei deinem Hausarzt oder der Gesundheitsbehörde deiner Provinz.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echten Notfällen gilt landesweit der Notruf 911, der Feuerwehr, Polizei und Rettungsdienst gleichermaßen erreicht. Öffentliche Notaufnahmen behandeln unabhängig vom Versicherungsstatus; mit gültiger Provinz-Karte fällt für die eigentliche Notfallbehandlung meist keine Rechnung an, während der Krankentransport selbst, wie oben beschrieben, häufig gesondert in Rechnung gestellt wird.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fester Hausarzt ist in Kanada eher ein Ziel, auf das du hinarbeitest, als ein Automatismus, der mit der Versicherungskarte mitkommt. Melde dich früh auf Wartelisten an und nutze Walk-in-Kliniken und die telefonische Gesundheitsberatung als Brücke.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die Provinz-Versicherung nicht abdeckt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Selbst mit gültiger Provinz-Krankenversicherung bist du nicht vollständig abgesichert. Zahnbehandlungen, verschreibungspflichtige Medikamente außerhalb eines Krankenhausaufenthalts, Sehhilfen, Physiotherapie und der Krankentransport per Rettungswagen fallen in den meisten Provinzen nicht unter die gesetzliche Deckung. Wer das absichern möchte, braucht eine private Zusatzversicherung – häufig über den Arbeitgeber als sogenannte </w:t>
      </w:r>
      <w:r>
        <w:rPr>
          <w:rFonts w:eastAsia="Cambria" w:cs="Cambria"/>
          <w:b w:val="false"/>
          <w:bCs w:val="false"/>
          <w:i/>
          <w:iCs/>
          <w:sz w:val="22"/>
          <w:szCs w:val="22"/>
        </w:rPr>
        <w:t>Extended Health Benefits</w:t>
      </w:r>
      <w:r>
        <w:rPr>
          <w:rFonts w:eastAsia="Cambria" w:cs="Cambria"/>
          <w:b w:val="false"/>
          <w:bCs w:val="false"/>
          <w:i w:val="false"/>
          <w:iCs w:val="false"/>
          <w:sz w:val="22"/>
          <w:szCs w:val="22"/>
        </w:rPr>
        <w:t xml:space="preserve"> (erweiterte Gesundheitsleistungen), ein in Kanada verbreiteter Bestandteil des Gehaltspakets, den du im Bewerbungsgespräch aktiv erfragen solltest.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Frage beim neuen Arbeitgeber gezielt nach dem Umfang der Extended Health Benefits, bevor du eigene, unnötig teure Zusatzverträge abschließt. Viele größere Arbeitgeber decken Zahn, Medikamente und Sehhilfen bereits zu einem erheblichen Teil ab.</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Unterlagen aus Deutschland mitbringen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Bring Impfpass, Vorsorgeheft und relevante Arztbriefe möglichst in englischer Übersetzung mit – ein neuer Hausarzt oder eine Walk-in-Klinik in Kanada kennt weder deine Vorerkrankungen noch deinen Impfstatus, und ein deutsches Dokument ohne Übersetzung nützt im Zweifel wenig. Bei Dauermedikation lohnt sich zusätzlich ein Vorrat für die ersten Wochen sowie ein englischsprachiger Nachweis über Wirkstoff und Dosierung, da ein deutsches Rezept in kanadischen Apotheken nicht eingelöst werden kann und zunächst ein neues von einem in Kanada zugelassenen Arzt nötig ist.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Kläre schon in Deutschland mit deiner Krankenkasse oder Versicherung, ob und wie lange eine bestehende Auslandskrankenversicherung bei einer dauerhaften Wohnsitzverlegung nach Kanada noch greift. Das kann die private Übergangsversicherung vor Ort überflüssig machen oder zumindest ergänzen.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Grundversorgung über die Provinz-Krankenversicherung ist für Berechtigte im Kern kostenfrei</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einheitliches System – 13 Provinz- und Territorialregeln mit eigenen Fristen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Ontario: keine Wartefrist mehr seit 2020, Deckung ab Antragstellung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British Columbia und Québec: rund drei Monate ohne Deckung nach Zuzug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Alberta und Saskatchewan gelten als praktisch wartefrei</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Zahn, Medikamente außerhalb der Klinik, Sehhilfen und Physiotherapie meist unversichert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Private Übergangsversicherung überbrückt die Lücke planbar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Übergangsversicherung trägst du jede Behandlung während der Wartefrist voll selbst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 bieten häufig Extended Health Benefits als Zusatzschutz</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Genaue 2026er-Tarife der Übergangsversicherer ändern sich häufig</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Kläre vor dem Umzug, welche Wartefrist in deiner Zielprovinz gilt, und schließe bei Bedarf schon aus Deutschland eine private Übergangsversicherung mit Beginn zum Ankunftstag ab. Stelle den Antrag auf die Provinz-Krankenversicherung in deiner ersten Woche vor Ort, unabhängig von der Wartefrist. Erkundige dich beim neuen Arbeitgeber nach Extended Health Benefits, bevor du eigene Zusatzverträge für Zahn, Medikamente oder Sehhilfen abschließt.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Wartefrist der Zielprovinz vor dem Umzug direkt bei der Provinzbehörde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Wartefrist (v. a. British Columbia, Québec): private Übergangsversicherung mit Beginn zum Ankunftstag abgeschlossen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Reisepass, Aufenthaltsnachweis und Adressnachweis für den Antrag bereitgelegt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Antrag auf Provinz-Krankenversicherung in der ersten Woche gestellt, Partner und Kinder mit angemeldet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Anmeldebestätigung als vorläufigen Nachweis griffbereit, bis die Karte per Post ankommt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Extended Health Benefits beim Arbeitgeber erfragt, bevor eigene Zusatzverträge abgeschlossen werden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Bedarf an Zusatzversicherung für Zahn, Medikamente, Sehhilfen und Physiotherapie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Auf Wartelisten mehrerer Hausarztpraxen eingetragen, nächstgelegene Walk-in-Klinik notiert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Impfpass, Vorsorgeheft und relevante Arztbriefe in englischer Übersetzung bereitgelegt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Dauermedikation: Vorrat und englischsprachiger Wirkstoffnachweis eingepackt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 xml:space="preserve">SIN-Antrag parallel im Blick (siehe das </w:t>
            </w:r>
            <w:hyperlink w:anchor="tka07">
              <w:r>
                <w:rPr>
                  <w:rStyle w:val="ListLabel116"/>
                  <w:rFonts w:eastAsia="Cambria" w:cs="Cambria"/>
                  <w:b w:val="false"/>
                  <w:bCs w:val="false"/>
                  <w:i w:val="false"/>
                  <w:iCs w:val="false"/>
                  <w:color w:val="0563C1"/>
                  <w:sz w:val="20"/>
                  <w:szCs w:val="20"/>
                  <w:u w:val="single"/>
                </w:rPr>
                <w:t>Kapitel zu SIN, Steuern, Bank und Kredit in diesem Teil</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hyperlink r:id="rId586">
        <w:r>
          <w:rPr>
            <w:rStyle w:val="ListLabel113"/>
            <w:rFonts w:eastAsia="Cambria" w:cs="Cambria"/>
            <w:b w:val="false"/>
            <w:bCs w:val="false"/>
            <w:i w:val="false"/>
            <w:iCs w:val="false"/>
            <w:color w:val="0563C1"/>
            <w:sz w:val="22"/>
            <w:szCs w:val="22"/>
            <w:u w:val="single"/>
          </w:rPr>
          <w:t>canada.ca/en/health-canada</w:t>
        </w:r>
      </w:hyperlink>
      <w:r>
        <w:rPr>
          <w:rFonts w:eastAsia="Cambria" w:cs="Cambria"/>
          <w:b w:val="false"/>
          <w:bCs w:val="false"/>
          <w:i w:val="false"/>
          <w:iCs w:val="false"/>
          <w:sz w:val="22"/>
          <w:szCs w:val="22"/>
        </w:rPr>
        <w:t xml:space="preserve"> – Canada Health Act, Grundprinzipien der Provinz-Krankenversicherung</w:t>
      </w:r>
    </w:p>
    <w:p>
      <w:pPr>
        <w:pStyle w:val="ListParagraph"/>
        <w:numPr>
          <w:ilvl w:val="0"/>
          <w:numId w:val="1"/>
        </w:numPr>
        <w:spacing w:lineRule="exact" w:line="288" w:before="0" w:after="60"/>
        <w:rPr/>
      </w:pPr>
      <w:hyperlink r:id="rId587">
        <w:r>
          <w:rPr>
            <w:rStyle w:val="ListLabel113"/>
            <w:rFonts w:eastAsia="Cambria" w:cs="Cambria"/>
            <w:b w:val="false"/>
            <w:bCs w:val="false"/>
            <w:i w:val="false"/>
            <w:iCs w:val="false"/>
            <w:color w:val="0563C1"/>
            <w:sz w:val="22"/>
            <w:szCs w:val="22"/>
            <w:u w:val="single"/>
          </w:rPr>
          <w:t>ontario.ca/page/apply-ohip-and-get-health-card</w:t>
        </w:r>
      </w:hyperlink>
      <w:r>
        <w:rPr>
          <w:rFonts w:eastAsia="Cambria" w:cs="Cambria"/>
          <w:b w:val="false"/>
          <w:bCs w:val="false"/>
          <w:i w:val="false"/>
          <w:iCs w:val="false"/>
          <w:sz w:val="22"/>
          <w:szCs w:val="22"/>
        </w:rPr>
        <w:t xml:space="preserve"> – OHIP-Anmeldung, keine Wartefrist</w:t>
      </w:r>
    </w:p>
    <w:p>
      <w:pPr>
        <w:pStyle w:val="ListParagraph"/>
        <w:numPr>
          <w:ilvl w:val="0"/>
          <w:numId w:val="1"/>
        </w:numPr>
        <w:spacing w:lineRule="exact" w:line="288" w:before="0" w:after="60"/>
        <w:rPr/>
      </w:pPr>
      <w:hyperlink r:id="rId588">
        <w:r>
          <w:rPr>
            <w:rStyle w:val="ListLabel113"/>
            <w:rFonts w:eastAsia="Cambria" w:cs="Cambria"/>
            <w:b w:val="false"/>
            <w:bCs w:val="false"/>
            <w:i w:val="false"/>
            <w:iCs w:val="false"/>
            <w:color w:val="0563C1"/>
            <w:sz w:val="22"/>
            <w:szCs w:val="22"/>
            <w:u w:val="single"/>
          </w:rPr>
          <w:t>www2.gov.bc.ca/gov/content/health/health-drug-coverage/msp</w:t>
        </w:r>
      </w:hyperlink>
      <w:r>
        <w:rPr>
          <w:rFonts w:eastAsia="Cambria" w:cs="Cambria"/>
          <w:b w:val="false"/>
          <w:bCs w:val="false"/>
          <w:i w:val="false"/>
          <w:iCs w:val="false"/>
          <w:sz w:val="22"/>
          <w:szCs w:val="22"/>
        </w:rPr>
        <w:t xml:space="preserve"> – MSP-Anmeldung und Wartefrist in British Columbia</w:t>
      </w:r>
    </w:p>
    <w:p>
      <w:pPr>
        <w:pStyle w:val="ListParagraph"/>
        <w:numPr>
          <w:ilvl w:val="0"/>
          <w:numId w:val="1"/>
        </w:numPr>
        <w:spacing w:lineRule="exact" w:line="288" w:before="0" w:after="60"/>
        <w:rPr/>
      </w:pPr>
      <w:hyperlink r:id="rId589">
        <w:r>
          <w:rPr>
            <w:rStyle w:val="ListLabel113"/>
            <w:rFonts w:eastAsia="Cambria" w:cs="Cambria"/>
            <w:b w:val="false"/>
            <w:bCs w:val="false"/>
            <w:i w:val="false"/>
            <w:iCs w:val="false"/>
            <w:color w:val="0563C1"/>
            <w:sz w:val="22"/>
            <w:szCs w:val="22"/>
            <w:u w:val="single"/>
          </w:rPr>
          <w:t>ramq.gouv.qc.ca</w:t>
        </w:r>
      </w:hyperlink>
      <w:r>
        <w:rPr>
          <w:rFonts w:eastAsia="Cambria" w:cs="Cambria"/>
          <w:b w:val="false"/>
          <w:bCs w:val="false"/>
          <w:i w:val="false"/>
          <w:iCs w:val="false"/>
          <w:sz w:val="22"/>
          <w:szCs w:val="22"/>
        </w:rPr>
        <w:t xml:space="preserve"> – Anmeldung und Wartefrist in Québec</w:t>
      </w:r>
    </w:p>
    <w:p>
      <w:pPr>
        <w:pStyle w:val="ListParagraph"/>
        <w:numPr>
          <w:ilvl w:val="0"/>
          <w:numId w:val="1"/>
        </w:numPr>
        <w:spacing w:lineRule="exact" w:line="288" w:before="0" w:after="60"/>
        <w:rPr/>
      </w:pPr>
      <w:hyperlink r:id="rId590">
        <w:r>
          <w:rPr>
            <w:rStyle w:val="ListLabel113"/>
            <w:rFonts w:eastAsia="Cambria" w:cs="Cambria"/>
            <w:b w:val="false"/>
            <w:bCs w:val="false"/>
            <w:i w:val="false"/>
            <w:iCs w:val="false"/>
            <w:color w:val="0563C1"/>
            <w:sz w:val="22"/>
            <w:szCs w:val="22"/>
            <w:u w:val="single"/>
          </w:rPr>
          <w:t>alberta.ca/ahcip</w:t>
        </w:r>
      </w:hyperlink>
      <w:r>
        <w:rPr>
          <w:rFonts w:eastAsia="Cambria" w:cs="Cambria"/>
          <w:b w:val="false"/>
          <w:bCs w:val="false"/>
          <w:i w:val="false"/>
          <w:iCs w:val="false"/>
          <w:sz w:val="22"/>
          <w:szCs w:val="22"/>
        </w:rPr>
        <w:t xml:space="preserve"> – Alberta Health Care Insurance Plan</w:t>
      </w:r>
    </w:p>
    <w:p>
      <w:pPr>
        <w:pStyle w:val="ListParagraph"/>
        <w:numPr>
          <w:ilvl w:val="0"/>
          <w:numId w:val="1"/>
        </w:numPr>
        <w:spacing w:lineRule="exact" w:line="288" w:before="0" w:after="60"/>
        <w:rPr/>
      </w:pPr>
      <w:hyperlink r:id="rId591">
        <w:r>
          <w:rPr>
            <w:rStyle w:val="ListLabel113"/>
            <w:rFonts w:eastAsia="Cambria" w:cs="Cambria"/>
            <w:b w:val="false"/>
            <w:bCs w:val="false"/>
            <w:i w:val="false"/>
            <w:iCs w:val="false"/>
            <w:color w:val="0563C1"/>
            <w:sz w:val="22"/>
            <w:szCs w:val="22"/>
            <w:u w:val="single"/>
          </w:rPr>
          <w:t>saskatchewan.ca/residents/health</w:t>
        </w:r>
      </w:hyperlink>
      <w:r>
        <w:rPr>
          <w:rFonts w:eastAsia="Cambria" w:cs="Cambria"/>
          <w:b w:val="false"/>
          <w:bCs w:val="false"/>
          <w:i w:val="false"/>
          <w:iCs w:val="false"/>
          <w:sz w:val="22"/>
          <w:szCs w:val="22"/>
        </w:rPr>
        <w:t xml:space="preserve"> – Saskatchewan Health Coverage</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schnell: die genauen Wartefristen einzelner Provinzen, Tarife privater Übergangsversicherer sowie Umfang und Bedingungen von Extended Health Benefits einzelner Arbeitgeber. Prüfe vor jeder Entscheidung die aktuellen Seiten deiner Zielprovinz und die Police deines gewählten Versicherers.</w:t>
            </w:r>
          </w:p>
        </w:tc>
      </w:tr>
    </w:tbl>
    <w:p>
      <w:pPr>
        <w:pStyle w:val="Normal"/>
        <w:spacing w:lineRule="exact" w:line="220" w:before="0" w:after="0"/>
        <w:rPr/>
      </w:pPr>
      <w:r>
        <w:rPr/>
      </w:r>
      <w:r>
        <w:br w:type="page"/>
      </w:r>
    </w:p>
    <w:p>
      <w:pPr>
        <w:pStyle w:val="Heading2"/>
        <w:keepNext w:val="true"/>
        <w:spacing w:before="0" w:after="300"/>
        <w:jc w:val="center"/>
        <w:rPr/>
      </w:pPr>
      <w:bookmarkStart w:id="153" w:name="__RefHeading___Toc56583_3769931028"/>
      <w:bookmarkStart w:id="154" w:name="tka09"/>
      <w:bookmarkEnd w:id="153"/>
      <w:r>
        <w:rPr>
          <w:rFonts w:eastAsia="Amazon Ember" w:cs="Amazon Ember" w:ascii="Amazon Ember" w:hAnsi="Amazon Ember"/>
          <w:b/>
          <w:bCs/>
          <w:color w:val="0000FF"/>
          <w:sz w:val="36"/>
          <w:szCs w:val="36"/>
        </w:rPr>
        <w:t>Kanada: Wohnen und die besten Orte zum Leben</w:t>
      </w:r>
      <w:bookmarkEnd w:id="154"/>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Lukas Berger steht Anfang Februar zum ersten Mal auf seinem Balkon in Calgary, sieht auf eine schneebedeckte Straße – und zwei Stunden später auf nackten Asphalt, weil ein warmer Fallwind namens </w:t>
      </w:r>
      <w:r>
        <w:rPr>
          <w:rFonts w:eastAsia="Cambria" w:cs="Cambria"/>
          <w:b w:val="false"/>
          <w:bCs w:val="false"/>
          <w:i/>
          <w:iCs/>
          <w:sz w:val="22"/>
          <w:szCs w:val="22"/>
        </w:rPr>
        <w:t>Chinook</w:t>
      </w:r>
      <w:r>
        <w:rPr>
          <w:rFonts w:eastAsia="Cambria" w:cs="Cambria"/>
          <w:b w:val="false"/>
          <w:bCs w:val="false"/>
          <w:i w:val="false"/>
          <w:iCs w:val="false"/>
          <w:sz w:val="22"/>
          <w:szCs w:val="22"/>
        </w:rPr>
        <w:t xml:space="preserve"> die Temperatur um 15 Grad nach oben katapultiert hat. Die Nachbarin nickt nur, als sei das die normalste Sache der Welt, was es in Calgary tatsächlich ist. Beim kanadischen Wohnungsmarkt braucht es eine ähnliche Portion Gelassenheit: Mieten verlangt eine Kreditauskunft, die es in Deutschland so nicht gibt, und Kaufen bedeutet mancherorts, binnen Minuten gegen unsichtbare Mitbieter zu bestehen. Wo du am Ende landest, entscheidet nicht nur das Budget, sondern auch, ob du eher mit Blizzards, Eisstürmen oder Hurrikan-Ausläufern leben willst.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Mieten läuft über Portale wie rentals.ca, meist mit Kreditauskunft (</w:t>
            </w:r>
            <w:r>
              <w:rPr>
                <w:rFonts w:eastAsia="Cambria" w:cs="Cambria"/>
                <w:b w:val="false"/>
                <w:bCs w:val="false"/>
                <w:i/>
                <w:iCs/>
                <w:sz w:val="20"/>
                <w:szCs w:val="20"/>
              </w:rPr>
              <w:t>Credit Report</w:t>
            </w:r>
            <w:r>
              <w:rPr>
                <w:rFonts w:eastAsia="Cambria" w:cs="Cambria"/>
                <w:b w:val="false"/>
                <w:bCs w:val="false"/>
                <w:i w:val="false"/>
                <w:iCs w:val="false"/>
                <w:sz w:val="20"/>
                <w:szCs w:val="20"/>
              </w:rPr>
              <w:t>) und Einkommensnachweis; die Kautionsregeln unterscheiden sich stark: Ontario und Québec verbieten Schadenskautionen komplett, Alberta erlaubt bis zu einer, British Columbia bis zu einer halben Monatsmiete.</w:t>
            </w:r>
          </w:p>
          <w:p>
            <w:pPr>
              <w:pStyle w:val="ListParagraph"/>
              <w:numPr>
                <w:ilvl w:val="0"/>
                <w:numId w:val="1"/>
              </w:numPr>
              <w:spacing w:lineRule="exact" w:line="264" w:before="0" w:after="50"/>
              <w:rPr/>
            </w:pPr>
            <w:r>
              <w:rPr>
                <w:rFonts w:eastAsia="Cambria" w:cs="Cambria"/>
                <w:b w:val="false"/>
                <w:bCs w:val="false"/>
                <w:i w:val="false"/>
                <w:iCs w:val="false"/>
                <w:sz w:val="20"/>
                <w:szCs w:val="20"/>
              </w:rPr>
              <w:t>Ein bundesweites Kaufverbot für Nicht-Kanadier (befristet bis 1. Januar 2027) betrifft die meisten Wohnimmobilien in Städten; wer ein Arbeitsvisum mit mindestens 183 Tagen Restlaufzeit hat, darf trotzdem eine einzige Immobilie kaufen.</w:t>
            </w:r>
          </w:p>
          <w:p>
            <w:pPr>
              <w:pStyle w:val="ListParagraph"/>
              <w:numPr>
                <w:ilvl w:val="0"/>
                <w:numId w:val="1"/>
              </w:numPr>
              <w:spacing w:lineRule="exact" w:line="264" w:before="0" w:after="50"/>
              <w:rPr/>
            </w:pPr>
            <w:r>
              <w:rPr>
                <w:rFonts w:eastAsia="Cambria" w:cs="Cambria"/>
                <w:b w:val="false"/>
                <w:bCs w:val="false"/>
                <w:i w:val="false"/>
                <w:iCs w:val="false"/>
                <w:sz w:val="20"/>
                <w:szCs w:val="20"/>
              </w:rPr>
              <w:t>Ontario und British Columbia erheben zusätzlich eine Sondersteuer für ausländische Käufer (Ontario bis zu 35 % in Toronto, BC 20 % in Metro Vancouver); Permanent Residents sind davon ausgenommen.</w:t>
            </w:r>
          </w:p>
          <w:p>
            <w:pPr>
              <w:pStyle w:val="ListParagraph"/>
              <w:numPr>
                <w:ilvl w:val="0"/>
                <w:numId w:val="1"/>
              </w:numPr>
              <w:spacing w:lineRule="exact" w:line="264" w:before="0" w:after="50"/>
              <w:rPr/>
            </w:pPr>
            <w:r>
              <w:rPr>
                <w:rFonts w:eastAsia="Cambria" w:cs="Cambria"/>
                <w:b w:val="false"/>
                <w:bCs w:val="false"/>
                <w:i w:val="false"/>
                <w:iCs w:val="false"/>
                <w:sz w:val="20"/>
                <w:szCs w:val="20"/>
              </w:rPr>
              <w:t>Toronto und Vancouver sind am teuersten, bieten aber die meisten Jobs; Calgary und Montréal sind spürbar günstiger, verlangen dafür Kompromisse bei Sprache (Montréal) oder Jobfokus (Calgary).</w:t>
            </w:r>
          </w:p>
          <w:p>
            <w:pPr>
              <w:pStyle w:val="ListParagraph"/>
              <w:numPr>
                <w:ilvl w:val="0"/>
                <w:numId w:val="1"/>
              </w:numPr>
              <w:spacing w:lineRule="exact" w:line="264" w:before="0" w:after="50"/>
              <w:rPr/>
            </w:pPr>
            <w:r>
              <w:rPr>
                <w:rFonts w:eastAsia="Cambria" w:cs="Cambria"/>
                <w:b w:val="false"/>
                <w:bCs w:val="false"/>
                <w:i w:val="false"/>
                <w:iCs w:val="false"/>
                <w:sz w:val="20"/>
                <w:szCs w:val="20"/>
              </w:rPr>
              <w:t>Jede Stadt trägt ihr eigenes Naturgefahren-Profil – Derecho, Chinook-Vereisung, Eissturm oder Hurrikan-Ausläufer –, das in die Versicherungsprämie einfließt, nicht nur in die Wetter-App.</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Mieten: Bewerbung, Kaution, Vertrag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Wohnungssuche läuft überwiegend online, über Portale wie rentals.ca oder kijiji.ca – funktional vergleichbar mit deutschen Immobilienportalen, nur mit deutlich mehr Fotos vom begehbaren Kleiderschrank. Wer sich bewirbt, legt üblicherweise eine Kreditauskunft (</w:t>
      </w:r>
      <w:r>
        <w:rPr>
          <w:rFonts w:eastAsia="Cambria" w:cs="Cambria"/>
          <w:b w:val="false"/>
          <w:bCs w:val="false"/>
          <w:i/>
          <w:iCs/>
          <w:sz w:val="22"/>
          <w:szCs w:val="22"/>
        </w:rPr>
        <w:t>Credit Report</w:t>
      </w:r>
      <w:r>
        <w:rPr>
          <w:rFonts w:eastAsia="Cambria" w:cs="Cambria"/>
          <w:b w:val="false"/>
          <w:bCs w:val="false"/>
          <w:i w:val="false"/>
          <w:iCs w:val="false"/>
          <w:sz w:val="22"/>
          <w:szCs w:val="22"/>
        </w:rPr>
        <w:t>, vergleichbar mit einer erweiterten Schufa-Auskunft, aber mit Zahlenwert von 300 bis 900 statt Score in Prozent) vor, dazu Einkommensnachweis und oft ein Empfehlungsschreiben des vorherigen Vermieters. Genau hier liegt die erste Hürde für Neuankömmlinge: Ohne kanadische Kredithistorie gilt man vielen Vermietern als schwer einschätzbares Risiko, selbst mit gutem Gehalt. Manche Großbanken bieten deshalb eigene Programme für Neuankömmlinge an, die eine ausländische Kredithistorie und den Arbeitsvertrag als Ersatznachweis akzeptieren; ohne das hilft oft nur, mehrere Monatsmieten im Voraus anzubieten oder einen kanadischen Bürgen zu stellen.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der Kaution lohnt ein zweiter Blick auf die Provinz, denn hier unterscheidet sich Kanada deutlicher, als man erwartet. In Ontario ist eine Schadenskaution schlicht verboten – erlaubt ist ausschließlich eine „Last Month’s Rent“-Vorauszahlung in Höhe einer Monatsmiete, die zweckgebunden auf den letzten Mietmonat angerechnet wird, niemals auf Schäden. Québec geht noch weiter: Dort ist jede Form von Kaution gesetzlich untersagt, erlaubt ist einzig die Vorauszahlung der ersten Monatsmiete. In Alberta dagegen darf der Vermieter bis zu einer vollen Monatsmiete als Kaution verlangen, in British Columbia bis zu einer halben Monatsmiete, plus optional eine weitere halbe Monatsmiete als Haustier-Kaution. Wer aus Deutschland eine Kaution von zwei bis drei Monatsmieten gewohnt ist, wird in Toronto oder Montréal also regelrecht überrascht – der Vermieter darf dort einfach nicht mehr verlangen, selbst wenn er es wollte. Mietverträge laufen meist zwölf Monate; danach folgt automatisch ein formloser Zeitmietvertrag (</w:t>
      </w:r>
      <w:r>
        <w:rPr>
          <w:rFonts w:eastAsia="Cambria" w:cs="Cambria"/>
          <w:b w:val="false"/>
          <w:bCs w:val="false"/>
          <w:i/>
          <w:iCs/>
          <w:sz w:val="22"/>
          <w:szCs w:val="22"/>
        </w:rPr>
        <w:t>Month-to-Month Tenancy</w:t>
      </w:r>
      <w:r>
        <w:rPr>
          <w:rFonts w:eastAsia="Cambria" w:cs="Cambria"/>
          <w:b w:val="false"/>
          <w:bCs w:val="false"/>
          <w:i w:val="false"/>
          <w:iCs w:val="false"/>
          <w:sz w:val="22"/>
          <w:szCs w:val="22"/>
        </w:rPr>
        <w:t>) zu denselben Bedingungen, sofern niemand kündigt.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der Ausstattung gilt ein anderer Standard als in Deutschland: Kühlschrank und Herd gehören praktisch immer zur Wohnung, Waschmaschine und Trockner je nach Gebäude entweder in der eigenen Einheit oder als Gemeinschaftswaschraum im Keller – eine komplett unmöblierte Küche wie in vielen deutschen Mietwohnungen ist unüblich. Ob Heizkosten in der Miete enthalten sind, hängt stark vom Gebäudetyp ab: In älteren Mehrfamilienhäusern übernimmt oft der Vermieter Heizung und Warmwasser, in freistehenden Häusern und neueren Eigentumswohnungen zahlt meist der Mieter Strom (</w:t>
      </w:r>
      <w:r>
        <w:rPr>
          <w:rFonts w:eastAsia="Cambria" w:cs="Cambria"/>
          <w:b w:val="false"/>
          <w:bCs w:val="false"/>
          <w:i/>
          <w:iCs/>
          <w:sz w:val="22"/>
          <w:szCs w:val="22"/>
        </w:rPr>
        <w:t>Hydro</w:t>
      </w:r>
      <w:r>
        <w:rPr>
          <w:rFonts w:eastAsia="Cambria" w:cs="Cambria"/>
          <w:b w:val="false"/>
          <w:bCs w:val="false"/>
          <w:i w:val="false"/>
          <w:iCs w:val="false"/>
          <w:sz w:val="22"/>
          <w:szCs w:val="22"/>
        </w:rPr>
        <w:t>) und Heizung separat – bei kanadischen Wintertemperaturen ein Posten, den man nicht unterschätzen sollte. Kündigungsfristen regelt jede Provinz einzeln, meist 30 bis 60 Tage zum Ende eines Mietzeitraums; eine fristlose Kündigung durch den Vermieter ohne triftigen Grund (Eigenbedarf, Umbau, Zahlungsverzug) ist in den meisten Provinzen ähnlich eingeschränkt wie in Deutschland.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bei der Mietpreisbremse (</w:t>
      </w:r>
      <w:r>
        <w:rPr>
          <w:rFonts w:eastAsia="Cambria" w:cs="Cambria"/>
          <w:b w:val="false"/>
          <w:bCs w:val="false"/>
          <w:i/>
          <w:iCs/>
          <w:sz w:val="22"/>
          <w:szCs w:val="22"/>
        </w:rPr>
        <w:t>Rent Control</w:t>
      </w:r>
      <w:r>
        <w:rPr>
          <w:rFonts w:eastAsia="Cambria" w:cs="Cambria"/>
          <w:b w:val="false"/>
          <w:bCs w:val="false"/>
          <w:i w:val="false"/>
          <w:iCs w:val="false"/>
          <w:sz w:val="22"/>
          <w:szCs w:val="22"/>
        </w:rPr>
        <w:t>) unterscheiden sich die Provinzen deutlich. Ontario deckelt die jährliche Mieterhöhung für die meisten Bestandswohnungen gesetzlich – Neubauten ab einem bestimmten Stichdatum sind davon ausgenommen. British Columbia und Québec kennen ähnliche, jährlich neu festgelegte Obergrenzen. Alberta dagegen verzichtet komplett auf eine Mietpreisbremse: Der Vermieter darf die Miete bei Vertragsverlängerung grundsätzlich frei neu verhandeln, solange er die vorgeschriebene Ankündigungsfrist einhält.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Fehlende kanadische Kredithistorie ist der häufigste Grund für abgelehnte Mietbewerbungen von Neuankömmlingen – nicht das Einkommen selbst. Bring bei der ersten Besichtigung bereits Gehaltsnachweis, Arbeitsvertrag und, falls vorhanden, eine übersetzte Bestätigung deiner deutschen Vermieterin über pünktliche Zahlungen mit; das ersetzt zwar keine kanadische Bonitätsprüfung, überzeugt aber oft genug.</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Montréal und Calgary liegen bei der Miete merklich unter Toronto und Vancouver – rund 700 bis 800 CAD weniger im Monat für eine vergleichbare Wohnung. Wer beim Jobmarkt flexibel ist, sollte diese beiden Städte ernsthaft mit in die Rechnung nehmen, statt automatisch auf die bekannteren Namen zu setzen.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Lukas Berger (fiktives Beispiel) kommt mit einem LMIA-pflichtigen Employer-Sponsored Work Permit nach Calgary und bewirbt sich auf eine Einzimmerwohnung im Stadtteil Beltline. Die Hausverwaltung fragt nach einer kanadischen Kreditauskunft, die er naturgemäß nicht hat. Statt aufzugeben, legt er seinen unbefristeten Arbeitsvertrag, die ersten beiden Gehaltsabrechnungen und ein Schreiben seines Arbeitgebers vor, das sein Gehalt bestätigt – und bietet an, die ersten drei Monatsmieten im Voraus zu überweisen. Die Zusage kommt zwei Tage später. Die Kaution, in Alberta bis zu einer vollen Monatsmiete zulässig, überweist er direkt an die Verwaltung, nicht an eine Treuhandstelle wie in manch anderer Provinz.</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Kaufen: Ablauf, Käuferschutz und das Kaufverbot für Ausländer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Ablauf ähnelt in den Grundzügen dem deutschen Immobilienkauf, nur ohne Notartermin: In den meisten Provinzen prüft ein auf Immobilienrecht spezialisierter Anwalt (</w:t>
      </w:r>
      <w:r>
        <w:rPr>
          <w:rFonts w:eastAsia="Cambria" w:cs="Cambria"/>
          <w:b w:val="false"/>
          <w:bCs w:val="false"/>
          <w:i/>
          <w:iCs/>
          <w:sz w:val="22"/>
          <w:szCs w:val="22"/>
        </w:rPr>
        <w:t>Real Estate Lawyer</w:t>
      </w:r>
      <w:r>
        <w:rPr>
          <w:rFonts w:eastAsia="Cambria" w:cs="Cambria"/>
          <w:b w:val="false"/>
          <w:bCs w:val="false"/>
          <w:i w:val="false"/>
          <w:iCs w:val="false"/>
          <w:sz w:val="22"/>
          <w:szCs w:val="22"/>
        </w:rPr>
        <w:t xml:space="preserve">) den Vertrag und wickelt die Übergabe ab, in Québec übernimmt das traditionell ein </w:t>
      </w:r>
      <w:r>
        <w:rPr>
          <w:rFonts w:eastAsia="Cambria" w:cs="Cambria"/>
          <w:b w:val="false"/>
          <w:bCs w:val="false"/>
          <w:i/>
          <w:iCs/>
          <w:sz w:val="22"/>
          <w:szCs w:val="22"/>
        </w:rPr>
        <w:t>Notaire</w:t>
      </w:r>
      <w:r>
        <w:rPr>
          <w:rFonts w:eastAsia="Cambria" w:cs="Cambria"/>
          <w:b w:val="false"/>
          <w:bCs w:val="false"/>
          <w:i w:val="false"/>
          <w:iCs w:val="false"/>
          <w:sz w:val="22"/>
          <w:szCs w:val="22"/>
        </w:rPr>
        <w:t>. Ein unterschriebenes Kaufangebot (</w:t>
      </w:r>
      <w:r>
        <w:rPr>
          <w:rFonts w:eastAsia="Cambria" w:cs="Cambria"/>
          <w:b w:val="false"/>
          <w:bCs w:val="false"/>
          <w:i/>
          <w:iCs/>
          <w:sz w:val="22"/>
          <w:szCs w:val="22"/>
        </w:rPr>
        <w:t>Offer</w:t>
      </w:r>
      <w:r>
        <w:rPr>
          <w:rFonts w:eastAsia="Cambria" w:cs="Cambria"/>
          <w:b w:val="false"/>
          <w:bCs w:val="false"/>
          <w:i w:val="false"/>
          <w:iCs w:val="false"/>
          <w:sz w:val="22"/>
          <w:szCs w:val="22"/>
        </w:rPr>
        <w:t xml:space="preserve">) ist in den meisten Provinzen sofort bindend, sobald der Verkäufer annimmt – anders als in Deutschland gibt es keine grundsätzliche Bedenkzeit. Die einzige Ausnahme ist British Columbia: Dort gilt seit Januar 2023 eine gesetzliche „Home Buyer Rescission Period“ von drei Werktagen nach Vertragsannahme, in der ein Rücktritt gegen eine feste Gebühr von 0,25 % des Kaufpreises möglich ist. In begehrten Lagen, vor allem in Toronto, ist zudem das </w:t>
      </w:r>
      <w:r>
        <w:rPr>
          <w:rFonts w:eastAsia="Cambria" w:cs="Cambria"/>
          <w:b w:val="false"/>
          <w:bCs w:val="false"/>
          <w:i/>
          <w:iCs/>
          <w:sz w:val="22"/>
          <w:szCs w:val="22"/>
        </w:rPr>
        <w:t>Blind Bidding</w:t>
      </w:r>
      <w:r>
        <w:rPr>
          <w:rFonts w:eastAsia="Cambria" w:cs="Cambria"/>
          <w:b w:val="false"/>
          <w:bCs w:val="false"/>
          <w:i w:val="false"/>
          <w:iCs w:val="false"/>
          <w:sz w:val="22"/>
          <w:szCs w:val="22"/>
        </w:rPr>
        <w:t xml:space="preserve"> verbreitet: Interessenten geben verdeckte Gebote ab, ohne die Angebote der Konkurrenz zu kennen, oft deutlich über dem Angebotspreis – eine sehr kanadische Form des Wettbewerbs, höflich im Ton, aber schonungslos im Ergebnis.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der Finanzierung gilt bundesweit eine gestaffelte Mindestanzahlung: 5 % bei Kaufpreisen bis 500.000 CAD, 10 % auf den Anteil darüber bis zur Preisobergrenze für versicherte Hypotheken, die seit Dezember 2024 bei 1,5 Mio. CAD liegt; darüber ist eine Anzahlung von mindestens 20 % Pflicht. Wer weniger als 20 % anzahlt, braucht zusätzlich eine Hypothekenversicherung über die staatliche CMHC, deren Kosten sich in die monatliche Rate einrechnen. Ohne kanadische Kredithistorie verlangen manche Banken höhere Anzahlungen; einige Institute bieten aber inzwischen eigene Programme für Neuankömmlinge, die eine ausländische Bonitätshistorie akzeptieren.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Vor dem Angebot lohnt sich eine Hypotheken-Vorabzusage (</w:t>
      </w:r>
      <w:r>
        <w:rPr>
          <w:rFonts w:eastAsia="Cambria" w:cs="Cambria"/>
          <w:b w:val="false"/>
          <w:bCs w:val="false"/>
          <w:i/>
          <w:iCs/>
          <w:sz w:val="22"/>
          <w:szCs w:val="22"/>
        </w:rPr>
        <w:t>Mortgage Pre-Approval</w:t>
      </w:r>
      <w:r>
        <w:rPr>
          <w:rFonts w:eastAsia="Cambria" w:cs="Cambria"/>
          <w:b w:val="false"/>
          <w:bCs w:val="false"/>
          <w:i w:val="false"/>
          <w:iCs w:val="false"/>
          <w:sz w:val="22"/>
          <w:szCs w:val="22"/>
        </w:rPr>
        <w:t>) bei der eigenen Bank oder einem Hypothekenmakler – sie zeigt dem Verkäufer, dass die Finanzierung steht, und ist bei Blind-Bidding-Situationen praktisch Pflicht. Eine Haus-Inspektion (</w:t>
      </w:r>
      <w:r>
        <w:rPr>
          <w:rFonts w:eastAsia="Cambria" w:cs="Cambria"/>
          <w:b w:val="false"/>
          <w:bCs w:val="false"/>
          <w:i/>
          <w:iCs/>
          <w:sz w:val="22"/>
          <w:szCs w:val="22"/>
        </w:rPr>
        <w:t>Home Inspection</w:t>
      </w:r>
      <w:r>
        <w:rPr>
          <w:rFonts w:eastAsia="Cambria" w:cs="Cambria"/>
          <w:b w:val="false"/>
          <w:bCs w:val="false"/>
          <w:i w:val="false"/>
          <w:iCs w:val="false"/>
          <w:sz w:val="22"/>
          <w:szCs w:val="22"/>
        </w:rPr>
        <w:t>) vor der endgültigen Zusage ist unüblich vorgeschrieben, aber in den meisten Kaufangeboten als Bedingung (</w:t>
      </w:r>
      <w:r>
        <w:rPr>
          <w:rFonts w:eastAsia="Cambria" w:cs="Cambria"/>
          <w:b w:val="false"/>
          <w:bCs w:val="false"/>
          <w:i/>
          <w:iCs/>
          <w:sz w:val="22"/>
          <w:szCs w:val="22"/>
        </w:rPr>
        <w:t>Condition</w:t>
      </w:r>
      <w:r>
        <w:rPr>
          <w:rFonts w:eastAsia="Cambria" w:cs="Cambria"/>
          <w:b w:val="false"/>
          <w:bCs w:val="false"/>
          <w:i w:val="false"/>
          <w:iCs w:val="false"/>
          <w:sz w:val="22"/>
          <w:szCs w:val="22"/>
        </w:rPr>
        <w:t>) einbaubar, sofern der Verkäufermarkt das zulässt – in hart umkämpften Lagen verzichten Käufer aus Konkurrenzdruck darauf, was ein reales Risiko bleibt. Zu den Abschlusskosten (</w:t>
      </w:r>
      <w:r>
        <w:rPr>
          <w:rFonts w:eastAsia="Cambria" w:cs="Cambria"/>
          <w:b w:val="false"/>
          <w:bCs w:val="false"/>
          <w:i/>
          <w:iCs/>
          <w:sz w:val="22"/>
          <w:szCs w:val="22"/>
        </w:rPr>
        <w:t>Closing Costs</w:t>
      </w:r>
      <w:r>
        <w:rPr>
          <w:rFonts w:eastAsia="Cambria" w:cs="Cambria"/>
          <w:b w:val="false"/>
          <w:bCs w:val="false"/>
          <w:i w:val="false"/>
          <w:iCs w:val="false"/>
          <w:sz w:val="22"/>
          <w:szCs w:val="22"/>
        </w:rPr>
        <w:t>) zählen neben der Grunderwerbsteuer (</w:t>
      </w:r>
      <w:r>
        <w:rPr>
          <w:rFonts w:eastAsia="Cambria" w:cs="Cambria"/>
          <w:b w:val="false"/>
          <w:bCs w:val="false"/>
          <w:i/>
          <w:iCs/>
          <w:sz w:val="22"/>
          <w:szCs w:val="22"/>
        </w:rPr>
        <w:t>Land Transfer Tax</w:t>
      </w:r>
      <w:r>
        <w:rPr>
          <w:rFonts w:eastAsia="Cambria" w:cs="Cambria"/>
          <w:b w:val="false"/>
          <w:bCs w:val="false"/>
          <w:i w:val="false"/>
          <w:iCs w:val="false"/>
          <w:sz w:val="22"/>
          <w:szCs w:val="22"/>
        </w:rPr>
        <w:t>, gestaffelt nach Kaufpreis und Provinz) die Anwalts- oder Notargebühren sowie die Grundbucheintragung; als Faustregel kalkulieren Käufer obendrauf 1,5 bis 4 % des Kaufpreises außerhalb der Anzahlung ein.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Käufer ohne Permanent Residence kommt seit dem 1. Januar 2023 eine deutliche Hürde hinzu: Das bundesweite „Prohibition on the Purchase of Residential Property by Non-Canadians Act“ verbietet Nicht-Kanadiern grundsätzlich den Kauf von Wohnimmobilien mit bis zu drei Einheiten in Ballungsgebieten; die Regelung ist mittlerweile bis mindestens 1. Januar 2027 verlängert. Eine wichtige Ausnahme betrifft Inhaber eines gültigen Arbeitsvisums: Wer zum Kaufzeitpunkt noch mindestens 183 Tage Restlaufzeit auf dem Permit hat und noch keine andere Immobilie nach diesem Gesetz erworben hat, darf eine einzige Wohnimmobilie kaufen. Permanent Residents und kanadische Staatsbürger sind vom Verbot von vornherein ausgenommen – der PR-Status wirkt hier ganz ähnlich wie in Australien: Er entscheidet, ob dich das Gesetz überhaupt betrifft.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Zusätzlich erheben zwei Provinzen eine eigene Steuer für ausländische Käufer, unabhängig vom Bundesverbot: Ontario verlangt eine „Non-Resident Speculation Tax“ von 25 % des Kaufpreises landesweit, in Toronto kommt eine städtische Zusatzabgabe von 10 % hinzu – macht zusammen 35 % Aufschlag auf den Kaufpreis. British Columbia erhebt in Metro Vancouver und weiteren festgelegten Regionen eine „Additional Property Transfer Tax“ von 20 %. Alberta und die meisten anderen Provinzen kennen keine vergleichbare Sondersteuer. Auch hier gilt: Permanent Residents zahlen diese Steuern nicht, sie treffen ausschließlich „foreign nationals“ ohne PR-Status.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Ob dich das Kaufverbot und die Foreign-Buyer-Steuern treffen, hängt am Aufenthaltsstatus, nicht an Herkunft oder Aufenthaltsdauer. Wer wie Familie Ahrens über Express Entry direkt mit Permanent Residence einreist, ist von der ersten Sekunde an ausgenommen. Wer mit einem befristeten Arbeitsvisum kommt, bleibt „foreign national“, bis der PR-Status offiziell erteilt ist – unabhängig davon, wie lange man schon in Kanada lebt oder Steuern zahlt.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Verstoß gegen das Kaufverbot ist kein Kavaliersdelikt: Das Gesetz sieht Bußgelder bis 10.000 CAD sowie eine mögliche gerichtlich angeordnete Rückabwicklung des Kaufs vor. Prüfe vor jedem Angebot, ob deine Permit-Restlaufzeit die 183-Tage-Grenze erfüllt und ob du nicht bereits eine andere Immobilie nach diesem Gesetz erworben hast – im Zweifel klärt das ein auf Immobilienrecht spezialisierter Anwalt vorab.</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Ahrens (fiktives Beispiel) zieht über Express Entry direkt mit Permanent Residence nach Toronto. Markus und Julia mieten die ersten Monate in Etobicoke, während sie Schuldistrikte für Finn (11) und Mia (7) vergleichen. Als sie nach anderthalb Jahren ein Reihenhaus besichtigen, geben sie ein verdecktes Gebot ab, ohne die Konkurrenz zu kennen – am Ende liegt ihr Angebot knapp über dem von zwei weiteren Familien. Weil sie Permanent Residents sind, zahlen sie nur die reguläre Grunderwerbsteuer (</w:t>
            </w:r>
            <w:r>
              <w:rPr>
                <w:rFonts w:eastAsia="Cambria" w:cs="Cambria"/>
                <w:b w:val="false"/>
                <w:bCs w:val="false"/>
                <w:i/>
                <w:iCs/>
                <w:sz w:val="20"/>
                <w:szCs w:val="20"/>
              </w:rPr>
              <w:t>Land Transfer Tax</w:t>
            </w:r>
            <w:r>
              <w:rPr>
                <w:rFonts w:eastAsia="Cambria" w:cs="Cambria"/>
                <w:b w:val="false"/>
                <w:bCs w:val="false"/>
                <w:i w:val="false"/>
                <w:iCs w:val="false"/>
                <w:sz w:val="20"/>
                <w:szCs w:val="20"/>
              </w:rPr>
              <w:t>), weder die 35-prozentige Non-Resident Speculation Tax noch braucht es eine Ausnahmegenehmigung vom Kaufverbot. Ein Kollege aus Julias Apotheke, der noch auf einem befristeten Visum arbeitet, hätte für dasselbe Haus rund 385.000 CAD zusätzlich aufbringen müssen – allein wegen des fehlenden PR-Status.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besten Orte zum Leben: Klima, Naturgefahren, Kosten, Jobmarkt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„Kanada ist überall gleich kalt, also spielt der Wohnort für das Klima kaum eine Rolle.“ Tatsächlich liegen zwischen einem Calgary-Winter mit Chinook-Wärmeeinbrüchen und einem Vancouver-Winter mit Dauerregen bei milden Plusgraden klimatisch Welten – und jede der sechs großen Städte trägt außerdem ihr eigenes Naturgefahren-Risiko, das Versicherer Jahr für Jahr neu bepreisen. Rechne über Miete oder Kaufpreis hinaus auch mit den üblichen Fixkosten für Heizung, Auto und Kinderbetreuung; sie schwanken zwischen den Städten spürbar weniger als Miete und Kaufpreis, gehören aber ebenso in die Budgetrechnung.</w:t>
      </w:r>
    </w:p>
    <w:p>
      <w:pPr>
        <w:pStyle w:val="Normal"/>
        <w:keepNext w:val="false"/>
        <w:keepLines w:val="false"/>
        <w:spacing w:lineRule="exact" w:line="288" w:before="0" w:after="140"/>
        <w:jc w:val="left"/>
        <w:rPr/>
      </w:pPr>
      <w:r>
        <w:rPr>
          <w:rFonts w:eastAsia="Cambria" w:cs="Cambria"/>
          <w:b/>
          <w:bCs/>
          <w:i w:val="false"/>
          <w:iCs w:val="false"/>
          <w:sz w:val="22"/>
          <w:szCs w:val="22"/>
        </w:rPr>
        <w:t>Toronto (Ontario)</w:t>
      </w:r>
      <w:r>
        <w:rPr>
          <w:rFonts w:eastAsia="Cambria" w:cs="Cambria"/>
          <w:b w:val="false"/>
          <w:bCs w:val="false"/>
          <w:i w:val="false"/>
          <w:iCs w:val="false"/>
          <w:sz w:val="22"/>
          <w:szCs w:val="22"/>
        </w:rPr>
        <w:t xml:space="preserve"> hat ein feucht-kontinentales Klima mit warmen, teils schwülen Sommern und kalten, schneereichen Wintern – meist berechenbar, bis zum Derecho vom Mai 2022: Böen bis 190 km/h, rund vier Tornados entlang einer etwa 1.000 Kilometer langen Schneise quer durch Südontario, mehrere Notstandserklärungen. Beim Wohnen ist Toronto die zweitteuerste Metro Kanadas: Miete durchschnittlich 2.660 CAD, Kaufpreis rund 993.410 CAD. Der Jobmarkt gleicht das teilweise aus – Toronto ist Kanadas Finanzzentrum („Bay Street“), dazu ein wachsendes Fintech- und Tech-Cluster; Gehälter im Finanzsektor liegen laut Jobportalen bei rund 54.500 bis 66.300 CAD im Jahr, wobei die genaue Berufsabgrenzung solcher Portale variiert. Für die Deutsche Community sorgen Generalkonsulat, Goethe-Institut und die German International School Toronto.</w:t>
      </w:r>
    </w:p>
    <w:p>
      <w:pPr>
        <w:pStyle w:val="Normal"/>
        <w:keepNext w:val="false"/>
        <w:keepLines w:val="false"/>
        <w:spacing w:lineRule="exact" w:line="288" w:before="0" w:after="140"/>
        <w:jc w:val="left"/>
        <w:rPr/>
      </w:pPr>
      <w:r>
        <w:rPr>
          <w:rFonts w:eastAsia="Cambria" w:cs="Cambria"/>
          <w:b/>
          <w:bCs/>
          <w:i w:val="false"/>
          <w:iCs w:val="false"/>
          <w:sz w:val="22"/>
          <w:szCs w:val="22"/>
        </w:rPr>
        <w:t>Vancouver (British Columbia)</w:t>
      </w:r>
      <w:r>
        <w:rPr>
          <w:rFonts w:eastAsia="Cambria" w:cs="Cambria"/>
          <w:b w:val="false"/>
          <w:bCs w:val="false"/>
          <w:i w:val="false"/>
          <w:iCs w:val="false"/>
          <w:sz w:val="22"/>
          <w:szCs w:val="22"/>
        </w:rPr>
        <w:t xml:space="preserve"> gilt klimatisch als ozeanisch-mild, was die milden Temperaturen betrifft – bei den Niederschlägen aber überrascht die Stadt jeden Neuankömmling: 1.200 bis 1.600 Millimeter Regen im Jahr, November mit durchschnittlich 344 Millimetern an 20 Regentagen der nasseste Monat. Erdbebenrisiko kommt hinzu, da Vancouver in der seismisch aktiven Cascadia-Zone liegt. Dafür ist Vancouver die teuerste Stadt Kanadas: Miete rund 3.100 CAD im Schnitt, Kaufpreis-Benchmark bei 1.081.900 CAD. Der Jobmarkt punktet mit Tech, Gaming und einer Filmindustrie, die sich selbst „Hollywood North“ nennt; Softwareentwickler verdienen hier mit durchschnittlich 52,40 CAD pro Stunde landesweit am meisten, Einstiegsrollen in der Filmproduktion liegen bei rund 16 bis 32 CAD pro Stunde, deutlich mehr in Fachpositionen. Ein eigenes Goethe-Institut gibt es vor Ort nicht, dafür das Generalkonsulat Vancouver.</w:t>
      </w:r>
    </w:p>
    <w:p>
      <w:pPr>
        <w:pStyle w:val="Normal"/>
        <w:keepNext w:val="false"/>
        <w:keepLines w:val="false"/>
        <w:spacing w:lineRule="exact" w:line="288" w:before="0" w:after="140"/>
        <w:jc w:val="left"/>
        <w:rPr/>
      </w:pPr>
      <w:r>
        <w:rPr>
          <w:rFonts w:eastAsia="Cambria" w:cs="Cambria"/>
          <w:b/>
          <w:bCs/>
          <w:i w:val="false"/>
          <w:iCs w:val="false"/>
          <w:sz w:val="22"/>
          <w:szCs w:val="22"/>
        </w:rPr>
        <w:t>Calgary (Alberta)</w:t>
      </w:r>
      <w:r>
        <w:rPr>
          <w:rFonts w:eastAsia="Cambria" w:cs="Cambria"/>
          <w:b w:val="false"/>
          <w:bCs w:val="false"/>
          <w:i w:val="false"/>
          <w:iCs w:val="false"/>
          <w:sz w:val="22"/>
          <w:szCs w:val="22"/>
        </w:rPr>
        <w:t xml:space="preserve"> ist trocken-kontinental geprägt, mit dem erwähnten Chinook als wetterprägendem Sonderfall: Warme Fallwinde von den Rocky Mountains können die Temperatur binnen weniger Stunden um bis zu 20 Grad anheben, mit Kälteeinbrüchen bis −30 °C dazwischen – meist kurz, aber real. Das rasche Schmelzen und Wiedergefrieren führt zu tückisch vereisten Straßen und gelegentlichen Rohrbrüchen. Beim Wohnen ist Calgary spürbar günstiger als Toronto oder Vancouver: Miete rund 1.900 CAD, Kaufpreis mit 638.440 CAD der niedrigste der vier großen Metros. Der Jobmarkt wird von Öl und Gas dominiert, mit rund 45.000 direkt Beschäftigten und weiteren 205.000 Jobs in der Region; Pflegekräfte verdienen hier im Median rund 48 CAD pro Stunde, gegenüber etwa 41 CAD in Toronto – ein Unterschied von rechnerisch rund 14.500 CAD im Jahr.</w:t>
      </w:r>
    </w:p>
    <w:p>
      <w:pPr>
        <w:pStyle w:val="Normal"/>
        <w:keepNext w:val="false"/>
        <w:keepLines w:val="false"/>
        <w:spacing w:lineRule="exact" w:line="288" w:before="0" w:after="140"/>
        <w:jc w:val="left"/>
        <w:rPr/>
      </w:pPr>
      <w:r>
        <w:rPr>
          <w:rFonts w:eastAsia="Cambria" w:cs="Cambria"/>
          <w:b/>
          <w:bCs/>
          <w:i w:val="false"/>
          <w:iCs w:val="false"/>
          <w:sz w:val="22"/>
          <w:szCs w:val="22"/>
        </w:rPr>
        <w:t>Montréal (Québec)</w:t>
      </w:r>
      <w:r>
        <w:rPr>
          <w:rFonts w:eastAsia="Cambria" w:cs="Cambria"/>
          <w:b w:val="false"/>
          <w:bCs w:val="false"/>
          <w:i w:val="false"/>
          <w:iCs w:val="false"/>
          <w:sz w:val="22"/>
          <w:szCs w:val="22"/>
        </w:rPr>
        <w:t xml:space="preserve"> hat ebenfalls feucht-kontinentales Klima mit kalten, schneereichen Wintern – dazu ein spezifisches Risiko: Eisstürme wie der vom April 2023, der rund 1,1 Millionen Stromkunden in Québec betraf, die Hälfte davon allein auf der Insel Montréal. Beim Wohnen ist Montréal zusammen mit Calgary die günstigste der sechs Metros: Miete rund 1.900 CAD, Kaufpreis 689.824 CAD (+3,2 % zum Vorjahr). Der Jobmarkt punktet mit Luft- und Raumfahrt (Bombardier, CAE, Pratt &amp; Whitney Canada) und einem internationalen KI-Cluster rund um das Forschungsinstitut Mila; Jobportale listen dort branchenübergreifend über 700 offene Stellen in der Luft- und Raumfahrt und rund 240 in KI-nahen Berufen – Momentaufnahmen, aber ein Indiz für die Breite des Marktes. Wer hierherzieht, sollte einplanen, dass Québec sein eigenes Steuersystem hat und das Sprachgesetz Bill 96 Neuankömmlingen nach sechs Monaten grundsätzlich Französisch statt Englisch im Behördenkontakt vorschreibt.</w:t>
      </w:r>
    </w:p>
    <w:p>
      <w:pPr>
        <w:pStyle w:val="Normal"/>
        <w:keepNext w:val="false"/>
        <w:keepLines w:val="false"/>
        <w:spacing w:lineRule="exact" w:line="288" w:before="0" w:after="140"/>
        <w:jc w:val="left"/>
        <w:rPr/>
      </w:pPr>
      <w:r>
        <w:rPr>
          <w:rFonts w:eastAsia="Cambria" w:cs="Cambria"/>
          <w:b/>
          <w:bCs/>
          <w:i w:val="false"/>
          <w:iCs w:val="false"/>
          <w:sz w:val="22"/>
          <w:szCs w:val="22"/>
        </w:rPr>
        <w:t>Ottawa (Ontario, mit Gatineau in Québec)</w:t>
      </w:r>
      <w:r>
        <w:rPr>
          <w:rFonts w:eastAsia="Cambria" w:cs="Cambria"/>
          <w:b w:val="false"/>
          <w:bCs w:val="false"/>
          <w:i w:val="false"/>
          <w:iCs w:val="false"/>
          <w:sz w:val="22"/>
          <w:szCs w:val="22"/>
        </w:rPr>
        <w:t xml:space="preserve"> teilt sich das feucht-kontinentale Klima mit Toronto, ist aber seltener von Tornados betroffen – dafür anfälliger für Eisstürme wie den vom April 2023. Die Miete liegt mit rund 2.350 CAD im Mittelfeld, zeigt aber unter den sechs Metros den stärksten Rückgang (−5,6 % zum Vorjahr); stadtspezifische Kaufpreise sind in den verfügbaren Berichten nicht gesondert ausgewiesen, nur der nationale Durchschnitt von 668.219 CAD. Der Jobmarkt wird von der Bundesverwaltung dominiert (Politik, IT, Finanzen, Sprachdienste), ergänzt durch den Technologiepark Kanata North mit Schwerpunkt Telekommunikation, Cybersicherheit und Photonik. Der Park beschäftigt laut einer Wirkungsstudie direkt rund 31.000 Menschen, landesweit sollen über 63.000 weitere Jobs von ihm abhängen – Zahlen der lokalen Wirtschaftsförderung, nicht unabhängig geprüft, aber ein Hinweis auf die Größenordnung. Die Deutsche Botschaft hat hier ihren Sitz, dazu ein Goethe-Institut.</w:t>
      </w:r>
    </w:p>
    <w:p>
      <w:pPr>
        <w:pStyle w:val="Normal"/>
        <w:keepNext w:val="false"/>
        <w:keepLines w:val="false"/>
        <w:spacing w:lineRule="exact" w:line="288" w:before="0" w:after="140"/>
        <w:jc w:val="left"/>
        <w:rPr/>
      </w:pPr>
      <w:r>
        <w:rPr>
          <w:rFonts w:eastAsia="Cambria" w:cs="Cambria"/>
          <w:b/>
          <w:bCs/>
          <w:i w:val="false"/>
          <w:iCs w:val="false"/>
          <w:sz w:val="22"/>
          <w:szCs w:val="22"/>
        </w:rPr>
        <w:t>Halifax (Nova Scotia)</w:t>
      </w:r>
      <w:r>
        <w:rPr>
          <w:rFonts w:eastAsia="Cambria" w:cs="Cambria"/>
          <w:b w:val="false"/>
          <w:bCs w:val="false"/>
          <w:i w:val="false"/>
          <w:iCs w:val="false"/>
          <w:sz w:val="22"/>
          <w:szCs w:val="22"/>
        </w:rPr>
        <w:t xml:space="preserve"> hat ein maritim-gemäßigtes Klima mit milderen Wintern als im kontinentalen Kanada, dafür feucht und stürmisch – Halifax liegt auf einer Halbinsel fast auf Meereshöhe, direkt in der Zugbahn atlantischer Tropenstürme. Im Schnitt trifft Atlantic Canada etwa alle drei Jahre ein Hurrikan oder Post-Tropensturm; der Post-Tropensturm Dorian im September 2019 legte rund 400.000 Stromkunden lahm. Die Miete liegt mit rund 2.350 CAD im Mittelfeld, zeigt aber als einzige der sechs Metros einen Anstieg (+5,4 % zum Vorjahr). Der Jobmarkt ist überraschend vielseitig für eine Stadt dieser Größe: Software, Fintech, Health-Tech, Meerestechnologie und Cybersicherheit. Mit unter 1 % Einwanderer-Anteil in IT-Berufen ist Atlantic Canada eine der am wenigsten durch Zuwanderung erschlossenen Tech-Regionen des Landes – eine Chance für Neuankömmlinge, aber auch ein Hinweis darauf, dass sich berufliche Netzwerke vor Ort erst noch aufbauen lassen müssen.</w:t>
      </w:r>
    </w:p>
    <w:tbl>
      <w:tblPr>
        <w:tblW w:w="6480" w:type="dxa"/>
        <w:jc w:val="left"/>
        <w:tblInd w:w="0" w:type="dxa"/>
        <w:tblLayout w:type="fixed"/>
        <w:tblCellMar>
          <w:top w:w="50" w:type="dxa"/>
          <w:left w:w="80" w:type="dxa"/>
          <w:bottom w:w="50" w:type="dxa"/>
          <w:right w:w="80" w:type="dxa"/>
        </w:tblCellMar>
      </w:tblPr>
      <w:tblGrid>
        <w:gridCol w:w="949"/>
        <w:gridCol w:w="1849"/>
        <w:gridCol w:w="1900"/>
        <w:gridCol w:w="1781"/>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Stadt</w:t>
            </w:r>
          </w:p>
        </w:tc>
        <w:tc>
          <w:tcPr>
            <w:tcW w:w="18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Klima und Naturgefahr</w:t>
            </w:r>
          </w:p>
        </w:tc>
        <w:tc>
          <w:tcPr>
            <w:tcW w:w="190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Kosten (Miete Ø/Monat · Kaufpreis)</w:t>
            </w:r>
          </w:p>
        </w:tc>
        <w:tc>
          <w:tcPr>
            <w:tcW w:w="178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Jobmarkt-Stärke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Toronto</w:t>
            </w:r>
          </w:p>
        </w:tc>
        <w:tc>
          <w:tcPr>
            <w:tcW w:w="18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feucht-kontinental, Derecho-Risiko</w:t>
            </w:r>
          </w:p>
        </w:tc>
        <w:tc>
          <w:tcPr>
            <w:tcW w:w="19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2.660 CAD · 993.410 CAD</w:t>
            </w:r>
          </w:p>
        </w:tc>
        <w:tc>
          <w:tcPr>
            <w:tcW w:w="17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Finanzen (Bay Street), Fintech/Tech</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Vancouver</w:t>
            </w:r>
          </w:p>
        </w:tc>
        <w:tc>
          <w:tcPr>
            <w:tcW w:w="18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ozeanisch, sehr regenreich, Erdbebenrisiko</w:t>
            </w:r>
          </w:p>
        </w:tc>
        <w:tc>
          <w:tcPr>
            <w:tcW w:w="19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3.100 CAD · 1.081.900 CAD</w:t>
            </w:r>
          </w:p>
        </w:tc>
        <w:tc>
          <w:tcPr>
            <w:tcW w:w="17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Tech/Software, Film/VFX</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Calgary</w:t>
            </w:r>
          </w:p>
        </w:tc>
        <w:tc>
          <w:tcPr>
            <w:tcW w:w="18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trocken-kontinental, Chinook-Extreme</w:t>
            </w:r>
          </w:p>
        </w:tc>
        <w:tc>
          <w:tcPr>
            <w:tcW w:w="19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1.900 CAD · 638.440 CAD</w:t>
            </w:r>
          </w:p>
        </w:tc>
        <w:tc>
          <w:tcPr>
            <w:tcW w:w="17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Öl und Gas</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Montréal</w:t>
            </w:r>
          </w:p>
        </w:tc>
        <w:tc>
          <w:tcPr>
            <w:tcW w:w="18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feucht-kontinental, Eissturm-Risiko</w:t>
            </w:r>
          </w:p>
        </w:tc>
        <w:tc>
          <w:tcPr>
            <w:tcW w:w="19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1.900 CAD · 689.824 CAD</w:t>
            </w:r>
          </w:p>
        </w:tc>
        <w:tc>
          <w:tcPr>
            <w:tcW w:w="17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Luft-/Raumfahrt, KI</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Ottawa</w:t>
            </w:r>
          </w:p>
        </w:tc>
        <w:tc>
          <w:tcPr>
            <w:tcW w:w="18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feucht-kontinental, Eissturm-Risiko</w:t>
            </w:r>
          </w:p>
        </w:tc>
        <w:tc>
          <w:tcPr>
            <w:tcW w:w="19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2.350 CAD · n. e. (national 668.219 CAD)</w:t>
            </w:r>
          </w:p>
        </w:tc>
        <w:tc>
          <w:tcPr>
            <w:tcW w:w="17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Bundesverwaltung, Tech (Kanata North)</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Halifax</w:t>
            </w:r>
          </w:p>
        </w:tc>
        <w:tc>
          <w:tcPr>
            <w:tcW w:w="18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maritim, Hurrikan-/Sturmrisiko</w:t>
            </w:r>
          </w:p>
        </w:tc>
        <w:tc>
          <w:tcPr>
            <w:tcW w:w="19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2.350 CAD · n. e.</w:t>
            </w:r>
          </w:p>
        </w:tc>
        <w:tc>
          <w:tcPr>
            <w:tcW w:w="17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Ocean-Tech, Fintech, Cybersicherheit</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Naturgefahren sind in Kanada kein exotisches Randthema, sondern ein Kostenfaktor: Versicherer kalkulieren Überschwemmungs-, Sturm- und Waldbrandrauch-Risiko in die Jahresprämie ein, in Hochrisikolagen wird eine Immobilie teurer oder schwerer versicherbar. Hol dir vor dem Kauf ein konkretes Angebot für genau dieses Grundstück ein – nicht erst, nachdem der Vertrag schon unterschrieben ist.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Neben Miete oder Kaufpreis unterscheiden sich die sechs Städte bei Auto, Kinderbetreuung und alltäglichen Lebenshaltungskosten spürbar weniger stark als beim Wohnen selbst. Wer aus einer deutschen Großstadt ohne eigenes Auto kommt, sollte trotzdem in praktisch allen sechs Städten außerhalb der jeweiligen Innenstadt ein eigenes Fahrzeug einplanen: Der öffentliche Nahverkehr ist meist auf Pendlerkorridore in Richtung Innenstadt ausgelegt, nicht auf die Fläche der Vorstädte, in denen viele Familien mit Kindern eher landen.</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Permanent Residents sind von Kaufverbot und Foreign-Buyer-Steuern von Anfang an ausgenommen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Nicht-PR-Käufer brauchen ein gültiges Arbeitsvisum mit mindestens 183 Tagen Restlaufzeit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Ontario und Québec verbieten Schadenskautionen – finanziell entlastend beim Einzug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kanadische Kredithistorie ist die Wohnungssuche merklich schwerer als gedacht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Calgary und Montréal bieten deutlich günstigeren Wohnraum als Toronto oder Vancouver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Diese Städte verlangen Kompromisse bei Sprache (Québec) oder Jobfokus (Calgary)</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BC gewährt als einzige Provinz eine gesetzliche dreitägige Rücktrittsfrist beim Kauf</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 den übrigen Provinzen ist ein angenommenes Angebot sofort bindend</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Jede Stadt hat ein gut dokumentiertes Naturgefahren-Profil, das sich recherchieren lässt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Chinook-Vereisung, Derecho, Eissturm oder Hurrikan können Versicherbarkeit und -kosten merklich beeinflussen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Vergleiche vor der Zusage nicht nur das Gehalt, sondern die Kombination aus Miet- oder Kaufniveau, Jobmarkt im eigenen Berufsfeld und Naturgefahren-Profil der Zielstadt. Kläre früh, welchen Aufenthaltsstatus du beim Umzug hast – er entscheidet, ob dich das bundesweite Kaufverbot und die provinziellen Foreign-Buyer-Steuern überhaupt betreffen, und ob eine Bank dich ohne kanadische Kredithistorie finanziert. Miete zunächst, auch wenn ein Kauf verlockt: Du lernst Viertel und Schuldistrikt aus eigener Erfahrung kennen und musst dich außerhalb von British Columbia nicht unter Zeitdruck in ein sofort bindendes Kaufangebot hineinsteigern.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Aufenthaltsstatus geklärt: Permanent Resident oder „non-Canadian“ im Sinne des Kaufverbots?</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befristetem Visum geprüft, ob die 183-Tage-Restlaufzeit für eine Kaufausnahme reicht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Provinzielle Foreign-Buyer-Steuer der Zielprovinz recherchiert (Ontario, BC) oder ausgeschlossen (Alberta u. a.)</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Kautionsregeln der Zielprovinz geprüft (Ontario/Québec: keine Schadenskaution; Alberta/BC: Obergrenzen beachten)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Unterlagen für Mietbewerbungen vorbereitet: Gehaltsnachweis, Arbeitsvertrag, ausländische Bonitätsnachweise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Kaufabsicht: Real-Estate-Anwalt oder, in Québec, Notaire kontaktiert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Finanzierungsbedingungen ohne kanadische Kredithistorie bei mindestens zwei Banken erfragt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Naturgefahren-Profil der Zielstadt mit einem konkreten Versicherungsangebot abgeglichen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Miet- und Kaufpreise mehrerer Städte im eigenen Berufsfeld verglichen, nicht nur Toronto oder Vancouver</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Entschieden, mindestens die ersten sechs bis zwölf Monate zu mieten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Statistics Canada — Quarterly Rent Statistics (</w:t>
      </w:r>
      <w:hyperlink r:id="rId592">
        <w:r>
          <w:rPr>
            <w:rStyle w:val="ListLabel113"/>
            <w:rFonts w:eastAsia="Cambria" w:cs="Cambria"/>
            <w:b w:val="false"/>
            <w:bCs w:val="false"/>
            <w:i w:val="false"/>
            <w:iCs w:val="false"/>
            <w:color w:val="0563C1"/>
            <w:sz w:val="22"/>
            <w:szCs w:val="22"/>
            <w:u w:val="single"/>
          </w:rPr>
          <w:t>statcan.gc.ca</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CMHC (Canada Mortgage and Housing Corporation) — Rental- und Kaufmarktberichte, Hypothekenregeln (</w:t>
      </w:r>
      <w:hyperlink r:id="rId593">
        <w:r>
          <w:rPr>
            <w:rStyle w:val="ListLabel113"/>
            <w:rFonts w:eastAsia="Cambria" w:cs="Cambria"/>
            <w:b w:val="false"/>
            <w:bCs w:val="false"/>
            <w:i w:val="false"/>
            <w:iCs w:val="false"/>
            <w:color w:val="0563C1"/>
            <w:sz w:val="22"/>
            <w:szCs w:val="22"/>
            <w:u w:val="single"/>
          </w:rPr>
          <w:t>cmhc-schl.gc.ca</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Kanadische Bundesregierung — Prohibition on the Purchase of Residential Property by Non-Canadians Act (</w:t>
      </w:r>
      <w:hyperlink r:id="rId594">
        <w:r>
          <w:rPr>
            <w:rStyle w:val="ListLabel113"/>
            <w:rFonts w:eastAsia="Cambria" w:cs="Cambria"/>
            <w:b w:val="false"/>
            <w:bCs w:val="false"/>
            <w:i w:val="false"/>
            <w:iCs w:val="false"/>
            <w:color w:val="0563C1"/>
            <w:sz w:val="22"/>
            <w:szCs w:val="22"/>
            <w:u w:val="single"/>
          </w:rPr>
          <w:t>canada.ca</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Province of British Columbia — Additional Property Transfer Tax, Home Buyer Rescission Period (</w:t>
      </w:r>
      <w:hyperlink r:id="rId595">
        <w:r>
          <w:rPr>
            <w:rStyle w:val="ListLabel113"/>
            <w:rFonts w:eastAsia="Cambria" w:cs="Cambria"/>
            <w:b w:val="false"/>
            <w:bCs w:val="false"/>
            <w:i w:val="false"/>
            <w:iCs w:val="false"/>
            <w:color w:val="0563C1"/>
            <w:sz w:val="22"/>
            <w:szCs w:val="22"/>
            <w:u w:val="single"/>
          </w:rPr>
          <w:t>gov.bc.ca</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Ontario — Non-Resident Speculation Tax, Residential Tenancies Act (</w:t>
      </w:r>
      <w:hyperlink r:id="rId596">
        <w:r>
          <w:rPr>
            <w:rStyle w:val="ListLabel113"/>
            <w:rFonts w:eastAsia="Cambria" w:cs="Cambria"/>
            <w:b w:val="false"/>
            <w:bCs w:val="false"/>
            <w:i w:val="false"/>
            <w:iCs w:val="false"/>
            <w:color w:val="0563C1"/>
            <w:sz w:val="22"/>
            <w:szCs w:val="22"/>
            <w:u w:val="single"/>
          </w:rPr>
          <w:t>ontario.ca</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Deutsche Auslandsvertretungen in Kanada — Generalkonsulate, Honorarkonsuln (</w:t>
      </w:r>
      <w:hyperlink r:id="rId597">
        <w:r>
          <w:rPr>
            <w:rStyle w:val="ListLabel113"/>
            <w:rFonts w:eastAsia="Cambria" w:cs="Cambria"/>
            <w:b w:val="false"/>
            <w:bCs w:val="false"/>
            <w:i w:val="false"/>
            <w:iCs w:val="false"/>
            <w:color w:val="0563C1"/>
            <w:sz w:val="22"/>
            <w:szCs w:val="22"/>
            <w:u w:val="single"/>
          </w:rPr>
          <w:t>kanada.diplo.de</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Schnell ändern sich: Miet- und Kaufpreise (quartalsweise Marktberichte), die Frist des bundesweiten Kaufverbots (aktuell bis 1. Januar 2027 befristet), die Preisobergrenze für versicherte Hypotheken sowie die provinziellen Foreign-Buyer-Steuersätze. Prüfe vor jeder Entscheidung die offiziellen Seiten und aktuelle Marktberichte.</w:t>
            </w:r>
          </w:p>
        </w:tc>
      </w:tr>
    </w:tbl>
    <w:p>
      <w:pPr>
        <w:pStyle w:val="Normal"/>
        <w:spacing w:lineRule="exact" w:line="220" w:before="0" w:after="0"/>
        <w:rPr/>
      </w:pPr>
      <w:r>
        <w:rPr/>
      </w:r>
      <w:r>
        <w:br w:type="page"/>
      </w:r>
    </w:p>
    <w:p>
      <w:pPr>
        <w:pStyle w:val="Heading2"/>
        <w:keepNext w:val="true"/>
        <w:spacing w:before="0" w:after="300"/>
        <w:jc w:val="center"/>
        <w:rPr/>
      </w:pPr>
      <w:bookmarkStart w:id="155" w:name="__RefHeading___Toc56585_3769931028"/>
      <w:bookmarkStart w:id="156" w:name="tka10"/>
      <w:bookmarkEnd w:id="155"/>
      <w:r>
        <w:rPr>
          <w:rFonts w:eastAsia="Amazon Ember" w:cs="Amazon Ember" w:ascii="Amazon Ember" w:hAnsi="Amazon Ember"/>
          <w:b/>
          <w:bCs/>
          <w:color w:val="0000FF"/>
          <w:sz w:val="36"/>
          <w:szCs w:val="36"/>
        </w:rPr>
        <w:t>Kanada: Führerschein, Auto und Verkehrsregeln</w:t>
      </w:r>
      <w:bookmarkEnd w:id="156"/>
    </w:p>
    <w:p>
      <w:pPr>
        <w:pStyle w:val="Normal"/>
        <w:keepNext w:val="false"/>
        <w:keepLines w:val="false"/>
        <w:spacing w:lineRule="exact" w:line="288" w:before="0" w:after="140"/>
        <w:jc w:val="left"/>
        <w:rPr/>
      </w:pPr>
      <w:r>
        <w:rPr>
          <w:rFonts w:eastAsia="Cambria" w:cs="Cambria"/>
          <w:b w:val="false"/>
          <w:bCs w:val="false"/>
          <w:i w:val="false"/>
          <w:iCs w:val="false"/>
          <w:sz w:val="22"/>
          <w:szCs w:val="22"/>
        </w:rPr>
        <w:t>Markus Ahrens hält an seiner ersten Kreuzung in Toronto brav vor der roten Ampel – und wundert sich, warum der Wagen hinter ihm hupt, während der Fahrer vor ihm längst gemütlich nach rechts abgebogen ist. Erst beim zweiten Mal fällt ihm das kleine weiße Schild auf: Rechtsabbiegen bei Rot ist erlaubt, sofern niemand es ausdrücklich verbietet. Die gute Nachricht vorweg: Kanada fährt, anders als Australien oder Neuseeland, ganz gewöhnlich rechts, genau wie Deutschland. Die weniger gute Nachricht folgt in loser Reihenfolge über die nächsten Wochen – in Form von Vierweg-Stopps, Schulbussen mit ausklappbaren Stoppschildern und, je nach Provinz, einer Winterreifenpflicht, die es in Deutschland so nicht gibt. Wer erwartet hatte, mit dem vertrauten Rechtsverkehr sei die größte Hürde schon genommen, unterschätzt gründlich, wie viel Kleinarbeit ein zweites, zehn Provinzen und drei Territorien umfassendes Rechtssystem noch bereithält. Dieses Kapitel sortiert, was beim Führerschein, beim Autokauf und im Straßenverkehr wirklich anders läuft.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Kanada fährt rechts wie Deutschland – die eigentliche Umstellung liegt im Detail, nicht in der Fahrbahnseite.</w:t>
            </w:r>
          </w:p>
          <w:p>
            <w:pPr>
              <w:pStyle w:val="ListParagraph"/>
              <w:numPr>
                <w:ilvl w:val="0"/>
                <w:numId w:val="1"/>
              </w:numPr>
              <w:spacing w:lineRule="exact" w:line="264" w:before="0" w:after="50"/>
              <w:rPr/>
            </w:pPr>
            <w:r>
              <w:rPr>
                <w:rFonts w:eastAsia="Cambria" w:cs="Cambria"/>
                <w:b w:val="false"/>
                <w:bCs w:val="false"/>
                <w:i w:val="false"/>
                <w:iCs w:val="false"/>
                <w:sz w:val="20"/>
                <w:szCs w:val="20"/>
              </w:rPr>
              <w:t>Der deutsche Führerschein lässt sich in Ontario, British Columbia, Québec und Alberta ohne Fahrprüfung umtauschen, aber mit sehr unterschiedlichen Fristen: Ontario 60 Tage, British Columbia 90 Tage, Québec 6 Monate.</w:t>
            </w:r>
          </w:p>
          <w:p>
            <w:pPr>
              <w:pStyle w:val="ListParagraph"/>
              <w:numPr>
                <w:ilvl w:val="0"/>
                <w:numId w:val="1"/>
              </w:numPr>
              <w:spacing w:lineRule="exact" w:line="264" w:before="0" w:after="50"/>
              <w:rPr/>
            </w:pPr>
            <w:r>
              <w:rPr>
                <w:rFonts w:eastAsia="Cambria" w:cs="Cambria"/>
                <w:b w:val="false"/>
                <w:bCs w:val="false"/>
                <w:i w:val="false"/>
                <w:iCs w:val="false"/>
                <w:sz w:val="20"/>
                <w:szCs w:val="20"/>
              </w:rPr>
              <w:t>Kfz-Versicherung ist reine Provinzsache: öffentliche Systeme in British Columbia, Saskatchewan, Manitoba und Québec stehen einem privaten Markt in Ontario und den meisten übrigen Provinzen gegenüber – mit Jahresprämien zwischen rund 750 CAD und über 2.000 CAD für dasselbe Risiko.</w:t>
            </w:r>
          </w:p>
          <w:p>
            <w:pPr>
              <w:pStyle w:val="ListParagraph"/>
              <w:numPr>
                <w:ilvl w:val="0"/>
                <w:numId w:val="1"/>
              </w:numPr>
              <w:spacing w:lineRule="exact" w:line="264" w:before="0" w:after="50"/>
              <w:rPr/>
            </w:pPr>
            <w:r>
              <w:rPr>
                <w:rFonts w:eastAsia="Cambria" w:cs="Cambria"/>
                <w:b w:val="false"/>
                <w:bCs w:val="false"/>
                <w:i w:val="false"/>
                <w:iCs w:val="false"/>
                <w:sz w:val="20"/>
                <w:szCs w:val="20"/>
              </w:rPr>
              <w:t>Rechtsabbiegen bei Rot ist fast überall in Kanada erlaubt, mit einer bemerkenswerten Ausnahme: der gesamten Insel Montreal.</w:t>
            </w:r>
          </w:p>
          <w:p>
            <w:pPr>
              <w:pStyle w:val="ListParagraph"/>
              <w:numPr>
                <w:ilvl w:val="0"/>
                <w:numId w:val="1"/>
              </w:numPr>
              <w:spacing w:lineRule="exact" w:line="264" w:before="0" w:after="50"/>
              <w:rPr/>
            </w:pPr>
            <w:r>
              <w:rPr>
                <w:rFonts w:eastAsia="Cambria" w:cs="Cambria"/>
                <w:b w:val="false"/>
                <w:bCs w:val="false"/>
                <w:i w:val="false"/>
                <w:iCs w:val="false"/>
                <w:sz w:val="20"/>
                <w:szCs w:val="20"/>
              </w:rPr>
              <w:t>Vierweg-Stopps, Schulbus-Haltepflicht und eine Nulltoleranz für Fahranfänger beim Alkohol gehören zu den Regeln, die Neuankömmlinge zuverlässig unterschätzen.</w:t>
            </w:r>
          </w:p>
          <w:p>
            <w:pPr>
              <w:pStyle w:val="ListParagraph"/>
              <w:numPr>
                <w:ilvl w:val="0"/>
                <w:numId w:val="1"/>
              </w:numPr>
              <w:spacing w:lineRule="exact" w:line="264" w:before="0" w:after="50"/>
              <w:rPr/>
            </w:pPr>
            <w:r>
              <w:rPr>
                <w:rFonts w:eastAsia="Cambria" w:cs="Cambria"/>
                <w:b w:val="false"/>
                <w:bCs w:val="false"/>
                <w:i w:val="false"/>
                <w:iCs w:val="false"/>
                <w:sz w:val="20"/>
                <w:szCs w:val="20"/>
              </w:rPr>
              <w:t>Québec verlangt gesetzlich Winterreifen, und Wildunfälle mit Elch oder Hirsch sind ein reales, ernst zu nehmendes Risiko abseits der Städte.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Führerschein-Umtausch: eine Provinz, eine eigene Frist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Kanada hat, anders als man bei einem Land mit einer Bundesregierung vielleicht erwarten würde, keine landesweit einheitliche Regelung für den Führerschein. Jede Provinz entscheidet für sich, mit welchen Ländern sie ein Reziprozitätsabkommen (eine gegenseitige Anerkennung von Führerscheinen ohne neue Prüfung) unterhält, und jede Provinz setzt ihre eigene Frist, bis wann der Umtausch erledigt sein muss. Für Deutsche ist die Nachricht grundsätzlich gut: Ontario, British Columbia, Québec und, nach übereinstimmenden Quellen, auch Alberta erkennen den deutschen Führerschein ohne theoretische oder praktische Prüfung an. Was sich zwischen den Provinzen dramatisch unterscheidet, ist die Zeit, die dafür bleibt.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Ontario bleibt der deutsche Führerschein 60 Tage ab Wohnsitzbegründung gültig, danach ist der Umtausch bei einem DriveTest-Zentrum oder einem ServiceOntario-Büro Pflicht. British Columbia gewährt 90 Tage; die zuständige Behörde ICBC (</w:t>
      </w:r>
      <w:r>
        <w:rPr>
          <w:rFonts w:eastAsia="Cambria" w:cs="Cambria"/>
          <w:b w:val="false"/>
          <w:bCs w:val="false"/>
          <w:i/>
          <w:iCs/>
          <w:sz w:val="22"/>
          <w:szCs w:val="22"/>
        </w:rPr>
        <w:t>Insurance Corporation of British Columbia</w:t>
      </w:r>
      <w:r>
        <w:rPr>
          <w:rFonts w:eastAsia="Cambria" w:cs="Cambria"/>
          <w:b w:val="false"/>
          <w:bCs w:val="false"/>
          <w:i w:val="false"/>
          <w:iCs w:val="false"/>
          <w:sz w:val="22"/>
          <w:szCs w:val="22"/>
        </w:rPr>
        <w:t>, der staatliche Versicherer und zugleich Führerscheinstelle der Provinz) verlangt zusätzlich einen Nachweis von mindestens zwei Jahren Fahrerfahrung – in der Regel reicht dafür der deutsche Führerschein selbst, im Zweifel ergänzt um eine Bestätigung der ausstellenden Behörde. Québec ist mit 6 Monaten die großzügigste der drei sicher geprüften Provinzen: Die SAAQ (</w:t>
      </w:r>
      <w:r>
        <w:rPr>
          <w:rFonts w:eastAsia="Cambria" w:cs="Cambria"/>
          <w:b w:val="false"/>
          <w:bCs w:val="false"/>
          <w:i/>
          <w:iCs/>
          <w:sz w:val="22"/>
          <w:szCs w:val="22"/>
        </w:rPr>
        <w:t>Société de l’assurance automobile du Québec</w:t>
      </w:r>
      <w:r>
        <w:rPr>
          <w:rFonts w:eastAsia="Cambria" w:cs="Cambria"/>
          <w:b w:val="false"/>
          <w:bCs w:val="false"/>
          <w:i w:val="false"/>
          <w:iCs w:val="false"/>
          <w:sz w:val="22"/>
          <w:szCs w:val="22"/>
        </w:rPr>
        <w:t>, die für Führerschein und Kfz-Versicherung zuständige Provinzbehörde) tauscht ohne Prüfung um, lässt sich mit der Frist aber deutlich mehr Zeit als Ontario oder British Columbia.</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die Umtauschfrist seiner Provinz verstreichen lässt, fährt anschließend ohne gültigen Führerschein – mit Folgen für Bußgelder und, im Schadensfall, für den Versicherungsschutz. Da Ontario und British Columbia nur 60 beziehungsweise 90 Tage einräumen, lohnt sich ein Termin bei der zuständigen Stelle gleich in den ersten Wochen nach der Ankunft, nicht erst, wenn die Frist schon drückt.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Ahrens (fiktives Beispiel) zieht nach Toronto und ist in den ersten Wochen mit Wohnungssuche, Schulanmeldung für Finn und Mia sowie der neuen Stelle von Markus vollauf beschäftigt. Erst ein Kalendereintrag von Julia erinnert die Familie rechtzeitig an die 60-Tage-Frist. Beim DriveTest-Zentrum reicht Markus seinen deutschen Führerschein, den Reisepass und einen Adressnachweis ein – keine Prüfung, kein Auto, nur Papierkram und eine gute halbe Stunde Wartezeit. Julia, die ihren Termin zwei Wochen später legt, ärgert sich anschließend, nicht gleich mitgegangen zu sein: Der zweite Besuch bei derselben Behörde fühlt sich unnötig an, wo ein gemeinsamer Termin genügt hätte.</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alle übrigen Provinzen und Territorien – Manitoba, Saskatchewan, die Atlantikprovinzen, Yukon, Nordwest-Territorien, Nunavut – lässt sich die Reziprozitätslage mit Deutschland nicht pauschal zusammenfassen; sie sollte vor dem Umzug direkt bei der jeweiligen Führerscheinbehörde geprüft werden, nicht bei einer der zahlreichen kommerziellen Ratgeberseiten, die zu diesem Thema kursieren. Verbreiteter Irrtum: „Der Führerschein gilt, solange das Visum läuft.“ Tatsächlich hängt die Frist am Wohnsitz, nicht am Aufenthaltsstatus – wer innerhalb Kanadas die Provinz wechselt, beginnt rechtlich wieder bei null und sollte die neue Frist am Tag des Umzugs notieren, nicht erst beim nächsten Behördengang.</w:t>
      </w:r>
    </w:p>
    <w:p>
      <w:pPr>
        <w:pStyle w:val="Heading3"/>
        <w:keepNext w:val="true"/>
        <w:spacing w:before="280" w:after="100"/>
        <w:jc w:val="center"/>
        <w:rPr/>
      </w:pPr>
      <w:r>
        <w:rPr>
          <w:rFonts w:eastAsia="Amazon Ember" w:cs="Amazon Ember" w:ascii="Amazon Ember" w:hAnsi="Amazon Ember"/>
          <w:b/>
          <w:bCs/>
          <w:color w:val="0000FF"/>
          <w:sz w:val="36"/>
          <w:szCs w:val="36"/>
        </w:rPr>
        <w:t>Autokauf und Kfz-Versicherung: ein Flickenteppich mit echten Preisunterschieden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aus Deutschland kommt, wo Kfz-Versicherer bundesweit im selben Markt konkurrieren, muss sich in Kanada an einen ausgesprochen unterschiedlichen Aufbau gewöhnen. British Columbia (über die ICBC), Saskatchewan (über die SGI), Manitoba (über die MPI) und Québec (über die SAAQ für die Grunddeckung) betreiben ganz oder teilweise öffentliche Versicherungssysteme mit vergleichsweise stabilen Preisen. Ontario und die meisten übrigen Provinzen überlassen die Kfz-Versicherung dagegen vollständig privaten Anbietern – mit spürbaren Folgen für den Geldbeutel.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Jahresprämie für eine Einzelperson mit einem Fahrzeug liegt national grob zwischen 1.200 und 2.000 CAD, doch die Provinz entscheidet, an welchem Ende dieser Spanne die Rechnung landet. Ontario ist mit rund 1.800 bis über 2.000 CAD pro Jahr die teuerste Provinz überhaupt, Alberta liegt bei etwa 1.735 CAD, British Columbia bei rund 1.500 CAD. Québec bildet mit rund 750 CAD im Jahr das andere Ende der Skala – weniger als die Hälfte des Ontario-Niveaus für ein vergleichbares Risiko. Wer die Wahl zwischen zwei Provinzen hat und die Kfz-Versicherung als ernsthaften Kostenfaktor einplant, findet hier einen der deutlichsten Unterschiede im ganzen 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Als Neuankömmling ohne kanadische Fahr- und Schadenshistorie wirst du von den meisten Versicherern zunächst als höheres Risiko eingestuft und zahlst entsprechend mehr als jemand mit lokaler Historie. Manche Anbieter berücksichtigen eine deutsche Schadenfreiheitsbescheinigung bei der Einstufung, andere nicht – hier lohnt sich echte Marktbeobachtung, kein Verlass auf die erstbeste Offerte.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Hole vor dem Abschluss mindestens drei Angebote mit identischer Deckung ein, und frage jeden Anbieter ausdrücklich, ob eine deutsche Schadenfreiheitsbescheinigung die Einstufung verbessert. Der Unterschied zwischen dem billigsten und dem teuersten vergleichbaren Angebot ist in Kanada oft größer, als man es aus dem deutschen Markt gewohnt ist.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Fahrzeugkauf selbst – ob neu oder gebraucht – läuft regional unterschiedlich ab, folgt aber überall demselben Grundmuster: Kaufvertrag, Übertragung der Zulassung bei der zuständigen Provinzbehörde, Nachweis einer gültigen Versicherung vor der Anmeldung. Anders als beim deutschen TÜV gibt es keine bundesweit einheitliche Hauptuntersuchung; ob und wie oft ein Fahrzeug technisch geprüft werden muss, entscheidet wieder einmal die Provinz – manche verlangen eine Prüfung nur beim Halterwechsel, andere gar nicht. Beim Händlerkauf übernimmt der Verkäufer die Ummeldung in der Regel automatisch; beim Privatkauf erledigst du die Übertragung selbst bei der Zulassungsstelle, gegen Vorlage von Kaufvertrag, gültiger Versicherung und einem Identitätsnachweis.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Den eigenen deutschen Wagen mitzubringen ist technisch möglich, aber wegen der kanadischen Zulassungsvorschriften (Transport Canada) und des Zollverfahrens aufwendig genug, dass es sich für die meisten Neuankömmlinge nicht lohnt – ein gebrauchter Wagen vor Ort ist in aller Regel der einfachere Weg.</w:t>
      </w:r>
    </w:p>
    <w:p>
      <w:pPr>
        <w:pStyle w:val="Heading3"/>
        <w:keepNext w:val="true"/>
        <w:spacing w:before="280" w:after="100"/>
        <w:jc w:val="center"/>
        <w:rPr/>
      </w:pPr>
      <w:r>
        <w:rPr>
          <w:rFonts w:eastAsia="Amazon Ember" w:cs="Amazon Ember" w:ascii="Amazon Ember" w:hAnsi="Amazon Ember"/>
          <w:b/>
          <w:bCs/>
          <w:color w:val="0000FF"/>
          <w:sz w:val="36"/>
          <w:szCs w:val="36"/>
        </w:rPr>
        <w:t>Verkehrsregeln, die im Alltag überraschen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Tempolimits werden in Kanada, wie in fast der gesamten Welt außerhalb der USA, in km/h angegeben – für Deutsche also keine Umrechnung, sondern höchstens eine andere Zahl. Auf Provinz-Highways liegt das Maximum meist zwischen 90 und 110 km/h; Ontario hebt bis Ende September 2026 rund 89 % seines Provinz-Highway-Netzes auf 110 km/h an, British Columbia erlaubt auf einzelnen Autobahnabschnitten bereits bis zu 120 km/h. Das Mindesttempo auf Highways liegt vielerorts bei 60 km/h – wer deutlich langsamer fährt, kann selbst zum Verkehrshindernis werden.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wohl überraschendste Einzelregel betrifft das Rechtsabbiegen bei Rot: In den meisten kanadischen Provinzen ist es nach vollständigem Halt erlaubt, sofern kein Schild es ausdrücklich untersagt – ähnlich wie in den USA. Die einzige große Ausnahme im ganzen Land ist die Insel Montreal: Dort ist Rechtsabbiegen bei Rot flächendeckend verboten, obwohl es im übrigen Québec seit 2003 erlaubt ist. Große Schilder an allen Zufahrtsbrücken zur Insel weisen darauf hin; eine Lockerung wird politisch diskutiert, war zuletzt aber nicht beschlossen.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Rechtsabbiegen bei Rot ist in Kanada die Regel, nicht die Ausnahme – außer ausgerechnet auf der Insel Montreal, wo es genau andersherum ist. Wer zwischen Ontario und Québec pendelt oder umzieht, gewöhnt sich zweimal um.</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An unbeschilderten Kreuzungen mit vier Stoppschildern (dem </w:t>
      </w:r>
      <w:r>
        <w:rPr>
          <w:rFonts w:eastAsia="Cambria" w:cs="Cambria"/>
          <w:b w:val="false"/>
          <w:bCs w:val="false"/>
          <w:i/>
          <w:iCs/>
          <w:sz w:val="22"/>
          <w:szCs w:val="22"/>
        </w:rPr>
        <w:t>All-Way Stop</w:t>
      </w:r>
      <w:r>
        <w:rPr>
          <w:rFonts w:eastAsia="Cambria" w:cs="Cambria"/>
          <w:b w:val="false"/>
          <w:bCs w:val="false"/>
          <w:i w:val="false"/>
          <w:iCs w:val="false"/>
          <w:sz w:val="22"/>
          <w:szCs w:val="22"/>
        </w:rPr>
        <w:t>, umgangssprachlich Vierweg-Stopp) gilt eine einfache, aber strikt befolgte Regel: Wer zuerst vollständig anhält, fährt zuerst. Halten zwei Fahrzeuge gleichzeitig, hat das Fahrzeug von rechts Vorfahrt; wer links abbiegen will, muss dem geradeaus fahrenden Gegenverkehr Vorfahrt gewähren. Ein bundesweit einheitliches Vorfahrtsrecht gibt es nicht – Verkehrsrecht ist Provinzsache –, doch die Grundregeln an Vierweg-Stopps sind landesweit erstaunlich ähnlich, was die Umgewöhnung immerhin erleichtert.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Schulbusse verdienen besondere Aufmerksamkeit: Klappt ein Schulbus sein rotes Blinklicht und sein Stoppschild aus, müssen Fahrzeuge aus beiden Richtungen anhalten – nur bei baulich getrennten Fahrbahnen mit Mittelstreifen gilt die Pflicht je nach Provinz oft nur für den Verkehr hinter dem Bus. Die Bußgelder sind empfindlich: In Ontario kostet der erste Verstoß 400 bis 2.000 CAD und 6 Demeritpunkte (Strafpunkte im Führerscheinregister), ein zweiter Verstoß innerhalb von 5 Jahren 1.000 bis 4.000 CAD und im Extremfall bis zu 6 Monate Haft. British Columbia verlangt 368 CAD plus 3 Punkte, Alberta rund 402 CAD.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Handynutzung am Steuer ist landesweit verboten, die Bußgelder unterscheiden sich aber erheblich: Ontario staffelt von 615 CAD beim ersten Verstoß bis 3.000 CAD beim dritten, jeweils mit Führerscheinsperre und Demeritpunkten; Alberta verlangt pauschal 325 CAD plus 3 Punkte, British Columbia 368 CAD plus 4 Punkte. Beim Alkohol gilt strafrechtlich landesweit eine Obergrenze von 0,08 % BAC (</w:t>
      </w:r>
      <w:r>
        <w:rPr>
          <w:rFonts w:eastAsia="Cambria" w:cs="Cambria"/>
          <w:b w:val="false"/>
          <w:bCs w:val="false"/>
          <w:i/>
          <w:iCs/>
          <w:sz w:val="22"/>
          <w:szCs w:val="22"/>
        </w:rPr>
        <w:t>Blood Alcohol Concentration</w:t>
      </w:r>
      <w:r>
        <w:rPr>
          <w:rFonts w:eastAsia="Cambria" w:cs="Cambria"/>
          <w:b w:val="false"/>
          <w:bCs w:val="false"/>
          <w:i w:val="false"/>
          <w:iCs w:val="false"/>
          <w:sz w:val="22"/>
          <w:szCs w:val="22"/>
        </w:rPr>
        <w:t>, Blutalkoholkonzentration); Ontario sanktioniert bereits den „Warn Range“ genannten Bereich von 0,05 bis 0,079 % administrativ, etwa mit Bußgeld und kurzer Führerscheinsperre. Für Fahranfänger im Graduated-Licensing-System (dem provinzweiten Stufenmodell für Fahranfänger, unabhängig vom Alter) gilt in allen Provinzen und Territorien eine Nullgrenze von 0,00 % – in Alberta drohen dafür eine automatische 30-Tage-Sperre und eine 7-tägige Fahrzeugbeschlagnahmung.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mit Familie nach Kanada zieht und Teenager im Haus hat, sollte die Nulltoleranz für Fahranfänger ernst nehmen – sie gilt für jeden im Graduated-Licensing-System unabhängig vom Lebensalter, nicht nur für Minderjährige. Ein einziges Bier vor der Fahrt reicht für ernsthafte Konsequenzen.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Anders als das deutsche Fahreignungsregister in Flensburg, das bundesweit einheitlich zählt, führt jede kanadische Provinz ihr eigenes Punktesystem (</w:t>
      </w:r>
      <w:r>
        <w:rPr>
          <w:rFonts w:eastAsia="Cambria" w:cs="Cambria"/>
          <w:b w:val="false"/>
          <w:bCs w:val="false"/>
          <w:i/>
          <w:iCs/>
          <w:sz w:val="22"/>
          <w:szCs w:val="22"/>
        </w:rPr>
        <w:t>Demerit Points</w:t>
      </w:r>
      <w:r>
        <w:rPr>
          <w:rFonts w:eastAsia="Cambria" w:cs="Cambria"/>
          <w:b w:val="false"/>
          <w:bCs w:val="false"/>
          <w:i w:val="false"/>
          <w:iCs w:val="false"/>
          <w:sz w:val="22"/>
          <w:szCs w:val="22"/>
        </w:rPr>
        <w:t>, Strafpunkte im Führerscheinregister) mit eigenen Schwellenwerten für die Sperre. Wie viele Punkte ein Verstoß kostet und ab wann die Fahrerlaubnis ruht, unterscheidet sich also nicht nur nach Vergehen, sondern auch nach Provinz – ein Umzug innerhalb Kanadas setzt in der Regel auch den eigenen Punktestand auf null, was Neuankömmlinge gelegentlich fälschlich für eine Lücke im System halten, tatsächlich aber schlicht ein weiteres Beispiel für die kanadische Vorliebe für provinzeigene Lösungen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Maut ist in Kanada die Ausnahme, nicht die Regel: Nur wenige Provinzen betreiben nennenswerte Mautstrecken, allen voran die Highway 407 ETR rund um Toronto (Ontario, 151,4 Kilometer mit zeit-, zonen- und fahrzeugklassenabhängigen Tarifen) sowie einzelne Brücken in Québec und in den Atlantikprovinzen, etwa die Confederation Bridge zwischen Prince Edward Island und New Brunswick. Der Trans-Canada Highway und die meisten Fernstraßen sind mautfrei – ein Unterschied, über den sich niemand beschwert, der aus dem deutschen Autobahnsystem ohnehin nichts anderes kennt.</w:t>
      </w:r>
    </w:p>
    <w:p>
      <w:pPr>
        <w:pStyle w:val="Heading3"/>
        <w:keepNext w:val="true"/>
        <w:spacing w:before="280" w:after="100"/>
        <w:jc w:val="center"/>
        <w:rPr/>
      </w:pPr>
      <w:r>
        <w:rPr>
          <w:rFonts w:eastAsia="Amazon Ember" w:cs="Amazon Ember" w:ascii="Amazon Ember" w:hAnsi="Amazon Ember"/>
          <w:b/>
          <w:bCs/>
          <w:color w:val="0000FF"/>
          <w:sz w:val="36"/>
          <w:szCs w:val="36"/>
        </w:rPr>
        <w:t>Blitzer und Verkehrskontrollen: uneinheitlich und im Wandel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Geschwindigkeitskameras (</w:t>
      </w:r>
      <w:r>
        <w:rPr>
          <w:rFonts w:eastAsia="Cambria" w:cs="Cambria"/>
          <w:b w:val="false"/>
          <w:bCs w:val="false"/>
          <w:i/>
          <w:iCs/>
          <w:sz w:val="22"/>
          <w:szCs w:val="22"/>
        </w:rPr>
        <w:t>Photo Radar</w:t>
      </w:r>
      <w:r>
        <w:rPr>
          <w:rFonts w:eastAsia="Cambria" w:cs="Cambria"/>
          <w:b w:val="false"/>
          <w:bCs w:val="false"/>
          <w:i w:val="false"/>
          <w:iCs w:val="false"/>
          <w:sz w:val="22"/>
          <w:szCs w:val="22"/>
        </w:rPr>
        <w:t>, automatische Radarblitzer ohne Polizeibeamten vor Ort) sind zwischen den Provinzen so uneinheitlich geregelt wie kaum ein anderes Verkehrsthema, und die Regeln sind 2025/2026 zusätzlich stark in Bewegung. Ontario hat Photo Radar seit November 2025 provinzweit verboten, nachdem es seit 2017 in Schul- und Sicherheitszonen erlaubt war. Alberta untersagt Photo Radar inzwischen auf Provinz-Highways und Verbindungsstraßen; erlaubt bleiben Kameras in Schul-, Spielplatz- und Baustellenzonen sowie Rotlichtkameras, die ausschließlich Rotlichtverstöße erfassen – rund 26 Gemeinden nutzen diese Ausnahmen weiterhin. British Columbia setzt Kameras zurückhaltender ein, vor allem an Kreuzungen mit Rotlicht- und Geschwindigkeitserfassung sowie in Schulzonen. Québec hält an klassischem Photo Radar fest. Für Neuankömmlinge heißt das: Was in der einen Provinz Alltag ist, kann in der nächsten längst abgeschafft sein – ein Blick auf die aktuelle Regelung der Zielprovinz erspart unnötige Überraschungen im Briefkasten.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Bei einer klassischen Verkehrskontrolle mit Polizei oder RCMP (der kanadischen Bundespolizei, die in den meisten Provinzen außer Ontario und Québec auch als Provinzpolizei auftritt) gilt ein formellerer Ton, als man es von manch informeller deutscher Kontrolle gewohnt ist: im Fahrzeug bleiben, Fenster herunterlassen, Hände sichtbar auf dem Lenkrad halten, jede Bewegung – etwa zum Handschuhfach – vorher ausdrücklich ankündigen. Die Beamtin oder der Beamte muss sich identifizieren und den Grund der Kontrolle nennen; Führerschein, Fahrzeugzulassung und Versicherungsnachweis müssen vorgezeigt werden. Ruhiges, kooperatives Auftreten wird von sämtlichen Quellen unabhängig voneinander empfohlen – es ist selten der Moment, um auf dem eigenen Recht zu bestehen, so berechtigt das Anliegen auch sein mag. Der insgesamt formellere, regelorientierte Ton bei Behörden- und Polizeikontakt passt zu einem Muster, das sich durch den kanadischen Alltag zieht und im </w:t>
      </w:r>
      <w:hyperlink w:anchor="tka11">
        <w:r>
          <w:rPr>
            <w:rStyle w:val="ListLabel113"/>
            <w:rFonts w:eastAsia="Cambria" w:cs="Cambria"/>
            <w:b w:val="false"/>
            <w:bCs w:val="false"/>
            <w:i w:val="false"/>
            <w:iCs w:val="false"/>
            <w:color w:val="0563C1"/>
            <w:sz w:val="22"/>
            <w:szCs w:val="22"/>
            <w:u w:val="single"/>
          </w:rPr>
          <w:t>Kapitel zur Alltagskultur in diesem Teil</w:t>
        </w:r>
      </w:hyperlink>
      <w:r>
        <w:rPr>
          <w:rFonts w:eastAsia="Cambria" w:cs="Cambria"/>
          <w:b w:val="false"/>
          <w:bCs w:val="false"/>
          <w:i w:val="false"/>
          <w:iCs w:val="false"/>
          <w:sz w:val="22"/>
          <w:szCs w:val="22"/>
        </w:rPr>
        <w:t xml:space="preserve"> ausführlicher beschrieben wird.</w:t>
      </w:r>
    </w:p>
    <w:p>
      <w:pPr>
        <w:pStyle w:val="Heading3"/>
        <w:keepNext w:val="true"/>
        <w:spacing w:before="280" w:after="100"/>
        <w:jc w:val="center"/>
        <w:rPr/>
      </w:pPr>
      <w:r>
        <w:rPr>
          <w:rFonts w:eastAsia="Amazon Ember" w:cs="Amazon Ember" w:ascii="Amazon Ember" w:hAnsi="Amazon Ember"/>
          <w:b/>
          <w:bCs/>
          <w:color w:val="0000FF"/>
          <w:sz w:val="36"/>
          <w:szCs w:val="36"/>
        </w:rPr>
        <w:t>Winterreifenpflicht und Wildunfallrisiko: die kanadische Realität abseits der Stadt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Québec ist die einzige Provinz mit einer gesetzlichen Winterreifenpflicht: Vom 1. Dezember bis 15. März müssen alle in Québec zugelassenen Fahrzeuge – auch Mietwagen – mit Winterreifen ausgestattet sein, erkennbar am 3PMS-Symbol (der Alpine-Schneeflocke) oder mit Spikereifen. Wer erwischt wird, zahlt 200 bis 300 CAD Bußgeld. Wer ein Fahrzeug erst im Winter neu kauft oder least, hat 7 Tage Zeit für die Montage; Spikereifen sind zusätzlich vom 15. Oktober bis 1. Mai erlaubt. Die meisten anderen Provinzen kennen keine vergleichbare gesetzliche Pflicht, nur regionale Empfehlungen für Bergstraßen – wer aber tatsächlich in einer kanadischen Provinz mit Schnee, Eis und Minusgraden über mehrere Monate lebt, tut auch ohne Gesetz gut daran, im Herbst auf Winterreifen umzurüsten.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Plane die Winterreifen-Anschaffung gleich beim Autokauf mit ein, statt sie als spätere Zusatzausgabe zu behandeln – gerade in Québec sinkt mit den richtigen Reifen nicht nur das Bußgeldrisiko, sondern messbar auch die Versicherungsprämie bei manchen Anbietern.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zweite, weniger offensichtliche Risiko kanadischer Landstraßen sind Wildunfälle. Rund 45.000 gemeldete Kollisionen mit Wildtieren ereignen sich jedes Jahr in Kanada, mit vermutlich erheblicher Dunkelziffer – das sind, grob gerechnet, 4 bis 8 größere Wildunfälle pro Stunde im ganzen Land. Etwa 80 % dieser Unfälle betreffen Hirsche, der Rest verteilt sich auf Elche, Wapitis, Bären, Kojoten und andere Tiere. Zwischen 2000 und 2020 forderten Wildunfälle in Kanada 570 Todesfälle; gut die Hälfte davon war mit einem Elch verbunden, knapp ein Drittel mit einem Hirsch – ein Elch bringt bis zu 700 Kilogramm auf die Waage und trifft ein Auto in Kopfhöhe des Fahrers, was das Risiko bei einer Kollision deutlich erhöht. Alberta allein meldet in den vergangenen Jahren regelmäßig über 4.250 tote Hirsche sowie 400 bis 500 tote Elche jährlich durch Fahrzeugkollisionen.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Lukas Berger (fiktives Beispiel) fährt in seinem ersten Winter in Calgary abends von einem Kollegentreffen zurück, als kurz nach der Stadtgrenze ohne Vorwarnung ein Hirsch am Straßenrand auftaucht und in letzter Sekunde die Fahrbahn kreuzt. Nur die Vollbremsung – und ein gehöriger Schreck – verhindern Schlimmeres. Seither fährt er in der Dämmerung außerhalb der Stadt merklich langsamer und hält bei Wildwarnschildern konsequent das angegebene Tempo ein, auch wenn die Straße gerade und die Sicht gut erscheint. Seinen Kollegen, die die Geschichte mit trockenem Humor als „typische Alberta-Begrüßung“ kommentieren, kann er inzwischen selbst darüber lachen – beim ersten Mal war ihm nicht danach.</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Wildwarnschilder auf kanadischen Landstraßen sind keine Dekoration. Besonders in der Dämmerung und in den ersten und letzten Stunden der Dunkelheit lohnt sich spürbar reduziertes Tempo – der Bremsweg, den ein Elch oder Hirsch dir schenkt, ist meist kürzer, als man hofft.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Rechtsverkehr wie in Deutschland – keine Umgewöhnung der Fahrbahnseite nötig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Führerschein-Umtausch mit sehr unterschiedlichen Fristen je Provinz</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Umtausch in den wichtigsten Provinzen ohne Fahrprüfung möglich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Kfz-Versicherung als Neuankömmling ohne lokale Historie merklich teurer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Tempo in km/h, keine Umrechnung wie bei US-Zielen nötig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Öffentliche und private Versicherungssysteme unterscheiden sich stark im Preis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Vierweg-Stopps und Rechtsabbiegen bei Rot folgen klaren, lernbaren Regeln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Insel Montreal als Ausnahme vom Rechtsabbiegen-bei-Rot verwirrt viele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Mautfreie Fernstraßen im ganzen Land</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Winterreifenpflicht in Québec und reales Wildunfallrisiko landesweit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Nulltoleranz für Fahranfänger erhöht die Sicherheit auf den Straßen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Bußgelder für Handy und Schulbus-Verstöße erreichen empfindliche Höhen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ListParagraph"/>
        <w:numPr>
          <w:ilvl w:val="0"/>
          <w:numId w:val="237"/>
        </w:numPr>
        <w:spacing w:lineRule="exact" w:line="288" w:before="0" w:after="60"/>
        <w:rPr/>
      </w:pPr>
      <w:r>
        <w:rPr>
          <w:rFonts w:eastAsia="Cambria" w:cs="Cambria"/>
          <w:b w:val="false"/>
          <w:bCs w:val="false"/>
          <w:i w:val="false"/>
          <w:iCs w:val="false"/>
          <w:sz w:val="22"/>
          <w:szCs w:val="22"/>
        </w:rPr>
        <w:t>Vor dem Abflug: Umtauschfrist und Anerkennungsregel der Zielprovinz bei der zuständigen Behörde direkt bestätigen, nicht nur bei Drittanbieter-Seiten.</w:t>
      </w:r>
    </w:p>
    <w:p>
      <w:pPr>
        <w:pStyle w:val="ListParagraph"/>
        <w:numPr>
          <w:ilvl w:val="0"/>
          <w:numId w:val="238"/>
        </w:numPr>
        <w:spacing w:lineRule="exact" w:line="288" w:before="0" w:after="60"/>
        <w:rPr/>
      </w:pPr>
      <w:r>
        <w:rPr>
          <w:rFonts w:eastAsia="Cambria" w:cs="Cambria"/>
          <w:b w:val="false"/>
          <w:bCs w:val="false"/>
          <w:i w:val="false"/>
          <w:iCs w:val="false"/>
          <w:sz w:val="22"/>
          <w:szCs w:val="22"/>
        </w:rPr>
        <w:t>In den ersten Wochen: Termin für den Führerschein-Umtausch buchen, mehrere Kfz-Versicherungsangebote einholen und vergleichen.</w:t>
      </w:r>
    </w:p>
    <w:p>
      <w:pPr>
        <w:pStyle w:val="ListParagraph"/>
        <w:numPr>
          <w:ilvl w:val="0"/>
          <w:numId w:val="239"/>
        </w:numPr>
        <w:spacing w:lineRule="exact" w:line="288" w:before="0" w:after="60"/>
        <w:rPr/>
      </w:pPr>
      <w:r>
        <w:rPr>
          <w:rFonts w:eastAsia="Cambria" w:cs="Cambria"/>
          <w:b w:val="false"/>
          <w:bCs w:val="false"/>
          <w:i w:val="false"/>
          <w:iCs w:val="false"/>
          <w:sz w:val="22"/>
          <w:szCs w:val="22"/>
        </w:rPr>
        <w:t>Vor der ersten längeren Fahrt: Vierweg-Stopp-Regeln, Schulbus-Haltepflicht und – je nach Provinz und Jahreszeit – Winterreifenpflicht und Wildunfallrisiko einplanen.</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Umtauschfrist der Zielprovinz bei der zuständigen Führerscheinbehörde bestätigt (Ontario 60 Tage, British Columbia 90 Tage, Québec 6 Monate)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Termin für den Führerschein-Umtausch in den ersten Wochen nach Ankunft eingeplant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British Columbia: Nachweis von mindestens 2 Jahren Fahrerfahrung bereitgelegt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Mindestens drei Kfz-Versicherungsangebote mit identischer Deckung eingeholt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Nachgefragt, ob eine deutsche Schadenfreiheitsbescheinigung die Einstufung verbessert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Regeln zum Rechtsabbiegen bei Rot der Zielprovinz gekannt (Sonderfall Insel Montreal beachtet)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Vierweg-Stopp- und Schulbus-Regeln verinnerlicht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Zuzug nach Québec: Winterreifen mit 3PMS-Symbol vor dem 1. Dezember montiert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Fahrweise bei Dämmerung und Dunkelheit an das Wildunfallrisiko angepasst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Umzug zwischen Provinzen neue Umtauschfrist ab Wohnsitzwechsel geprüft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Führerscheinbehörden der Provinzen — Umtausch, Fristen: </w:t>
      </w:r>
      <w:hyperlink r:id="rId598">
        <w:r>
          <w:rPr>
            <w:rStyle w:val="ListLabel113"/>
            <w:rFonts w:eastAsia="Cambria" w:cs="Cambria"/>
            <w:b w:val="false"/>
            <w:bCs w:val="false"/>
            <w:i w:val="false"/>
            <w:iCs w:val="false"/>
            <w:color w:val="0563C1"/>
            <w:sz w:val="22"/>
            <w:szCs w:val="22"/>
            <w:u w:val="single"/>
          </w:rPr>
          <w:t>drivetest.ca</w:t>
        </w:r>
      </w:hyperlink>
      <w:r>
        <w:rPr>
          <w:rFonts w:eastAsia="Cambria" w:cs="Cambria"/>
          <w:b w:val="false"/>
          <w:bCs w:val="false"/>
          <w:i w:val="false"/>
          <w:iCs w:val="false"/>
          <w:sz w:val="22"/>
          <w:szCs w:val="22"/>
        </w:rPr>
        <w:t xml:space="preserve"> (Ontario), </w:t>
      </w:r>
      <w:hyperlink r:id="rId599">
        <w:r>
          <w:rPr>
            <w:rStyle w:val="ListLabel113"/>
            <w:rFonts w:eastAsia="Cambria" w:cs="Cambria"/>
            <w:b w:val="false"/>
            <w:bCs w:val="false"/>
            <w:i w:val="false"/>
            <w:iCs w:val="false"/>
            <w:color w:val="0563C1"/>
            <w:sz w:val="22"/>
            <w:szCs w:val="22"/>
            <w:u w:val="single"/>
          </w:rPr>
          <w:t>icbc.com</w:t>
        </w:r>
      </w:hyperlink>
      <w:r>
        <w:rPr>
          <w:rFonts w:eastAsia="Cambria" w:cs="Cambria"/>
          <w:b w:val="false"/>
          <w:bCs w:val="false"/>
          <w:i w:val="false"/>
          <w:iCs w:val="false"/>
          <w:sz w:val="22"/>
          <w:szCs w:val="22"/>
        </w:rPr>
        <w:t xml:space="preserve"> (British Columbia), </w:t>
      </w:r>
      <w:hyperlink r:id="rId600">
        <w:r>
          <w:rPr>
            <w:rStyle w:val="ListLabel113"/>
            <w:rFonts w:eastAsia="Cambria" w:cs="Cambria"/>
            <w:b w:val="false"/>
            <w:bCs w:val="false"/>
            <w:i w:val="false"/>
            <w:iCs w:val="false"/>
            <w:color w:val="0563C1"/>
            <w:sz w:val="22"/>
            <w:szCs w:val="22"/>
            <w:u w:val="single"/>
          </w:rPr>
          <w:t>saaq.gouv.qc.ca</w:t>
        </w:r>
      </w:hyperlink>
      <w:r>
        <w:rPr>
          <w:rFonts w:eastAsia="Cambria" w:cs="Cambria"/>
          <w:b w:val="false"/>
          <w:bCs w:val="false"/>
          <w:i w:val="false"/>
          <w:iCs w:val="false"/>
          <w:sz w:val="22"/>
          <w:szCs w:val="22"/>
        </w:rPr>
        <w:t xml:space="preserve"> (Québec)</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RCMP — Verhalten bei Verkehrskontrollen für Neuankömmlinge: </w:t>
      </w:r>
      <w:hyperlink r:id="rId601">
        <w:r>
          <w:rPr>
            <w:rStyle w:val="ListLabel113"/>
            <w:rFonts w:eastAsia="Cambria" w:cs="Cambria"/>
            <w:b w:val="false"/>
            <w:bCs w:val="false"/>
            <w:i w:val="false"/>
            <w:iCs w:val="false"/>
            <w:color w:val="0563C1"/>
            <w:sz w:val="22"/>
            <w:szCs w:val="22"/>
            <w:u w:val="single"/>
          </w:rPr>
          <w:t>rcmp.ca</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Gouvernement du Québec — Winterreifenpflicht: </w:t>
      </w:r>
      <w:hyperlink r:id="rId602">
        <w:r>
          <w:rPr>
            <w:rStyle w:val="ListLabel113"/>
            <w:rFonts w:eastAsia="Cambria" w:cs="Cambria"/>
            <w:b w:val="false"/>
            <w:bCs w:val="false"/>
            <w:i w:val="false"/>
            <w:iCs w:val="false"/>
            <w:color w:val="0563C1"/>
            <w:sz w:val="22"/>
            <w:szCs w:val="22"/>
            <w:u w:val="single"/>
          </w:rPr>
          <w:t>quebec.ca</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Wildlife Collision Prevention Program — Wildunfallstatistik: </w:t>
      </w:r>
      <w:hyperlink r:id="rId603">
        <w:r>
          <w:rPr>
            <w:rStyle w:val="ListLabel113"/>
            <w:rFonts w:eastAsia="Cambria" w:cs="Cambria"/>
            <w:b w:val="false"/>
            <w:bCs w:val="false"/>
            <w:i w:val="false"/>
            <w:iCs w:val="false"/>
            <w:color w:val="0563C1"/>
            <w:sz w:val="22"/>
            <w:szCs w:val="22"/>
            <w:u w:val="single"/>
          </w:rPr>
          <w:t>wildlifecollisions.ca</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Kfz-Versicherungsvergleich — Provinzunterschiede: </w:t>
      </w:r>
      <w:hyperlink r:id="rId604">
        <w:r>
          <w:rPr>
            <w:rStyle w:val="ListLabel113"/>
            <w:rFonts w:eastAsia="Cambria" w:cs="Cambria"/>
            <w:b w:val="false"/>
            <w:bCs w:val="false"/>
            <w:i w:val="false"/>
            <w:iCs w:val="false"/>
            <w:color w:val="0563C1"/>
            <w:sz w:val="22"/>
            <w:szCs w:val="22"/>
            <w:u w:val="single"/>
          </w:rPr>
          <w:t>rates.ca</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Deutsche Botschaft Ottawa und Generalkonsulate in Kanada — Führerschein und Ankunft: </w:t>
      </w:r>
      <w:hyperlink r:id="rId605">
        <w:r>
          <w:rPr>
            <w:rStyle w:val="ListLabel113"/>
            <w:rFonts w:eastAsia="Cambria" w:cs="Cambria"/>
            <w:b w:val="false"/>
            <w:bCs w:val="false"/>
            <w:i w:val="false"/>
            <w:iCs w:val="false"/>
            <w:color w:val="0563C1"/>
            <w:sz w:val="22"/>
            <w:szCs w:val="22"/>
            <w:u w:val="single"/>
          </w:rPr>
          <w:t>kanada.diplo.de</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Schnell ändern sich: Führerschein-Umtauschfristen und -listen je Provinz, Tempolimits (v. a. in Ontario und British Columbia), Bußgelder für Handy- und Schulbus-Verstöße sowie die politische Debatte um das Rechtsabbiegen-bei-Rot-Verbot auf der Insel Montreal. Prüfe vor jeder Entscheidung die Seite der zuständigen Behörde deiner Zielprovinz.</w:t>
            </w:r>
          </w:p>
        </w:tc>
      </w:tr>
    </w:tbl>
    <w:p>
      <w:pPr>
        <w:pStyle w:val="Normal"/>
        <w:spacing w:lineRule="exact" w:line="220" w:before="0" w:after="0"/>
        <w:rPr/>
      </w:pPr>
      <w:r>
        <w:rPr/>
      </w:r>
      <w:r>
        <w:br w:type="page"/>
      </w:r>
    </w:p>
    <w:p>
      <w:pPr>
        <w:pStyle w:val="Heading2"/>
        <w:keepNext w:val="true"/>
        <w:spacing w:before="0" w:after="300"/>
        <w:jc w:val="center"/>
        <w:rPr/>
      </w:pPr>
      <w:bookmarkStart w:id="157" w:name="__RefHeading___Toc56587_3769931028"/>
      <w:bookmarkStart w:id="158" w:name="tka11"/>
      <w:bookmarkEnd w:id="157"/>
      <w:r>
        <w:rPr>
          <w:rFonts w:eastAsia="Amazon Ember" w:cs="Amazon Ember" w:ascii="Amazon Ember" w:hAnsi="Amazon Ember"/>
          <w:b/>
          <w:bCs/>
          <w:color w:val="0000FF"/>
          <w:sz w:val="36"/>
          <w:szCs w:val="36"/>
        </w:rPr>
        <w:t>Kanada: Alltagskultur und Umgangsformen</w:t>
      </w:r>
      <w:bookmarkEnd w:id="158"/>
    </w:p>
    <w:p>
      <w:pPr>
        <w:pStyle w:val="Normal"/>
        <w:keepNext w:val="false"/>
        <w:keepLines w:val="false"/>
        <w:spacing w:lineRule="exact" w:line="288" w:before="0" w:after="140"/>
        <w:jc w:val="left"/>
        <w:rPr/>
      </w:pPr>
      <w:r>
        <w:rPr>
          <w:rFonts w:eastAsia="Cambria" w:cs="Cambria"/>
          <w:b w:val="false"/>
          <w:bCs w:val="false"/>
          <w:i w:val="false"/>
          <w:iCs w:val="false"/>
          <w:sz w:val="22"/>
          <w:szCs w:val="22"/>
        </w:rPr>
        <w:t>Julia Ahrens rempelt im Supermarkt in Toronto versehentlich einen fremden Einkaufswagen – und bevor sie selbst „Entschuldigung“ sagen kann, hat sich die andere Person bereits zweimal entschuldigt, obwohl unstrittig der Ahrens’sche Wagen der Übeltäter war. Sie wird diese Szene, mit kleinen Variationen, in den kommenden Monaten noch etliche Male erleben. Kanadier entschuldigen sich, so scheint es zuweilen, für die bloße Tatsache, im selben Raum zu existieren – ein Understatement, das eher britisch als amerikanisch wirkt, und das für direkte deutsche Gemüter anfangs schwerer zu lesen ist, als es sich anhört. Nicht weil es unehrlich wäre, sondern weil es eine eigene Grammatik hat, die dieses Kapitel zu entschlüsseln versucht.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Kanadische Umgangsformen sind höflich, indirekt und auffällig entschuldigungsfreudig – das berühmte „Sorry“ ist mehr Reflex als echte Entschuldigung.</w:t>
            </w:r>
          </w:p>
          <w:p>
            <w:pPr>
              <w:pStyle w:val="ListParagraph"/>
              <w:numPr>
                <w:ilvl w:val="0"/>
                <w:numId w:val="1"/>
              </w:numPr>
              <w:spacing w:lineRule="exact" w:line="264" w:before="0" w:after="50"/>
              <w:rPr/>
            </w:pPr>
            <w:r>
              <w:rPr>
                <w:rFonts w:eastAsia="Cambria" w:cs="Cambria"/>
                <w:b w:val="false"/>
                <w:bCs w:val="false"/>
                <w:i w:val="false"/>
                <w:iCs w:val="false"/>
                <w:sz w:val="20"/>
                <w:szCs w:val="20"/>
              </w:rPr>
              <w:t>Deutsche Direktheit, in Deutschland oft als ehrlich und effizient verstanden, wirkt in Kanada schnell hart oder unhöflich; Kritik kommt eher verpackt.</w:t>
            </w:r>
          </w:p>
          <w:p>
            <w:pPr>
              <w:pStyle w:val="ListParagraph"/>
              <w:numPr>
                <w:ilvl w:val="0"/>
                <w:numId w:val="1"/>
              </w:numPr>
              <w:spacing w:lineRule="exact" w:line="264" w:before="0" w:after="50"/>
              <w:rPr/>
            </w:pPr>
            <w:r>
              <w:rPr>
                <w:rFonts w:eastAsia="Cambria" w:cs="Cambria"/>
                <w:b w:val="false"/>
                <w:bCs w:val="false"/>
                <w:i w:val="false"/>
                <w:iCs w:val="false"/>
                <w:sz w:val="20"/>
                <w:szCs w:val="20"/>
              </w:rPr>
              <w:t>Kanada versteht sich offiziell als „Mosaik“ statt als „Schmelztiegel“: Einwanderergruppen sollen ihre kulturelle Eigenheit bewahren, nicht sich vollständig angleichen – ein bewusster Gegenentwurf zum US-amerikanischen Modell.</w:t>
            </w:r>
          </w:p>
          <w:p>
            <w:pPr>
              <w:pStyle w:val="ListParagraph"/>
              <w:numPr>
                <w:ilvl w:val="0"/>
                <w:numId w:val="1"/>
              </w:numPr>
              <w:spacing w:lineRule="exact" w:line="264" w:before="0" w:after="50"/>
              <w:rPr/>
            </w:pPr>
            <w:r>
              <w:rPr>
                <w:rFonts w:eastAsia="Cambria" w:cs="Cambria"/>
                <w:b w:val="false"/>
                <w:bCs w:val="false"/>
                <w:i w:val="false"/>
                <w:iCs w:val="false"/>
                <w:sz w:val="20"/>
                <w:szCs w:val="20"/>
              </w:rPr>
              <w:t>Anders als in Deutschland ist es unüblich, Fremde auf Regelverstöße hinzuweisen; informelle soziale Kontrolle ist schwächer ausgeprägt.</w:t>
            </w:r>
          </w:p>
          <w:p>
            <w:pPr>
              <w:pStyle w:val="ListParagraph"/>
              <w:numPr>
                <w:ilvl w:val="0"/>
                <w:numId w:val="1"/>
              </w:numPr>
              <w:spacing w:lineRule="exact" w:line="264" w:before="0" w:after="50"/>
              <w:rPr/>
            </w:pPr>
            <w:r>
              <w:rPr>
                <w:rFonts w:eastAsia="Cambria" w:cs="Cambria"/>
                <w:b w:val="false"/>
                <w:bCs w:val="false"/>
                <w:i w:val="false"/>
                <w:iCs w:val="false"/>
                <w:sz w:val="20"/>
                <w:szCs w:val="20"/>
              </w:rPr>
              <w:t>Québec bildet den kulturellen Sonderfall: Französisch ist einzige Amtssprache, und das Sprachgesetz Bill 96 lässt Neuankömmlingen nur 6 Monate, um noch auf Englisch mit Behörden zu kommunizieren.</w:t>
            </w:r>
          </w:p>
          <w:p>
            <w:pPr>
              <w:pStyle w:val="ListParagraph"/>
              <w:numPr>
                <w:ilvl w:val="0"/>
                <w:numId w:val="1"/>
              </w:numPr>
              <w:spacing w:lineRule="exact" w:line="264" w:before="0" w:after="50"/>
              <w:rPr/>
            </w:pPr>
            <w:r>
              <w:rPr>
                <w:rFonts w:eastAsia="Cambria" w:cs="Cambria"/>
                <w:b w:val="false"/>
                <w:bCs w:val="false"/>
                <w:i w:val="false"/>
                <w:iCs w:val="false"/>
                <w:sz w:val="20"/>
                <w:szCs w:val="20"/>
              </w:rPr>
              <w:t>Kleine Alltagsrituale wie Trinkgeld, das kanadische „Eh“ und eine insgesamt zurückhaltendere Gesprächskultur runden das Bild ab.</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Höflichkeit und die „Sorry“-Kultur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aus Deutschland kommt, wo eine Entschuldigung in der Regel bedeutet, dass tatsächlich ein Fehler passiert ist, muss sich in Kanada an eine großzügigere Verwendung des Wortes gewöhnen. „Sorry“ fällt, wenn jemand an dir vorbeigehen möchte, wenn zwei Personen gleichzeitig zu sprechen beginnen, wenn du selbst im Weg stehst, und gelegentlich auch dann, wenn objektiv gar nichts vorgefallen ist. Es ist weniger ein Schuldeingeständnis als ein soziales Schmiermittel, das Reibung im Alltag abfedert, bevor sie überhaupt entsteht. Wer das nicht weiß, überschätzt am Anfang leicht, wie viele echte Missgeschicke ihm angeblich unterlaufen.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kanadische Kommunikationsstil insgesamt gilt im Vergleich zu Deutschland als spürbar indirekter und höflicher. Direkte, in Deutschland oft als ehrlich und effizient verstandene Kritik – „Das funktioniert so nicht“, ohne weitere Verpackung – kann in Kanada schnell hart oder gar unhöflich wirken. Kanadier verpacken unangenehme Botschaften lieber in eine Frage oder einen beiläufigen Nebensatz, bevor der eigentliche Punkt kommt, und erwarten von ihrem Gegenüber, dass es zwischen den Zeilen liest. Ein zu forsches „Nein, das sehe ich anders“ auf einer Teambesprechung erzeugt eher betretenes Schweigen als eine offene Diskussion.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Was in Deutschland als sachlich und lösungsorientiert gilt, kommt in Kanada leicht als Angriff an. Formuliere Kritik und Widerspruch grundsätzlich eine Stufe vorsichtiger, als du es aus deutschen Meetings gewohnt bist – mit einer einleitenden positiven Bemerkung und einer Frage statt einer Feststellung fährst du in aller Regel besser.</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Small Talk ist, ähnlich wie in vielen englischsprachigen Kulturen, fester Bestandteil auch geschäftlicher Gespräche: Wetter, Wochenende, Nachbarschaft, gelegentlich Sport, sind der übliche Einstieg, bevor es überhaupt zur Sache geht. Wer zu schnell zum Thema kommt, wirkt reserviert oder ungeduldig. Tiefere persönliche Nähe entsteht in der Regel langsamer als in direkteren Kulturen – die freundliche Fassade ist echt gemeint, aber sie ist eben zunächst Fassade, keine sofortige Einladung zur Freundschaft.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den beruflichen Alltag lohnt sich eine bewusste Übersetzungsübung zwischen deutscher und kanadischer Formulierung. Dieselbe Sachaussage lässt sich fast immer eine Stufe vorsichtiger verpacken, ohne an Substanz zu verlieren:</w:t>
      </w:r>
    </w:p>
    <w:tbl>
      <w:tblPr>
        <w:tblW w:w="6480" w:type="dxa"/>
        <w:jc w:val="left"/>
        <w:tblInd w:w="0" w:type="dxa"/>
        <w:tblLayout w:type="fixed"/>
        <w:tblCellMar>
          <w:top w:w="50" w:type="dxa"/>
          <w:left w:w="80" w:type="dxa"/>
          <w:bottom w:w="50" w:type="dxa"/>
          <w:right w:w="80" w:type="dxa"/>
        </w:tblCellMar>
      </w:tblPr>
      <w:tblGrid>
        <w:gridCol w:w="1577"/>
        <w:gridCol w:w="1959"/>
        <w:gridCol w:w="2944"/>
      </w:tblGrid>
      <w:tr>
        <w:trPr>
          <w:tblHeader w:val="true"/>
          <w:cantSplit w:val="true"/>
        </w:trPr>
        <w:tc>
          <w:tcPr>
            <w:tcW w:w="157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Deutsche Formulierung</w:t>
            </w:r>
          </w:p>
        </w:tc>
        <w:tc>
          <w:tcPr>
            <w:tcW w:w="195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Wirkung in Kanada</w:t>
            </w:r>
          </w:p>
        </w:tc>
        <w:tc>
          <w:tcPr>
            <w:tcW w:w="294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Kanadische Alternative</w:t>
            </w:r>
          </w:p>
        </w:tc>
      </w:tr>
      <w:tr>
        <w:trPr>
          <w:cantSplit w:val="true"/>
        </w:trPr>
        <w:tc>
          <w:tcPr>
            <w:tcW w:w="15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Das funktioniert so nicht.“</w:t>
            </w:r>
          </w:p>
        </w:tc>
        <w:tc>
          <w:tcPr>
            <w:tcW w:w="19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wirkt wie ein persönlicher Vorwurf</w:t>
            </w:r>
          </w:p>
        </w:tc>
        <w:tc>
          <w:tcPr>
            <w:tcW w:w="29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I’m not sure this approach will get us there – could we look at it differently?“</w:t>
            </w:r>
          </w:p>
        </w:tc>
      </w:tr>
      <w:tr>
        <w:trPr>
          <w:cantSplit w:val="true"/>
        </w:trPr>
        <w:tc>
          <w:tcPr>
            <w:tcW w:w="15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Ich bin anderer Meinung.“</w:t>
            </w:r>
          </w:p>
        </w:tc>
        <w:tc>
          <w:tcPr>
            <w:tcW w:w="19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klingt konfrontativ</w:t>
            </w:r>
          </w:p>
        </w:tc>
        <w:tc>
          <w:tcPr>
            <w:tcW w:w="29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That’s an interesting point – I’d frame it a bit differently.“</w:t>
            </w:r>
          </w:p>
        </w:tc>
      </w:tr>
      <w:tr>
        <w:trPr>
          <w:cantSplit w:val="true"/>
        </w:trPr>
        <w:tc>
          <w:tcPr>
            <w:tcW w:w="15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Das ist falsch.“</w:t>
            </w:r>
          </w:p>
        </w:tc>
        <w:tc>
          <w:tcPr>
            <w:tcW w:w="19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wirkt hart, fast unhöflich</w:t>
            </w:r>
          </w:p>
        </w:tc>
        <w:tc>
          <w:tcPr>
            <w:tcW w:w="29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I think there might be a gap here – can we double-check?“</w:t>
            </w:r>
          </w:p>
        </w:tc>
      </w:tr>
      <w:tr>
        <w:trPr>
          <w:cantSplit w:val="true"/>
        </w:trPr>
        <w:tc>
          <w:tcPr>
            <w:tcW w:w="15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Mach das bitte anders.“</w:t>
            </w:r>
          </w:p>
        </w:tc>
        <w:tc>
          <w:tcPr>
            <w:tcW w:w="19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wirkt wie eine Anweisung von oben herab</w:t>
            </w:r>
          </w:p>
        </w:tc>
        <w:tc>
          <w:tcPr>
            <w:tcW w:w="29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Would it work if we tried it this way instead?“</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Keine dieser kanadischen Varianten ist unehrlich – sie transportiert dieselbe Botschaft, nur mit mehr Rücksicht auf das Gesicht des Gegenübers. Wer diese Übersetzung ein paarmal bewusst geübt hat, wendet sie nach einigen Monaten automatisch an, ohne noch groß darüber nachzudenken.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Ahrens (fiktives Beispiel) lernt in den ersten Wochen in Toronto die neuen Nachbarn kennen, als Markus beim Rasenmähen versehentlich einen Ast über den Gartenzaun wirft. Bevor er sich entschuldigen kann, ruft der Nachbar bereits „Sorry, hätte ich wegräumen sollen“ herüber – obwohl der Ast eindeutig von der Ahrens’schen Seite kam. Julia braucht ein paar Wochen, um zu verstehen, dass diese ständigen Entschuldigungen keine tatsächliche Schuldübernahme sind, sondern eine Art Begrüßungsformel. Als sie selbst anfängt, bei jeder Kleinigkeit „Sorry“ zu sagen, statt wie gewohnt sachlich zu erklären, was passiert ist, fühlt sich das erstaunlich unaufwendig an – und erstaunlich wirksam.</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Mosaik-Modell: Multikulturalismus als Staatsprinzip</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Kanada ist seit 1971 offiziell multikulturell – als erstes Land der Welt mit einer solchen Politik – und hat dieses Prinzip 1982 in der </w:t>
      </w:r>
      <w:r>
        <w:rPr>
          <w:rFonts w:eastAsia="Cambria" w:cs="Cambria"/>
          <w:b w:val="false"/>
          <w:bCs w:val="false"/>
          <w:i/>
          <w:iCs/>
          <w:sz w:val="22"/>
          <w:szCs w:val="22"/>
        </w:rPr>
        <w:t>Canadian Charter of Rights and Freedoms</w:t>
      </w:r>
      <w:r>
        <w:rPr>
          <w:rFonts w:eastAsia="Cambria" w:cs="Cambria"/>
          <w:b w:val="false"/>
          <w:bCs w:val="false"/>
          <w:i w:val="false"/>
          <w:iCs w:val="false"/>
          <w:sz w:val="22"/>
          <w:szCs w:val="22"/>
        </w:rPr>
        <w:t xml:space="preserve"> (der kanadischen Grundrechtecharta, vergleichbar mit dem deutschen Grundgesetz) verfassungsrechtlich verankert. Anders als das US-amerikanische Bild vom </w:t>
      </w:r>
      <w:r>
        <w:rPr>
          <w:rFonts w:eastAsia="Cambria" w:cs="Cambria"/>
          <w:b w:val="false"/>
          <w:bCs w:val="false"/>
          <w:i/>
          <w:iCs/>
          <w:sz w:val="22"/>
          <w:szCs w:val="22"/>
        </w:rPr>
        <w:t>Melting Pot</w:t>
      </w:r>
      <w:r>
        <w:rPr>
          <w:rFonts w:eastAsia="Cambria" w:cs="Cambria"/>
          <w:b w:val="false"/>
          <w:bCs w:val="false"/>
          <w:i w:val="false"/>
          <w:iCs w:val="false"/>
          <w:sz w:val="22"/>
          <w:szCs w:val="22"/>
        </w:rPr>
        <w:t xml:space="preserve"> (Schmelztiegel, in dem sich Einwanderergruppen zu einer gemeinsamen Kultur verschmelzen sollen) verfolgt Kanada bewusst das </w:t>
      </w:r>
      <w:r>
        <w:rPr>
          <w:rFonts w:eastAsia="Cambria" w:cs="Cambria"/>
          <w:b w:val="false"/>
          <w:bCs w:val="false"/>
          <w:i/>
          <w:iCs/>
          <w:sz w:val="22"/>
          <w:szCs w:val="22"/>
        </w:rPr>
        <w:t>Mosaic</w:t>
      </w:r>
      <w:r>
        <w:rPr>
          <w:rFonts w:eastAsia="Cambria" w:cs="Cambria"/>
          <w:b w:val="false"/>
          <w:bCs w:val="false"/>
          <w:i w:val="false"/>
          <w:iCs w:val="false"/>
          <w:sz w:val="22"/>
          <w:szCs w:val="22"/>
        </w:rPr>
        <w:t>-Modell (Mosaik): Einwanderergruppen sollen ihre kulturelle Eigenheit bewahren dürfen, statt sich vollständig anzugleichen. Das ist kein informelles Stimmungsbild, sondern erklärte Staatsdoktrin – und im Alltag von Toronto, Vancouver oder Calgary durchaus sichtbar, etwa an der Vielzahl von Sprachen, Restaurants und Communitys, die nebeneinander bestehen, statt sich zu vermischen.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deutsche Neuankömmlinge bedeutet das in der Praxis vor allem eines: Die eigene Herkunft, der eigene Akzent, die eigene Andersartigkeit fallen in den großen kanadischen Städten schlicht weniger auf, als man es vielleicht erwartet. Wer selbst aus einer anderen Kultur kommt, ist in Toronto oder Vancouver eher Normalfall als Ausnahme. Das erleichtert die Ankunft spürbar – ersetzt aber nicht die eigentliche Integrationsarbeit, die im </w:t>
      </w:r>
      <w:hyperlink w:anchor="tka12">
        <w:r>
          <w:rPr>
            <w:rStyle w:val="ListLabel113"/>
            <w:rFonts w:eastAsia="Cambria" w:cs="Cambria"/>
            <w:b w:val="false"/>
            <w:bCs w:val="false"/>
            <w:i w:val="false"/>
            <w:iCs w:val="false"/>
            <w:color w:val="0563C1"/>
            <w:sz w:val="22"/>
            <w:szCs w:val="22"/>
            <w:u w:val="single"/>
          </w:rPr>
          <w:t>Kapitel zum Freundefinden in diesem Teil</w:t>
        </w:r>
      </w:hyperlink>
      <w:r>
        <w:rPr>
          <w:rFonts w:eastAsia="Cambria" w:cs="Cambria"/>
          <w:b w:val="false"/>
          <w:bCs w:val="false"/>
          <w:i w:val="false"/>
          <w:iCs w:val="false"/>
          <w:sz w:val="22"/>
          <w:szCs w:val="22"/>
        </w:rPr>
        <w:t xml:space="preserve"> ausführlicher behandelt wird.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Das Mosaik-Prinzip bedeutet nicht, dass Integration überflüssig wäre, sondern dass sie anders verläuft: Man muss sich in Kanada weniger anpassen, um dazuzugehören, dafür dauert es oft länger, wirklich Teil einer bestehenden Gemeinschaft statt nur eines freundlichen Nebeneinanders zu werden.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kulturelle und rechtliche Vielfalt Kanadas endet nicht an ethnischen Gruppen, sondern zieht sich auch durch die Provinzen selbst: Québec unterscheidet sich vom übrigen Land am stärksten, mit eigenem Zivilrechtssystem (dem </w:t>
      </w:r>
      <w:r>
        <w:rPr>
          <w:rFonts w:eastAsia="Cambria" w:cs="Cambria"/>
          <w:b w:val="false"/>
          <w:bCs w:val="false"/>
          <w:i/>
          <w:iCs/>
          <w:sz w:val="22"/>
          <w:szCs w:val="22"/>
        </w:rPr>
        <w:t>Code civil du Québec</w:t>
      </w:r>
      <w:r>
        <w:rPr>
          <w:rFonts w:eastAsia="Cambria" w:cs="Cambria"/>
          <w:b w:val="false"/>
          <w:bCs w:val="false"/>
          <w:i w:val="false"/>
          <w:iCs w:val="false"/>
          <w:sz w:val="22"/>
          <w:szCs w:val="22"/>
        </w:rPr>
        <w:t xml:space="preserve"> statt des britisch geprägten </w:t>
      </w:r>
      <w:r>
        <w:rPr>
          <w:rFonts w:eastAsia="Cambria" w:cs="Cambria"/>
          <w:b w:val="false"/>
          <w:bCs w:val="false"/>
          <w:i/>
          <w:iCs/>
          <w:sz w:val="22"/>
          <w:szCs w:val="22"/>
        </w:rPr>
        <w:t>Common Law</w:t>
      </w:r>
      <w:r>
        <w:rPr>
          <w:rFonts w:eastAsia="Cambria" w:cs="Cambria"/>
          <w:b w:val="false"/>
          <w:bCs w:val="false"/>
          <w:i w:val="false"/>
          <w:iCs w:val="false"/>
          <w:sz w:val="22"/>
          <w:szCs w:val="22"/>
        </w:rPr>
        <w:t>), eigener Mehrheitssprache und eigener Einwanderungsbehörde – dazu mehr im eigenen Abschnitt weiter unten. Das übrige Kanada ist überwiegend englischsprachig, mit regional unterschiedlich ausgeprägter Diversität; Toronto und Vancouver gelten als die vielfältigsten Großstädte des Landes.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Was kanadische Identität eigentlich ausmacht, ist im Land selbst ein gern und mit einer gewissen Selbstironie geführtes Gespräch – nicht zufällig scherzen Kanadier gern über sich selbst, ihre Identität lasse sich am einfachsten darüber definieren, was sie nicht sei: nicht britisch, nicht amerikanisch, dafür freundlich, mehrsprachig und mit einer bemerkenswerten Vorliebe für Ahornsirup. Hinter dem Scherz steckt ein ernster Kern: Die offizielle Zweisprachigkeit auf Bundesebene (Englisch und Französisch, gesetzlich verankert seit dem </w:t>
      </w:r>
      <w:r>
        <w:rPr>
          <w:rFonts w:eastAsia="Cambria" w:cs="Cambria"/>
          <w:b w:val="false"/>
          <w:bCs w:val="false"/>
          <w:i/>
          <w:iCs/>
          <w:sz w:val="22"/>
          <w:szCs w:val="22"/>
        </w:rPr>
        <w:t>Official Languages Act</w:t>
      </w:r>
      <w:r>
        <w:rPr>
          <w:rFonts w:eastAsia="Cambria" w:cs="Cambria"/>
          <w:b w:val="false"/>
          <w:bCs w:val="false"/>
          <w:i w:val="false"/>
          <w:iCs w:val="false"/>
          <w:sz w:val="22"/>
          <w:szCs w:val="22"/>
        </w:rPr>
        <w:t xml:space="preserve"> von 1969) und die bewusste Abgrenzung vom südlichen Nachbarn prägen das nationale Selbstverständnis stärker, als es von außen oft wahrgenommen wird.</w:t>
      </w:r>
    </w:p>
    <w:p>
      <w:pPr>
        <w:pStyle w:val="Heading3"/>
        <w:keepNext w:val="true"/>
        <w:spacing w:before="280" w:after="100"/>
        <w:jc w:val="center"/>
        <w:rPr/>
      </w:pPr>
      <w:r>
        <w:rPr>
          <w:rFonts w:eastAsia="Amazon Ember" w:cs="Amazon Ember" w:ascii="Amazon Ember" w:hAnsi="Amazon Ember"/>
          <w:b/>
          <w:bCs/>
          <w:color w:val="0000FF"/>
          <w:sz w:val="36"/>
          <w:szCs w:val="36"/>
        </w:rPr>
        <w:t>Regelkultur: warum dich niemand ermahnt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Unterschied, der viele Deutsche zunächst irritiert, weil er sich schwer in Worte fassen lässt: In Kanada ist es unüblich, Mitmenschen aktiv auf Regelverstöße hinzuweisen. Wer in Deutschland auf einem Fahrradweg falsch parkt oder in der Warteschlange drängelt, muss mit einer knappen, oft ziemlich direkten Ermahnung rechnen. In Kanada bleibt diese Reaktion meist aus – nicht, weil den Menschen die Regel egal wäre, sondern weil informelle soziale Kontrolle als Aufgabe einzelner Bürger deutlich schwächer ausgeprägt ist. Eigenverantwortung und Zurückhaltung werden stärker betont als das gegenseitige Ermahnen.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Neuankömmlinge bedeutet das zweierlei. Erstens: Wer selbst versehentlich gegen eine ungeschriebene Regel verstößt, wird seltener direkt korrigiert, als er es aus Deutschland gewohnt ist – was die eigenen Fehler paradoxerweise erst später auffallen lässt. Zweitens: Wer selbst Fremde auf ihr Verhalten hinweisen möchte, tut gut daran, dies spürbar zurückhaltender zu formulieren, als es in Deutschland üblich wäre, wenn überhaupt. Eine gut gemeinte deutsche Ermahnung kommt in Kanada schnell als übergriffig an.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Vermeide es, Fremde direkt auf vermeintliches Fehlverhalten anzusprechen, so gut die Absicht auch gemeint ist. Was in Deutschland als hilfreicher Hinweis gilt, wird in Kanada eher als Einmischung wahrgenommen – Zurückhaltung ist hier fast immer die sicherere Wahl.</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sichtbarsten wird diese Zurückhaltung an einer fast schon sprichwörtlichen kanadischen Tugend: dem Anstehen. Warteschlangen – vor dem Café, am Busbahnhof, an der Supermarktkasse – gelten als eine Art stiller Gesellschaftsvertrag, der ohne jede Beschilderung funktioniert, und ein Vordrängler erntet zwar missbilligende Blicke, aber selten eine laute Zurechtweisung. Wer selbst versehentlich die Schlange durcheinanderbringt, tut gut daran, sich zuvorkommend zu entschuldigen – womit sich der Kreis zur „Sorry“-Kultur vom Anfang dieses Kapitels wieder schließt.</w:t>
      </w:r>
    </w:p>
    <w:p>
      <w:pPr>
        <w:pStyle w:val="Heading3"/>
        <w:keepNext w:val="true"/>
        <w:spacing w:before="280" w:after="100"/>
        <w:jc w:val="center"/>
        <w:rPr/>
      </w:pPr>
      <w:r>
        <w:rPr>
          <w:rFonts w:eastAsia="Amazon Ember" w:cs="Amazon Ember" w:ascii="Amazon Ember" w:hAnsi="Amazon Ember"/>
          <w:b/>
          <w:bCs/>
          <w:color w:val="0000FF"/>
          <w:sz w:val="36"/>
          <w:szCs w:val="36"/>
        </w:rPr>
        <w:t>Québec-Sonderfall: Bill 96 und die Sprache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Kein anderer Teil Kanadas weicht kulturell so stark vom Rest des Landes ab wie Québec, und nirgendwo ist das spürbarer als bei der Sprache. Seit Verabschiedung des Sprachgesetzes </w:t>
      </w:r>
      <w:r>
        <w:rPr>
          <w:rFonts w:eastAsia="Cambria" w:cs="Cambria"/>
          <w:b w:val="false"/>
          <w:bCs w:val="false"/>
          <w:i/>
          <w:iCs/>
          <w:sz w:val="22"/>
          <w:szCs w:val="22"/>
        </w:rPr>
        <w:t>Loi 96</w:t>
      </w:r>
      <w:r>
        <w:rPr>
          <w:rFonts w:eastAsia="Cambria" w:cs="Cambria"/>
          <w:b w:val="false"/>
          <w:bCs w:val="false"/>
          <w:i w:val="false"/>
          <w:iCs w:val="false"/>
          <w:sz w:val="22"/>
          <w:szCs w:val="22"/>
        </w:rPr>
        <w:t xml:space="preserve"> (Bill 96) im Juni 2022 ist Französisch die einzige Amtssprache der Provinz, mit verschärften Pflichten für Behörden, Unternehmen und die Kommunikation am Arbeitsplatz, etwa bei Stellenausschreibungen und offizieller schriftlicher Kommunikation mit Angestellten. Neuankömmlinge dürfen für die ersten 6 Monate nach ihrer Ankunft noch in einer anderen Sprache – in der Regel Englisch – mit Provinzbehörden kommunizieren; danach gilt grundsätzlich nur noch Französisch. Siedlungsorganisationen kritisieren diese Frist als zu kurz, um eine neue Sprache alltagstauglich zu lernen, und für bestimmte Berufszulassungen können zusätzliche Französischanforderungen gelten.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nach Montreal oder in eine andere Region Québecs zieht, sollte Französischkenntnisse deshalb realistisch als notwendig einplanen, nicht als nette Zusatzqualifikation. Konversationsfähiges Französisch erleichtert nicht nur Behördengänge nach Ablauf der Schonfrist, sondern auch die Berufsanerkennung und den sozialen Alltag spürbar. Im übrigen Kanada – von Toronto über Calgary bis Vancouver – reicht Englisch dagegen durchgehend aus; die Sprachfrage stellt sich dort in dieser Schärfe nicht.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Unterschätze die Sechs-Monats-Frist von Bill 96 nicht, falls Québec dein Zielort ist. Wer erst nach der Ankunft mit dem Französischlernen beginnt, gerät leicht in Zeitdruck – ein Sprachkurs schon vor dem Umzug spart in Montreal mehr Nerven als anderswo in Kanada.</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politische Debatte um Bill 96 ist weiterhin in Bewegung, insbesondere im Umfeld der Québec-Wahl 2026; eine grundlegende Änderung der Sechs-Monats-Regel war zuletzt aber nicht beschlossen. Wer ausschließlich in den englischsprachigen Teilen Kanadas leben möchte, kann das Thema getrost zur Kenntnis nehmen und beiseitelegen – für Montreal und den Rest Québecs gehört es dagegen zur ehrlichen Standortabwägung dazu, ähnlich wie im </w:t>
      </w:r>
      <w:hyperlink w:anchor="tka09">
        <w:r>
          <w:rPr>
            <w:rStyle w:val="ListLabel113"/>
            <w:rFonts w:eastAsia="Cambria" w:cs="Cambria"/>
            <w:b w:val="false"/>
            <w:bCs w:val="false"/>
            <w:i w:val="false"/>
            <w:iCs w:val="false"/>
            <w:color w:val="0563C1"/>
            <w:sz w:val="22"/>
            <w:szCs w:val="22"/>
            <w:u w:val="single"/>
          </w:rPr>
          <w:t>Kapitel zum Wohnen in diesem Teil</w:t>
        </w:r>
      </w:hyperlink>
      <w:r>
        <w:rPr>
          <w:rFonts w:eastAsia="Cambria" w:cs="Cambria"/>
          <w:b w:val="false"/>
          <w:bCs w:val="false"/>
          <w:i w:val="false"/>
          <w:iCs w:val="false"/>
          <w:sz w:val="22"/>
          <w:szCs w:val="22"/>
        </w:rPr>
        <w:t xml:space="preserve"> beschrieben.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Wichtig für die Einordnung: Bill 96 ist keine Ablehnung von Einwanderern, sondern der jüngste Ausläufer einer jahrzehntealten Sprachpolitik, mit der Québec seine frankophone Mehrheit innerhalb eines überwiegend englischsprachigen Kontinents bewahren will – eine Sorge, die von außen leicht unterschätzt wird, innerhalb Québecs aber tief verankert ist. Wer diese Hintergrundgeschichte kennt, tut sich leichter, die Sprachregeln als kulturelles Anliegen zu verstehen statt als bloße Bürokratie.</w:t>
      </w:r>
    </w:p>
    <w:p>
      <w:pPr>
        <w:pStyle w:val="Heading3"/>
        <w:keepNext w:val="true"/>
        <w:spacing w:before="280" w:after="100"/>
        <w:jc w:val="center"/>
        <w:rPr/>
      </w:pPr>
      <w:r>
        <w:rPr>
          <w:rFonts w:eastAsia="Amazon Ember" w:cs="Amazon Ember" w:ascii="Amazon Ember" w:hAnsi="Amazon Ember"/>
          <w:b/>
          <w:bCs/>
          <w:color w:val="0000FF"/>
          <w:sz w:val="36"/>
          <w:szCs w:val="36"/>
        </w:rPr>
        <w:t>Kleine Rituale: Trinkgeld, „Eh“ und der eigene Humor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paar kleinere Alltagsgewohnheiten runden das Bild ab. Trinkgeld ist in Restaurants, Cafés und Taxis erwartet, meist zwischen 15 und 20 % der Rechnung – deutlich mehr als das in Deutschland übliche Aufrunden, und für viele Neuankömmlinge die erste konkrete Rechenaufgabe im neuen Alltag. Das vielzitierte kanadische „Eh“ (ein Frageanhängsel, ungefähr „nicht wahr?“ oder „oder?“) taucht tatsächlich im Alltag auf, wenn auch seltener und regional unterschiedlicher, als es Klischees vermuten lassen – es lohnt sich, es zu erkennen, ohne es selbst zu forciert nachzuahmen, solange es einem nicht von allein über die Lippen geht.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beim Busfahren zeigt sich die kanadische Höflichkeit fast schon rituell: Viele Fahrgäste bedanken sich beim Aussteigen laut beim Busfahrer, ein „Thank you, have a good one“ im Vorbeigehen, das in einer deutschen Stadt eher verwundertes Kopfschütteln als Nachahmung auslösen würde. Kleidung im Alltag ist überwiegend leger, Business Casual gilt in vielen Büros auch dort als angemessen, wo in Deutschland ein Anzug erwartet würde – wer sich für den ersten Behördengang bewusst „ordentlich“ anzieht, fällt eher auf, als dass es honoriert wird.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Auch der kanadische Feiertagskalender hält eine kleine Verwechslungsfalle bereit: Der </w:t>
      </w:r>
      <w:r>
        <w:rPr>
          <w:rFonts w:eastAsia="Cambria" w:cs="Cambria"/>
          <w:b w:val="false"/>
          <w:bCs w:val="false"/>
          <w:i/>
          <w:iCs/>
          <w:sz w:val="22"/>
          <w:szCs w:val="22"/>
        </w:rPr>
        <w:t>Thanksgiving</w:t>
      </w:r>
      <w:r>
        <w:rPr>
          <w:rFonts w:eastAsia="Cambria" w:cs="Cambria"/>
          <w:b w:val="false"/>
          <w:bCs w:val="false"/>
          <w:i w:val="false"/>
          <w:iCs w:val="false"/>
          <w:sz w:val="22"/>
          <w:szCs w:val="22"/>
        </w:rPr>
        <w:t xml:space="preserve">-Feiertag (Erntedank) fällt in Kanada auf den zweiten Montag im Oktober, gut einen Monat früher als das bekanntere amerikanische Thanksgiving im November – wer aus Filmen und Serien die US-Variante im Kopf hat, plant das Familienessen sonst versehentlich falsch. Am Canada Day, dem 1. Juli, feiert das Land mit Feuerwerk und Nachbarschaftsfesten seine Staatsgründung von 1867, spürbar unaufgeregter als der amerikanische Independence Day; und am </w:t>
      </w:r>
      <w:r>
        <w:rPr>
          <w:rFonts w:eastAsia="Cambria" w:cs="Cambria"/>
          <w:b w:val="false"/>
          <w:bCs w:val="false"/>
          <w:i/>
          <w:iCs/>
          <w:sz w:val="22"/>
          <w:szCs w:val="22"/>
        </w:rPr>
        <w:t>Remembrance Day</w:t>
      </w:r>
      <w:r>
        <w:rPr>
          <w:rFonts w:eastAsia="Cambria" w:cs="Cambria"/>
          <w:b w:val="false"/>
          <w:bCs w:val="false"/>
          <w:i w:val="false"/>
          <w:iCs w:val="false"/>
          <w:sz w:val="22"/>
          <w:szCs w:val="22"/>
        </w:rPr>
        <w:t xml:space="preserve"> (Volkstrauertag) im November tragen viele Kanadier ab Ende Oktober eine rote Mohnblume am Revers – ein stilles, aber sichtbares Ritual, dem man sich als Neuankömmling nicht anschließen muss, dessen Bedeutung zu kennen aber hilft, es richtig einzuordnen.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Viele Städte und Gemeinden bieten kostenlose oder sehr günstige </w:t>
            </w:r>
            <w:r>
              <w:rPr>
                <w:rFonts w:eastAsia="Cambria" w:cs="Cambria"/>
                <w:b w:val="false"/>
                <w:bCs w:val="false"/>
                <w:i/>
                <w:iCs/>
                <w:sz w:val="20"/>
                <w:szCs w:val="20"/>
              </w:rPr>
              <w:t>Newcomer</w:t>
            </w:r>
            <w:r>
              <w:rPr>
                <w:rFonts w:eastAsia="Cambria" w:cs="Cambria"/>
                <w:b w:val="false"/>
                <w:bCs w:val="false"/>
                <w:i w:val="false"/>
                <w:iCs w:val="false"/>
                <w:sz w:val="20"/>
                <w:szCs w:val="20"/>
              </w:rPr>
              <w:t>-Programme (Willkommens- und Orientierungsangebote für Neuankömmlinge) an, oft über lokale Settlement-Organisationen oder Bibliotheken. Dort lassen sich Small Talk, Umgangsformen und selbst die feinen Zwischentöne der „Sorry“-Kultur in entspannter Runde üben – meist unter Leuten, die genau dieselbe Verwirrung gerade selbst durchleben.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kanadische Humor, wo er sich zeigt, ist eher trocken und selbstironisch als lautstark – näher am britischen Understatement als am amerikanisch-direkten Witz. Ein verpasster Bus wird eher mit einem knappen „Well, that’s Tuesday for you“ kommentiert als mit sichtbarem Ärger, ein verregneter Sommer mit einem trockenen „Classic“. Wer selbst mit einer Prise Selbstironie über die eigene Verwirrung als Neuankömmling reagiert – über den falsch verstandenen Small Talk, die dritte „Sorry“-Verwechslung in einer Woche –, kommt in Kanada erfahrungsgemäß besser an als mit sichtbarer Ungeduld gegenüber den vielen kleinen neuen Regeln.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Lukas Berger (fiktives Beispiel) sitzt in seinen ersten Monaten in Calgary in einer Projektbesprechung und formuliert einen Einwand so direkt, wie er es aus seiner deutschen Ingenieursausbildung gewohnt ist: „Das wird so nicht funktionieren.“ Es folgt eine kurze Stille, dann ein vorsichtiges „That’s an interesting point – maybe we could look at it from another angle?“ von seiner kanadischen Kollegin. Erst später erklärt ihm ein Kollege beim Kaffee, mit trockenem Unterton, dass sein Einwand fachlich völlig richtig war, nur eben „auf Deutsch statt auf Kanadisch“ formuliert. Lukas lacht selbst am meisten darüber – und übt in den folgenden Wochen bewusst, denselben Punkt eine Spur vorsichtiger zu verpacken, ohne ihn inhaltlich zu verwässern.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Unterschied zwischen deutscher und kanadischer Kommunikation liegt selten im Inhalt, sondern fast immer in der Verpackung. Wer denselben Punkt eine Stufe höflicher formuliert, verliert nichts an Substanz – gewinnt aber spürbar an Gehör.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Kanadisches Englisch vor der Abreise trainieren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Kanadisches Englisch liegt sprachlich näher am amerikanischen als am britischen Schulenglisch, mit eigenen Wörtern wie „washroom“ (Toilette), „toque“ (Wollmütze) oder „double-double“ (Kaffee mit zwei Zucker, zwei Sahne bei Tim Hortons). Bücher mit einfacher, dialoggetriebener Prosa bauen Wortschatz am schnellsten auf: Stephen King, John Grisham oder Lee Child eignen sich unabhängig vom Zielland. Die „Accent Expert“-Reihe von WIRED auf YouTube (Dialektcoach Erik Singer, Kanal youtube.com/@wired, Suchbegriff „Accent Expert“) erklärt anschaulich, woran du kanadisches von amerikanischem Englisch unterscheidest – die Unterschiede sind subtiler als bei Australien oder Neuseeland, aber hörbar.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den Originalton eignen sich „Schitt’s Creek“ (auf Netflix Deutschland verfügbar, alle sechs Staffeln) und „Letterkenny“ (ebenfalls Netflix, sehr kanadischer Landslang, für Erwachsene) besonders gut. Prüfe die aktuelle Verfügbarkeit auf JustWatch.de, da sich Streaming-Kataloge laufend ändern. Stelle Untertitel wenn möglich auf Englisch, nicht auf Deutsch, und schau dir eine dir bekannte Serie noch einmal im Original an – die bekannte Handlung senkt die Einstiegshürde. Wer lieber strukturiert lernt: ARD und ZDF bieten in ihren Mediatheken kostenlose Englischkurse, weniger unterhaltsam, aber solide.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Kinder gilt eine andere, altersabhängige Auswahl – dazu mehr im </w:t>
      </w:r>
      <w:hyperlink w:anchor="tka13">
        <w:r>
          <w:rPr>
            <w:rStyle w:val="ListLabel113"/>
            <w:rFonts w:eastAsia="Cambria" w:cs="Cambria"/>
            <w:b w:val="false"/>
            <w:bCs w:val="false"/>
            <w:i w:val="false"/>
            <w:iCs w:val="false"/>
            <w:color w:val="0563C1"/>
            <w:sz w:val="22"/>
            <w:szCs w:val="22"/>
            <w:u w:val="single"/>
          </w:rPr>
          <w:t>Kapitel zu Kindern, Schule und Sprache in diesem Teil</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Freundliche, entschuldigungsfreudige Umgangsformen senken die Hemmschwelle im Alltag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Sorry“ und Höflichkeitsfloskeln sind schwer von echter Anteilnahme zu unterscheiden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Multikulturelles Mosaik erleichtert die Ankunft für Menschen mit anderer Herkunft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Tiefere Integration in bestehende Gemeinschaften dauert oft länger als erwartet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Zurückhaltende Regelkultur schafft ein entspanntes Grundklima</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Indirekte Kritik ist für direkte deutsche Gemüter schwer zu entschlüsseln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Englisch reicht im größten Teil Kanadas für den kompletten Alltag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Québec verlangt de facto Französisch, mit nur 6 Monaten Schonfrist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Kanadischer Understatement-Humor wirkt entspannend und verbindend</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Direkte deutsche Kritik kommt schnell als unhöflich oder hart an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Höfliche Distanz erleichtert den ersten Kontakt mit Fremden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Dieselbe Distanz macht echte Nähe manchmal schwerer greifbar</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ListParagraph"/>
        <w:numPr>
          <w:ilvl w:val="0"/>
          <w:numId w:val="240"/>
        </w:numPr>
        <w:spacing w:lineRule="exact" w:line="288" w:before="0" w:after="60"/>
        <w:rPr/>
      </w:pPr>
      <w:r>
        <w:rPr>
          <w:rFonts w:eastAsia="Cambria" w:cs="Cambria"/>
          <w:b w:val="false"/>
          <w:bCs w:val="false"/>
          <w:i w:val="false"/>
          <w:iCs w:val="false"/>
          <w:sz w:val="22"/>
          <w:szCs w:val="22"/>
        </w:rPr>
        <w:t>Vor dem Umzug: Eigene Kommunikationsgewohnheiten reflektieren und bei Bedarf ein Stück höflicher, indirekter kalibrieren – besonders bei Kritik und Widerspruch.</w:t>
      </w:r>
    </w:p>
    <w:p>
      <w:pPr>
        <w:pStyle w:val="ListParagraph"/>
        <w:numPr>
          <w:ilvl w:val="0"/>
          <w:numId w:val="241"/>
        </w:numPr>
        <w:spacing w:lineRule="exact" w:line="288" w:before="0" w:after="60"/>
        <w:rPr/>
      </w:pPr>
      <w:r>
        <w:rPr>
          <w:rFonts w:eastAsia="Cambria" w:cs="Cambria"/>
          <w:b w:val="false"/>
          <w:bCs w:val="false"/>
          <w:i w:val="false"/>
          <w:iCs w:val="false"/>
          <w:sz w:val="22"/>
          <w:szCs w:val="22"/>
        </w:rPr>
        <w:t>In den ersten Wochen: Small Talk aktiv üben, „Sorry“-Kultur als soziales Schmiergel statt als Schuldeingeständnis verstehen lernen.</w:t>
      </w:r>
    </w:p>
    <w:p>
      <w:pPr>
        <w:pStyle w:val="ListParagraph"/>
        <w:numPr>
          <w:ilvl w:val="0"/>
          <w:numId w:val="242"/>
        </w:numPr>
        <w:spacing w:lineRule="exact" w:line="288" w:before="0" w:after="60"/>
        <w:rPr/>
      </w:pPr>
      <w:r>
        <w:rPr>
          <w:rFonts w:eastAsia="Cambria" w:cs="Cambria"/>
          <w:b w:val="false"/>
          <w:bCs w:val="false"/>
          <w:i w:val="false"/>
          <w:iCs w:val="false"/>
          <w:sz w:val="22"/>
          <w:szCs w:val="22"/>
        </w:rPr>
        <w:t>Bei Zielort Québec: Französischkurs möglichst schon vor der Abreise beginnen, nicht erst nach Ablauf der Sechs-Monats-Frist.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 Direktheit bei Kritik und Widerspruch bewusst eine Stufe vorsichtiger kalibriert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„Sorry“-Kultur als Höflichkeitsformel verstanden, nicht als echtes Schuldeingeständnis</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Small-Talk-Themen (Wetter, Wochenende, Nachbarschaft) parat, direkte Kritik an Fremden vermieden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Zielort Québec: Französischkenntnisse realistisch eingeschätzt und Kurs eingeplant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Bill-96-Sechs-Monats-Frist für Behördenkommunikation in Québec notiert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Trinkgeld-Erwartung (15 bis 20 %) in Restaurants und Taxis eingeplant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 Erwartungen an Tempo und Tiefe neuer Bekanntschaften realistisch angepasst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Unsicherheit über eine indirekte Aussage freundlich nachgefragt statt spekuliert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hyperlink r:id="rId606">
        <w:r>
          <w:rPr>
            <w:rStyle w:val="ListLabel113"/>
            <w:rFonts w:eastAsia="Cambria" w:cs="Cambria"/>
            <w:b w:val="false"/>
            <w:bCs w:val="false"/>
            <w:i w:val="false"/>
            <w:iCs w:val="false"/>
            <w:color w:val="0563C1"/>
            <w:sz w:val="22"/>
            <w:szCs w:val="22"/>
            <w:u w:val="single"/>
          </w:rPr>
          <w:t>bpb.de</w:t>
        </w:r>
      </w:hyperlink>
      <w:r>
        <w:rPr>
          <w:rFonts w:eastAsia="Cambria" w:cs="Cambria"/>
          <w:b w:val="false"/>
          <w:bCs w:val="false"/>
          <w:i w:val="false"/>
          <w:iCs w:val="false"/>
          <w:sz w:val="22"/>
          <w:szCs w:val="22"/>
        </w:rPr>
        <w:t xml:space="preserve"> (Bundeszentrale für politische Bildung) — Multikulturalismus in Kanada: </w:t>
      </w:r>
      <w:hyperlink r:id="rId607">
        <w:r>
          <w:rPr>
            <w:rStyle w:val="ListLabel113"/>
            <w:rFonts w:eastAsia="Cambria" w:cs="Cambria"/>
            <w:b w:val="false"/>
            <w:bCs w:val="false"/>
            <w:i w:val="false"/>
            <w:iCs w:val="false"/>
            <w:color w:val="0563C1"/>
            <w:sz w:val="22"/>
            <w:szCs w:val="22"/>
            <w:u w:val="single"/>
          </w:rPr>
          <w:t>bpb.de</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Regierung von Kanada — Multiculturalism Policy und Charter of Rights and Freedoms: </w:t>
      </w:r>
      <w:hyperlink r:id="rId608">
        <w:r>
          <w:rPr>
            <w:rStyle w:val="ListLabel113"/>
            <w:rFonts w:eastAsia="Cambria" w:cs="Cambria"/>
            <w:b w:val="false"/>
            <w:bCs w:val="false"/>
            <w:i w:val="false"/>
            <w:iCs w:val="false"/>
            <w:color w:val="0563C1"/>
            <w:sz w:val="22"/>
            <w:szCs w:val="22"/>
            <w:u w:val="single"/>
          </w:rPr>
          <w:t>canada.ca</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Gouvernement du Québec — Sprachgesetz Bill 96 (Loi 96): </w:t>
      </w:r>
      <w:hyperlink r:id="rId609">
        <w:r>
          <w:rPr>
            <w:rStyle w:val="ListLabel113"/>
            <w:rFonts w:eastAsia="Cambria" w:cs="Cambria"/>
            <w:b w:val="false"/>
            <w:bCs w:val="false"/>
            <w:i w:val="false"/>
            <w:iCs w:val="false"/>
            <w:color w:val="0563C1"/>
            <w:sz w:val="22"/>
            <w:szCs w:val="22"/>
            <w:u w:val="single"/>
          </w:rPr>
          <w:t>quebec.ca</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Lexology, CBC News — Einordnung und Kritik an Bill 96: </w:t>
      </w:r>
      <w:hyperlink r:id="rId610">
        <w:r>
          <w:rPr>
            <w:rStyle w:val="ListLabel113"/>
            <w:rFonts w:eastAsia="Cambria" w:cs="Cambria"/>
            <w:b w:val="false"/>
            <w:bCs w:val="false"/>
            <w:i w:val="false"/>
            <w:iCs w:val="false"/>
            <w:color w:val="0563C1"/>
            <w:sz w:val="22"/>
            <w:szCs w:val="22"/>
            <w:u w:val="single"/>
          </w:rPr>
          <w:t>lexology.com</w:t>
        </w:r>
      </w:hyperlink>
      <w:r>
        <w:rPr>
          <w:rFonts w:eastAsia="Cambria" w:cs="Cambria"/>
          <w:b w:val="false"/>
          <w:bCs w:val="false"/>
          <w:i w:val="false"/>
          <w:iCs w:val="false"/>
          <w:sz w:val="22"/>
          <w:szCs w:val="22"/>
        </w:rPr>
        <w:t xml:space="preserve">, </w:t>
      </w:r>
      <w:hyperlink r:id="rId611">
        <w:r>
          <w:rPr>
            <w:rStyle w:val="ListLabel113"/>
            <w:rFonts w:eastAsia="Cambria" w:cs="Cambria"/>
            <w:b w:val="false"/>
            <w:bCs w:val="false"/>
            <w:i w:val="false"/>
            <w:iCs w:val="false"/>
            <w:color w:val="0563C1"/>
            <w:sz w:val="22"/>
            <w:szCs w:val="22"/>
            <w:u w:val="single"/>
          </w:rPr>
          <w:t>cbc.ca</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Deutsche Botschaft Ottawa und Generalkonsulate in Kanada — Leben vor Ort: </w:t>
      </w:r>
      <w:hyperlink r:id="rId612">
        <w:r>
          <w:rPr>
            <w:rStyle w:val="ListLabel113"/>
            <w:rFonts w:eastAsia="Cambria" w:cs="Cambria"/>
            <w:b w:val="false"/>
            <w:bCs w:val="false"/>
            <w:i w:val="false"/>
            <w:iCs w:val="false"/>
            <w:color w:val="0563C1"/>
            <w:sz w:val="22"/>
            <w:szCs w:val="22"/>
            <w:u w:val="single"/>
          </w:rPr>
          <w:t>kanada.diplo.de</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 kulturellen Beobachtungen in diesem Kapitel sind allgemeine Tendenzen, keine Statistik – regionale und individuelle Unterschiede innerhalb Kanadas sind groß. Die politische Entwicklung rund um Bill 96 in Québec ist im Fluss; prüfe den aktuellen Stand vor einer konkreten Umzugsentscheidung nach Québec direkt bei den Provinzbehörden.</w:t>
            </w:r>
          </w:p>
        </w:tc>
      </w:tr>
    </w:tbl>
    <w:p>
      <w:pPr>
        <w:pStyle w:val="Normal"/>
        <w:spacing w:lineRule="exact" w:line="220" w:before="0" w:after="0"/>
        <w:rPr/>
      </w:pPr>
      <w:r>
        <w:rPr/>
      </w:r>
      <w:r>
        <w:br w:type="page"/>
      </w:r>
    </w:p>
    <w:p>
      <w:pPr>
        <w:pStyle w:val="Heading2"/>
        <w:keepNext w:val="true"/>
        <w:spacing w:before="0" w:after="300"/>
        <w:jc w:val="center"/>
        <w:rPr/>
      </w:pPr>
      <w:bookmarkStart w:id="159" w:name="__RefHeading___Toc56589_3769931028"/>
      <w:bookmarkStart w:id="160" w:name="tka12"/>
      <w:bookmarkEnd w:id="159"/>
      <w:r>
        <w:rPr>
          <w:rFonts w:eastAsia="Amazon Ember" w:cs="Amazon Ember" w:ascii="Amazon Ember" w:hAnsi="Amazon Ember"/>
          <w:b/>
          <w:bCs/>
          <w:color w:val="0000FF"/>
          <w:sz w:val="36"/>
          <w:szCs w:val="36"/>
        </w:rPr>
        <w:t>Kanada: Freunde finden und der Kulturschock des ersten Winters</w:t>
      </w:r>
      <w:bookmarkEnd w:id="160"/>
    </w:p>
    <w:p>
      <w:pPr>
        <w:pStyle w:val="Normal"/>
        <w:keepNext w:val="false"/>
        <w:keepLines w:val="false"/>
        <w:spacing w:lineRule="exact" w:line="288" w:before="0" w:after="140"/>
        <w:jc w:val="left"/>
        <w:rPr/>
      </w:pPr>
      <w:r>
        <w:rPr>
          <w:rFonts w:eastAsia="Cambria" w:cs="Cambria"/>
          <w:b w:val="false"/>
          <w:bCs w:val="false"/>
          <w:i w:val="false"/>
          <w:iCs w:val="false"/>
          <w:sz w:val="22"/>
          <w:szCs w:val="22"/>
        </w:rPr>
        <w:t>Im Gedränge der Straßenbahn in Toronto rempelt dich jemand an – und entschuldigt sich, noch bevor du selbst reagieren kannst. Du murmelst reflexhaft ein „Sorry“ zurück, obwohl du der Angerempelte warst, und lernst damit in der ersten Woche die vielleicht wichtigste Regel des kanadischen Alltags: Höflichkeit ist hier kein Zufall, sondern Reflex. Die gute Nachricht: Das macht den ersten Kontakt bemerkenswert leicht. Die schlechte: Es sagt dir noch nichts darüber, wann aus dem freundlichen „Sorry“ wirklich eine Einladung wird – und wie du den ersten kanadischen Winter übersteht, ohne dabei den Anschluss an dein altes Leben zu verlieren.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Kanadische Freundlichkeit ist echt, aber keine automatische Einladung zu echter Nähe; die erste Tür öffnet sich leicht, der Rest braucht Wiederholung.</w:t>
            </w:r>
          </w:p>
          <w:p>
            <w:pPr>
              <w:pStyle w:val="ListParagraph"/>
              <w:numPr>
                <w:ilvl w:val="0"/>
                <w:numId w:val="1"/>
              </w:numPr>
              <w:spacing w:lineRule="exact" w:line="264" w:before="0" w:after="50"/>
              <w:rPr/>
            </w:pPr>
            <w:r>
              <w:rPr>
                <w:rFonts w:eastAsia="Cambria" w:cs="Cambria"/>
                <w:b w:val="false"/>
                <w:bCs w:val="false"/>
                <w:i w:val="false"/>
                <w:iCs w:val="false"/>
                <w:sz w:val="20"/>
                <w:szCs w:val="20"/>
              </w:rPr>
              <w:t>Eishockey, Curling, Wandern und die kommunale Freizeitverwaltung sind schnelle Wege zu festen Kontakten; ein Vereinswesen im deutschen Sinn gibt es kaum.</w:t>
            </w:r>
          </w:p>
          <w:p>
            <w:pPr>
              <w:pStyle w:val="ListParagraph"/>
              <w:numPr>
                <w:ilvl w:val="0"/>
                <w:numId w:val="1"/>
              </w:numPr>
              <w:spacing w:lineRule="exact" w:line="264" w:before="0" w:after="50"/>
              <w:rPr/>
            </w:pPr>
            <w:r>
              <w:rPr>
                <w:rFonts w:eastAsia="Cambria" w:cs="Cambria"/>
                <w:b w:val="false"/>
                <w:bCs w:val="false"/>
                <w:i w:val="false"/>
                <w:iCs w:val="false"/>
                <w:sz w:val="20"/>
                <w:szCs w:val="20"/>
              </w:rPr>
              <w:t>Deutsche Vertretungen, Goethe-Institute und deutsche Sprachschulen konzentrieren sich auf Toronto, Vancouver, Calgary und Montréal – anderswo bleibt vor allem Eigeninitiative.</w:t>
            </w:r>
          </w:p>
          <w:p>
            <w:pPr>
              <w:pStyle w:val="ListParagraph"/>
              <w:numPr>
                <w:ilvl w:val="0"/>
                <w:numId w:val="1"/>
              </w:numPr>
              <w:spacing w:lineRule="exact" w:line="264" w:before="0" w:after="50"/>
              <w:rPr/>
            </w:pPr>
            <w:r>
              <w:rPr>
                <w:rFonts w:eastAsia="Cambria" w:cs="Cambria"/>
                <w:b w:val="false"/>
                <w:bCs w:val="false"/>
                <w:i w:val="false"/>
                <w:iCs w:val="false"/>
                <w:sz w:val="20"/>
                <w:szCs w:val="20"/>
              </w:rPr>
              <w:t>Wer über Express Entry einwandert, bringt den mitreisenden Partner meist von Anfang an mit vollem Aufenthaltstitel und Arbeitsrecht mit; die eigentliche Hürde liegt oft bei der Berufsanerkennung, nicht beim Visum.</w:t>
            </w:r>
          </w:p>
          <w:p>
            <w:pPr>
              <w:pStyle w:val="ListParagraph"/>
              <w:numPr>
                <w:ilvl w:val="0"/>
                <w:numId w:val="1"/>
              </w:numPr>
              <w:spacing w:lineRule="exact" w:line="264" w:before="0" w:after="50"/>
              <w:rPr/>
            </w:pPr>
            <w:r>
              <w:rPr>
                <w:rFonts w:eastAsia="Cambria" w:cs="Cambria"/>
                <w:b w:val="false"/>
                <w:bCs w:val="false"/>
                <w:i w:val="false"/>
                <w:iCs w:val="false"/>
                <w:sz w:val="20"/>
                <w:szCs w:val="20"/>
              </w:rPr>
              <w:t>Nicht die Entfernung zu Deutschland ist für die meisten Neuankömmlinge der größere Kulturschock, sondern der erste richtige kanadische Winter.</w:t>
            </w:r>
          </w:p>
          <w:p>
            <w:pPr>
              <w:pStyle w:val="ListParagraph"/>
              <w:numPr>
                <w:ilvl w:val="0"/>
                <w:numId w:val="1"/>
              </w:numPr>
              <w:spacing w:lineRule="exact" w:line="264" w:before="0" w:after="50"/>
              <w:rPr/>
            </w:pPr>
            <w:r>
              <w:rPr>
                <w:rFonts w:eastAsia="Cambria" w:cs="Cambria"/>
                <w:b w:val="false"/>
                <w:bCs w:val="false"/>
                <w:i w:val="false"/>
                <w:iCs w:val="false"/>
                <w:sz w:val="20"/>
                <w:szCs w:val="20"/>
              </w:rPr>
              <w:t>Wer isoliert lebt oder ernsthaft belastet ist, findet in Kanada rund um die Uhr erreichbare Hilfe, auch für Jugendliche und auf Französisch.</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t>
      </w:r>
      <w:r>
        <w:rPr>
          <w:rFonts w:eastAsia="Amazon Ember" w:cs="Amazon Ember" w:ascii="Amazon Ember" w:hAnsi="Amazon Ember"/>
          <w:b/>
          <w:bCs/>
          <w:color w:val="0000FF"/>
          <w:sz w:val="36"/>
          <w:szCs w:val="36"/>
        </w:rPr>
        <w:t>Sorry“ und die kanadische Höflichkeit: was das fürs Freundefinden bedeutet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Kanadier seien im Grunde nur noch entspanntere Amerikaner, da habe man erst recht schnell Freunde. Tatsächlich ist der kanadische Kommunikationsstil spürbar indirekter und konfliktscheuer als der deutsche (die Hintergründe dazu, von der „Sorry“-Kultur bis zum Mosaik-Modell, stehen ausführlich im </w:t>
      </w:r>
      <w:hyperlink w:anchor="tka11">
        <w:r>
          <w:rPr>
            <w:rStyle w:val="ListLabel113"/>
            <w:rFonts w:eastAsia="Cambria" w:cs="Cambria"/>
            <w:b w:val="false"/>
            <w:bCs w:val="false"/>
            <w:i w:val="false"/>
            <w:iCs w:val="false"/>
            <w:color w:val="0563C1"/>
            <w:sz w:val="22"/>
            <w:szCs w:val="22"/>
            <w:u w:val="single"/>
          </w:rPr>
          <w:t>Kapitel zur Alltagskultur in diesem Teil</w:t>
        </w:r>
      </w:hyperlink>
      <w:r>
        <w:rPr>
          <w:rFonts w:eastAsia="Cambria" w:cs="Cambria"/>
          <w:b w:val="false"/>
          <w:bCs w:val="false"/>
          <w:i w:val="false"/>
          <w:iCs w:val="false"/>
          <w:sz w:val="22"/>
          <w:szCs w:val="22"/>
        </w:rPr>
        <w:t>). Für die Freundschaftssuche zählt vor allem eine Folge davon: Weil Kritik, Ablehnung und Desinteresse selten offen ausgesprochen werden, brauchst du länger, um zu erkennen, ob ein „We should get together sometime“ ernst gemeint ist oder reine Höflichkeit. Die freundliche Fassade ist echt gemeint, aber sie ist eben zunächst nur das: eine Fassade, keine sofortige Einladung.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freundliches „Sorry“ ist ein Türöffner, keine Einladung ins Wohnzimmer. Nimm die kanadische Freundlichkeit dankbar an, aber miss echte Nähe an Wiederholung, nicht am ersten netten Gespräch.</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Québec gilt dasselbe Prinzip, nur mit einer zusätzlichen sprachlichen Hürde: Wer nach Montréal zieht, braucht für echten Anschluss über die ersten Kontakte hinaus meist konversationsfähiges Französisch, nicht nur für Behördengänge (Details zur Sprachfrage und zu Bill 96 im </w:t>
      </w:r>
      <w:hyperlink w:anchor="tka11">
        <w:r>
          <w:rPr>
            <w:rStyle w:val="ListLabel113"/>
            <w:rFonts w:eastAsia="Cambria" w:cs="Cambria"/>
            <w:b w:val="false"/>
            <w:bCs w:val="false"/>
            <w:i w:val="false"/>
            <w:iCs w:val="false"/>
            <w:color w:val="0563C1"/>
            <w:sz w:val="22"/>
            <w:szCs w:val="22"/>
            <w:u w:val="single"/>
          </w:rPr>
          <w:t>Kapitel zur Alltagskultur in diesem Teil</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Wo du Anschluss findest: Eishockey, Curling, Nachbarschaft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Vereinswesen mit Satzung und Vorstand wie in Deutschland ist in Kanada selten; stattdessen dominieren offene Ligen, Kurse und die kommunale Freizeitverwaltung. Eishockey ist überall präsent, keineswegs nur für Profis: Erwachsenenligen mit lockerem Niveau, sogenannte </w:t>
      </w:r>
      <w:r>
        <w:rPr>
          <w:rFonts w:eastAsia="Cambria" w:cs="Cambria"/>
          <w:b w:val="false"/>
          <w:bCs w:val="false"/>
          <w:i/>
          <w:iCs/>
          <w:sz w:val="22"/>
          <w:szCs w:val="22"/>
        </w:rPr>
        <w:t>Beer Leagues</w:t>
      </w:r>
      <w:r>
        <w:rPr>
          <w:rFonts w:eastAsia="Cambria" w:cs="Cambria"/>
          <w:b w:val="false"/>
          <w:bCs w:val="false"/>
          <w:i w:val="false"/>
          <w:iCs w:val="false"/>
          <w:sz w:val="22"/>
          <w:szCs w:val="22"/>
        </w:rPr>
        <w:t xml:space="preserve"> (Freizeit-Eishockeyligen, benannt nach dem Bier danach, nicht während des Spiels), gibt es in praktisch jeder Stadt mit einer Eishalle, oft über die städtische Freizeitverwaltung organisiert. Wer nie Schlittschuh gelaufen ist, findet ebenso leicht Zugang zu Curling: Curlingclubs bieten fast überall kostenlose oder günstige „Learn to Curl“-Abende für Einsteiger an, und ein </w:t>
      </w:r>
      <w:r>
        <w:rPr>
          <w:rFonts w:eastAsia="Cambria" w:cs="Cambria"/>
          <w:b w:val="false"/>
          <w:bCs w:val="false"/>
          <w:i/>
          <w:iCs/>
          <w:sz w:val="22"/>
          <w:szCs w:val="22"/>
        </w:rPr>
        <w:t>Bonspiel</w:t>
      </w:r>
      <w:r>
        <w:rPr>
          <w:rFonts w:eastAsia="Cambria" w:cs="Cambria"/>
          <w:b w:val="false"/>
          <w:bCs w:val="false"/>
          <w:i w:val="false"/>
          <w:iCs w:val="false"/>
          <w:sz w:val="22"/>
          <w:szCs w:val="22"/>
        </w:rPr>
        <w:t xml:space="preserve"> (ein Curling-Turnier mit ausgiebigem geselligem Rahmenprogramm danach) ist eher gesellschaftliches Ereignis als Hochleistungssport – der Signature-Drink im Clubhaus gehört oft fest dazu.</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Weitere verlässliche Türöffner sind Wander- und Laufgruppen (in Gebirgsregionen etwa Ortsgruppen des Alpine Club of Canada), die kommunalen </w:t>
      </w:r>
      <w:r>
        <w:rPr>
          <w:rFonts w:eastAsia="Cambria" w:cs="Cambria"/>
          <w:b w:val="false"/>
          <w:bCs w:val="false"/>
          <w:i/>
          <w:iCs/>
          <w:sz w:val="22"/>
          <w:szCs w:val="22"/>
        </w:rPr>
        <w:t>Community Centres</w:t>
      </w:r>
      <w:r>
        <w:rPr>
          <w:rFonts w:eastAsia="Cambria" w:cs="Cambria"/>
          <w:b w:val="false"/>
          <w:bCs w:val="false"/>
          <w:i w:val="false"/>
          <w:iCs w:val="false"/>
          <w:sz w:val="22"/>
          <w:szCs w:val="22"/>
        </w:rPr>
        <w:t xml:space="preserve"> (kommunale Freizeitzentren mit Schwimmbad, Fitnessraum, Kursen und Ligen für Erwachsene, vergleichbar mit einer Mischung aus Volkshochschule und Sportverein) sowie öffentliche Bibliotheken mit Vorlesestunden, Konversationsrunden und Buchclubs. Nachbarschaftliche Anlässe wie die </w:t>
      </w:r>
      <w:r>
        <w:rPr>
          <w:rFonts w:eastAsia="Cambria" w:cs="Cambria"/>
          <w:b w:val="false"/>
          <w:bCs w:val="false"/>
          <w:i/>
          <w:iCs/>
          <w:sz w:val="22"/>
          <w:szCs w:val="22"/>
        </w:rPr>
        <w:t>Block Party</w:t>
      </w:r>
      <w:r>
        <w:rPr>
          <w:rFonts w:eastAsia="Cambria" w:cs="Cambria"/>
          <w:b w:val="false"/>
          <w:bCs w:val="false"/>
          <w:i w:val="false"/>
          <w:iCs w:val="false"/>
          <w:sz w:val="22"/>
          <w:szCs w:val="22"/>
        </w:rPr>
        <w:t xml:space="preserve"> oder Feste rund um den kanadischen Nationalfeiertag (Canada Day, 1. Juli) bieten einen niedrigschwelligen Einstieg; ein kleines Mitbringsel beim ersten Vorstellen („We just moved in next door“) öffnet auch hier mehr Türen als eine Nachricht in der Nachbarschafts-Facebook-Gruppe.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Kinder bleiben der schnellste Weg zu festen Kontakten: Schulsport, Spielplatzverabredungen und der Elternverein der Schule bringen dieselben Eltern Woche für Woche zusammen (mehr dazu im </w:t>
      </w:r>
      <w:hyperlink w:anchor="tka13">
        <w:r>
          <w:rPr>
            <w:rStyle w:val="ListLabel113"/>
            <w:rFonts w:eastAsia="Cambria" w:cs="Cambria"/>
            <w:b w:val="false"/>
            <w:bCs w:val="false"/>
            <w:i w:val="false"/>
            <w:iCs w:val="false"/>
            <w:color w:val="0563C1"/>
            <w:sz w:val="22"/>
            <w:szCs w:val="22"/>
            <w:u w:val="single"/>
          </w:rPr>
          <w:t>Kapitel zu Kindern, Schule und Sprache in diesem Teil</w:t>
        </w:r>
      </w:hyperlink>
      <w:r>
        <w:rPr>
          <w:rFonts w:eastAsia="Cambria" w:cs="Cambria"/>
          <w:b w:val="false"/>
          <w:bCs w:val="false"/>
          <w:i w:val="false"/>
          <w:iCs w:val="false"/>
          <w:sz w:val="22"/>
          <w:szCs w:val="22"/>
        </w:rPr>
        <w:t>). Für Erwachsene ohne Kinder oder festen Sportverein füllen Meetup-Gruppen und lokale Facebook-Gruppen die Lücke, auch wenn Kanada insgesamt etwas kleinere, dafür beständigere Szenen hat als etwa amerikanische Großstädte.</w:t>
      </w:r>
    </w:p>
    <w:tbl>
      <w:tblPr>
        <w:tblW w:w="6480" w:type="dxa"/>
        <w:jc w:val="left"/>
        <w:tblInd w:w="0" w:type="dxa"/>
        <w:tblLayout w:type="fixed"/>
        <w:tblCellMar>
          <w:top w:w="50" w:type="dxa"/>
          <w:left w:w="80" w:type="dxa"/>
          <w:bottom w:w="50" w:type="dxa"/>
          <w:right w:w="80" w:type="dxa"/>
        </w:tblCellMar>
      </w:tblPr>
      <w:tblGrid>
        <w:gridCol w:w="2463"/>
        <w:gridCol w:w="2306"/>
        <w:gridCol w:w="1711"/>
      </w:tblGrid>
      <w:tr>
        <w:trPr>
          <w:tblHeader w:val="true"/>
          <w:cantSplit w:val="true"/>
        </w:trPr>
        <w:tc>
          <w:tcPr>
            <w:tcW w:w="246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Ort</w:t>
            </w:r>
          </w:p>
        </w:tc>
        <w:tc>
          <w:tcPr>
            <w:tcW w:w="230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Passt für</w:t>
            </w:r>
          </w:p>
        </w:tc>
        <w:tc>
          <w:tcPr>
            <w:tcW w:w="171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Tempo</w:t>
            </w:r>
          </w:p>
        </w:tc>
      </w:tr>
      <w:tr>
        <w:trPr>
          <w:cantSplit w:val="true"/>
        </w:trPr>
        <w:tc>
          <w:tcPr>
            <w:tcW w:w="24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Beer League (Eishockey) oder Curlingclub</w:t>
            </w:r>
          </w:p>
        </w:tc>
        <w:tc>
          <w:tcPr>
            <w:tcW w:w="23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Fast alle, auch ohne Vorerfahrung</w:t>
            </w:r>
          </w:p>
        </w:tc>
        <w:tc>
          <w:tcPr>
            <w:tcW w:w="17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Mittel; feste wöchentliche Wiederholung</w:t>
            </w:r>
          </w:p>
        </w:tc>
      </w:tr>
      <w:tr>
        <w:trPr>
          <w:cantSplit w:val="true"/>
        </w:trPr>
        <w:tc>
          <w:tcPr>
            <w:tcW w:w="24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Community Centre (Kurse, Ligen, Schwimmbad)</w:t>
            </w:r>
          </w:p>
        </w:tc>
        <w:tc>
          <w:tcPr>
            <w:tcW w:w="23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Fast alle, günstig</w:t>
            </w:r>
          </w:p>
        </w:tc>
        <w:tc>
          <w:tcPr>
            <w:tcW w:w="17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Mittel</w:t>
            </w:r>
          </w:p>
        </w:tc>
      </w:tr>
      <w:tr>
        <w:trPr>
          <w:cantSplit w:val="true"/>
        </w:trPr>
        <w:tc>
          <w:tcPr>
            <w:tcW w:w="24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Wander- oder Laufgruppe</w:t>
            </w:r>
          </w:p>
        </w:tc>
        <w:tc>
          <w:tcPr>
            <w:tcW w:w="23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Sportlich Interessierte, vor allem in Gebirgsnähe</w:t>
            </w:r>
          </w:p>
        </w:tc>
        <w:tc>
          <w:tcPr>
            <w:tcW w:w="17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Mittel bis schnell</w:t>
            </w:r>
          </w:p>
        </w:tc>
      </w:tr>
      <w:tr>
        <w:trPr>
          <w:cantSplit w:val="true"/>
        </w:trPr>
        <w:tc>
          <w:tcPr>
            <w:tcW w:w="24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Nachbarschaft, Block Party, Canada Day</w:t>
            </w:r>
          </w:p>
        </w:tc>
        <w:tc>
          <w:tcPr>
            <w:tcW w:w="23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Familien, Hausbesitzer, Mieter</w:t>
            </w:r>
          </w:p>
        </w:tc>
        <w:tc>
          <w:tcPr>
            <w:tcW w:w="17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Langsam</w:t>
            </w:r>
          </w:p>
        </w:tc>
      </w:tr>
      <w:tr>
        <w:trPr>
          <w:cantSplit w:val="true"/>
        </w:trPr>
        <w:tc>
          <w:tcPr>
            <w:tcW w:w="24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Schule, Kindersport, Elternverein</w:t>
            </w:r>
          </w:p>
        </w:tc>
        <w:tc>
          <w:tcPr>
            <w:tcW w:w="23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Eltern</w:t>
            </w:r>
          </w:p>
        </w:tc>
        <w:tc>
          <w:tcPr>
            <w:tcW w:w="17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Schnell</w:t>
            </w:r>
          </w:p>
        </w:tc>
      </w:tr>
      <w:tr>
        <w:trPr>
          <w:cantSplit w:val="true"/>
        </w:trPr>
        <w:tc>
          <w:tcPr>
            <w:tcW w:w="24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Meetup, lokale Facebook-Gruppen</w:t>
            </w:r>
          </w:p>
        </w:tc>
        <w:tc>
          <w:tcPr>
            <w:tcW w:w="23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Alleinstehende, Zugezogene</w:t>
            </w:r>
          </w:p>
        </w:tc>
        <w:tc>
          <w:tcPr>
            <w:tcW w:w="17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Kontakt schnell, Freundschaft langsam</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Community Centres verlangen für Erwachsenenkurse und -ligen meist nur einen kleinen Beitrag, „Learn to Curl“-Abende und Bibliotheksprogramme sind häufig ganz kostenlos. Für den Aufbau eines Freundeskreises brauchst du in Kanada kein großes Budget – nur Wiederholung.</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Ahrens (fiktiv) zieht mit Express Entry nach Toronto. Markus meldet sich bei einer Beer League seines Community Centres an, in der ein guter Teil der Mannschaft selbst erst seit wenigen Jahren im Land ist. Julia, die als Apothekerin auf die kanadische Zulassung wartet, beginnt mit einem „Learn to Curl“-Kurs, gemeinsam mit zwei Nachbarinnen, die sie über die Facebook-Gruppe der Straße kennengelernt hat. Nach dem dritten Kursabend verabreden sie sich erstmals auch ohne Eis, zum Kaffee. Finn (11) findet über die Schulmannschaft schneller Anschluss als seine Eltern; Mia (7) über die Nachbarskinder auf dem gemeinsamen Spielplatz der Straße.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Einladungskultur: Potluck, BYOB und ein Erntedankfest im Oktober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Zu Hause eingeladen zu werden, ist ein gutes Zeichen und läuft meist unkompliziert ab. Der </w:t>
      </w:r>
      <w:r>
        <w:rPr>
          <w:rFonts w:eastAsia="Cambria" w:cs="Cambria"/>
          <w:b w:val="false"/>
          <w:bCs w:val="false"/>
          <w:i/>
          <w:iCs/>
          <w:sz w:val="22"/>
          <w:szCs w:val="22"/>
        </w:rPr>
        <w:t>Potluck</w:t>
      </w:r>
      <w:r>
        <w:rPr>
          <w:rFonts w:eastAsia="Cambria" w:cs="Cambria"/>
          <w:b w:val="false"/>
          <w:bCs w:val="false"/>
          <w:i w:val="false"/>
          <w:iCs w:val="false"/>
          <w:sz w:val="22"/>
          <w:szCs w:val="22"/>
        </w:rPr>
        <w:t xml:space="preserve"> (jeder bringt ein Gericht mit) ist auch in Kanada die häufigste Form geselligen Beisammenseins, ob im Büro, in der Nachbarschaft oder bei der Schulklasse; Nachfragen, was noch fehlt, gilt als höflich, nicht als aufdringlich. Bei Grillfesten und lockeren Abenden ist </w:t>
      </w:r>
      <w:r>
        <w:rPr>
          <w:rFonts w:eastAsia="Cambria" w:cs="Cambria"/>
          <w:b w:val="false"/>
          <w:bCs w:val="false"/>
          <w:i/>
          <w:iCs/>
          <w:sz w:val="22"/>
          <w:szCs w:val="22"/>
        </w:rPr>
        <w:t>BYOB</w:t>
      </w:r>
      <w:r>
        <w:rPr>
          <w:rFonts w:eastAsia="Cambria" w:cs="Cambria"/>
          <w:b w:val="false"/>
          <w:bCs w:val="false"/>
          <w:i w:val="false"/>
          <w:iCs w:val="false"/>
          <w:sz w:val="22"/>
          <w:szCs w:val="22"/>
        </w:rPr>
        <w:t xml:space="preserve"> (</w:t>
      </w:r>
      <w:r>
        <w:rPr>
          <w:rFonts w:eastAsia="Cambria" w:cs="Cambria"/>
          <w:b w:val="false"/>
          <w:bCs w:val="false"/>
          <w:i/>
          <w:iCs/>
          <w:sz w:val="22"/>
          <w:szCs w:val="22"/>
        </w:rPr>
        <w:t>Bring Your Own Bottle</w:t>
      </w:r>
      <w:r>
        <w:rPr>
          <w:rFonts w:eastAsia="Cambria" w:cs="Cambria"/>
          <w:b w:val="false"/>
          <w:bCs w:val="false"/>
          <w:i w:val="false"/>
          <w:iCs w:val="false"/>
          <w:sz w:val="22"/>
          <w:szCs w:val="22"/>
        </w:rPr>
        <w:t>, du bringst dein eigenes Getränk mit) verbreitet; sagt der Gastgeber „just bring yourself“, reicht trotzdem eine Kleinigkeit wie Wein oder Dessert. Eine Besonderheit, die viele Neuankömmlinge überrascht: Kanadisches Thanksgiving (Erntedankfest) liegt bereits am zweiten Montag im Oktober, gut sechs Wochen vor dem amerikanischen Pendant im November – wer aus Erzählungen oder Filmen nur die amerikanische Novemberversion kennt, verpasst sonst leicht die erste Einladung der neuen Nachbarn.</w:t>
      </w:r>
    </w:p>
    <w:p>
      <w:pPr>
        <w:pStyle w:val="Heading3"/>
        <w:keepNext w:val="true"/>
        <w:spacing w:before="280" w:after="100"/>
        <w:jc w:val="center"/>
        <w:rPr/>
      </w:pPr>
      <w:r>
        <w:rPr>
          <w:rFonts w:eastAsia="Amazon Ember" w:cs="Amazon Ember" w:ascii="Amazon Ember" w:hAnsi="Amazon Ember"/>
          <w:b/>
          <w:bCs/>
          <w:color w:val="0000FF"/>
          <w:sz w:val="36"/>
          <w:szCs w:val="36"/>
        </w:rPr>
        <w:t>Die deutsche Community: Konsulate, Goethe-Institut, Sprachschulen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direkte Draht zur alten Heimat ist in Kanada regional sehr unterschiedlich dicht. Konsularisch bist du, je nach Provinz, dem Generalkonsulat Toronto, Vancouver oder Montréal zugeordnet oder der Botschaft in Ottawa, die für Privatpersonen keinen eigenen Konsularbezirk führt; in mehreren kleineren Städten vertreten Honorarkonsuln die deutschen Interessen ehrenamtlich. Goethe-Institute gibt es in Toronto, Ottawa und Montréal, mit Sprachkursen, Filmabenden und einem ersten Netzwerk für alle, die Deutsch pflegen oder Englisch beziehungsweise Französisch verbessern wollen.</w:t>
      </w:r>
    </w:p>
    <w:tbl>
      <w:tblPr>
        <w:tblW w:w="6480" w:type="dxa"/>
        <w:jc w:val="left"/>
        <w:tblInd w:w="0" w:type="dxa"/>
        <w:tblLayout w:type="fixed"/>
        <w:tblCellMar>
          <w:top w:w="50" w:type="dxa"/>
          <w:left w:w="80" w:type="dxa"/>
          <w:bottom w:w="50" w:type="dxa"/>
          <w:right w:w="80" w:type="dxa"/>
        </w:tblCellMar>
      </w:tblPr>
      <w:tblGrid>
        <w:gridCol w:w="949"/>
        <w:gridCol w:w="2327"/>
        <w:gridCol w:w="950"/>
        <w:gridCol w:w="2253"/>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Stadt</w:t>
            </w:r>
          </w:p>
        </w:tc>
        <w:tc>
          <w:tcPr>
            <w:tcW w:w="232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Konsularische Vertretung</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Goethe-Institut</w:t>
            </w:r>
          </w:p>
        </w:tc>
        <w:tc>
          <w:tcPr>
            <w:tcW w:w="225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Deutsches Sprachangebot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Toronto</w:t>
            </w:r>
          </w:p>
        </w:tc>
        <w:tc>
          <w:tcPr>
            <w:tcW w:w="23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Generalkonsulat (auch für Ottawa)</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w:t>
            </w:r>
          </w:p>
        </w:tc>
        <w:tc>
          <w:tcPr>
            <w:tcW w:w="22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German International School Toronto (Vorschule bis Klasse 12)</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Vancouver</w:t>
            </w:r>
          </w:p>
        </w:tc>
        <w:tc>
          <w:tcPr>
            <w:tcW w:w="23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Generalkonsulat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 (nicht identifiziert)</w:t>
            </w:r>
          </w:p>
        </w:tc>
        <w:tc>
          <w:tcPr>
            <w:tcW w:w="22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Vancouver Westside German School (Samstagsschule, seit 1992)</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Calgary</w:t>
            </w:r>
          </w:p>
        </w:tc>
        <w:tc>
          <w:tcPr>
            <w:tcW w:w="23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Honorarkonsul</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w:t>
            </w:r>
          </w:p>
        </w:tc>
        <w:tc>
          <w:tcPr>
            <w:tcW w:w="22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Calgary German Language School (Vorschule bis Klasse 12, auch Erwachsenenkurse)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Montréal</w:t>
            </w:r>
          </w:p>
        </w:tc>
        <w:tc>
          <w:tcPr>
            <w:tcW w:w="23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Generalkonsulat (seit 1893)</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w:t>
            </w:r>
          </w:p>
        </w:tc>
        <w:tc>
          <w:tcPr>
            <w:tcW w:w="22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Alexander-von-Humboldt-Schule (Baie-d’Urfé)</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Ottawa</w:t>
            </w:r>
          </w:p>
        </w:tc>
        <w:tc>
          <w:tcPr>
            <w:tcW w:w="23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Sitz der Botschaft (kein eigenes Konsulat für Privatpersonen)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w:t>
            </w:r>
          </w:p>
        </w:tc>
        <w:tc>
          <w:tcPr>
            <w:tcW w:w="22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Weitere deutschsprachige Sprachschulen gibt es unter anderem in Surrey, Victoria, Comox Valley, Regina und Saskatoon; ob eine Gruppe in deiner Zielstadt aktiv ist, findest du am schnellsten über eine Suche nach „Germans in“ plus Stadtname bei Meetup und Facebook, sowie über die deutschsprachigen evangelischen und katholischen Auslandsgemeinden, die es in mehreren Großstädten gibt.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deutsche Community ist gemütlich, aber auch eine Blase: Wer nur unter Landsleuten bleibt, übt kaum Alltagsenglisch (oder -französisch) und lernt das Land selbst kaum kennen. Plane bewusst ein, dass mindestens die Hälfte deiner festen Termine unter Englisch- oder Französischsprachigen stattfindet.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Wenn ein Partner neu anfängt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struktureller Unterschied zu manchen anderen Zielländern: Wer über </w:t>
      </w:r>
      <w:r>
        <w:rPr>
          <w:rFonts w:eastAsia="Cambria" w:cs="Cambria"/>
          <w:b w:val="false"/>
          <w:bCs w:val="false"/>
          <w:i/>
          <w:iCs/>
          <w:sz w:val="22"/>
          <w:szCs w:val="22"/>
        </w:rPr>
        <w:t>Express Entry</w:t>
      </w:r>
      <w:r>
        <w:rPr>
          <w:rFonts w:eastAsia="Cambria" w:cs="Cambria"/>
          <w:b w:val="false"/>
          <w:bCs w:val="false"/>
          <w:i w:val="false"/>
          <w:iCs w:val="false"/>
          <w:sz w:val="22"/>
          <w:szCs w:val="22"/>
        </w:rPr>
        <w:t xml:space="preserve"> (das kanadische Punktesystem-Verfahren für Fachkräfte) einwandert, bekommt die unbefristete Aufenthaltserlaubnis (</w:t>
      </w:r>
      <w:r>
        <w:rPr>
          <w:rFonts w:eastAsia="Cambria" w:cs="Cambria"/>
          <w:b w:val="false"/>
          <w:bCs w:val="false"/>
          <w:i/>
          <w:iCs/>
          <w:sz w:val="22"/>
          <w:szCs w:val="22"/>
        </w:rPr>
        <w:t>Permanent Residence</w:t>
      </w:r>
      <w:r>
        <w:rPr>
          <w:rFonts w:eastAsia="Cambria" w:cs="Cambria"/>
          <w:b w:val="false"/>
          <w:bCs w:val="false"/>
          <w:i w:val="false"/>
          <w:iCs w:val="false"/>
          <w:sz w:val="22"/>
          <w:szCs w:val="22"/>
        </w:rPr>
        <w:t xml:space="preserve">) meist gemeinsam mit dem mitreisenden Ehepartner – Julia Ahrens hat damit von Tag eins an dieselben Rechte wie Markus, einschließlich uneingeschränkter Arbeitserlaubnis. Das nimmt zumindest den rechtlichen Druck aus der Situation, den manche Leser dieses Buches aus anderen Programmen kennen. Bei einem </w:t>
      </w:r>
      <w:r>
        <w:rPr>
          <w:rFonts w:eastAsia="Cambria" w:cs="Cambria"/>
          <w:b w:val="false"/>
          <w:bCs w:val="false"/>
          <w:i/>
          <w:iCs/>
          <w:sz w:val="22"/>
          <w:szCs w:val="22"/>
        </w:rPr>
        <w:t>Employer-Sponsored Work Permit</w:t>
      </w:r>
      <w:r>
        <w:rPr>
          <w:rFonts w:eastAsia="Cambria" w:cs="Cambria"/>
          <w:b w:val="false"/>
          <w:bCs w:val="false"/>
          <w:i w:val="false"/>
          <w:iCs w:val="false"/>
          <w:sz w:val="22"/>
          <w:szCs w:val="22"/>
        </w:rPr>
        <w:t xml:space="preserve"> mit </w:t>
      </w:r>
      <w:r>
        <w:rPr>
          <w:rFonts w:eastAsia="Cambria" w:cs="Cambria"/>
          <w:b w:val="false"/>
          <w:bCs w:val="false"/>
          <w:i/>
          <w:iCs/>
          <w:sz w:val="22"/>
          <w:szCs w:val="22"/>
        </w:rPr>
        <w:t>LMIA</w:t>
      </w:r>
      <w:r>
        <w:rPr>
          <w:rFonts w:eastAsia="Cambria" w:cs="Cambria"/>
          <w:b w:val="false"/>
          <w:bCs w:val="false"/>
          <w:i w:val="false"/>
          <w:iCs w:val="false"/>
          <w:sz w:val="22"/>
          <w:szCs w:val="22"/>
        </w:rPr>
        <w:t xml:space="preserve"> (</w:t>
      </w:r>
      <w:r>
        <w:rPr>
          <w:rFonts w:eastAsia="Cambria" w:cs="Cambria"/>
          <w:b w:val="false"/>
          <w:bCs w:val="false"/>
          <w:i/>
          <w:iCs/>
          <w:sz w:val="22"/>
          <w:szCs w:val="22"/>
        </w:rPr>
        <w:t>Labour Market Impact Assessment</w:t>
      </w:r>
      <w:r>
        <w:rPr>
          <w:rFonts w:eastAsia="Cambria" w:cs="Cambria"/>
          <w:b w:val="false"/>
          <w:bCs w:val="false"/>
          <w:i w:val="false"/>
          <w:iCs w:val="false"/>
          <w:sz w:val="22"/>
          <w:szCs w:val="22"/>
        </w:rPr>
        <w:t xml:space="preserve">, der arbeitsmarktbezogenen Vorprüfung, die der kanadische Arbeitgeber für die Anstellung durchlaufen muss) – dem Weg von Lukas Berger nach Calgary – gilt das nicht automatisch: Ob der mitreisende Partner einen eigenen, offenen </w:t>
      </w:r>
      <w:r>
        <w:rPr>
          <w:rFonts w:eastAsia="Cambria" w:cs="Cambria"/>
          <w:b w:val="false"/>
          <w:bCs w:val="false"/>
          <w:i/>
          <w:iCs/>
          <w:sz w:val="22"/>
          <w:szCs w:val="22"/>
        </w:rPr>
        <w:t>Open Work Permit</w:t>
      </w:r>
      <w:r>
        <w:rPr>
          <w:rFonts w:eastAsia="Cambria" w:cs="Cambria"/>
          <w:b w:val="false"/>
          <w:bCs w:val="false"/>
          <w:i w:val="false"/>
          <w:iCs w:val="false"/>
          <w:sz w:val="22"/>
          <w:szCs w:val="22"/>
        </w:rPr>
        <w:t xml:space="preserve"> (eine Arbeitserlaubnis ohne Bindung an einen bestimmten Arbeitgeber) erhält, hängt von der Qualifikationsstufe der Stelle und den jeweils aktuellen Einwanderungsregeln ab; diese wurden in den vergangenen Jahren mehrfach angepasst. Prüfe den aktuellen Stand direkt bei IRCC (</w:t>
      </w:r>
      <w:r>
        <w:rPr>
          <w:rFonts w:eastAsia="Cambria" w:cs="Cambria"/>
          <w:b w:val="false"/>
          <w:bCs w:val="false"/>
          <w:i/>
          <w:iCs/>
          <w:sz w:val="22"/>
          <w:szCs w:val="22"/>
        </w:rPr>
        <w:t>Immigration, Refugees and Citizenship Canada</w:t>
      </w:r>
      <w:r>
        <w:rPr>
          <w:rFonts w:eastAsia="Cambria" w:cs="Cambria"/>
          <w:b w:val="false"/>
          <w:bCs w:val="false"/>
          <w:i w:val="false"/>
          <w:iCs w:val="false"/>
          <w:sz w:val="22"/>
          <w:szCs w:val="22"/>
        </w:rPr>
        <w:t>, der kanadischen Einwanderungsbehörde), bevor du fest damit planst.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eigentliche Engpass liegt oft woanders: bei reglementierten Berufen wie Apotheker, Pflegekraft oder Ingenieurin prüft eine provinzielle Zulassungsstelle Ausbildung und Erfahrung, bevor die eigentliche Stellensuche beginnt – bei Julia Ahrens etwa das College of Pharmacists der Provinz Ontario. Diese Prüfung kann Monate dauern, unabhängig vom Aufenthaltstitel.</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Warte mit dem eigenen Netzwerkaufbau nicht, bis die Berufszulassung durchgekommen ist. Wer die Wartemonate isoliert zu Hause verbringt, verstärkt genau die Talsohle, die weiter unten beschrieben wird – ein Kurs, ein Ehrenamt oder ein fester Sporttermin wirken dagegen doppelt: gegen die Einsamkeit und für das spätere berufliche Netzwerk.</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erste kanadische Winter statt der großen Distanz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Anders als bei den anderen Länder-Teilen dieses Buches ist die schiere Entfernung zu Deutschland in Kanada selten das größte Problem. Frankfurt und Toronto trennen rund 6.400 Kilometer Luftlinie, mit Direktflügen (unter anderem Lufthansa, Air Canada, Condor) und einer Flugzeit von etwa acht bis neun Stunden; die Zeitverschiebung liegt bei etwa sechs Stunden, in Calgary und Vancouver bei etwa acht bis neun Stunden, mit leichten Schwankungen, weil Kanada und Deutschland zu unterschiedlichen Terminen zwischen Sommer- und Winterzeit wechseln. Ein Wochenendbesuch ist damit anstrengend, aber tatsächlich möglich – anders als bei einer Zielregion auf der anderen Seite der Erdkugel.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Was viele Neuankömmlinge stattdessen kalt erwischt, ist im Wortsinn der erste richtige Winter. In Toronto und Montréal bedeutet das feuchte Kälte, viel Schnee und gelegentliche Eisstürme; in Calgary wechseln sich Kälteeinbrüche bis −30 °C mit dem </w:t>
      </w:r>
      <w:r>
        <w:rPr>
          <w:rFonts w:eastAsia="Cambria" w:cs="Cambria"/>
          <w:b w:val="false"/>
          <w:bCs w:val="false"/>
          <w:i/>
          <w:iCs/>
          <w:sz w:val="22"/>
          <w:szCs w:val="22"/>
        </w:rPr>
        <w:t>Chinook</w:t>
      </w:r>
      <w:r>
        <w:rPr>
          <w:rFonts w:eastAsia="Cambria" w:cs="Cambria"/>
          <w:b w:val="false"/>
          <w:bCs w:val="false"/>
          <w:i w:val="false"/>
          <w:iCs w:val="false"/>
          <w:sz w:val="22"/>
          <w:szCs w:val="22"/>
        </w:rPr>
        <w:t xml:space="preserve"> ab, einem warmen Fallwind von den Rocky Mountains, der die Temperatur binnen weniger Stunden um bis zu 20 °C anheben kann – ein Wetterphänomen, das selbst gestandene Albertaner noch verblüfft, wenn es Mitte Januar plötzlich nach Frühling riecht. Kürzere Tage, mehr Zeit drinnen und ein noch dünner Freundeskreis verstärken sich in diesen ersten Monaten gegenseitig.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Verlauf folgt dabei einem bekannten Muster: einer Anfangseuphorie folgt meist zwischen dem dritten und sechsten Monat eine Talsohle aus Erschöpfung, Reizbarkeit und Zweifeln an der ganzen Entscheidung, bevor sich der Alltag ab etwa einem halben bis einem Jahr normalisiert. Dieser erste Winter fällt in vielen Fällen genau in diese kritische Phase – eine unglückliche, aber vorhersehbare Überschneidung.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erste Winter ist zeitlich begrenzt, so unwahrscheinlich sich das im Februar anfühlt. Er ist kein Beweis, dass die Entscheidung für Kanada falsch war, sondern der vorhersehbare Tiefpunkt einer Kurve, die danach wieder nach oben zeigt.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Wenn Heimweh bleibt: Hilfe finden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Heimweh und ein hartes erstes Jahr sind normal; professionelle Unterstützung ist sinnvoll, wenn anhaltende Traurigkeit, Schlafprobleme, Rückzug von Familie und den wenigen neuen Kontakten oder ein deutlich schlechteres Funktionieren im Alltag über mehrere Wochen fast täglich auftreten. Viele Arbeitgeber bieten, wie in den USA, ein </w:t>
      </w:r>
      <w:r>
        <w:rPr>
          <w:rFonts w:eastAsia="Cambria" w:cs="Cambria"/>
          <w:b w:val="false"/>
          <w:bCs w:val="false"/>
          <w:i/>
          <w:iCs/>
          <w:sz w:val="22"/>
          <w:szCs w:val="22"/>
        </w:rPr>
        <w:t>Employee Assistance Program</w:t>
      </w:r>
      <w:r>
        <w:rPr>
          <w:rFonts w:eastAsia="Cambria" w:cs="Cambria"/>
          <w:b w:val="false"/>
          <w:bCs w:val="false"/>
          <w:i w:val="false"/>
          <w:iCs w:val="false"/>
          <w:sz w:val="22"/>
          <w:szCs w:val="22"/>
        </w:rPr>
        <w:t xml:space="preserve"> (EAP, ein betriebliches Beratungs- und Vermittlungsprogramm mit meist mehreren kostenlosen Sitzungen pro Jahr) an; frage gezielt danach, auch für mitversicherte Angehörige. Deutschsprachige Therapeutinnen und Therapeuten findest du über internationale Verzeichnisse wie Psychology Today, viele davon per Videositzung erreichbar, sofern sie in deiner Provinz zugelassen sind.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akute Krisen ist die </w:t>
      </w:r>
      <w:r>
        <w:rPr>
          <w:rFonts w:eastAsia="Cambria" w:cs="Cambria"/>
          <w:b w:val="false"/>
          <w:bCs w:val="false"/>
          <w:i/>
          <w:iCs/>
          <w:sz w:val="22"/>
          <w:szCs w:val="22"/>
        </w:rPr>
        <w:t>9-8-8: Suicide Crisis Helpline</w:t>
      </w:r>
      <w:r>
        <w:rPr>
          <w:rFonts w:eastAsia="Cambria" w:cs="Cambria"/>
          <w:b w:val="false"/>
          <w:bCs w:val="false"/>
          <w:i w:val="false"/>
          <w:iCs w:val="false"/>
          <w:sz w:val="22"/>
          <w:szCs w:val="22"/>
        </w:rPr>
        <w:t xml:space="preserve"> seit dem 30. November 2023 landesweit rund um die Uhr per Anruf oder Textnachricht erreichbar, kostenlos, auf Englisch und Französisch. Für Kinder und Jugendliche steht zusätzlich Kids Help Phone bereit: Anruf oder eine Textnachricht mit „CONNECT“ an 686868 verbindet rund um die Uhr mit einer geschulten, freiwilligen Ansprechperson, ganz ohne Datentarif oder App. Bei unmittelbarer Gefahr wählst du wie überall in Kanada 911.</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Bei akuten Gedanken, sich selbst oder anderen etwas anzutun, wartest du nicht ab. Ruf oder schreib sofort 9-8-8, oder wähle bei unmittelbarer Gefahr 911. Die deutsche Auslandsvertretung ist keine Krisenhotline, hilft aber in echten Notlagen rund um die Uhr weiter.</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Lukas Berger (fiktiv) verbringt seinen ersten Calgary-Winter allein in einer möblierten Mietwohnung, ohne die Familie und die alten Kumpels aus Hannover. Im Januar, nach mehreren Tagen mit −25 °C, sagt er zwei Verabredungen ab, weil ihm draußen schlicht zu kalt ist, und merkt danach, wie leer sein Kalender plötzlich aussieht. Er meldet sich bei einer Beer League seines Community Centres an, weil dort wenigstens dienstags ein fester Termin steht, egal wie das Wetter ist. Als eine Chinook-Wetterlage die Temperatur binnen eines Tages von −22 °C auf 8 °C hebt, geht er mit zwei neuen Mannschaftskollegen spontan draußen laufen – der erste Abend, an dem sich Calgary nicht mehr fremd anfühlt.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Kontakt zu Fremden gelingt schnell; Höflichkeit senkt die Hemmschwelle für den ersten Schritt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Freundlichkeit sagt wenig über echte Nähe aus; Kritik und Ablehnung bleiben oft unausgesprochen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Eishockey, Curling und Community Centres bieten günstigen, verlässlichen Anschluss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Vereinswesen im deutschen Sinn gibt es kaum; du musst selbst aktiv werden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Express Entry gibt vielen mitreisenden Partnern von Anfang an volle Arbeitsrechte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Berufsanerkennung bei reglementierten Berufen kann trotzdem Monate dauern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Community in Toronto, Vancouver, Calgary und Montréal gut organisiert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Anderswo kaum deutsche Infrastruktur; Eigeninitiative bleibt Pflicht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Direktflüge und moderate Zeitverschiebung machen Heimatbesuche realistisch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 erste Winter trifft oft genau in die kritischste Kulturschock-Phase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Hilfe (988, Kids Help Phone, EAP) ist rund um die Uhr erreichbar, auch auf Französisch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Deutschsprachige Angebote sind dünner gesät als in Deutschland</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Wähle vor dem Umzug einen Sport oder ein Community Centre deiner Zielstadt aus, tritt den passenden Online-Gruppen bei und plane für den ersten Winter bewusst feste Termine ein, die nicht am Wetter hängen. Kläre für den mitreisenden Partner früh, ob eine Berufszulassung nötig ist, und beginne diesen Prozess parallel zum eigenen Ankommen, nicht danach.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dem Umzug ein Community Centre, eine Beer League, einen Curlingclub oder eine Wandergruppe der Zielstadt recherchiert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Facebook- und Meetup-Gruppen „Germans in [Stadt]“ gesucht und beigetreten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Zuständiges Generalkonsulat oder Honorarkonsulat sowie nächstes Goethe-Institut notiert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Für den mitreisenden Partner geprüft: volle Arbeitserlaubnis von Anfang an oder Antrag auf Open Work Permit nötig?</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reglementiertem Beruf des Partners die zuständige provinzielle Zulassungsstelle frühzeitig kontaktiert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Festen Wochentermin für Kontakt nach Deutschland trotz Zeitverschiebung vereinbart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Für den ersten Winter mindestens zwei feste Termine außerhalb der Wohnung eingeplant, die nicht vom Wetter abhängen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9-8-8 sowie, bei Kindern und Jugendlichen, Kids Help Phone (Text „CONNECT“ an 686868) gespeichert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Vorgenommen, mindestens die Hälfte der festen Termine unter Englisch- oder Französischsprachigen zu verbringen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Deutsche Auslandsvertretungen in Kanada — Zuständigkeiten, Kontakt (</w:t>
      </w:r>
      <w:hyperlink r:id="rId613">
        <w:r>
          <w:rPr>
            <w:rStyle w:val="ListLabel113"/>
            <w:rFonts w:eastAsia="Cambria" w:cs="Cambria"/>
            <w:b w:val="false"/>
            <w:bCs w:val="false"/>
            <w:i w:val="false"/>
            <w:iCs w:val="false"/>
            <w:color w:val="0563C1"/>
            <w:sz w:val="22"/>
            <w:szCs w:val="22"/>
            <w:u w:val="single"/>
          </w:rPr>
          <w:t>kanada.diplo.de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Goethe-Institut Kanada — Standorte Toronto, Ottawa, Montréal (</w:t>
      </w:r>
      <w:hyperlink r:id="rId614">
        <w:r>
          <w:rPr>
            <w:rStyle w:val="ListLabel113"/>
            <w:rFonts w:eastAsia="Cambria" w:cs="Cambria"/>
            <w:b w:val="false"/>
            <w:bCs w:val="false"/>
            <w:i w:val="false"/>
            <w:iCs w:val="false"/>
            <w:color w:val="0563C1"/>
            <w:sz w:val="22"/>
            <w:szCs w:val="22"/>
            <w:u w:val="single"/>
          </w:rPr>
          <w:t>goethe.de/ins/ca</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9-8-8: Suicide Crisis Helpline — Krisenhilfe rund um die Uhr (</w:t>
      </w:r>
      <w:hyperlink r:id="rId615">
        <w:r>
          <w:rPr>
            <w:rStyle w:val="ListLabel113"/>
            <w:rFonts w:eastAsia="Cambria" w:cs="Cambria"/>
            <w:b w:val="false"/>
            <w:bCs w:val="false"/>
            <w:i w:val="false"/>
            <w:iCs w:val="false"/>
            <w:color w:val="0563C1"/>
            <w:sz w:val="22"/>
            <w:szCs w:val="22"/>
            <w:u w:val="single"/>
          </w:rPr>
          <w:t>988.ca</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Kids Help Phone — Hilfe für Kinder und Jugendliche (</w:t>
      </w:r>
      <w:hyperlink r:id="rId616">
        <w:r>
          <w:rPr>
            <w:rStyle w:val="ListLabel113"/>
            <w:rFonts w:eastAsia="Cambria" w:cs="Cambria"/>
            <w:b w:val="false"/>
            <w:bCs w:val="false"/>
            <w:i w:val="false"/>
            <w:iCs w:val="false"/>
            <w:color w:val="0563C1"/>
            <w:sz w:val="22"/>
            <w:szCs w:val="22"/>
            <w:u w:val="single"/>
          </w:rPr>
          <w:t>kidshelpphone.ca</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Refugees and Citizenship Canada (IRCC) — Regeln zu Open Work Permits für Partner (</w:t>
      </w:r>
      <w:hyperlink r:id="rId617">
        <w:r>
          <w:rPr>
            <w:rStyle w:val="ListLabel113"/>
            <w:rFonts w:eastAsia="Cambria" w:cs="Cambria"/>
            <w:b w:val="false"/>
            <w:bCs w:val="false"/>
            <w:i w:val="false"/>
            <w:iCs w:val="false"/>
            <w:color w:val="0563C1"/>
            <w:sz w:val="22"/>
            <w:szCs w:val="22"/>
            <w:u w:val="single"/>
          </w:rPr>
          <w:t>canada.ca</w:t>
        </w:r>
      </w:hyperlink>
      <w:r>
        <w:rPr>
          <w:rFonts w:eastAsia="Cambria" w:cs="Cambria"/>
          <w:b w:val="false"/>
          <w:bCs w:val="false"/>
          <w:i w:val="false"/>
          <w:iCs w:val="false"/>
          <w:sz w:val="22"/>
          <w:szCs w:val="22"/>
        </w:rPr>
        <w:t>, Suche: open work permit spouse)</w:t>
      </w:r>
    </w:p>
    <w:p>
      <w:pPr>
        <w:pStyle w:val="ListParagraph"/>
        <w:numPr>
          <w:ilvl w:val="0"/>
          <w:numId w:val="1"/>
        </w:numPr>
        <w:spacing w:lineRule="exact" w:line="288" w:before="0" w:after="60"/>
        <w:rPr/>
      </w:pPr>
      <w:r>
        <w:rPr>
          <w:rFonts w:eastAsia="Cambria" w:cs="Cambria"/>
          <w:b w:val="false"/>
          <w:bCs w:val="false"/>
          <w:i w:val="false"/>
          <w:iCs w:val="false"/>
          <w:sz w:val="22"/>
          <w:szCs w:val="22"/>
        </w:rPr>
        <w:t>Vancouver Westside German School und Calgary German Language School — deutsche Sprachschulen vor Ort (</w:t>
      </w:r>
      <w:hyperlink r:id="rId618">
        <w:r>
          <w:rPr>
            <w:rStyle w:val="ListLabel113"/>
            <w:rFonts w:eastAsia="Cambria" w:cs="Cambria"/>
            <w:b w:val="false"/>
            <w:bCs w:val="false"/>
            <w:i w:val="false"/>
            <w:iCs w:val="false"/>
            <w:color w:val="0563C1"/>
            <w:sz w:val="22"/>
            <w:szCs w:val="22"/>
            <w:u w:val="single"/>
          </w:rPr>
          <w:t>vwgs.org</w:t>
        </w:r>
      </w:hyperlink>
      <w:r>
        <w:rPr>
          <w:rFonts w:eastAsia="Cambria" w:cs="Cambria"/>
          <w:b w:val="false"/>
          <w:bCs w:val="false"/>
          <w:i w:val="false"/>
          <w:iCs w:val="false"/>
          <w:sz w:val="22"/>
          <w:szCs w:val="22"/>
        </w:rPr>
        <w:t xml:space="preserve">, </w:t>
      </w:r>
      <w:hyperlink r:id="rId619">
        <w:r>
          <w:rPr>
            <w:rStyle w:val="ListLabel113"/>
            <w:rFonts w:eastAsia="Cambria" w:cs="Cambria"/>
            <w:b w:val="false"/>
            <w:bCs w:val="false"/>
            <w:i w:val="false"/>
            <w:iCs w:val="false"/>
            <w:color w:val="0563C1"/>
            <w:sz w:val="22"/>
            <w:szCs w:val="22"/>
            <w:u w:val="single"/>
          </w:rPr>
          <w:t>calgarygermanschool.com</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schnell: Zuständigkeiten von Konsulaten und Goethe-Instituten, Flugverbindungen und -preise, die Regeln zu Open Work Permits für Partner sowie Kontaktdaten von Hilfsangeboten. Prüfe vor jeder Entscheidung die aktuellen Angaben der genannten Stellen.</w:t>
            </w:r>
          </w:p>
        </w:tc>
      </w:tr>
    </w:tbl>
    <w:p>
      <w:pPr>
        <w:pStyle w:val="Normal"/>
        <w:spacing w:lineRule="exact" w:line="220" w:before="0" w:after="0"/>
        <w:rPr/>
      </w:pPr>
      <w:r>
        <w:rPr/>
      </w:r>
      <w:r>
        <w:br w:type="page"/>
      </w:r>
    </w:p>
    <w:p>
      <w:pPr>
        <w:pStyle w:val="Heading2"/>
        <w:keepNext w:val="true"/>
        <w:spacing w:before="0" w:after="300"/>
        <w:jc w:val="center"/>
        <w:rPr/>
      </w:pPr>
      <w:bookmarkStart w:id="161" w:name="__RefHeading___Toc56591_3769931028"/>
      <w:bookmarkStart w:id="162" w:name="tka13"/>
      <w:bookmarkEnd w:id="161"/>
      <w:r>
        <w:rPr>
          <w:rFonts w:eastAsia="Amazon Ember" w:cs="Amazon Ember" w:ascii="Amazon Ember" w:hAnsi="Amazon Ember"/>
          <w:b/>
          <w:bCs/>
          <w:color w:val="0000FF"/>
          <w:sz w:val="36"/>
          <w:szCs w:val="36"/>
        </w:rPr>
        <w:t>Kanada: Kinder, Schule und Spracheingewöhnung</w:t>
      </w:r>
      <w:bookmarkEnd w:id="162"/>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Elternabend an Finns neuer Schule in Toronto beginnt mit einer Überraschung, die eigentlich keine sein sollte: Es gibt in Kanada gar kein Bundesbildungsministerium. Wer aus Deutschland kommt, wo die Kulturhoheit der Länder ohnehin vertraut ist, findet sich hier schneller zurecht, als mancher Ratgeber verspricht – nur dass es in Kanada zehn Provinzen und drei Territorien sind, nicht sechzehn Bundesländer, und dass Québec dabei eine ganz eigene Geschichte schreibt, die eigene Fragen aufwirft, bevor die erste Hausaufgabe überhaupt ansteht.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Bildung ist reine Provinzsache; ein einheitliches kanadisches Schulsystem gibt es nicht, auch wenn sich die Grundstruktur stark ähnelt.</w:t>
            </w:r>
          </w:p>
          <w:p>
            <w:pPr>
              <w:pStyle w:val="ListParagraph"/>
              <w:numPr>
                <w:ilvl w:val="0"/>
                <w:numId w:val="1"/>
              </w:numPr>
              <w:spacing w:lineRule="exact" w:line="264" w:before="0" w:after="50"/>
              <w:rPr/>
            </w:pPr>
            <w:r>
              <w:rPr>
                <w:rFonts w:eastAsia="Cambria" w:cs="Cambria"/>
                <w:b w:val="false"/>
                <w:bCs w:val="false"/>
                <w:i w:val="false"/>
                <w:iCs w:val="false"/>
                <w:sz w:val="20"/>
                <w:szCs w:val="20"/>
              </w:rPr>
              <w:t>Der Weg führt meist von einem freiwilligen Vorschuljahr über die Elementary School bis zur Secondary/High School; wo genau die Grenzen liegen, legt jede Provinz selbst fest.</w:t>
            </w:r>
          </w:p>
          <w:p>
            <w:pPr>
              <w:pStyle w:val="ListParagraph"/>
              <w:numPr>
                <w:ilvl w:val="0"/>
                <w:numId w:val="1"/>
              </w:numPr>
              <w:spacing w:lineRule="exact" w:line="264" w:before="0" w:after="50"/>
              <w:rPr/>
            </w:pPr>
            <w:r>
              <w:rPr>
                <w:rFonts w:eastAsia="Cambria" w:cs="Cambria"/>
                <w:b w:val="false"/>
                <w:bCs w:val="false"/>
                <w:i w:val="false"/>
                <w:iCs w:val="false"/>
                <w:sz w:val="20"/>
                <w:szCs w:val="20"/>
              </w:rPr>
              <w:t>Québec ist der große Sonderfall: Französisch ist Pflichtunterrichtssprache für die meisten Kinder, mit engen Ausnahmen für Kinder mit kanadischer Vorbildung auf Englisch.</w:t>
            </w:r>
          </w:p>
          <w:p>
            <w:pPr>
              <w:pStyle w:val="ListParagraph"/>
              <w:numPr>
                <w:ilvl w:val="0"/>
                <w:numId w:val="1"/>
              </w:numPr>
              <w:spacing w:lineRule="exact" w:line="264" w:before="0" w:after="50"/>
              <w:rPr/>
            </w:pPr>
            <w:r>
              <w:rPr>
                <w:rFonts w:eastAsia="Cambria" w:cs="Cambria"/>
                <w:b w:val="false"/>
                <w:bCs w:val="false"/>
                <w:i w:val="false"/>
                <w:iCs w:val="false"/>
                <w:sz w:val="20"/>
                <w:szCs w:val="20"/>
              </w:rPr>
              <w:t>Öffentliche Schulen sind kostenlos und prüfen in der Regel keinen Aufenthaltsstatus, verlangen aber Wohnsitz-, Alters- und Impfnachweise.</w:t>
            </w:r>
          </w:p>
          <w:p>
            <w:pPr>
              <w:pStyle w:val="ListParagraph"/>
              <w:numPr>
                <w:ilvl w:val="0"/>
                <w:numId w:val="1"/>
              </w:numPr>
              <w:spacing w:lineRule="exact" w:line="264" w:before="0" w:after="50"/>
              <w:rPr/>
            </w:pPr>
            <w:r>
              <w:rPr>
                <w:rFonts w:eastAsia="Cambria" w:cs="Cambria"/>
                <w:b w:val="false"/>
                <w:bCs w:val="false"/>
                <w:i w:val="false"/>
                <w:iCs w:val="false"/>
                <w:sz w:val="20"/>
                <w:szCs w:val="20"/>
              </w:rPr>
              <w:t>Sprachförderung (ESL) gehört an kanadischen Schulen zum Alltag, nicht zur Ausnahme – Kinder lernen die neue Sprache meist deutlich schneller als ihre Eltern.</w:t>
            </w:r>
          </w:p>
          <w:p>
            <w:pPr>
              <w:pStyle w:val="ListParagraph"/>
              <w:numPr>
                <w:ilvl w:val="0"/>
                <w:numId w:val="1"/>
              </w:numPr>
              <w:spacing w:lineRule="exact" w:line="264" w:before="0" w:after="50"/>
              <w:rPr/>
            </w:pPr>
            <w:r>
              <w:rPr>
                <w:rFonts w:eastAsia="Cambria" w:cs="Cambria"/>
                <w:b w:val="false"/>
                <w:bCs w:val="false"/>
                <w:i w:val="false"/>
                <w:iCs w:val="false"/>
                <w:sz w:val="20"/>
                <w:szCs w:val="20"/>
              </w:rPr>
              <w:t>Deutsche Schulen und Sprachangebote gibt es vor allem in Toronto, Vancouver, Calgary und Montréal; anderswo bleibt vor allem die eigene Initiative zu Hause.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Aufbau des Systems: zehn Provinzen, ein Grundmuster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Jede Provinz und jedes Territorium führt ein eigenes Bildungsministerium (</w:t>
      </w:r>
      <w:r>
        <w:rPr>
          <w:rFonts w:eastAsia="Cambria" w:cs="Cambria"/>
          <w:b w:val="false"/>
          <w:bCs w:val="false"/>
          <w:i/>
          <w:iCs/>
          <w:sz w:val="22"/>
          <w:szCs w:val="22"/>
        </w:rPr>
        <w:t>Ministry</w:t>
      </w:r>
      <w:r>
        <w:rPr>
          <w:rFonts w:eastAsia="Cambria" w:cs="Cambria"/>
          <w:b w:val="false"/>
          <w:bCs w:val="false"/>
          <w:i w:val="false"/>
          <w:iCs w:val="false"/>
          <w:sz w:val="22"/>
          <w:szCs w:val="22"/>
        </w:rPr>
        <w:t xml:space="preserve"> oder </w:t>
      </w:r>
      <w:r>
        <w:rPr>
          <w:rFonts w:eastAsia="Cambria" w:cs="Cambria"/>
          <w:b w:val="false"/>
          <w:bCs w:val="false"/>
          <w:i/>
          <w:iCs/>
          <w:sz w:val="22"/>
          <w:szCs w:val="22"/>
        </w:rPr>
        <w:t>Department of Education</w:t>
      </w:r>
      <w:r>
        <w:rPr>
          <w:rFonts w:eastAsia="Cambria" w:cs="Cambria"/>
          <w:b w:val="false"/>
          <w:bCs w:val="false"/>
          <w:i w:val="false"/>
          <w:iCs w:val="false"/>
          <w:sz w:val="22"/>
          <w:szCs w:val="22"/>
        </w:rPr>
        <w:t xml:space="preserve">) und überträgt die Umsetzung an lokale </w:t>
      </w:r>
      <w:r>
        <w:rPr>
          <w:rFonts w:eastAsia="Cambria" w:cs="Cambria"/>
          <w:b w:val="false"/>
          <w:bCs w:val="false"/>
          <w:i/>
          <w:iCs/>
          <w:sz w:val="22"/>
          <w:szCs w:val="22"/>
        </w:rPr>
        <w:t>School Boards</w:t>
      </w:r>
      <w:r>
        <w:rPr>
          <w:rFonts w:eastAsia="Cambria" w:cs="Cambria"/>
          <w:b w:val="false"/>
          <w:bCs w:val="false"/>
          <w:i w:val="false"/>
          <w:iCs w:val="false"/>
          <w:sz w:val="22"/>
          <w:szCs w:val="22"/>
        </w:rPr>
        <w:t xml:space="preserve"> (Schulbehörden, mit gewähltem Gremium und eigenem Budget – vergleichbar den deutschen Schulämtern, nur mit mehr eigener Entscheidungsbefugnis). Ein Kind besucht damit nicht „die kanadische Schule“, sondern die Schule seines </w:t>
      </w:r>
      <w:r>
        <w:rPr>
          <w:rFonts w:eastAsia="Cambria" w:cs="Cambria"/>
          <w:b w:val="false"/>
          <w:bCs w:val="false"/>
          <w:i/>
          <w:iCs/>
          <w:sz w:val="22"/>
          <w:szCs w:val="22"/>
        </w:rPr>
        <w:t>School Board</w:t>
      </w:r>
      <w:r>
        <w:rPr>
          <w:rFonts w:eastAsia="Cambria" w:cs="Cambria"/>
          <w:b w:val="false"/>
          <w:bCs w:val="false"/>
          <w:i w:val="false"/>
          <w:iCs w:val="false"/>
          <w:sz w:val="22"/>
          <w:szCs w:val="22"/>
        </w:rPr>
        <w:t>, und dessen Regeln zu Einschulungsalter, Notenskala und Lehrplan können sich vom Nachbardistrikt spürbar unterscheiden.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Trotz der föderalen Vielfalt ähnelt sich der Grundaufbau landesweit: einem freiwilligen, aber verbreiteten Vorschuljahr folgt die </w:t>
      </w:r>
      <w:r>
        <w:rPr>
          <w:rFonts w:eastAsia="Cambria" w:cs="Cambria"/>
          <w:b w:val="false"/>
          <w:bCs w:val="false"/>
          <w:i/>
          <w:iCs/>
          <w:sz w:val="22"/>
          <w:szCs w:val="22"/>
        </w:rPr>
        <w:t>Elementary School</w:t>
      </w:r>
      <w:r>
        <w:rPr>
          <w:rFonts w:eastAsia="Cambria" w:cs="Cambria"/>
          <w:b w:val="false"/>
          <w:bCs w:val="false"/>
          <w:i w:val="false"/>
          <w:iCs w:val="false"/>
          <w:sz w:val="22"/>
          <w:szCs w:val="22"/>
        </w:rPr>
        <w:t xml:space="preserve"> (Grundschule, meist bis Grade 6, in manchen Provinzen bis Grade 7 oder 8) und danach die </w:t>
      </w:r>
      <w:r>
        <w:rPr>
          <w:rFonts w:eastAsia="Cambria" w:cs="Cambria"/>
          <w:b w:val="false"/>
          <w:bCs w:val="false"/>
          <w:i/>
          <w:iCs/>
          <w:sz w:val="22"/>
          <w:szCs w:val="22"/>
        </w:rPr>
        <w:t>Secondary School</w:t>
      </w:r>
      <w:r>
        <w:rPr>
          <w:rFonts w:eastAsia="Cambria" w:cs="Cambria"/>
          <w:b w:val="false"/>
          <w:bCs w:val="false"/>
          <w:i w:val="false"/>
          <w:iCs w:val="false"/>
          <w:sz w:val="22"/>
          <w:szCs w:val="22"/>
        </w:rPr>
        <w:t xml:space="preserve"> oder </w:t>
      </w:r>
      <w:r>
        <w:rPr>
          <w:rFonts w:eastAsia="Cambria" w:cs="Cambria"/>
          <w:b w:val="false"/>
          <w:bCs w:val="false"/>
          <w:i/>
          <w:iCs/>
          <w:sz w:val="22"/>
          <w:szCs w:val="22"/>
        </w:rPr>
        <w:t>High School</w:t>
      </w:r>
      <w:r>
        <w:rPr>
          <w:rFonts w:eastAsia="Cambria" w:cs="Cambria"/>
          <w:b w:val="false"/>
          <w:bCs w:val="false"/>
          <w:i w:val="false"/>
          <w:iCs w:val="false"/>
          <w:sz w:val="22"/>
          <w:szCs w:val="22"/>
        </w:rPr>
        <w:t xml:space="preserve"> (meist Grade 9 bis 12). Ontario geht beim Vorschuljahr weiter als die meisten anderen Provinzen: Dort ist die zweijährige, ganztägige </w:t>
      </w:r>
      <w:r>
        <w:rPr>
          <w:rFonts w:eastAsia="Cambria" w:cs="Cambria"/>
          <w:b w:val="false"/>
          <w:bCs w:val="false"/>
          <w:i/>
          <w:iCs/>
          <w:sz w:val="22"/>
          <w:szCs w:val="22"/>
        </w:rPr>
        <w:t>Junior Kindergarten/Senior Kindergarten</w:t>
      </w:r>
      <w:r>
        <w:rPr>
          <w:rFonts w:eastAsia="Cambria" w:cs="Cambria"/>
          <w:b w:val="false"/>
          <w:bCs w:val="false"/>
          <w:i w:val="false"/>
          <w:iCs w:val="false"/>
          <w:sz w:val="22"/>
          <w:szCs w:val="22"/>
        </w:rPr>
        <w:t xml:space="preserve"> (JK/SK) für Vier- und Fünfjährige Teil des öffentlichen Schulsystems und kostenlos, während anderswo in Kanada ein einziges, oft nur halbtägiges Kindergartenjahr üblich ist. Die Schulpflicht beginnt je nach Provinz zwischen fünf und sieben Jahren und endet zwischen 16 und 18 Jahren; auch das Schuljahresende (meist Ende Juni) und der Beginn (meist unmittelbar nach dem </w:t>
      </w:r>
      <w:r>
        <w:rPr>
          <w:rFonts w:eastAsia="Cambria" w:cs="Cambria"/>
          <w:b w:val="false"/>
          <w:bCs w:val="false"/>
          <w:i/>
          <w:iCs/>
          <w:sz w:val="22"/>
          <w:szCs w:val="22"/>
        </w:rPr>
        <w:t>Labour Day</w:t>
      </w:r>
      <w:r>
        <w:rPr>
          <w:rFonts w:eastAsia="Cambria" w:cs="Cambria"/>
          <w:b w:val="false"/>
          <w:bCs w:val="false"/>
          <w:i w:val="false"/>
          <w:iCs w:val="false"/>
          <w:sz w:val="22"/>
          <w:szCs w:val="22"/>
        </w:rPr>
        <w:t>, dem ersten Montag im September) liegen näher an Deutschland als an manch anderem Zielland dieses Buches.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Vergiss die Suche nach „der einen kanadischen Schulordnung“. Wichtiger ist der Stichtag und die Einstufungspraxis des zuständigen School Boards am Zielort – frag dort direkt nach, statt dich auf allgemeine Ratgeber zu verlassen.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Zum Abschluss vergibt jede Provinz ihr eigenes Zeugnis (etwa das </w:t>
      </w:r>
      <w:r>
        <w:rPr>
          <w:rFonts w:eastAsia="Cambria" w:cs="Cambria"/>
          <w:b w:val="false"/>
          <w:bCs w:val="false"/>
          <w:i/>
          <w:iCs/>
          <w:sz w:val="22"/>
          <w:szCs w:val="22"/>
        </w:rPr>
        <w:t>Ontario Secondary School Diploma</w:t>
      </w:r>
      <w:r>
        <w:rPr>
          <w:rFonts w:eastAsia="Cambria" w:cs="Cambria"/>
          <w:b w:val="false"/>
          <w:bCs w:val="false"/>
          <w:i w:val="false"/>
          <w:iCs w:val="false"/>
          <w:sz w:val="22"/>
          <w:szCs w:val="22"/>
        </w:rPr>
        <w:t>, OSSD, mit einer Mindestzahl an Kurspunkten, einem Lese- und Schreibtest sowie einer Pflicht zu ehrenamtlichen Stunden); ein bundesweit einheitliches Abschlusszeugnis wie ein Abitur gibt es nicht. Notenskalen unterscheiden sich ebenfalls: Manche Provinzen arbeiten mit Prozentwerten, andere mit Buchstaben oder einer Mischung aus beidem – frage die Zielschule direkt, wie sie bewertet.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Standardisierte Tests gibt es, anders als in den USA, nicht bundesweit, sondern je Provinz: Ontario etwa testet über die Prüfungsbehörde EQAO Lesen, Schreiben und Mathematik in bestimmten Klassenstufen, andere Provinzen nutzen eigene Verfahren oder verzichten weitgehend darauf. Die Ergebnisse dienen meist dem Vergleich zwischen Schulen, seltener der Versetzung des einzelnen Kindes; für neu zugewanderte Kinder gelten in den ersten Jahren häufig Sonderregeln oder Rücksichtnahmen bei der Auswertung.</w:t>
      </w:r>
    </w:p>
    <w:p>
      <w:pPr>
        <w:pStyle w:val="Heading3"/>
        <w:keepNext w:val="true"/>
        <w:spacing w:before="280" w:after="100"/>
        <w:jc w:val="center"/>
        <w:rPr/>
      </w:pPr>
      <w:r>
        <w:rPr>
          <w:rFonts w:eastAsia="Amazon Ember" w:cs="Amazon Ember" w:ascii="Amazon Ember" w:hAnsi="Amazon Ember"/>
          <w:b/>
          <w:bCs/>
          <w:color w:val="0000FF"/>
          <w:sz w:val="36"/>
          <w:szCs w:val="36"/>
        </w:rPr>
        <w:t>Öffentlich, katholisch, französischsprachig, privat: vier Schulwelten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Anders, als viele Neuankömmlinge erwarten, gibt es in weiten Teilen Kanadas nicht nur eine, sondern gleich mehrere öffentlich finanzierte Schulformen nebeneinander. Neben dem säkularen öffentlichen </w:t>
      </w:r>
      <w:r>
        <w:rPr>
          <w:rFonts w:eastAsia="Cambria" w:cs="Cambria"/>
          <w:b w:val="false"/>
          <w:bCs w:val="false"/>
          <w:i/>
          <w:iCs/>
          <w:sz w:val="22"/>
          <w:szCs w:val="22"/>
        </w:rPr>
        <w:t>School Board</w:t>
      </w:r>
      <w:r>
        <w:rPr>
          <w:rFonts w:eastAsia="Cambria" w:cs="Cambria"/>
          <w:b w:val="false"/>
          <w:bCs w:val="false"/>
          <w:i w:val="false"/>
          <w:iCs w:val="false"/>
          <w:sz w:val="22"/>
          <w:szCs w:val="22"/>
        </w:rPr>
        <w:t xml:space="preserve"> führen Ontario, Alberta und Saskatchewan eigene, ebenfalls öffentlich finanzierte katholische </w:t>
      </w:r>
      <w:r>
        <w:rPr>
          <w:rFonts w:eastAsia="Cambria" w:cs="Cambria"/>
          <w:b w:val="false"/>
          <w:bCs w:val="false"/>
          <w:i/>
          <w:iCs/>
          <w:sz w:val="22"/>
          <w:szCs w:val="22"/>
        </w:rPr>
        <w:t>School Boards</w:t>
      </w:r>
      <w:r>
        <w:rPr>
          <w:rFonts w:eastAsia="Cambria" w:cs="Cambria"/>
          <w:b w:val="false"/>
          <w:bCs w:val="false"/>
          <w:i w:val="false"/>
          <w:iCs w:val="false"/>
          <w:sz w:val="22"/>
          <w:szCs w:val="22"/>
        </w:rPr>
        <w:t xml:space="preserve"> – ein historisches Zugeständnis an die katholische Minderheit bei der Gründung Kanadas, das bis heute gilt. Der Unterricht ist dort ebenso kostenlos wie an der säkularen Schule, mit religiös geprägtem Zusatzprogramm; die Aufnahme läuft in der Regel unabhängig von der eigenen Konfession der Familie, wird aber von Schule zu Schule unterschiedlich gehandhabt.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Zusätzlich betreiben viele Provinzen außerhalb Québecs eigene französischsprachige öffentliche </w:t>
      </w:r>
      <w:r>
        <w:rPr>
          <w:rFonts w:eastAsia="Cambria" w:cs="Cambria"/>
          <w:b w:val="false"/>
          <w:bCs w:val="false"/>
          <w:i/>
          <w:iCs/>
          <w:sz w:val="22"/>
          <w:szCs w:val="22"/>
        </w:rPr>
        <w:t>School Boards</w:t>
      </w:r>
      <w:r>
        <w:rPr>
          <w:rFonts w:eastAsia="Cambria" w:cs="Cambria"/>
          <w:b w:val="false"/>
          <w:bCs w:val="false"/>
          <w:i w:val="false"/>
          <w:iCs w:val="false"/>
          <w:sz w:val="22"/>
          <w:szCs w:val="22"/>
        </w:rPr>
        <w:t xml:space="preserve"> für die dortige französischsprachige Minderheit; das Recht darauf ist in der kanadischen Grundrechtecharta verankert. Für zugewanderte Familien ohne französischen Bezug sind diese Schulen normalerweise nicht die erste Anlaufstelle, wohl aber die im nächsten Abschnitt beschriebene </w:t>
      </w:r>
      <w:r>
        <w:rPr>
          <w:rFonts w:eastAsia="Cambria" w:cs="Cambria"/>
          <w:b w:val="false"/>
          <w:bCs w:val="false"/>
          <w:i/>
          <w:iCs/>
          <w:sz w:val="22"/>
          <w:szCs w:val="22"/>
        </w:rPr>
        <w:t>French Immersion</w:t>
      </w:r>
      <w:r>
        <w:rPr>
          <w:rFonts w:eastAsia="Cambria" w:cs="Cambria"/>
          <w:b w:val="false"/>
          <w:bCs w:val="false"/>
          <w:i w:val="false"/>
          <w:iCs w:val="false"/>
          <w:sz w:val="22"/>
          <w:szCs w:val="22"/>
        </w:rPr>
        <w:t xml:space="preserve"> an regulären englischsprachigen Schulen.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Private und unabhängige Schulen verlangen Schulgeld, dessen Höhe stark schwankt – von wenigen Tausend Dollar bei manchen konfessionellen Schulen bis zu einem hohen fünfstelligen Betrag pro Jahr an renommierten unabhängigen Schulen der großen Städte. Homeschooling ist in allen Provinzen und Territorien grundsätzlich erlaubt, wobei Meldepflichten und Aufsicht von Provinz zu Provinz unterschiedlich streng ausfallen.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t>
            </w:r>
            <w:r>
              <w:rPr>
                <w:rFonts w:eastAsia="Cambria" w:cs="Cambria"/>
                <w:b w:val="false"/>
                <w:bCs w:val="false"/>
                <w:i w:val="false"/>
                <w:iCs w:val="false"/>
                <w:sz w:val="20"/>
                <w:szCs w:val="20"/>
              </w:rPr>
              <w:t>Kostenlos“ heißt an öffentlichen Schulen nur der eigentliche Unterricht. Für Ausflüge, Sportuniformen, Musikinstrumente und Materiallisten wird trotzdem regelmäßig eine „freiwillige“ Schulgebühr im niedrigen dreistelligen Bereich fällig, die sozial erwartet, rechtlich aber nicht erzwingbar ist.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French Immersion: ein typisch kanadisches Angebot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Angebot, das es in dieser Form in kaum einem anderen Land dieses Buches gibt, ist </w:t>
      </w:r>
      <w:r>
        <w:rPr>
          <w:rFonts w:eastAsia="Cambria" w:cs="Cambria"/>
          <w:b w:val="false"/>
          <w:bCs w:val="false"/>
          <w:i/>
          <w:iCs/>
          <w:sz w:val="22"/>
          <w:szCs w:val="22"/>
        </w:rPr>
        <w:t>French Immersion</w:t>
      </w:r>
      <w:r>
        <w:rPr>
          <w:rFonts w:eastAsia="Cambria" w:cs="Cambria"/>
          <w:b w:val="false"/>
          <w:bCs w:val="false"/>
          <w:i w:val="false"/>
          <w:iCs w:val="false"/>
          <w:sz w:val="22"/>
          <w:szCs w:val="22"/>
        </w:rPr>
        <w:t>: ein optionaler Schulzweig an regulären englischsprachigen öffentlichen Schulen, in dem ein erheblicher Teil des Unterrichts – oft der überwiegende Teil in den ersten Grundschuljahren – auf Französisch stattfindet, mit wachsendem Englischanteil in höheren Klassen. Kinder ohne jede Französischvorkenntnis werden dabei in aller Regel aufgenommen; der Einstieg gelingt jüngeren Kindern erfahrungsgemäß leichter als Kindern, die erst in der Mittelstufe dazustoßen.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Nachfrage ist in vielen Städten hoch, mit entsprechenden Wartelisten oder einem Losverfahren bei mehr Bewerbungen als Plätzen; ein Teil der Motivation liegt darin, dass der kanadische Bundesöffentliche Dienst und viele Konzerne Zweisprachigkeit bei Einstellungen bevorzugen oder sogar voraussetzen. Für Familien, die ohnehin überlegen, ob sie Französisch als Familiensprache pflegen wollen, ist French Immersion eine kostenlose Option innerhalb des öffentlichen Systems – ein Kontrast zu Einwanderungsländern, in denen Zweisprachigkeit nur über kostenpflichtige Zusatzangebote zu haben ist.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Frage schon bei der Wohnortwahl, ob die zuständige Schule French Immersion anbietet und wie lang die Warteliste ist. Wer sich erst nach dem Umzug bewirbt, kommt in gefragten Stadtteilen oft ein Jahr zu spät.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Sonderfall Québec: Französisch als Unterrichtssprache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nach Québec, insbesondere nach Montréal, zieht, trifft auf ein grundlegend anderes System (zur Sprachpolitik der Provinz allgemein siehe das </w:t>
      </w:r>
      <w:hyperlink w:anchor="tka11">
        <w:r>
          <w:rPr>
            <w:rStyle w:val="ListLabel113"/>
            <w:rFonts w:eastAsia="Cambria" w:cs="Cambria"/>
            <w:b w:val="false"/>
            <w:bCs w:val="false"/>
            <w:i w:val="false"/>
            <w:iCs w:val="false"/>
            <w:color w:val="0563C1"/>
            <w:sz w:val="22"/>
            <w:szCs w:val="22"/>
            <w:u w:val="single"/>
          </w:rPr>
          <w:t>Kapitel zur Alltagskultur in diesem Teil</w:t>
        </w:r>
      </w:hyperlink>
      <w:r>
        <w:rPr>
          <w:rFonts w:eastAsia="Cambria" w:cs="Cambria"/>
          <w:b w:val="false"/>
          <w:bCs w:val="false"/>
          <w:i w:val="false"/>
          <w:iCs w:val="false"/>
          <w:sz w:val="22"/>
          <w:szCs w:val="22"/>
        </w:rPr>
        <w:t xml:space="preserve">). Die </w:t>
      </w:r>
      <w:r>
        <w:rPr>
          <w:rFonts w:eastAsia="Cambria" w:cs="Cambria"/>
          <w:b w:val="false"/>
          <w:bCs w:val="false"/>
          <w:i/>
          <w:iCs/>
          <w:sz w:val="22"/>
          <w:szCs w:val="22"/>
        </w:rPr>
        <w:t>Charter of the French Language</w:t>
      </w:r>
      <w:r>
        <w:rPr>
          <w:rFonts w:eastAsia="Cambria" w:cs="Cambria"/>
          <w:b w:val="false"/>
          <w:bCs w:val="false"/>
          <w:i w:val="false"/>
          <w:iCs w:val="false"/>
          <w:sz w:val="22"/>
          <w:szCs w:val="22"/>
        </w:rPr>
        <w:t xml:space="preserve"> (bekannt als Bill 101, zuletzt verschärft durch Bill 96 im Jahr 2022) schreibt vor, dass Kinder unter 16 Jahren ihre Grund- und Sekundarschulbildung auf Französisch erhalten müssen – mit engen Ausnahmen. Anspruch auf englischsprachigen Unterricht (über ein </w:t>
      </w:r>
      <w:r>
        <w:rPr>
          <w:rFonts w:eastAsia="Cambria" w:cs="Cambria"/>
          <w:b w:val="false"/>
          <w:bCs w:val="false"/>
          <w:i/>
          <w:iCs/>
          <w:sz w:val="22"/>
          <w:szCs w:val="22"/>
        </w:rPr>
        <w:t>Certificate of Eligibility</w:t>
      </w:r>
      <w:r>
        <w:rPr>
          <w:rFonts w:eastAsia="Cambria" w:cs="Cambria"/>
          <w:b w:val="false"/>
          <w:bCs w:val="false"/>
          <w:i w:val="false"/>
          <w:iCs w:val="false"/>
          <w:sz w:val="22"/>
          <w:szCs w:val="22"/>
        </w:rPr>
        <w:t xml:space="preserve">, eine Berechtigungsbescheinigung) hat im Kern nur, wessen Elternteil selbst den größeren Teil der eigenen Grund- oder Sekundarschulzeit auf Englisch in Kanada absolviert hat, oder wessen Geschwister das bereits tun. Für Familien mit befristetem Aufenthaltstitel – etwa mit einem Arbeits- oder Studienvisum, aber ohne kanadische Staatsangehörigkeit eines Elternteils – ist normalerweise nur eine befristete Berechtigung für die Dauer des Aufenthaltstitels möglich, keine dauerhafte; Berichten zufolge wurden Verlängerungen dieser befristeten Bescheinigung zuletzt eingeschränkt. Prüfe die aktuellen Regeln direkt beim zuständigen </w:t>
      </w:r>
      <w:r>
        <w:rPr>
          <w:rFonts w:eastAsia="Cambria" w:cs="Cambria"/>
          <w:b w:val="false"/>
          <w:bCs w:val="false"/>
          <w:i/>
          <w:iCs/>
          <w:sz w:val="22"/>
          <w:szCs w:val="22"/>
        </w:rPr>
        <w:t>School Board</w:t>
      </w:r>
      <w:r>
        <w:rPr>
          <w:rFonts w:eastAsia="Cambria" w:cs="Cambria"/>
          <w:b w:val="false"/>
          <w:bCs w:val="false"/>
          <w:i w:val="false"/>
          <w:iCs w:val="false"/>
          <w:sz w:val="22"/>
          <w:szCs w:val="22"/>
        </w:rPr>
        <w:t xml:space="preserve"> oder beim </w:t>
      </w:r>
      <w:r>
        <w:rPr>
          <w:rFonts w:eastAsia="Cambria" w:cs="Cambria"/>
          <w:b w:val="false"/>
          <w:bCs w:val="false"/>
          <w:i/>
          <w:iCs/>
          <w:sz w:val="22"/>
          <w:szCs w:val="22"/>
        </w:rPr>
        <w:t>Ministère de l’Éducation</w:t>
      </w:r>
      <w:r>
        <w:rPr>
          <w:rFonts w:eastAsia="Cambria" w:cs="Cambria"/>
          <w:b w:val="false"/>
          <w:bCs w:val="false"/>
          <w:i w:val="false"/>
          <w:iCs w:val="false"/>
          <w:sz w:val="22"/>
          <w:szCs w:val="22"/>
        </w:rPr>
        <w:t>, bevor du fest mit einer englischsprachigen Schule für dein Kind planst.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Kinder ohne ausreichende Französischkenntnisse besuchen beim Einstieg häufig eine </w:t>
      </w:r>
      <w:r>
        <w:rPr>
          <w:rFonts w:eastAsia="Cambria" w:cs="Cambria"/>
          <w:b w:val="false"/>
          <w:bCs w:val="false"/>
          <w:i/>
          <w:iCs/>
          <w:sz w:val="22"/>
          <w:szCs w:val="22"/>
        </w:rPr>
        <w:t>classe d’accueil</w:t>
      </w:r>
      <w:r>
        <w:rPr>
          <w:rFonts w:eastAsia="Cambria" w:cs="Cambria"/>
          <w:b w:val="false"/>
          <w:bCs w:val="false"/>
          <w:i w:val="false"/>
          <w:iCs w:val="false"/>
          <w:sz w:val="22"/>
          <w:szCs w:val="22"/>
        </w:rPr>
        <w:t xml:space="preserve"> (wörtlich „Empfangsklasse“, eine Willkommens- oder Vorbereitungsklasse mit intensivem Französischunterricht), bevor sie in die reguläre Klasse wechseln – ein Modell, das dem deutschen Konzept der Willkommensklasse ähnelt und sich damit vom übrigen Kanada unterscheidet, wo neu zugewanderte Kinder in der Regel von Anfang an in der Regelklasse sitzen und Förderstunden zusätzlich erhalten.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der Sekundarstufe (</w:t>
      </w:r>
      <w:r>
        <w:rPr>
          <w:rFonts w:eastAsia="Cambria" w:cs="Cambria"/>
          <w:b w:val="false"/>
          <w:bCs w:val="false"/>
          <w:i/>
          <w:iCs/>
          <w:sz w:val="22"/>
          <w:szCs w:val="22"/>
        </w:rPr>
        <w:t>secondaire</w:t>
      </w:r>
      <w:r>
        <w:rPr>
          <w:rFonts w:eastAsia="Cambria" w:cs="Cambria"/>
          <w:b w:val="false"/>
          <w:bCs w:val="false"/>
          <w:i w:val="false"/>
          <w:iCs w:val="false"/>
          <w:sz w:val="22"/>
          <w:szCs w:val="22"/>
        </w:rPr>
        <w:t xml:space="preserve">, fünf statt vier Jahre wie im übrigen Kanada) folgt in Québec zudem eine Besonderheit ganz Nordamerikas: das </w:t>
      </w:r>
      <w:r>
        <w:rPr>
          <w:rFonts w:eastAsia="Cambria" w:cs="Cambria"/>
          <w:b w:val="false"/>
          <w:bCs w:val="false"/>
          <w:i/>
          <w:iCs/>
          <w:sz w:val="22"/>
          <w:szCs w:val="22"/>
        </w:rPr>
        <w:t>CEGEP</w:t>
      </w:r>
      <w:r>
        <w:rPr>
          <w:rFonts w:eastAsia="Cambria" w:cs="Cambria"/>
          <w:b w:val="false"/>
          <w:bCs w:val="false"/>
          <w:i w:val="false"/>
          <w:iCs w:val="false"/>
          <w:sz w:val="22"/>
          <w:szCs w:val="22"/>
        </w:rPr>
        <w:t xml:space="preserve"> (</w:t>
      </w:r>
      <w:r>
        <w:rPr>
          <w:rFonts w:eastAsia="Cambria" w:cs="Cambria"/>
          <w:b w:val="false"/>
          <w:bCs w:val="false"/>
          <w:i/>
          <w:iCs/>
          <w:sz w:val="22"/>
          <w:szCs w:val="22"/>
        </w:rPr>
        <w:t>Collège d’enseignement général et professionnel</w:t>
      </w:r>
      <w:r>
        <w:rPr>
          <w:rFonts w:eastAsia="Cambria" w:cs="Cambria"/>
          <w:b w:val="false"/>
          <w:bCs w:val="false"/>
          <w:i w:val="false"/>
          <w:iCs w:val="false"/>
          <w:sz w:val="22"/>
          <w:szCs w:val="22"/>
        </w:rPr>
        <w:t>), ein zwei- bis dreijähriges Zwischenglied zwischen Schule und Universität, das es in keiner anderen Provinz gibt und das Québecer Schulabgänger von den übrigen kanadischen Provinzen unterscheidet.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mit Kindern nach Québec zieht und auf einen englischsprachigen Schulplatz angewiesen ist, sollte die Eligibility-Frage vor der Zusage zum Job klären, nicht danach. Ein gescheiterter Antrag bedeutet in der Praxis: Das Kind besucht die französischsprachige Schule, unabhängig vom eigenen Sprachniveau.</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Anmeldung: Unterlagen und Ablauf</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Anmeldung läuft über das zuständige </w:t>
      </w:r>
      <w:r>
        <w:rPr>
          <w:rFonts w:eastAsia="Cambria" w:cs="Cambria"/>
          <w:b w:val="false"/>
          <w:bCs w:val="false"/>
          <w:i/>
          <w:iCs/>
          <w:sz w:val="22"/>
          <w:szCs w:val="22"/>
        </w:rPr>
        <w:t>School Board</w:t>
      </w:r>
      <w:r>
        <w:rPr>
          <w:rFonts w:eastAsia="Cambria" w:cs="Cambria"/>
          <w:b w:val="false"/>
          <w:bCs w:val="false"/>
          <w:i w:val="false"/>
          <w:iCs w:val="false"/>
          <w:sz w:val="22"/>
          <w:szCs w:val="22"/>
        </w:rPr>
        <w:t xml:space="preserve"> am Wohnort, meist online mit anschließendem Termin im Schulsekretariat; ein bundesweites Portal gibt es nicht. Üblich sind: ein Altersnachweis (Geburtsurkunde oder Reisepass), ein Wohnsitznachweis (Mietvertrag oder eine Rechnung mit der neuen Adresse), der Nachweis des Aufenthaltstitels des Kindes (Permanent-Resident-Karte oder Visumsunterlagen) sowie ein Impfnachweis nach den Vorgaben der Provinz. Öffentliche Schulen prüfen in aller Regel keinen Einwanderungsstatus, um den eigentlichen Schulbesuch zu verweigern; die Praxis kann sich je nach Provinz und Aufenthaltstitel im Detail unterscheiden, weshalb eine frühzeitige Nachfrage beim Zielschulbezirk sich lohnt. Zeugnisse der letzten Schuljahre, möglichst mit englischer oder französischer Übersetzung, helfen bei der Einstufung, ersetzen aber selten ein eigenes Einstufungsgespräch oder einen kurzen Test der Schule.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Ahrens (fiktiv) meldet Finn (11) und Mia (7) im August bei ihrem Toronto District School Board online an. Der Distrikt bestätigt vorab schriftlich, welche Grundschule zu ihrer neuen Adresse gehört – erst danach unterschreiben Markus und Julia den Mietvertrag. Mit Geburtsurkunden, Mietvertrag, Impfpässen und Finns letztem Zeugnis (mit einer selbst angefertigten, später von der Schule akzeptierten Übersetzung) geht es zum Anmeldetermin. Finn kommt in Grade 6, Mia in Grade 2; beide werden zusätzlich für ein optionales French-Immersion-Programm vorgemerkt, dessen Warteliste die Schule offen mitteilt. Rund drei Wochen nach der Landung sitzen beide Kinder im Klassenzimmer.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Kinderbetreuung vor der Schule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Kinder unter dem Schulalter gibt es kein flächendeckendes öffentliches Netz wie die deutsche Kita, aber ein spürbar günstigeres System, als viele Neuankömmlinge erwarten. Über die </w:t>
      </w:r>
      <w:r>
        <w:rPr>
          <w:rFonts w:eastAsia="Cambria" w:cs="Cambria"/>
          <w:b w:val="false"/>
          <w:bCs w:val="false"/>
          <w:i/>
          <w:iCs/>
          <w:sz w:val="22"/>
          <w:szCs w:val="22"/>
        </w:rPr>
        <w:t>Canada-Wide Early Learning and Child Care</w:t>
      </w:r>
      <w:r>
        <w:rPr>
          <w:rFonts w:eastAsia="Cambria" w:cs="Cambria"/>
          <w:b w:val="false"/>
          <w:bCs w:val="false"/>
          <w:i w:val="false"/>
          <w:iCs w:val="false"/>
          <w:sz w:val="22"/>
          <w:szCs w:val="22"/>
        </w:rPr>
        <w:t>-Vereinbarungen (CWELCC) senken Bund und Provinzen gemeinsam die Elternbeiträge für lizenzierte Betreuungsplätze; Québec, Saskatchewan, Manitoba, Prince Edward Island, Neufundland und Labrador sowie Nunavut liegen bereits bei rund 10 CAD pro Tag oder darunter (Québec traditionell bei etwa 9,65 CAD, unabhängig von CWELCC). Ontario deckelt die Gebühren aktuell bei 22 CAD pro Tag, Alberta bei 15 CAD; British Columbia, Nova Scotia, Yukon und die Nordwest-Territorien arbeiten weiterhin mit marktüblichen, anbieterabhängigen Preisen. Die genaue Höhe und der Zeitplan bis zum landesweiten 10-CAD-Ziel ändern sich laufend; informiere dich vor der Ortswahl über den aktuellen Stand deiner Zielprovinz.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Wartelisten für begehrte Plätze in Toronto, Vancouver und Montréal sind lang; wer einen Platz zum gewünschten Zeitpunkt braucht, meldet sein Kind am besten schon Monate vor dem Umzug vor. Nach der Einschulung bieten die meisten Grundschulen kostenpflichtige Betreuung vor und nach dem Unterricht an, deren genaue Bezeichnung und Organisation je nach Provinz und School Board variiert.</w:t>
      </w:r>
    </w:p>
    <w:p>
      <w:pPr>
        <w:pStyle w:val="Heading3"/>
        <w:keepNext w:val="true"/>
        <w:spacing w:before="280" w:after="100"/>
        <w:jc w:val="center"/>
        <w:rPr/>
      </w:pPr>
      <w:r>
        <w:rPr>
          <w:rFonts w:eastAsia="Amazon Ember" w:cs="Amazon Ember" w:ascii="Amazon Ember" w:hAnsi="Amazon Ember"/>
          <w:b/>
          <w:bCs/>
          <w:color w:val="0000FF"/>
          <w:sz w:val="36"/>
          <w:szCs w:val="36"/>
        </w:rPr>
        <w:t>Spracheingewöhnung: ESL, Willkommensklassen und Geduld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Kinder, die noch nicht ausreichend Englisch (oder in Québec Französisch) sprechen, werden in Kanada meist als </w:t>
      </w:r>
      <w:r>
        <w:rPr>
          <w:rFonts w:eastAsia="Cambria" w:cs="Cambria"/>
          <w:b w:val="false"/>
          <w:bCs w:val="false"/>
          <w:i/>
          <w:iCs/>
          <w:sz w:val="22"/>
          <w:szCs w:val="22"/>
        </w:rPr>
        <w:t>English Language Learners</w:t>
      </w:r>
      <w:r>
        <w:rPr>
          <w:rFonts w:eastAsia="Cambria" w:cs="Cambria"/>
          <w:b w:val="false"/>
          <w:bCs w:val="false"/>
          <w:i w:val="false"/>
          <w:iCs w:val="false"/>
          <w:sz w:val="22"/>
          <w:szCs w:val="22"/>
        </w:rPr>
        <w:t xml:space="preserve"> (ELL) oder unter dem Sammelbegriff </w:t>
      </w:r>
      <w:r>
        <w:rPr>
          <w:rFonts w:eastAsia="Cambria" w:cs="Cambria"/>
          <w:b w:val="false"/>
          <w:bCs w:val="false"/>
          <w:i/>
          <w:iCs/>
          <w:sz w:val="22"/>
          <w:szCs w:val="22"/>
        </w:rPr>
        <w:t>ESL</w:t>
      </w:r>
      <w:r>
        <w:rPr>
          <w:rFonts w:eastAsia="Cambria" w:cs="Cambria"/>
          <w:b w:val="false"/>
          <w:bCs w:val="false"/>
          <w:i w:val="false"/>
          <w:iCs w:val="false"/>
          <w:sz w:val="22"/>
          <w:szCs w:val="22"/>
        </w:rPr>
        <w:t xml:space="preserve"> (</w:t>
      </w:r>
      <w:r>
        <w:rPr>
          <w:rFonts w:eastAsia="Cambria" w:cs="Cambria"/>
          <w:b w:val="false"/>
          <w:bCs w:val="false"/>
          <w:i/>
          <w:iCs/>
          <w:sz w:val="22"/>
          <w:szCs w:val="22"/>
        </w:rPr>
        <w:t>English as a Second Language</w:t>
      </w:r>
      <w:r>
        <w:rPr>
          <w:rFonts w:eastAsia="Cambria" w:cs="Cambria"/>
          <w:b w:val="false"/>
          <w:bCs w:val="false"/>
          <w:i w:val="false"/>
          <w:iCs w:val="false"/>
          <w:sz w:val="22"/>
          <w:szCs w:val="22"/>
        </w:rPr>
        <w:t xml:space="preserve">) geführt; öffentliche Schulen müssen ihnen helfen, dem Unterricht zu folgen, unabhängig vom Aufenthaltsstatus der Familie. Wie genau diese Förderung aussieht, entscheidet jedes School Board selbst: Häufig verlässt das Kind für einige Stunden pro Woche die Klasse für Extra-Unterricht (ähnlich dem </w:t>
      </w:r>
      <w:r>
        <w:rPr>
          <w:rFonts w:eastAsia="Cambria" w:cs="Cambria"/>
          <w:b w:val="false"/>
          <w:bCs w:val="false"/>
          <w:i/>
          <w:iCs/>
          <w:sz w:val="22"/>
          <w:szCs w:val="22"/>
        </w:rPr>
        <w:t>Pull-out</w:t>
      </w:r>
      <w:r>
        <w:rPr>
          <w:rFonts w:eastAsia="Cambria" w:cs="Cambria"/>
          <w:b w:val="false"/>
          <w:bCs w:val="false"/>
          <w:i w:val="false"/>
          <w:iCs w:val="false"/>
          <w:sz w:val="22"/>
          <w:szCs w:val="22"/>
        </w:rPr>
        <w:t>-Modell), oder eine zusätzliche Lehrkraft unterstützt direkt im Klassenzimmer. In Städten mit vielen neu zugewanderten Familien gibt es außerdem eigene Willkommens- oder Neuankömmlingsprogramme, oft mit mehrsprachigen Assistenzkräften für die ersten Wochen.</w:t>
      </w:r>
    </w:p>
    <w:tbl>
      <w:tblPr>
        <w:tblW w:w="6480" w:type="dxa"/>
        <w:jc w:val="left"/>
        <w:tblInd w:w="0" w:type="dxa"/>
        <w:tblLayout w:type="fixed"/>
        <w:tblCellMar>
          <w:top w:w="50" w:type="dxa"/>
          <w:left w:w="80" w:type="dxa"/>
          <w:bottom w:w="50" w:type="dxa"/>
          <w:right w:w="80" w:type="dxa"/>
        </w:tblCellMar>
      </w:tblPr>
      <w:tblGrid>
        <w:gridCol w:w="1502"/>
        <w:gridCol w:w="2590"/>
        <w:gridCol w:w="2388"/>
      </w:tblGrid>
      <w:tr>
        <w:trPr>
          <w:tblHeader w:val="true"/>
          <w:cantSplit w:val="true"/>
        </w:trPr>
        <w:tc>
          <w:tcPr>
            <w:tcW w:w="150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Modell</w:t>
            </w:r>
          </w:p>
        </w:tc>
        <w:tc>
          <w:tcPr>
            <w:tcW w:w="259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So läuft es</w:t>
            </w:r>
          </w:p>
        </w:tc>
        <w:tc>
          <w:tcPr>
            <w:tcW w:w="238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Worauf achten</w:t>
            </w:r>
          </w:p>
        </w:tc>
      </w:tr>
      <w:tr>
        <w:trPr>
          <w:cantSplit w:val="true"/>
        </w:trPr>
        <w:tc>
          <w:tcPr>
            <w:tcW w:w="15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iCs/>
                <w:sz w:val="18"/>
                <w:szCs w:val="18"/>
              </w:rPr>
              <w:t>Pull-out</w:t>
            </w:r>
          </w:p>
        </w:tc>
        <w:tc>
          <w:tcPr>
            <w:tcW w:w="25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Das Kind verlässt die Klasse für einige Stunden Extra-Unterricht pro Woche</w:t>
            </w:r>
          </w:p>
        </w:tc>
        <w:tc>
          <w:tcPr>
            <w:tcW w:w="23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Welche Fächer fallen dafür aus?</w:t>
            </w:r>
          </w:p>
        </w:tc>
      </w:tr>
      <w:tr>
        <w:trPr>
          <w:cantSplit w:val="true"/>
        </w:trPr>
        <w:tc>
          <w:tcPr>
            <w:tcW w:w="15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Unterstützung im Klassenzimmer</w:t>
            </w:r>
          </w:p>
        </w:tc>
        <w:tc>
          <w:tcPr>
            <w:tcW w:w="25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Eine zusätzliche Lehrkraft hilft direkt während des Regelunterrichts</w:t>
            </w:r>
          </w:p>
        </w:tc>
        <w:tc>
          <w:tcPr>
            <w:tcW w:w="23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viel Einzelzeit bleibt für dein Kind?</w:t>
            </w:r>
          </w:p>
        </w:tc>
      </w:tr>
      <w:tr>
        <w:trPr>
          <w:cantSplit w:val="true"/>
        </w:trPr>
        <w:tc>
          <w:tcPr>
            <w:tcW w:w="15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Willkommens- oder Neuankömmlingsprogramm</w:t>
            </w:r>
          </w:p>
        </w:tc>
        <w:tc>
          <w:tcPr>
            <w:tcW w:w="25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Zeitlich begrenzte Intensivförderung, oft mit mehrsprachigen Assistenzkräften</w:t>
            </w:r>
          </w:p>
        </w:tc>
        <w:tc>
          <w:tcPr>
            <w:tcW w:w="23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an jeder Schule vorhanden; nach Verfügbarkeit fragen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Welches Modell dein Kind bekommt, hängt vom School Board, der Schulgröße und der Zahl anderer Kinder mit Förderbedarf ab; frage bei der Anmeldung gezielt nach der konkreten Umsetzung an der Zielschule, nicht nur nach dem Namen des Programms.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Wie in anderen Ländern dieses Buches gilt auch hier die Faustregel aus der Sprachforschung: Alltagssprache auf dem Pausenhof sitzt meist nach ein bis zwei Jahren, die akademische Fach- und Schriftsprache braucht häufig fünf bis sieben Jahre. Kinder im Grundschulalter gewöhnen sich in aller Regel spürbar schneller ein als Teenager, für die zusätzlich Fachsprache in Geschichte oder Naturwissenschaften und der soziale Anschluss über Wortwitz und schnelle Antworten zusammenkommen (mehr zu dieser sozialen Seite im </w:t>
      </w:r>
      <w:hyperlink w:anchor="tka12">
        <w:r>
          <w:rPr>
            <w:rStyle w:val="ListLabel113"/>
            <w:rFonts w:eastAsia="Cambria" w:cs="Cambria"/>
            <w:b w:val="false"/>
            <w:bCs w:val="false"/>
            <w:i w:val="false"/>
            <w:iCs w:val="false"/>
            <w:color w:val="0563C1"/>
            <w:sz w:val="22"/>
            <w:szCs w:val="22"/>
            <w:u w:val="single"/>
          </w:rPr>
          <w:t>Kapitel zu Freunden und Kulturschock in diesem Teil</w:t>
        </w:r>
      </w:hyperlink>
      <w:r>
        <w:rPr>
          <w:rFonts w:eastAsia="Cambria" w:cs="Cambria"/>
          <w:b w:val="false"/>
          <w:bCs w:val="false"/>
          <w:i w:val="false"/>
          <w:iCs w:val="false"/>
          <w:sz w:val="22"/>
          <w:szCs w:val="22"/>
        </w:rPr>
        <w:t xml:space="preserve">). Ein </w:t>
      </w:r>
      <w:r>
        <w:rPr>
          <w:rFonts w:eastAsia="Cambria" w:cs="Cambria"/>
          <w:b w:val="false"/>
          <w:bCs w:val="false"/>
          <w:i/>
          <w:iCs/>
          <w:sz w:val="22"/>
          <w:szCs w:val="22"/>
        </w:rPr>
        <w:t>School Counsellor</w:t>
      </w:r>
      <w:r>
        <w:rPr>
          <w:rFonts w:eastAsia="Cambria" w:cs="Cambria"/>
          <w:b w:val="false"/>
          <w:bCs w:val="false"/>
          <w:i w:val="false"/>
          <w:iCs w:val="false"/>
          <w:sz w:val="22"/>
          <w:szCs w:val="22"/>
        </w:rPr>
        <w:t xml:space="preserve"> (Schulberater, an kanadischen Schulen üblich und für die Familie kostenlos) ist die richtige Anlaufstelle, wenn Rückzug, Schlafprobleme oder anhaltende schulische Frustration über die reine Sprachlücke hinausgehen.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Fließend auf dem Pausenhof plaudern heißt nicht „fertig“. Schulsprache und Fachbegriffe brauchen oft noch Jahre Unterstützung, auch wenn niemand mehr einen Akzent bemerkt.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Englisch zu Hause vorbereiten: Medien nach Alter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Vor dem Umzug hilft altersgerechtes Einhören mehr als Vokabellisten. Kleinkinder (2–5) kennen „Paw Patrol“ oft schon auf Deutsch – die Serie wird tatsächlich in Toronto produziert, im englischen Original hört sich der kanadische Grundton gleich vertrauter an; dazu „Sesame Street“ und einfache Bilderbücher. Grundschulkinder (6–9) wachsen gut mit „Odd Squad“ (kanadische Kinderserie mit Wissenschaftsbezug) und ersten Kapitelbüchern wie „Diary of a Wimpy Kid“. Für die Mittelstufe (10–13) eignen sich „Percy Jackson“-Bücher und die kanadische Netflix-Serie „Anne with an E“ (ruhiges Erzähltempo, gut verständliches Englisch). Bei Teenagern (14–17) hilft aktuelle Jugendliteratur; prüfe für kanadische Teen-Serien die Verfügbarkeit auf JustWatch.de, da sich Kataloge häufig ändern.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allen Altersgruppen wirkt derselbe Trick am zuverlässigsten: eine Serie, die das Kind schon auf Deutsch kennt, gemeinsam im englischen Original anschauen – die bekannte Handlung nimmt den Druck, jedes Wort zu verstehen. Untertitel zuerst auf Englisch stellen, nicht auf Deutsch.</w:t>
      </w:r>
    </w:p>
    <w:p>
      <w:pPr>
        <w:pStyle w:val="Heading3"/>
        <w:keepNext w:val="true"/>
        <w:spacing w:before="280" w:after="100"/>
        <w:jc w:val="center"/>
        <w:rPr/>
      </w:pPr>
      <w:r>
        <w:rPr>
          <w:rFonts w:eastAsia="Amazon Ember" w:cs="Amazon Ember" w:ascii="Amazon Ember" w:hAnsi="Amazon Ember"/>
          <w:b/>
          <w:bCs/>
          <w:color w:val="0000FF"/>
          <w:sz w:val="36"/>
          <w:szCs w:val="36"/>
        </w:rPr>
        <w:t>Deutsch bewahren: Schulen, Samstagsschule, Familienalltag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möchte, dass Kinder neben der neuen Landessprache auch ihr Deutsch behalten, findet organisierte Angebote vor allem in den vier größten Städten. Die German International School Toronto unterrichtet von der Vorschule bis Klasse 12 bilingual Deutsch-Englisch und führt als </w:t>
      </w:r>
      <w:r>
        <w:rPr>
          <w:rFonts w:eastAsia="Cambria" w:cs="Cambria"/>
          <w:b w:val="false"/>
          <w:bCs w:val="false"/>
          <w:i/>
          <w:iCs/>
          <w:sz w:val="22"/>
          <w:szCs w:val="22"/>
        </w:rPr>
        <w:t>IB World School</w:t>
      </w:r>
      <w:r>
        <w:rPr>
          <w:rFonts w:eastAsia="Cambria" w:cs="Cambria"/>
          <w:b w:val="false"/>
          <w:bCs w:val="false"/>
          <w:i w:val="false"/>
          <w:iCs w:val="false"/>
          <w:sz w:val="22"/>
          <w:szCs w:val="22"/>
        </w:rPr>
        <w:t xml:space="preserve"> zum International-Baccalaureate-Diplomprogramm in den letzten beiden Schuljahren. In Montréal übernimmt die Alexander-von-Humboldt-Schule in Baie-d’Urfé eine ähnliche Rolle. Wo eine solche Tagesschule fehlt, helfen Samstagsschulen: die Vancouver Westside German School (seit 1992, vom Kindergarten bis Klasse 12) und die Calgary German Language School (Vorschule bis Klasse 12, zusätzlich Abendkurse für Erwachsene) unterrichten an Wochenenden reines Deutsch als Fach, ergänzend zur regulären, englischsprachigen Schule (Details und weitere Standorte im </w:t>
      </w:r>
      <w:hyperlink w:anchor="tka12">
        <w:r>
          <w:rPr>
            <w:rStyle w:val="ListLabel113"/>
            <w:rFonts w:eastAsia="Cambria" w:cs="Cambria"/>
            <w:b w:val="false"/>
            <w:bCs w:val="false"/>
            <w:i w:val="false"/>
            <w:iCs w:val="false"/>
            <w:color w:val="0563C1"/>
            <w:sz w:val="22"/>
            <w:szCs w:val="22"/>
            <w:u w:val="single"/>
          </w:rPr>
          <w:t>Kapitel zu Freunden und Kulturschock in diesem Teil</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Zu Hause zählt vor allem Konsequenz: eine feste Familienregel für Deutsch, 15 bis 20 Minuten tägliches Vorlesen oder Lesen, Videoanrufe mit den Großeltern und – dank der überschaubaren Zeitverschiebung und guter Flugverbindungen (siehe das </w:t>
      </w:r>
      <w:hyperlink w:anchor="tka12">
        <w:r>
          <w:rPr>
            <w:rStyle w:val="ListLabel113"/>
            <w:rFonts w:eastAsia="Cambria" w:cs="Cambria"/>
            <w:b w:val="false"/>
            <w:bCs w:val="false"/>
            <w:i w:val="false"/>
            <w:iCs w:val="false"/>
            <w:color w:val="0563C1"/>
            <w:sz w:val="22"/>
            <w:szCs w:val="22"/>
            <w:u w:val="single"/>
          </w:rPr>
          <w:t>Kapitel zu Freunden und Kulturschock in diesem Teil</w:t>
        </w:r>
      </w:hyperlink>
      <w:r>
        <w:rPr>
          <w:rFonts w:eastAsia="Cambria" w:cs="Cambria"/>
          <w:b w:val="false"/>
          <w:bCs w:val="false"/>
          <w:i w:val="false"/>
          <w:iCs w:val="false"/>
          <w:sz w:val="22"/>
          <w:szCs w:val="22"/>
        </w:rPr>
        <w:t>) – realistisch planbare Ferienbesuche in Deutschland. Antwortet das Kind zunehmend auf Englisch oder Französisch, ist das normal und kein Grund zur Sorge; wiederhole den Satz einfach auf Deutsch, ohne zu tadeln.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Bevor du eine kostenpflichtige deutsche Tagesschule ins Auge fasst, prüfe, ob dir die kostenlose öffentliche Schule plus eine Samstagsschule und konsequentes Deutsch zu Hause für eure Ziele reicht. Für die meisten Familien ist das die deutlich günstigere und oft ausreichende Lösung.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Öffentliche Schulen sind kostenlos und prüfen in der Regel keinen Aufenthaltsstatus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Ausstattung, Notenskala und Regeln hängen stark von Provinz und School Board ab</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French Immersion bietet kostenlose Zweisprachigkeit innerhalb des öffentlichen Systems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Beliebte Programme haben lange Wartelisten oder ein Losverfahren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Kinderbetreuung wird durch CWELCC in den meisten Provinzen spürbar günstiger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Ontario und Alberta liegen mit 22 beziehungsweise 15 CAD pro Tag noch über dem 10-CAD-Ziel</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ESL-Förderung ist an vielen Schulen Standard, nicht Ausnahme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Außerhalb der vier großen Städte kaum organisierte deutsche Sprachangebote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Schuljahresrhythmus (September bis Juni) ähnelt dem deutschen, kein Umdenken bei der Jahreszeit nötig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Québec verlangt für die meisten Kinder verbindlich Französisch als Unterrichtssprache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Katholische und französischsprachige Schulen erweitern die kostenlose Auswahl zusätzlich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bundesweit einheitliches Abschlusszeugnis; Anerkennung in Deutschland im Einzelfall zu klären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Kläre vor dem Umzug den zuständigen School Board und dessen Stichtag für die Einstufung, sammle Geburtsurkunde, Impfnachweis und übersetzte Zeugnisse, und entscheide früh, ob French Immersion oder – in Québec – die Eligibility-Frage für euch relevant ist. Melde einen Betreuungsplatz für jüngere Kinder frühzeitig vor dem Umzug an.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Zuständigen School Board der Zieladresse ermittelt und Schulzuordnung schriftlich bestätigen lassen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Stichtag und Einstufung des Kindes beim School Board geklärt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Geburtsurkunde, Reisepass, Impfnachweis und übersetzte Zeugnisse zusammengestellt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Interesse an French Immersion die Warteliste der Zielschule frühzeitig erfragt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Umzug nach Québec die Eligibility-Frage für englischsprachigen Unterricht vor der Jobzusage geklärt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Betreuungsplatz (CWELCC-Anbieter) für jüngere Kinder Monate vor dem Umzug angefragt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und Nachmittagsbetreuung (Before/After School Care) bei der Zielschule mit angefragt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Sprachförderbedarf früh das Gespräch mit dem School Board über ESL-Angebote gesucht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Deutsche Tagesschule oder Samstagsschule in der Zielstadt recherchiert, Fristen notiert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Familienregel für Deutsch und ein tägliches Vorleseritual festgelegt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Bildungsministerien der Provinzen, z. B. Ontario (</w:t>
      </w:r>
      <w:hyperlink r:id="rId620">
        <w:r>
          <w:rPr>
            <w:rStyle w:val="ListLabel113"/>
            <w:rFonts w:eastAsia="Cambria" w:cs="Cambria"/>
            <w:b w:val="false"/>
            <w:bCs w:val="false"/>
            <w:i w:val="false"/>
            <w:iCs w:val="false"/>
            <w:color w:val="0563C1"/>
            <w:sz w:val="22"/>
            <w:szCs w:val="22"/>
            <w:u w:val="single"/>
          </w:rPr>
          <w:t>ontario.ca/page/education-and-training</w:t>
        </w:r>
      </w:hyperlink>
      <w:r>
        <w:rPr>
          <w:rFonts w:eastAsia="Cambria" w:cs="Cambria"/>
          <w:b w:val="false"/>
          <w:bCs w:val="false"/>
          <w:i w:val="false"/>
          <w:iCs w:val="false"/>
          <w:sz w:val="22"/>
          <w:szCs w:val="22"/>
        </w:rPr>
        <w:t>) und Québec (</w:t>
      </w:r>
      <w:hyperlink r:id="rId621">
        <w:r>
          <w:rPr>
            <w:rStyle w:val="ListLabel113"/>
            <w:rFonts w:eastAsia="Cambria" w:cs="Cambria"/>
            <w:b w:val="false"/>
            <w:bCs w:val="false"/>
            <w:i w:val="false"/>
            <w:iCs w:val="false"/>
            <w:color w:val="0563C1"/>
            <w:sz w:val="22"/>
            <w:szCs w:val="22"/>
            <w:u w:val="single"/>
          </w:rPr>
          <w:t>education.gouv.qc.ca</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Ministère de l’Éducation du Québec — Charter of the French Language, Certificate of Eligibility (</w:t>
      </w:r>
      <w:hyperlink r:id="rId622">
        <w:r>
          <w:rPr>
            <w:rStyle w:val="ListLabel113"/>
            <w:rFonts w:eastAsia="Cambria" w:cs="Cambria"/>
            <w:b w:val="false"/>
            <w:bCs w:val="false"/>
            <w:i w:val="false"/>
            <w:iCs w:val="false"/>
            <w:color w:val="0563C1"/>
            <w:sz w:val="22"/>
            <w:szCs w:val="22"/>
            <w:u w:val="single"/>
          </w:rPr>
          <w:t>quebec.ca</w:t>
        </w:r>
      </w:hyperlink>
      <w:r>
        <w:rPr>
          <w:rFonts w:eastAsia="Cambria" w:cs="Cambria"/>
          <w:b w:val="false"/>
          <w:bCs w:val="false"/>
          <w:i w:val="false"/>
          <w:iCs w:val="false"/>
          <w:sz w:val="22"/>
          <w:szCs w:val="22"/>
        </w:rPr>
        <w:t>, Suche: certificate of eligibility english instruction)</w:t>
      </w:r>
    </w:p>
    <w:p>
      <w:pPr>
        <w:pStyle w:val="ListParagraph"/>
        <w:numPr>
          <w:ilvl w:val="0"/>
          <w:numId w:val="1"/>
        </w:numPr>
        <w:spacing w:lineRule="exact" w:line="288" w:before="0" w:after="60"/>
        <w:rPr/>
      </w:pPr>
      <w:r>
        <w:rPr>
          <w:rFonts w:eastAsia="Cambria" w:cs="Cambria"/>
          <w:b w:val="false"/>
          <w:bCs w:val="false"/>
          <w:i w:val="false"/>
          <w:iCs w:val="false"/>
          <w:sz w:val="22"/>
          <w:szCs w:val="22"/>
        </w:rPr>
        <w:t>Employment and Social Development Canada — Canada-Wide Early Learning and Child Care, Gebühren je Provinz (</w:t>
      </w:r>
      <w:hyperlink r:id="rId623">
        <w:r>
          <w:rPr>
            <w:rStyle w:val="ListLabel113"/>
            <w:rFonts w:eastAsia="Cambria" w:cs="Cambria"/>
            <w:b w:val="false"/>
            <w:bCs w:val="false"/>
            <w:i w:val="false"/>
            <w:iCs w:val="false"/>
            <w:color w:val="0563C1"/>
            <w:sz w:val="22"/>
            <w:szCs w:val="22"/>
            <w:u w:val="single"/>
          </w:rPr>
          <w:t>canada.ca/en/employment-social-development/campaigns/child-care.html</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Zentralstelle für das Auslandsschulwesen — deutsche Schulen im Ausland (</w:t>
      </w:r>
      <w:hyperlink r:id="rId624">
        <w:r>
          <w:rPr>
            <w:rStyle w:val="ListLabel113"/>
            <w:rFonts w:eastAsia="Cambria" w:cs="Cambria"/>
            <w:b w:val="false"/>
            <w:bCs w:val="false"/>
            <w:i w:val="false"/>
            <w:iCs w:val="false"/>
            <w:color w:val="0563C1"/>
            <w:sz w:val="22"/>
            <w:szCs w:val="22"/>
            <w:u w:val="single"/>
          </w:rPr>
          <w:t>auslandsschulwesen.de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German International School Toronto (</w:t>
      </w:r>
      <w:hyperlink r:id="rId625">
        <w:r>
          <w:rPr>
            <w:rStyle w:val="ListLabel113"/>
            <w:rFonts w:eastAsia="Cambria" w:cs="Cambria"/>
            <w:b w:val="false"/>
            <w:bCs w:val="false"/>
            <w:i w:val="false"/>
            <w:iCs w:val="false"/>
            <w:color w:val="0563C1"/>
            <w:sz w:val="22"/>
            <w:szCs w:val="22"/>
            <w:u w:val="single"/>
          </w:rPr>
          <w:t>gistonline.ca</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Vancouver Westside German School und Calgary German Language School (</w:t>
      </w:r>
      <w:hyperlink r:id="rId626">
        <w:r>
          <w:rPr>
            <w:rStyle w:val="ListLabel113"/>
            <w:rFonts w:eastAsia="Cambria" w:cs="Cambria"/>
            <w:b w:val="false"/>
            <w:bCs w:val="false"/>
            <w:i w:val="false"/>
            <w:iCs w:val="false"/>
            <w:color w:val="0563C1"/>
            <w:sz w:val="22"/>
            <w:szCs w:val="22"/>
            <w:u w:val="single"/>
          </w:rPr>
          <w:t>vwgs.org</w:t>
        </w:r>
      </w:hyperlink>
      <w:r>
        <w:rPr>
          <w:rFonts w:eastAsia="Cambria" w:cs="Cambria"/>
          <w:b w:val="false"/>
          <w:bCs w:val="false"/>
          <w:i w:val="false"/>
          <w:iCs w:val="false"/>
          <w:sz w:val="22"/>
          <w:szCs w:val="22"/>
        </w:rPr>
        <w:t xml:space="preserve">, </w:t>
      </w:r>
      <w:hyperlink r:id="rId627">
        <w:r>
          <w:rPr>
            <w:rStyle w:val="ListLabel113"/>
            <w:rFonts w:eastAsia="Cambria" w:cs="Cambria"/>
            <w:b w:val="false"/>
            <w:bCs w:val="false"/>
            <w:i w:val="false"/>
            <w:iCs w:val="false"/>
            <w:color w:val="0563C1"/>
            <w:sz w:val="22"/>
            <w:szCs w:val="22"/>
            <w:u w:val="single"/>
          </w:rPr>
          <w:t>calgarygermanschool.com</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schnell: Kinderbetreuungsgebühren je Provinz auf dem Weg zum 10-CAD-Ziel, die genauen Eligibility-Regeln in Québec, Stichtage und Einstufungsregeln der School Boards sowie Schulgelder privater und deutscher Schulen. Prüfe vor jeder Entscheidung die aktuellen Angaben deiner Zielprovinz und Zielschule.</w:t>
            </w:r>
          </w:p>
        </w:tc>
      </w:tr>
    </w:tbl>
    <w:p>
      <w:pPr>
        <w:pStyle w:val="Normal"/>
        <w:spacing w:lineRule="exact" w:line="220" w:before="0" w:after="0"/>
        <w:rPr/>
      </w:pPr>
      <w:r>
        <w:rPr/>
      </w:r>
      <w:r>
        <w:br w:type="page"/>
      </w:r>
    </w:p>
    <w:p>
      <w:pPr>
        <w:pStyle w:val="Heading2"/>
        <w:keepNext w:val="true"/>
        <w:spacing w:before="0" w:after="300"/>
        <w:jc w:val="center"/>
        <w:rPr/>
      </w:pPr>
      <w:bookmarkStart w:id="163" w:name="__RefHeading___Toc56593_3769931028"/>
      <w:bookmarkStart w:id="164" w:name="tka14"/>
      <w:bookmarkEnd w:id="163"/>
      <w:r>
        <w:rPr>
          <w:rFonts w:eastAsia="Amazon Ember" w:cs="Amazon Ember" w:ascii="Amazon Ember" w:hAnsi="Amazon Ember"/>
          <w:b/>
          <w:bCs/>
          <w:color w:val="0000FF"/>
          <w:sz w:val="36"/>
          <w:szCs w:val="36"/>
        </w:rPr>
        <w:t>Kanada: Arbeitswelt und Jobwechsel</w:t>
      </w:r>
      <w:bookmarkEnd w:id="164"/>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Lukas Berger rempelt in der Teeküche seines neuen Arbeitgebers in Calgary versehentlich einen Kollegen an – und bevor er selbst etwas sagen kann, hat sich der andere bereits entschuldigt: „Sorry!“ Es dauert einige Wochen, bis Lukas begreift, dass dieses Wort in Kanada seltener ein Schuldeingeständnis ist als ein Reflex, ungefähr so bedeutungsschwer wie ein Räuspern. Die kanadische Arbeitswelt wirkt auf den ersten Blick angenehm unaufgeregt – bis zu dem Tag, an dem er selbst über einen Arbeitgeberwechsel nachdenkt und merkt, dass sein </w:t>
      </w:r>
      <w:r>
        <w:rPr>
          <w:rFonts w:eastAsia="Cambria" w:cs="Cambria"/>
          <w:b w:val="false"/>
          <w:bCs w:val="false"/>
          <w:i/>
          <w:iCs/>
          <w:sz w:val="22"/>
          <w:szCs w:val="22"/>
        </w:rPr>
        <w:t>Work Permit</w:t>
      </w:r>
      <w:r>
        <w:rPr>
          <w:rFonts w:eastAsia="Cambria" w:cs="Cambria"/>
          <w:b w:val="false"/>
          <w:bCs w:val="false"/>
          <w:i w:val="false"/>
          <w:iCs w:val="false"/>
          <w:sz w:val="22"/>
          <w:szCs w:val="22"/>
        </w:rPr>
        <w:t xml:space="preserve"> (Arbeitsvisum) ihn fest an genau diesen einen Arbeitgeber bindet.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Der Urlaubsanspruch ist Provinzsache und startet meist bei nur zwei Wochen im Jahr – spürbar weniger als das deutsche Minimum von 20 Tagen, wächst aber mit der Betriebszugehörigkeit.</w:t>
            </w:r>
          </w:p>
          <w:p>
            <w:pPr>
              <w:pStyle w:val="ListParagraph"/>
              <w:numPr>
                <w:ilvl w:val="0"/>
                <w:numId w:val="1"/>
              </w:numPr>
              <w:spacing w:lineRule="exact" w:line="264" w:before="0" w:after="50"/>
              <w:rPr/>
            </w:pPr>
            <w:r>
              <w:rPr>
                <w:rFonts w:eastAsia="Cambria" w:cs="Cambria"/>
                <w:b w:val="false"/>
                <w:bCs w:val="false"/>
                <w:i w:val="false"/>
                <w:iCs w:val="false"/>
                <w:sz w:val="20"/>
                <w:szCs w:val="20"/>
              </w:rPr>
              <w:t>Kündigen ohne Grund ist möglich, aber nicht ohne Ankündigungsfrist oder Abfindung: Kanada kennt weder ein deutsches Kündigungsschutzgesetz noch ein „Hire and Fire“ nach US-Vorbild.</w:t>
            </w:r>
          </w:p>
          <w:p>
            <w:pPr>
              <w:pStyle w:val="ListParagraph"/>
              <w:numPr>
                <w:ilvl w:val="0"/>
                <w:numId w:val="1"/>
              </w:numPr>
              <w:spacing w:lineRule="exact" w:line="264" w:before="0" w:after="50"/>
              <w:rPr/>
            </w:pPr>
            <w:r>
              <w:rPr>
                <w:rFonts w:eastAsia="Cambria" w:cs="Cambria"/>
                <w:b w:val="false"/>
                <w:bCs w:val="false"/>
                <w:i w:val="false"/>
                <w:iCs w:val="false"/>
                <w:sz w:val="20"/>
                <w:szCs w:val="20"/>
              </w:rPr>
              <w:t>Der Umgangston ist höflicher und indirekter als in Deutschland; direkte Kritik kommt selten unverpackt.</w:t>
            </w:r>
          </w:p>
          <w:p>
            <w:pPr>
              <w:pStyle w:val="ListParagraph"/>
              <w:numPr>
                <w:ilvl w:val="0"/>
                <w:numId w:val="1"/>
              </w:numPr>
              <w:spacing w:lineRule="exact" w:line="264" w:before="0" w:after="50"/>
              <w:rPr/>
            </w:pPr>
            <w:r>
              <w:rPr>
                <w:rFonts w:eastAsia="Cambria" w:cs="Cambria"/>
                <w:b w:val="false"/>
                <w:bCs w:val="false"/>
                <w:i w:val="false"/>
                <w:iCs w:val="false"/>
                <w:sz w:val="20"/>
                <w:szCs w:val="20"/>
              </w:rPr>
              <w:t>Mit einem arbeitgebergebundenen, LMIA-pflichtigen Work Permit brauchst du für jeden Arbeitgeberwechsel in der Regel eine neue Arbeitsmarktprüfung des neuen Arbeitgebers und ein neues Arbeitsvisum – und musst dessen Genehmigung meist abwarten, bevor du dort anfängst.</w:t>
            </w:r>
          </w:p>
          <w:p>
            <w:pPr>
              <w:pStyle w:val="ListParagraph"/>
              <w:numPr>
                <w:ilvl w:val="0"/>
                <w:numId w:val="1"/>
              </w:numPr>
              <w:spacing w:lineRule="exact" w:line="264" w:before="0" w:after="50"/>
              <w:rPr/>
            </w:pPr>
            <w:r>
              <w:rPr>
                <w:rFonts w:eastAsia="Cambria" w:cs="Cambria"/>
                <w:b w:val="false"/>
                <w:bCs w:val="false"/>
                <w:i w:val="false"/>
                <w:iCs w:val="false"/>
                <w:sz w:val="20"/>
                <w:szCs w:val="20"/>
              </w:rPr>
              <w:t>Offene Arbeitsvisa (etwa nach dem PGWP oder für mitreisende Ehepartner) erlauben dagegen den Wechsel ohne neuen Antrag.</w:t>
            </w:r>
          </w:p>
          <w:p>
            <w:pPr>
              <w:pStyle w:val="ListParagraph"/>
              <w:numPr>
                <w:ilvl w:val="0"/>
                <w:numId w:val="1"/>
              </w:numPr>
              <w:spacing w:lineRule="exact" w:line="264" w:before="0" w:after="50"/>
              <w:rPr/>
            </w:pPr>
            <w:r>
              <w:rPr>
                <w:rFonts w:eastAsia="Cambria" w:cs="Cambria"/>
                <w:b w:val="false"/>
                <w:bCs w:val="false"/>
                <w:i w:val="false"/>
                <w:iCs w:val="false"/>
                <w:sz w:val="20"/>
                <w:szCs w:val="20"/>
              </w:rPr>
              <w:t>Networking über Empfehlungen zählt auch hier mehr als die Bewerbung auf gut Glück.</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Arbeitsrecht: Bundessache oder Provinzsache?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Anders als das Einwanderungsrecht, das ausschließlich der Bund regelt (siehe das </w:t>
      </w:r>
      <w:hyperlink w:anchor="tka03">
        <w:r>
          <w:rPr>
            <w:rStyle w:val="ListLabel113"/>
            <w:rFonts w:eastAsia="Cambria" w:cs="Cambria"/>
            <w:b w:val="false"/>
            <w:bCs w:val="false"/>
            <w:i w:val="false"/>
            <w:iCs w:val="false"/>
            <w:color w:val="0563C1"/>
            <w:sz w:val="22"/>
            <w:szCs w:val="22"/>
            <w:u w:val="single"/>
          </w:rPr>
          <w:t>Kapitel zum Arbeitsweg in diesem Teil</w:t>
        </w:r>
      </w:hyperlink>
      <w:r>
        <w:rPr>
          <w:rFonts w:eastAsia="Cambria" w:cs="Cambria"/>
          <w:b w:val="false"/>
          <w:bCs w:val="false"/>
          <w:i w:val="false"/>
          <w:iCs w:val="false"/>
          <w:sz w:val="22"/>
          <w:szCs w:val="22"/>
        </w:rPr>
        <w:t xml:space="preserve">), ist das Arbeitsrecht in Kanada überwiegend Provinzsache. Für die große Mehrheit der Beschäftigten gilt das </w:t>
      </w:r>
      <w:r>
        <w:rPr>
          <w:rFonts w:eastAsia="Cambria" w:cs="Cambria"/>
          <w:b w:val="false"/>
          <w:bCs w:val="false"/>
          <w:i/>
          <w:iCs/>
          <w:sz w:val="22"/>
          <w:szCs w:val="22"/>
        </w:rPr>
        <w:t>Employment Standards Act</w:t>
      </w:r>
      <w:r>
        <w:rPr>
          <w:rFonts w:eastAsia="Cambria" w:cs="Cambria"/>
          <w:b w:val="false"/>
          <w:bCs w:val="false"/>
          <w:i w:val="false"/>
          <w:iCs w:val="false"/>
          <w:sz w:val="22"/>
          <w:szCs w:val="22"/>
        </w:rPr>
        <w:t xml:space="preserve"> beziehungsweise </w:t>
      </w:r>
      <w:r>
        <w:rPr>
          <w:rFonts w:eastAsia="Cambria" w:cs="Cambria"/>
          <w:b w:val="false"/>
          <w:bCs w:val="false"/>
          <w:i/>
          <w:iCs/>
          <w:sz w:val="22"/>
          <w:szCs w:val="22"/>
        </w:rPr>
        <w:t>Employment Standards Code</w:t>
      </w:r>
      <w:r>
        <w:rPr>
          <w:rFonts w:eastAsia="Cambria" w:cs="Cambria"/>
          <w:b w:val="false"/>
          <w:bCs w:val="false"/>
          <w:i w:val="false"/>
          <w:iCs w:val="false"/>
          <w:sz w:val="22"/>
          <w:szCs w:val="22"/>
        </w:rPr>
        <w:t xml:space="preserve"> (Arbeitsstandardgesetz) der Provinz, in der konkret gearbeitet wird – nicht der Pass oder Wohnsitz entscheidet, sondern der Arbeitsort. Nur eine Minderheit der Beschäftigten fällt unter Bundesrecht: Banken, Telekommunikation, Rundfunk, Luft- und Bahnverkehr sowie zwischen Provinzen tätige Speditionen unterliegen dem </w:t>
      </w:r>
      <w:r>
        <w:rPr>
          <w:rFonts w:eastAsia="Cambria" w:cs="Cambria"/>
          <w:b w:val="false"/>
          <w:bCs w:val="false"/>
          <w:i/>
          <w:iCs/>
          <w:sz w:val="22"/>
          <w:szCs w:val="22"/>
        </w:rPr>
        <w:t>Canada Labour Code</w:t>
      </w:r>
      <w:r>
        <w:rPr>
          <w:rFonts w:eastAsia="Cambria" w:cs="Cambria"/>
          <w:b w:val="false"/>
          <w:bCs w:val="false"/>
          <w:i w:val="false"/>
          <w:iCs w:val="false"/>
          <w:sz w:val="22"/>
          <w:szCs w:val="22"/>
        </w:rPr>
        <w:t xml:space="preserve"> (Bundesarbeitsgesetzbuch). Ein einheitliches nationales Arbeitsgesetz wie in manchen anderen Ländern gibt es in Kanada also nicht – wer von Ontario nach Alberta wechselt, wechselt damit auch das anwendbare Arbeitsrecht.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Gewerkschaften sind in bestimmten Branchen präsent (öffentlicher Dienst, Bauwesen, Teile der Ressourcenindustrie), ein Betriebsrat nach deutschem Muster existiert nicht. Dein Arbeitsvertrag sollte Grundgehalt, Wochenstunden, Probezeit und die Kündigungsklausel klar benennen; das gesetzliche Minimum der jeweiligen Provinz gilt als Fußboden, den kein Vertrag unterschreiten darf.</w:t>
      </w:r>
    </w:p>
    <w:p>
      <w:pPr>
        <w:pStyle w:val="Heading3"/>
        <w:keepNext w:val="true"/>
        <w:spacing w:before="280" w:after="100"/>
        <w:jc w:val="center"/>
        <w:rPr/>
      </w:pPr>
      <w:r>
        <w:rPr>
          <w:rFonts w:eastAsia="Amazon Ember" w:cs="Amazon Ember" w:ascii="Amazon Ember" w:hAnsi="Amazon Ember"/>
          <w:b/>
          <w:bCs/>
          <w:color w:val="0000FF"/>
          <w:sz w:val="36"/>
          <w:szCs w:val="36"/>
        </w:rPr>
        <w:t>Urlaub, Feiertage und Krankheit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Wer aus einem europäischen Wohlfahrtsstaat kommt, nimmt oft an, ein wirtschaftlich vergleichbares Land wie Kanada biete ähnlich großzügige gesetzliche Mindestansprüche. Tatsächlich ist das Startniveau spürbar niedriger als in Deutschland und wächst erst mit der Zeit im Betrieb.</w:t>
      </w:r>
    </w:p>
    <w:tbl>
      <w:tblPr>
        <w:tblW w:w="6480" w:type="dxa"/>
        <w:jc w:val="left"/>
        <w:tblInd w:w="0" w:type="dxa"/>
        <w:tblLayout w:type="fixed"/>
        <w:tblCellMar>
          <w:top w:w="50" w:type="dxa"/>
          <w:left w:w="80" w:type="dxa"/>
          <w:bottom w:w="50" w:type="dxa"/>
          <w:right w:w="80" w:type="dxa"/>
        </w:tblCellMar>
      </w:tblPr>
      <w:tblGrid>
        <w:gridCol w:w="949"/>
        <w:gridCol w:w="2364"/>
        <w:gridCol w:w="3167"/>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Thema</w:t>
            </w:r>
          </w:p>
        </w:tc>
        <w:tc>
          <w:tcPr>
            <w:tcW w:w="236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Deutschland</w:t>
            </w:r>
          </w:p>
        </w:tc>
        <w:tc>
          <w:tcPr>
            <w:tcW w:w="316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Kanada (Provinzrecht, Richtwerte)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Urlaub</w:t>
            </w:r>
          </w:p>
        </w:tc>
        <w:tc>
          <w:tcPr>
            <w:tcW w:w="23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mind. 20 Tage bei Fünftagewoche, meist 25–30</w:t>
            </w:r>
          </w:p>
        </w:tc>
        <w:tc>
          <w:tcPr>
            <w:tcW w:w="31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meist 2 Wochen ab dem ersten Jahr, 3 Wochen nach rund 5 Jahren; Québec hebt die dritte Woche oft schon nach 3 Jahren an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Feiertage</w:t>
            </w:r>
          </w:p>
        </w:tc>
        <w:tc>
          <w:tcPr>
            <w:tcW w:w="23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9–13, je Bundesland</w:t>
            </w:r>
          </w:p>
        </w:tc>
        <w:tc>
          <w:tcPr>
            <w:tcW w:w="31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meist 9–10, je Provinz unterschiedlich</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Krankheit</w:t>
            </w:r>
          </w:p>
        </w:tc>
        <w:tc>
          <w:tcPr>
            <w:tcW w:w="23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Lohnfortzahlung bis zu 6 Wochen</w:t>
            </w:r>
          </w:p>
        </w:tc>
        <w:tc>
          <w:tcPr>
            <w:tcW w:w="316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uneinheitlich: teils nur unbezahlter, gesetzlich geschützter Anspruch, teils einzelne bezahlte Tage – abhängig von Provinz und Arbeitgeberpolitik</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zwei Wochen Mindesturlaub sind ein gesetzlicher Boden, keine übliche Norm nach oben: Viele Arbeitgeber im Fachkräftemarkt, besonders in Technik und IT rund um Toronto, bieten von Beginn an drei oder vier Wochen an, um im Wettbewerb um Personal zu bestehen. Frage im Vorstellungsgespräch aktiv danach, denn im Angebot steht es nicht automatisch großzügiger, nur weil das Land wohlhabend ist. Bezahlte Krankheitstage sind, anders als die deutsche Lohnfortzahlung, keineswegs überall gesetzlich garantiert; das unterscheidet sich von Provinz zu Provinz erheblich. Kläre das konkret mit der Personalabteilung, bevor du dich auf einen informellen Eindruck verlässt.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Verlasse dich nie auf mündliche Zusagen zu Urlaub oder Krankheitstagen. Lass dir die genauen Ansprüche schriftlich im Vertrag oder im Mitarbeiterhandbuch bestätigen und vergleiche sie mit dem gesetzlichen Minimum deiner Provinz.</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Kündigungsschutz: Notice statt Kündigungsschutzgesetz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Kanada liegt zwischen zwei Extremen, die du vielleicht aus diesem Buch kennst: kein Kündigungsschutzgesetz wie in Deutschland, aber auch kein grundloses „Hire and Fire“ ohne jede Konsequenz. Ein Arbeitgeber darf ohne Angabe von Gründen kündigen, muss dafür aber je nach Provinz eine Ankündigungsfrist (</w:t>
      </w:r>
      <w:r>
        <w:rPr>
          <w:rFonts w:eastAsia="Cambria" w:cs="Cambria"/>
          <w:b w:val="false"/>
          <w:bCs w:val="false"/>
          <w:i/>
          <w:iCs/>
          <w:sz w:val="22"/>
          <w:szCs w:val="22"/>
        </w:rPr>
        <w:t>Notice of Termination</w:t>
      </w:r>
      <w:r>
        <w:rPr>
          <w:rFonts w:eastAsia="Cambria" w:cs="Cambria"/>
          <w:b w:val="false"/>
          <w:bCs w:val="false"/>
          <w:i w:val="false"/>
          <w:iCs w:val="false"/>
          <w:sz w:val="22"/>
          <w:szCs w:val="22"/>
        </w:rPr>
        <w:t>) einhalten oder eine entsprechende Abfindung anstelle der Frist zahlen (</w:t>
      </w:r>
      <w:r>
        <w:rPr>
          <w:rFonts w:eastAsia="Cambria" w:cs="Cambria"/>
          <w:b w:val="false"/>
          <w:bCs w:val="false"/>
          <w:i/>
          <w:iCs/>
          <w:sz w:val="22"/>
          <w:szCs w:val="22"/>
        </w:rPr>
        <w:t>Pay in Lieu of Notice</w:t>
      </w:r>
      <w:r>
        <w:rPr>
          <w:rFonts w:eastAsia="Cambria" w:cs="Cambria"/>
          <w:b w:val="false"/>
          <w:bCs w:val="false"/>
          <w:i w:val="false"/>
          <w:iCs w:val="false"/>
          <w:sz w:val="22"/>
          <w:szCs w:val="22"/>
        </w:rPr>
        <w:t>). In Ontario etwa steigt die gesetzliche Mindestfrist mit der Betriebszugehörigkeit von einer Woche auf bis zu acht Wochen bei sehr langer Beschäftigung; Alberta staffelt ähnlich, wenn auch mit anderen Sprungpunkten. Nur bei einem schwerwiegenden Fehlverhalten (</w:t>
      </w:r>
      <w:r>
        <w:rPr>
          <w:rFonts w:eastAsia="Cambria" w:cs="Cambria"/>
          <w:b w:val="false"/>
          <w:bCs w:val="false"/>
          <w:i/>
          <w:iCs/>
          <w:sz w:val="22"/>
          <w:szCs w:val="22"/>
        </w:rPr>
        <w:t>Just Cause</w:t>
      </w:r>
      <w:r>
        <w:rPr>
          <w:rFonts w:eastAsia="Cambria" w:cs="Cambria"/>
          <w:b w:val="false"/>
          <w:bCs w:val="false"/>
          <w:i w:val="false"/>
          <w:iCs w:val="false"/>
          <w:sz w:val="22"/>
          <w:szCs w:val="22"/>
        </w:rPr>
        <w:t>, etwa Diebstahl oder grobe Pflichtverletzung) entfällt die Frist vollständig.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Was viele deutsche Neuankömmlinge überrascht: Die gesetzliche Mindestfrist ist oft nicht das letzte Wort. Nach dem Fallrecht (</w:t>
      </w:r>
      <w:r>
        <w:rPr>
          <w:rFonts w:eastAsia="Cambria" w:cs="Cambria"/>
          <w:b w:val="false"/>
          <w:bCs w:val="false"/>
          <w:i/>
          <w:iCs/>
          <w:sz w:val="22"/>
          <w:szCs w:val="22"/>
        </w:rPr>
        <w:t>Common Law</w:t>
      </w:r>
      <w:r>
        <w:rPr>
          <w:rFonts w:eastAsia="Cambria" w:cs="Cambria"/>
          <w:b w:val="false"/>
          <w:bCs w:val="false"/>
          <w:i w:val="false"/>
          <w:iCs w:val="false"/>
          <w:sz w:val="22"/>
          <w:szCs w:val="22"/>
        </w:rPr>
        <w:t>) kann ein Gericht bei ungerechtfertigter Kündigung eine deutlich längere „angemessene Frist“ zusprechen, orientiert an Lebensalter, Position, Betriebszugehörigkeit und Aussicht auf eine neue Stelle – Anwälte nennen als grobe Faustregel oft rund einen Monat pro Beschäftigungsjahr, ohne dass dies eine feste Formel wäre. Viele Arbeitsverträge versuchen, diese längere Frist vertraglich auf das gesetzliche Minimum zu begrenzen; ob eine solche Klausel wirksam ist, hängt stark vom genauen Wortlaut ab und wird von kanadischen Gerichten regelmäßig verworfen, wenn sie unklar oder zu weitgehend formuliert ist. In Ontario kommt bei mindestens fünf Jahren Betriebszugehörigkeit und einer Lohnsumme des Arbeitgebers ab 2,5 Millionen CAD zusätzlich eine gesetzliche Abfindung (</w:t>
      </w:r>
      <w:r>
        <w:rPr>
          <w:rFonts w:eastAsia="Cambria" w:cs="Cambria"/>
          <w:b w:val="false"/>
          <w:bCs w:val="false"/>
          <w:i/>
          <w:iCs/>
          <w:sz w:val="22"/>
          <w:szCs w:val="22"/>
        </w:rPr>
        <w:t>Severance Pay</w:t>
      </w:r>
      <w:r>
        <w:rPr>
          <w:rFonts w:eastAsia="Cambria" w:cs="Cambria"/>
          <w:b w:val="false"/>
          <w:bCs w:val="false"/>
          <w:i w:val="false"/>
          <w:iCs w:val="false"/>
          <w:sz w:val="22"/>
          <w:szCs w:val="22"/>
        </w:rPr>
        <w:t>) hinzu, oben auf die Kündigungsfrist.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Ohne Grund kündigen darf dein Arbeitgeber auch in Kanada – aber nie ohne Frist oder Ausgleich, es sei denn, es liegt ein schwerwiegender Grund vor. Das ist weder deutscher Kündigungsschutz noch amerikanisches At-will Employment, sondern ein eigenes, drittes System.</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Streicht ein Arbeitgeber gleich mehrere Stellen auf einmal (</w:t>
      </w:r>
      <w:r>
        <w:rPr>
          <w:rFonts w:eastAsia="Cambria" w:cs="Cambria"/>
          <w:b w:val="false"/>
          <w:bCs w:val="false"/>
          <w:i/>
          <w:iCs/>
          <w:sz w:val="22"/>
          <w:szCs w:val="22"/>
        </w:rPr>
        <w:t>Mass Termination</w:t>
      </w:r>
      <w:r>
        <w:rPr>
          <w:rFonts w:eastAsia="Cambria" w:cs="Cambria"/>
          <w:b w:val="false"/>
          <w:bCs w:val="false"/>
          <w:i w:val="false"/>
          <w:iCs w:val="false"/>
          <w:sz w:val="22"/>
          <w:szCs w:val="22"/>
        </w:rPr>
        <w:t xml:space="preserve">, in Ontario ab 50 Betroffenen innerhalb von vier Wochen), verlangen mehrere Provinzen zusätzliche, längere Ankündigungsfristen und eine Meldung an die zuständige Arbeitsbehörde – ähnlich dem Gedanken hinter dem amerikanischen WARN Act, nur mit anderen Schwellenwerten. Nach einem Jobverlust hilft zudem, anders als bei vielen befristeten US-Visa, die </w:t>
      </w:r>
      <w:r>
        <w:rPr>
          <w:rFonts w:eastAsia="Cambria" w:cs="Cambria"/>
          <w:b w:val="false"/>
          <w:bCs w:val="false"/>
          <w:i/>
          <w:iCs/>
          <w:sz w:val="22"/>
          <w:szCs w:val="22"/>
        </w:rPr>
        <w:t>Employment Insurance</w:t>
      </w:r>
      <w:r>
        <w:rPr>
          <w:rFonts w:eastAsia="Cambria" w:cs="Cambria"/>
          <w:b w:val="false"/>
          <w:bCs w:val="false"/>
          <w:i w:val="false"/>
          <w:iCs w:val="false"/>
          <w:sz w:val="22"/>
          <w:szCs w:val="22"/>
        </w:rPr>
        <w:t xml:space="preserve"> (EI, die Arbeitslosenversicherung): Wer rechtmäßig gearbeitet und ausreichend Beitragsstunden gesammelt hat, kann unabhängig von der Staatsangehörigkeit Leistungen beantragen, solange das eigene Work Permit die Arbeitssuche in Kanada nicht ausschließt. Kläre die genauen Voraussetzungen frühzeitig bei Service Canada, statt dich erst im Ernstfall damit zu befassen.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Dieser Abschnitt gibt eine Orientierung, keine Rechtsberatung. Ob eine Kündigungsklausel in deinem Vertrag wirksam ist und welche Frist im Einzelfall gilt, hängt von Provinz, Vertragswortlaut und Rechtsprechung ab. Lass wichtige Arbeitsverträge und jede Kündigung von einer kanadischen Arbeitsrechtskanzlei prüfen.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Arbeitszeitkultur: höflich, indirekt, pünktlich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Standardarbeitswoche liegt bei rund 40 Stunden; ab wann Überstundenzuschläge greifen, legt jede Provinz eigenständig fest, meist zwischen 40 und 44 Wochenstunden. Wichtiger als die reine Stundenzahl ist der Umgangston. Direkte, in Deutschland als „ehrlich und sachlich“ verstandene Kritik gilt in Kanada schnell als unhöflich; Rückmeldungen kommen eher eingepackt in Small Talk und vorsichtige Formulierungen. Auch das gegenseitige Ermahnen bei Regelverstößen, in Deutschland oft selbstverständlich, ist in Kanada unüblich – informelle soziale Kontrolle ist schwächer ausgeprägt, Zurückhaltung wird stärker geschätzt als Eigeninitiative beim Zurechtweisen anderer.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mag anfangs wie ein Mangel an Klarheit wirken, ist aber eher ein anderes Betriebssystem als ein fehlendes. Wer aus Gewohnheit weiterhin „Das funktioniert so nicht“ sagt, wo ein „Könnten wir das noch einmal gemeinsam prüfen?“ genauso viel bewirkt hätte, erntet eher betretenes Schweigen als Zustimmung. Meetings beginnen häufig mit ein paar Minuten Wetter- oder Wochenend-Small-Talk, bevor es zur Sache geht; das zu überspringen wirkt schroffer, als es gemeint ist.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in Kanada zu direkt auftritt, wird nicht als ehrlich gelobt, sondern als schwierig empfunden. Übe die höflichere Formulierung so lange, bis sie sich nicht mehr künstlich anfühlt.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In der Ressourcenindustrie, in der Lukas Berger arbeitet, kommt eine eigene Zeitkultur hinzu: Viele Stellen in der Ölförderung laufen im Schichtbetrieb oder als </w:t>
      </w:r>
      <w:r>
        <w:rPr>
          <w:rFonts w:eastAsia="Cambria" w:cs="Cambria"/>
          <w:b w:val="false"/>
          <w:bCs w:val="false"/>
          <w:i/>
          <w:iCs/>
          <w:sz w:val="22"/>
          <w:szCs w:val="22"/>
        </w:rPr>
        <w:t>Camp Job</w:t>
      </w:r>
      <w:r>
        <w:rPr>
          <w:rFonts w:eastAsia="Cambria" w:cs="Cambria"/>
          <w:b w:val="false"/>
          <w:bCs w:val="false"/>
          <w:i w:val="false"/>
          <w:iCs w:val="false"/>
          <w:sz w:val="22"/>
          <w:szCs w:val="22"/>
        </w:rPr>
        <w:t xml:space="preserve"> mit mehrtägigen Blöcken vor Ort und entsprechend langen freien Phasen danach – ein Rhythmus, den man sich vorab bewusst machen sollte, gerade mit Familie im Hintergrund. Überstunden über die vertraglich vereinbarte Wochenarbeitszeit hinaus sind für die meisten Beschäftigten zuschlagspflichtig; nur bestimmte Führungs- und Fachfunktionen gelten je nach Provinz als davon ausgenommen. Frage im Vorstellungsgespräch offen nach dem tatsächlichen Rhythmus, nicht nur nach der formalen Wochenstundenzahl.</w:t>
      </w:r>
    </w:p>
    <w:p>
      <w:pPr>
        <w:pStyle w:val="Heading3"/>
        <w:keepNext w:val="true"/>
        <w:spacing w:before="280" w:after="100"/>
        <w:jc w:val="center"/>
        <w:rPr/>
      </w:pPr>
      <w:r>
        <w:rPr>
          <w:rFonts w:eastAsia="Amazon Ember" w:cs="Amazon Ember" w:ascii="Amazon Ember" w:hAnsi="Amazon Ember"/>
          <w:b/>
          <w:bCs/>
          <w:color w:val="0000FF"/>
          <w:sz w:val="36"/>
          <w:szCs w:val="36"/>
        </w:rPr>
        <w:t>Networking und Bewerbung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Auch in Kanada werden viele Stellen über Empfehlungen besetzt, bevor sie überhaupt öffentlich ausgeschrieben sind. LinkedIn-Profil auf Englisch, ein knappes, ergebnisorientiertes </w:t>
      </w:r>
      <w:r>
        <w:rPr>
          <w:rFonts w:eastAsia="Cambria" w:cs="Cambria"/>
          <w:b w:val="false"/>
          <w:bCs w:val="false"/>
          <w:i/>
          <w:iCs/>
          <w:sz w:val="22"/>
          <w:szCs w:val="22"/>
        </w:rPr>
        <w:t>Resume</w:t>
      </w:r>
      <w:r>
        <w:rPr>
          <w:rFonts w:eastAsia="Cambria" w:cs="Cambria"/>
          <w:b w:val="false"/>
          <w:bCs w:val="false"/>
          <w:i w:val="false"/>
          <w:iCs w:val="false"/>
          <w:sz w:val="22"/>
          <w:szCs w:val="22"/>
        </w:rPr>
        <w:t xml:space="preserve"> (Lebenslauf ohne Foto, Geburtsdatum oder Familienstand) und, anders als im rein amerikanischen Bewerbungsstil, häufig weiterhin ein kurzes </w:t>
      </w:r>
      <w:r>
        <w:rPr>
          <w:rFonts w:eastAsia="Cambria" w:cs="Cambria"/>
          <w:b w:val="false"/>
          <w:bCs w:val="false"/>
          <w:i/>
          <w:iCs/>
          <w:sz w:val="22"/>
          <w:szCs w:val="22"/>
        </w:rPr>
        <w:t>Cover Letter</w:t>
      </w:r>
      <w:r>
        <w:rPr>
          <w:rFonts w:eastAsia="Cambria" w:cs="Cambria"/>
          <w:b w:val="false"/>
          <w:bCs w:val="false"/>
          <w:i w:val="false"/>
          <w:iCs w:val="false"/>
          <w:sz w:val="22"/>
          <w:szCs w:val="22"/>
        </w:rPr>
        <w:t xml:space="preserve"> (Anschreiben) gehören zum Standard. Berufsverbände, Alumni-Netzwerke der eigenen Hochschule und – für technische Berufe – Fachgesellschaften sind gute Anlaufstellen, ebenso informelle Gespräche mit jemandem in der Zielfirma, um Einblick zu bekommen, nicht um direkt um eine Stelle zu bitten.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iCs/>
                <w:sz w:val="20"/>
                <w:szCs w:val="20"/>
              </w:rPr>
              <w:t>Job Bank</w:t>
            </w:r>
            <w:r>
              <w:rPr>
                <w:rFonts w:eastAsia="Cambria" w:cs="Cambria"/>
                <w:b w:val="false"/>
                <w:bCs w:val="false"/>
                <w:i w:val="false"/>
                <w:iCs w:val="false"/>
                <w:sz w:val="20"/>
                <w:szCs w:val="20"/>
              </w:rPr>
              <w:t xml:space="preserve"> (jobbank.gc.ca), die kostenlose Jobbörse des kanadischen Arbeitsministeriums, bietet neben Stellenanzeigen auch kostenlose Werkzeuge für Lebenslauf und Anschreiben sowie regionale Lohnvergleiche. Viele gemeinnützige Ankommensorganisationen (</w:t>
            </w:r>
            <w:r>
              <w:rPr>
                <w:rFonts w:eastAsia="Cambria" w:cs="Cambria"/>
                <w:b w:val="false"/>
                <w:bCs w:val="false"/>
                <w:i/>
                <w:iCs/>
                <w:sz w:val="20"/>
                <w:szCs w:val="20"/>
              </w:rPr>
              <w:t>Settlement Agencies</w:t>
            </w:r>
            <w:r>
              <w:rPr>
                <w:rFonts w:eastAsia="Cambria" w:cs="Cambria"/>
                <w:b w:val="false"/>
                <w:bCs w:val="false"/>
                <w:i w:val="false"/>
                <w:iCs w:val="false"/>
                <w:sz w:val="20"/>
                <w:szCs w:val="20"/>
              </w:rPr>
              <w:t>) bieten zusätzlich kostenlose Bewerbungsberatung für Neuankömmlinge an; die genaue Berechtigung hängt vom Aufenthaltsstatus ab und lohnt eine kurze Nachfrage vor Ort.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Im Vorstellungsgespräch selbst zählt Pünktlichkeit als selbstverständlich, Verspätung ohne Vorwarnung gilt als schwerer Fauxpas, als es in manchen südeuropäischen oder auch deutschen Betrieben empfunden würde. Verhaltensfragen nach dem Muster „Erzähl mir von einer Situation, in der …“ beantwortest du am besten strukturiert mit Situation, Aufgabe, Handlung und Ergebnis, in der Ich-Form – „wir“ zu sagen, wo „ich“ gemeint ist, wirkt auch hier eher bescheiden als überzeugend. Für reglementierte Berufe (Medizin, Pflege, bestimmte Ingenieurdisziplinen mit Berufsordnung, Lehramt) braucht es außerdem eine Anerkennung der Qualifikation durch die zuständige Provinzbehörde oder Berufskammer, bevor du unter dem geschützten Titel arbeiten darfst; für die meisten Ingenieur- und IT-Stellen dagegen ist der ausländische Abschluss ein Qualifikationsnachweis unter vielen, keine Zulassungsvoraussetzung.</w:t>
      </w:r>
    </w:p>
    <w:p>
      <w:pPr>
        <w:pStyle w:val="Heading3"/>
        <w:keepNext w:val="true"/>
        <w:spacing w:before="280" w:after="100"/>
        <w:jc w:val="center"/>
        <w:rPr/>
      </w:pPr>
      <w:r>
        <w:rPr>
          <w:rFonts w:eastAsia="Amazon Ember" w:cs="Amazon Ember" w:ascii="Amazon Ember" w:hAnsi="Amazon Ember"/>
          <w:b/>
          <w:bCs/>
          <w:color w:val="0000FF"/>
          <w:sz w:val="36"/>
          <w:szCs w:val="36"/>
        </w:rPr>
        <w:t>Jobwechsel mit Work Permit: Was das LMIA-pflichtige Visum bedeutet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Kanadier und für Inhaber der permanenten Aufenthaltserlaubnis ist ein Arbeitgeberwechsel reine Formsache – wer wie Familie Ahrens direkt mit der permanenten Aufenthaltserlaubnis über Express Entry eingereist ist, kann von Anfang an für jeden Arbeitgeber im Land arbeiten, ganz ohne zusätzliches Verfahren. Ganz anders sieht es aus, solange du mit einem befristeten, arbeitgebergebundenen </w:t>
      </w:r>
      <w:r>
        <w:rPr>
          <w:rFonts w:eastAsia="Cambria" w:cs="Cambria"/>
          <w:b w:val="false"/>
          <w:bCs w:val="false"/>
          <w:i/>
          <w:iCs/>
          <w:sz w:val="22"/>
          <w:szCs w:val="22"/>
        </w:rPr>
        <w:t>Work Permit</w:t>
      </w:r>
      <w:r>
        <w:rPr>
          <w:rFonts w:eastAsia="Cambria" w:cs="Cambria"/>
          <w:b w:val="false"/>
          <w:bCs w:val="false"/>
          <w:i w:val="false"/>
          <w:iCs w:val="false"/>
          <w:sz w:val="22"/>
          <w:szCs w:val="22"/>
        </w:rPr>
        <w:t xml:space="preserve"> im Land bist – dem Weg, den Lukas Berger als LMIA-pflichtiger Ölingenieur gegangen ist (siehe das </w:t>
      </w:r>
      <w:hyperlink w:anchor="tka03">
        <w:r>
          <w:rPr>
            <w:rStyle w:val="ListLabel113"/>
            <w:rFonts w:eastAsia="Cambria" w:cs="Cambria"/>
            <w:b w:val="false"/>
            <w:bCs w:val="false"/>
            <w:i w:val="false"/>
            <w:iCs w:val="false"/>
            <w:color w:val="0563C1"/>
            <w:sz w:val="22"/>
            <w:szCs w:val="22"/>
            <w:u w:val="single"/>
          </w:rPr>
          <w:t>Kapitel zum Arbeitsweg in diesem Teil</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solches Work Permit ist nicht einfach eine Arbeitserlaubnis, sondern an vier feste Bedingungen gekoppelt: einen bestimmten Arbeitgeber, eine bestimmte Tätigkeit (klassifiziert nach dem </w:t>
      </w:r>
      <w:r>
        <w:rPr>
          <w:rFonts w:eastAsia="Cambria" w:cs="Cambria"/>
          <w:b w:val="false"/>
          <w:bCs w:val="false"/>
          <w:i/>
          <w:iCs/>
          <w:sz w:val="22"/>
          <w:szCs w:val="22"/>
        </w:rPr>
        <w:t>NOC</w:t>
      </w:r>
      <w:r>
        <w:rPr>
          <w:rFonts w:eastAsia="Cambria" w:cs="Cambria"/>
          <w:b w:val="false"/>
          <w:bCs w:val="false"/>
          <w:i w:val="false"/>
          <w:iCs w:val="false"/>
          <w:sz w:val="22"/>
          <w:szCs w:val="22"/>
        </w:rPr>
        <w:t xml:space="preserve">, dem </w:t>
      </w:r>
      <w:r>
        <w:rPr>
          <w:rFonts w:eastAsia="Cambria" w:cs="Cambria"/>
          <w:b w:val="false"/>
          <w:bCs w:val="false"/>
          <w:i/>
          <w:iCs/>
          <w:sz w:val="22"/>
          <w:szCs w:val="22"/>
        </w:rPr>
        <w:t>National Occupational Classification</w:t>
      </w:r>
      <w:r>
        <w:rPr>
          <w:rFonts w:eastAsia="Cambria" w:cs="Cambria"/>
          <w:b w:val="false"/>
          <w:bCs w:val="false"/>
          <w:i w:val="false"/>
          <w:iCs w:val="false"/>
          <w:sz w:val="22"/>
          <w:szCs w:val="22"/>
        </w:rPr>
        <w:t>-Berufscode), einen bestimmten Arbeitsort und eine feste Gültigkeitsdauer. Ändert sich einer dieser vier Punkte, reicht die bestehende Erlaubnis nicht mehr aus.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Willst du zu einem neuen Arbeitgeber wechseln, muss dieser in aller Regel zunächst selbst eine positive </w:t>
      </w:r>
      <w:r>
        <w:rPr>
          <w:rFonts w:eastAsia="Cambria" w:cs="Cambria"/>
          <w:b w:val="false"/>
          <w:bCs w:val="false"/>
          <w:i/>
          <w:iCs/>
          <w:sz w:val="22"/>
          <w:szCs w:val="22"/>
        </w:rPr>
        <w:t>Labour Market Impact Assessment</w:t>
      </w:r>
      <w:r>
        <w:rPr>
          <w:rFonts w:eastAsia="Cambria" w:cs="Cambria"/>
          <w:b w:val="false"/>
          <w:bCs w:val="false"/>
          <w:i w:val="false"/>
          <w:iCs w:val="false"/>
          <w:sz w:val="22"/>
          <w:szCs w:val="22"/>
        </w:rPr>
        <w:t xml:space="preserve"> (LMIA, die Arbeitsmarktprüfung von Employment and Social Development Canada) für die konkrete Stelle einholen – die LMIA deines bisherigen Arbeitgebers gilt ausschließlich für ihn und ist nicht übertragbar. Das kostet den neuen Arbeitgeber 1.000 CAD, nicht erstattungsfähig und gesetzlich nicht auf dich abwälzbar, und dauert je nach Berufsgruppe und Lohnstream Wochen bis mehrere Monate: Beim besonders schnellen Global-Talent-Stream sind es nach den Zielwerten der Behörde rund zehn Werktage, bei einer gewöhnlichen High-Wage-Stelle können es rund 88 Werktage werden (ESDC-Zielwerte, Stand August 2026 – aktuelle Werte vor jeder Planung neu prüfen). Erst nach positiver LMIA stellt der neue Arbeitgeber dir gegenüber die Grundlage, mit der du selbst bei der Einwanderungsbehörde IRCC ein neues Work Permit beantragst (Gebühr 155 CAD, zuzüglich 85 CAD Biometrie, falls noch nicht hinterlegt).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Wer aus dem US-Teil dieses Buches oder aus Berichten über den amerikanischen H-1B-Transfer eine ähnliche Regelung erwartet, geht oft davon aus, mit der bloßen Antragstellung beim neuen Arbeitgeber schon anfangen zu dürfen. Genau das gilt in Kanada in der Regel nicht: Solange du nicht schon zuvor ein gültiges, auf diesen Arbeitgeber ausgestelltes Work Permit besitzt, darfst du beim neuen Arbeitgeber erst arbeiten, wenn das neue Permit tatsächlich genehmigt ist – der bloße Eingang des Antrags reicht anders als in den USA nicht aus. Die sogenannte „aufrechterhaltene Zulassung“ (</w:t>
      </w:r>
      <w:r>
        <w:rPr>
          <w:rFonts w:eastAsia="Cambria" w:cs="Cambria"/>
          <w:b w:val="false"/>
          <w:bCs w:val="false"/>
          <w:i/>
          <w:iCs/>
          <w:sz w:val="22"/>
          <w:szCs w:val="22"/>
        </w:rPr>
        <w:t>Maintained Status</w:t>
      </w:r>
      <w:r>
        <w:rPr>
          <w:rFonts w:eastAsia="Cambria" w:cs="Cambria"/>
          <w:b w:val="false"/>
          <w:bCs w:val="false"/>
          <w:i w:val="false"/>
          <w:iCs w:val="false"/>
          <w:sz w:val="22"/>
          <w:szCs w:val="22"/>
        </w:rPr>
        <w:t xml:space="preserve">, umgangssprachlich </w:t>
      </w:r>
      <w:r>
        <w:rPr>
          <w:rFonts w:eastAsia="Cambria" w:cs="Cambria"/>
          <w:b w:val="false"/>
          <w:bCs w:val="false"/>
          <w:i/>
          <w:iCs/>
          <w:sz w:val="22"/>
          <w:szCs w:val="22"/>
        </w:rPr>
        <w:t>Implied Status</w:t>
      </w:r>
      <w:r>
        <w:rPr>
          <w:rFonts w:eastAsia="Cambria" w:cs="Cambria"/>
          <w:b w:val="false"/>
          <w:bCs w:val="false"/>
          <w:i w:val="false"/>
          <w:iCs w:val="false"/>
          <w:sz w:val="22"/>
          <w:szCs w:val="22"/>
        </w:rPr>
        <w:t>) hilft dir nur, wenn du deinen bestehenden Antrag beim selben Arbeitgeber vor Ablauf verlängerst; sie erlaubt keinen vorzeitigen Start bei einem neuen Arbeitgeber.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Kündige beim bisherigen Arbeitgeber nie, bevor dein neues Work Permit genehmigt ist, nicht schon bei Antragstellung. Wer vorzeitig beim neuen Arbeitgeber anfängt, arbeitet ohne gültige Erlaubnis – mit Risiko für Status und künftige Anträge, auch bei bester Absicht auf beiden Seiten.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Es gibt Auswege, die den Prozess beschleunigen oder ganz überflüssig machen. Ist der neue Arbeitgeber von der LMIA-Pflicht befreit (</w:t>
      </w:r>
      <w:r>
        <w:rPr>
          <w:rFonts w:eastAsia="Cambria" w:cs="Cambria"/>
          <w:b w:val="false"/>
          <w:bCs w:val="false"/>
          <w:i/>
          <w:iCs/>
          <w:sz w:val="22"/>
          <w:szCs w:val="22"/>
        </w:rPr>
        <w:t>LMIA-exempt</w:t>
      </w:r>
      <w:r>
        <w:rPr>
          <w:rFonts w:eastAsia="Cambria" w:cs="Cambria"/>
          <w:b w:val="false"/>
          <w:bCs w:val="false"/>
          <w:i w:val="false"/>
          <w:iCs w:val="false"/>
          <w:sz w:val="22"/>
          <w:szCs w:val="22"/>
        </w:rPr>
        <w:t xml:space="preserve">, etwa bei bestimmten konzerninternen Transfers oder Handelsabkommen wie CETA für einzelne Berufsgruppen), entfällt der zeitaufwendigste Schritt, und nur das neue Work Permit selbst ist noch nötig. Hast du bereits ein PR-Verfahren über Express Entry angestoßen und wartet dein bestehendes Work Permit auf den Ablauf, kann unter bestimmten Voraussetzungen ein </w:t>
      </w:r>
      <w:r>
        <w:rPr>
          <w:rFonts w:eastAsia="Cambria" w:cs="Cambria"/>
          <w:b w:val="false"/>
          <w:bCs w:val="false"/>
          <w:i/>
          <w:iCs/>
          <w:sz w:val="22"/>
          <w:szCs w:val="22"/>
        </w:rPr>
        <w:t>Bridging Open Work Permit</w:t>
      </w:r>
      <w:r>
        <w:rPr>
          <w:rFonts w:eastAsia="Cambria" w:cs="Cambria"/>
          <w:b w:val="false"/>
          <w:bCs w:val="false"/>
          <w:i w:val="false"/>
          <w:iCs w:val="false"/>
          <w:sz w:val="22"/>
          <w:szCs w:val="22"/>
        </w:rPr>
        <w:t xml:space="preserve"> (Überbrückungs-Arbeitsvisum ohne Arbeitgeberbindung) greifen, mit dem du bis zur endgültigen Entscheidung für praktisch jeden Arbeitgeber arbeiten darfst. Und wer in einem eindeutig missbräuchlichen Arbeitsverhältnis steckt, kann bei IRCC ein offenes Arbeitsvisum für gefährdete Arbeitnehmer (</w:t>
      </w:r>
      <w:r>
        <w:rPr>
          <w:rFonts w:eastAsia="Cambria" w:cs="Cambria"/>
          <w:b w:val="false"/>
          <w:bCs w:val="false"/>
          <w:i/>
          <w:iCs/>
          <w:sz w:val="22"/>
          <w:szCs w:val="22"/>
        </w:rPr>
        <w:t>Open Work Permit for Vulnerable Workers</w:t>
      </w:r>
      <w:r>
        <w:rPr>
          <w:rFonts w:eastAsia="Cambria" w:cs="Cambria"/>
          <w:b w:val="false"/>
          <w:bCs w:val="false"/>
          <w:i w:val="false"/>
          <w:iCs w:val="false"/>
          <w:sz w:val="22"/>
          <w:szCs w:val="22"/>
        </w:rPr>
        <w:t>) beantragen, um den Arbeitgeber sofort verlassen zu können, ohne erst eine neue LMIA des nächsten Arbeitgebers abzuwarten.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Deutlich einfacher haben es Inhaber eines offenen Arbeitsvisums (</w:t>
      </w:r>
      <w:r>
        <w:rPr>
          <w:rFonts w:eastAsia="Cambria" w:cs="Cambria"/>
          <w:b w:val="false"/>
          <w:bCs w:val="false"/>
          <w:i/>
          <w:iCs/>
          <w:sz w:val="22"/>
          <w:szCs w:val="22"/>
        </w:rPr>
        <w:t>Open Work Permit</w:t>
      </w:r>
      <w:r>
        <w:rPr>
          <w:rFonts w:eastAsia="Cambria" w:cs="Cambria"/>
          <w:b w:val="false"/>
          <w:bCs w:val="false"/>
          <w:i w:val="false"/>
          <w:iCs w:val="false"/>
          <w:sz w:val="22"/>
          <w:szCs w:val="22"/>
        </w:rPr>
        <w:t xml:space="preserve">) – etwa nach einem </w:t>
      </w:r>
      <w:r>
        <w:rPr>
          <w:rFonts w:eastAsia="Cambria" w:cs="Cambria"/>
          <w:b w:val="false"/>
          <w:bCs w:val="false"/>
          <w:i/>
          <w:iCs/>
          <w:sz w:val="22"/>
          <w:szCs w:val="22"/>
        </w:rPr>
        <w:t>Post-Graduation Work Permit</w:t>
      </w:r>
      <w:r>
        <w:rPr>
          <w:rFonts w:eastAsia="Cambria" w:cs="Cambria"/>
          <w:b w:val="false"/>
          <w:bCs w:val="false"/>
          <w:i w:val="false"/>
          <w:iCs w:val="false"/>
          <w:sz w:val="22"/>
          <w:szCs w:val="22"/>
        </w:rPr>
        <w:t xml:space="preserve"> (PGWP) nach einem kanadischen Studienabschluss oder als mitreisender Ehepartner eines Hauptantragstellers. Ein offenes Visum ist nicht an einen einzelnen Arbeitgeber gebunden; ein Wechsel braucht dann in aller Regel weder eine neue LMIA noch ein neues Permit, von wenigen ausgeschlossenen Arbeitgeberkategorien abgesehen.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Lukas Berger (fiktives Beispiel) arbeitet seit gut zwei Jahren mit seinem LMIA-pflichtigen Work Permit als Ölingenieur in Calgary, als ihm ein Wettbewerber ein spürbar besseres Angebot macht. Aus Gewohnheit will er kündigen, sobald der neue Vertrag unterschrieben ist – bis ihn eine Kollegin warnt, das sei in Kanada anders als in Deutschland oder den USA. Der neue Arbeitgeber beantragt zunächst eine LMIA im High-Wage-Stream; die Bearbeitung zieht sich über elf Wochen. Erst danach reicht Lukas sein neues Work Permit ein, wartet weitere Wochen auf die Genehmigung und kündigt seinen bisherigen Job erst, als die Bestätigung in seinem IRCC-Konto erscheint. Zwischen erstem Angebot und erstem Arbeitstag beim neuen Arbeitgeber liegen gut vier Monate – Zeit, die er einplant, statt sich zu ärgern.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Kündigungen ohne Grund sind möglich, aber immer mit Frist oder Ausgleich verbunden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deutsches Kündigungsschutzgesetz; die gesetzliche Mindestfrist ist oft kurz</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Höflicher, konfliktarmer Umgangston im Team</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Direkte Kritik wird schnell als unhöflich empfunden, Feedback bleibt vage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Permanente Aufenthaltserlaubnis (wie bei Familie Ahrens) macht von Anfang an frei bei der Arbeitgeberwahl</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LMIA-pflichtiges Work Permit bindet dich fest an einen Arbeitgeber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Offene Arbeitsvisa (PGWP, Ehepartner) erlauben Wechsel ohne neuen Antrag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Arbeitgeberwechsel mit LMIA-pflichtigem Visum kann Monate dauern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Kostenlose Jobbörsen und Ankommensorganisationen unterstützen die Jobsuche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Urlaubsminimum von zwei Wochen liegt deutlich unter deutschem Niveau</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Kläre schon beim Vertragsabschluss, welches Provinzrecht gilt, wie deine Kündigungsklausel formuliert ist und wie hoch dein tatsächlicher Urlaubsanspruch ausfällt. Bist du mit einem arbeitgebergebundenen Work Permit im Land, plane jeden Arbeitgeberwechsel als mehrmonatiges Verwaltungsverfahren, nicht als spontanen Schritt: neue LMIA und neues Permit zuerst, Kündigung danach.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Arbeitsvertrag mit dem gesetzlichen Minimum der zuständigen Provinz verglichen (Urlaub, Kündigungsfrist, Krankheitstage).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Geklärt, ob eine Kündigungsklausel im Vertrag auf das gesetzliche Minimum begrenzt oder unklar formuliert ist.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Eigenen Visumstyp geprüft: arbeitgebergebundenes (LMIA-pflichtiges) oder offenes Work Permit.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geplantem Arbeitgeberwechsel: LMIA-Bearbeitungszeit des passenden Streams realistisch eingeplant.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Erst gekündigt, wenn das neue Work Permit tatsächlich genehmigt ist, nicht schon bei Antragstellung.</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Geprüft, ob der neue Arbeitgeber LMIA-befreit ist oder ein Bridging Open Work Permit infrage kommt.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LinkedIn-Profil und Resume auf kanadisches Format gebracht, Cover Letter vorbereitet.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Kostenlose Angebote von Job Bank und lokalen Ankommensorganisationen genutzt.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Employment and Social Development Canada (ESDC) – LMIA-Prozess und Bearbeitungszeiten: </w:t>
      </w:r>
      <w:hyperlink r:id="rId628">
        <w:r>
          <w:rPr>
            <w:rStyle w:val="ListLabel113"/>
            <w:rFonts w:eastAsia="Cambria" w:cs="Cambria"/>
            <w:b w:val="false"/>
            <w:bCs w:val="false"/>
            <w:i w:val="false"/>
            <w:iCs w:val="false"/>
            <w:color w:val="0563C1"/>
            <w:sz w:val="22"/>
            <w:szCs w:val="22"/>
            <w:u w:val="single"/>
          </w:rPr>
          <w:t>canada.ca/en/employment-social-development/services/foreign-workers</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Immigration, Refugees and Citizenship Canada (IRCC) – Work Permit, Arbeitgeberwechsel, Bridging Open Work Permit: </w:t>
      </w:r>
      <w:hyperlink r:id="rId629">
        <w:r>
          <w:rPr>
            <w:rStyle w:val="ListLabel113"/>
            <w:rFonts w:eastAsia="Cambria" w:cs="Cambria"/>
            <w:b w:val="false"/>
            <w:bCs w:val="false"/>
            <w:i w:val="false"/>
            <w:iCs w:val="false"/>
            <w:color w:val="0563C1"/>
            <w:sz w:val="22"/>
            <w:szCs w:val="22"/>
            <w:u w:val="single"/>
          </w:rPr>
          <w:t>canada.ca/en/immigration-refugees-citizenship/services/work-canada</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IRCC – Offenes Arbeitsvisum für gefährdete Arbeitnehmer: </w:t>
      </w:r>
      <w:hyperlink r:id="rId630">
        <w:r>
          <w:rPr>
            <w:rStyle w:val="ListLabel113"/>
            <w:rFonts w:eastAsia="Cambria" w:cs="Cambria"/>
            <w:b w:val="false"/>
            <w:bCs w:val="false"/>
            <w:i w:val="false"/>
            <w:iCs w:val="false"/>
            <w:color w:val="0563C1"/>
            <w:sz w:val="22"/>
            <w:szCs w:val="22"/>
            <w:u w:val="single"/>
          </w:rPr>
          <w:t>canada.ca/en/immigration-refugees-citizenship/services/work-canada/permit/temporary/vulnerable-workers.html</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Job Bank (ESDC) – Stellensuche, Lebenslauf-Hilfe, Lohnvergleiche: </w:t>
      </w:r>
      <w:hyperlink r:id="rId631">
        <w:r>
          <w:rPr>
            <w:rStyle w:val="ListLabel113"/>
            <w:rFonts w:eastAsia="Cambria" w:cs="Cambria"/>
            <w:b w:val="false"/>
            <w:bCs w:val="false"/>
            <w:i w:val="false"/>
            <w:iCs w:val="false"/>
            <w:color w:val="0563C1"/>
            <w:sz w:val="22"/>
            <w:szCs w:val="22"/>
            <w:u w:val="single"/>
          </w:rPr>
          <w:t>jobbank.gc.ca</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Ontario – Employment Standards Act, Kündigungsfristen und Urlaub: </w:t>
      </w:r>
      <w:hyperlink r:id="rId632">
        <w:r>
          <w:rPr>
            <w:rStyle w:val="ListLabel113"/>
            <w:rFonts w:eastAsia="Cambria" w:cs="Cambria"/>
            <w:b w:val="false"/>
            <w:bCs w:val="false"/>
            <w:i w:val="false"/>
            <w:iCs w:val="false"/>
            <w:color w:val="0563C1"/>
            <w:sz w:val="22"/>
            <w:szCs w:val="22"/>
            <w:u w:val="single"/>
          </w:rPr>
          <w:t>ontario.ca/document/your-guide-employment-standards-act-0</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Alberta – Employment Standards Code: </w:t>
      </w:r>
      <w:hyperlink r:id="rId633">
        <w:r>
          <w:rPr>
            <w:rStyle w:val="ListLabel113"/>
            <w:rFonts w:eastAsia="Cambria" w:cs="Cambria"/>
            <w:b w:val="false"/>
            <w:bCs w:val="false"/>
            <w:i w:val="false"/>
            <w:iCs w:val="false"/>
            <w:color w:val="0563C1"/>
            <w:sz w:val="22"/>
            <w:szCs w:val="22"/>
            <w:u w:val="single"/>
          </w:rPr>
          <w:t>alberta.ca/employment-standards</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schnell: LMIA-Bearbeitungszeiten je Stream, die Employment-Standards-Regeln der einzelnen Provinzen (Urlaub, Kündigungsfristen, Krankheitstage) sowie die IRCC-Gebühren. Arbeitsrecht ist überwiegend Provinzrecht: Prüfe vor jeder Entscheidung die Seiten deiner Zielprovinz und lass Arbeitsverträge sowie Kündigungen anwaltlich prüfen.</w:t>
            </w:r>
          </w:p>
        </w:tc>
      </w:tr>
    </w:tbl>
    <w:p>
      <w:pPr>
        <w:pStyle w:val="Normal"/>
        <w:spacing w:lineRule="exact" w:line="220" w:before="0" w:after="0"/>
        <w:rPr/>
      </w:pPr>
      <w:r>
        <w:rPr/>
      </w:r>
      <w:r>
        <w:br w:type="page"/>
      </w:r>
    </w:p>
    <w:p>
      <w:pPr>
        <w:pStyle w:val="Heading2"/>
        <w:keepNext w:val="true"/>
        <w:spacing w:before="0" w:after="300"/>
        <w:jc w:val="center"/>
        <w:rPr/>
      </w:pPr>
      <w:bookmarkStart w:id="165" w:name="__RefHeading___Toc56595_3769931028"/>
      <w:bookmarkStart w:id="166" w:name="tka15"/>
      <w:bookmarkEnd w:id="165"/>
      <w:r>
        <w:rPr>
          <w:rFonts w:eastAsia="Amazon Ember" w:cs="Amazon Ember" w:ascii="Amazon Ember" w:hAnsi="Amazon Ember"/>
          <w:b/>
          <w:bCs/>
          <w:color w:val="0000FF"/>
          <w:sz w:val="36"/>
          <w:szCs w:val="36"/>
        </w:rPr>
        <w:t>Kanada: Recht, Sicherheit und Polizeikontakt</w:t>
      </w:r>
      <w:bookmarkEnd w:id="166"/>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Lukas Berger ist auf dem Highway nördlich von Calgary unterwegs zu einer Förderanlage, als im Rückspiegel die rot-weiße Lichterreihe eines Streifenwagens der </w:t>
      </w:r>
      <w:r>
        <w:rPr>
          <w:rFonts w:eastAsia="Cambria" w:cs="Cambria"/>
          <w:b w:val="false"/>
          <w:bCs w:val="false"/>
          <w:i/>
          <w:iCs/>
          <w:sz w:val="22"/>
          <w:szCs w:val="22"/>
        </w:rPr>
        <w:t>Royal Canadian Mounted Police</w:t>
      </w:r>
      <w:r>
        <w:rPr>
          <w:rFonts w:eastAsia="Cambria" w:cs="Cambria"/>
          <w:b w:val="false"/>
          <w:bCs w:val="false"/>
          <w:i w:val="false"/>
          <w:iCs w:val="false"/>
          <w:sz w:val="22"/>
          <w:szCs w:val="22"/>
        </w:rPr>
        <w:t xml:space="preserve"> (RCMP, die kanadische Bundespolizei) auftaucht. Er fährt rechts ran, wie er es aus Deutschland gewohnt ist – und wartet dann, reglos, die Hände am Lenkrad, bis der Beamte ans Fenster tritt. Der Themenwechsel von der Autobahnkontrolle zu Hause zur formelleren kanadischen Variante ist klein, aber er zeigt gut, worum es in diesem Kapitel geht: Kanada ist beim Alltagsrecht nicht die USA und nicht Deutschland, sondern sein eigenes, drittes System – höflicher formuliert als beides, aber keineswegs beliebig.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Kanada hat kein einheitliches Polizeisystem: Bundespolizei RCMP, eigenständige Provinzpolizeien in Ontario und Québec sowie viele städtische Polizeien arbeiten nebeneinander.</w:t>
            </w:r>
          </w:p>
          <w:p>
            <w:pPr>
              <w:pStyle w:val="ListParagraph"/>
              <w:numPr>
                <w:ilvl w:val="0"/>
                <w:numId w:val="1"/>
              </w:numPr>
              <w:spacing w:lineRule="exact" w:line="264" w:before="0" w:after="50"/>
              <w:rPr/>
            </w:pPr>
            <w:r>
              <w:rPr>
                <w:rFonts w:eastAsia="Cambria" w:cs="Cambria"/>
                <w:b w:val="false"/>
                <w:bCs w:val="false"/>
                <w:i w:val="false"/>
                <w:iCs w:val="false"/>
                <w:sz w:val="20"/>
                <w:szCs w:val="20"/>
              </w:rPr>
              <w:t>Bei einer Verkehrskontrolle bleibst du im Auto, hältst die Hände sichtbar und kündigst jede Bewegung vorher an; Name und Dienstnummer des Beamten darfst du erfragen.</w:t>
            </w:r>
          </w:p>
          <w:p>
            <w:pPr>
              <w:pStyle w:val="ListParagraph"/>
              <w:numPr>
                <w:ilvl w:val="0"/>
                <w:numId w:val="1"/>
              </w:numPr>
              <w:spacing w:lineRule="exact" w:line="264" w:before="0" w:after="50"/>
              <w:rPr/>
            </w:pPr>
            <w:r>
              <w:rPr>
                <w:rFonts w:eastAsia="Cambria" w:cs="Cambria"/>
                <w:b w:val="false"/>
                <w:bCs w:val="false"/>
                <w:i w:val="false"/>
                <w:iCs w:val="false"/>
                <w:sz w:val="20"/>
                <w:szCs w:val="20"/>
              </w:rPr>
              <w:t>Waffenrecht ist deutlich reguliert: Handfeuerwaffen-Neuerwerb ist seit 2022 eingefroren, ein laufendes Rückkaufprogramm für „Assault-Style“-Waffen läuft 2026 mit Amnestiefrist bis 30. Oktober.</w:t>
            </w:r>
          </w:p>
          <w:p>
            <w:pPr>
              <w:pStyle w:val="ListParagraph"/>
              <w:numPr>
                <w:ilvl w:val="0"/>
                <w:numId w:val="1"/>
              </w:numPr>
              <w:spacing w:lineRule="exact" w:line="264" w:before="0" w:after="50"/>
              <w:rPr/>
            </w:pPr>
            <w:r>
              <w:rPr>
                <w:rFonts w:eastAsia="Cambria" w:cs="Cambria"/>
                <w:b w:val="false"/>
                <w:bCs w:val="false"/>
                <w:i w:val="false"/>
                <w:iCs w:val="false"/>
                <w:sz w:val="20"/>
                <w:szCs w:val="20"/>
              </w:rPr>
              <w:t>Cannabis ist bundesweit legal seit 2018 – ein grundlegender Unterschied zu den USA, wo es bundesrechtlich weiterhin verboten bleibt; an der Grenze zu den USA darfst du trotzdem keinen Krümel mitnehmen.</w:t>
            </w:r>
          </w:p>
          <w:p>
            <w:pPr>
              <w:pStyle w:val="ListParagraph"/>
              <w:numPr>
                <w:ilvl w:val="0"/>
                <w:numId w:val="1"/>
              </w:numPr>
              <w:spacing w:lineRule="exact" w:line="264" w:before="0" w:after="50"/>
              <w:rPr/>
            </w:pPr>
            <w:r>
              <w:rPr>
                <w:rFonts w:eastAsia="Cambria" w:cs="Cambria"/>
                <w:b w:val="false"/>
                <w:bCs w:val="false"/>
                <w:i w:val="false"/>
                <w:iCs w:val="false"/>
                <w:sz w:val="20"/>
                <w:szCs w:val="20"/>
              </w:rPr>
              <w:t>Waldbrände im Westen und Winterstürme im Osten verlangen eigene Vorsorge: Warn-Apps, Notvorrat und die richtige Versicherung.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Rechtssystem und die Polizei in Kurzform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Kanada folgt wie Großbritannien dem </w:t>
      </w:r>
      <w:r>
        <w:rPr>
          <w:rFonts w:eastAsia="Cambria" w:cs="Cambria"/>
          <w:b w:val="false"/>
          <w:bCs w:val="false"/>
          <w:i/>
          <w:iCs/>
          <w:sz w:val="22"/>
          <w:szCs w:val="22"/>
        </w:rPr>
        <w:t>Common Law</w:t>
      </w:r>
      <w:r>
        <w:rPr>
          <w:rFonts w:eastAsia="Cambria" w:cs="Cambria"/>
          <w:b w:val="false"/>
          <w:bCs w:val="false"/>
          <w:i w:val="false"/>
          <w:iCs w:val="false"/>
          <w:sz w:val="22"/>
          <w:szCs w:val="22"/>
        </w:rPr>
        <w:t xml:space="preserve"> (Fallrecht, das stark auf Präzedenzfällen und Richterrecht aufbaut), mit Ausnahme von Québec, das für Zivilsachen ein eigenes, am französischen Recht orientiertes Zivilgesetzbuch (</w:t>
      </w:r>
      <w:r>
        <w:rPr>
          <w:rFonts w:eastAsia="Cambria" w:cs="Cambria"/>
          <w:b w:val="false"/>
          <w:bCs w:val="false"/>
          <w:i/>
          <w:iCs/>
          <w:sz w:val="22"/>
          <w:szCs w:val="22"/>
        </w:rPr>
        <w:t>Code civil du Québec</w:t>
      </w:r>
      <w:r>
        <w:rPr>
          <w:rFonts w:eastAsia="Cambria" w:cs="Cambria"/>
          <w:b w:val="false"/>
          <w:bCs w:val="false"/>
          <w:i w:val="false"/>
          <w:iCs w:val="false"/>
          <w:sz w:val="22"/>
          <w:szCs w:val="22"/>
        </w:rPr>
        <w:t xml:space="preserve">) hat. Strafrecht dagegen ist bundesweit einheitlich im </w:t>
      </w:r>
      <w:r>
        <w:rPr>
          <w:rFonts w:eastAsia="Cambria" w:cs="Cambria"/>
          <w:b w:val="false"/>
          <w:bCs w:val="false"/>
          <w:i/>
          <w:iCs/>
          <w:sz w:val="22"/>
          <w:szCs w:val="22"/>
        </w:rPr>
        <w:t>Criminal Code</w:t>
      </w:r>
      <w:r>
        <w:rPr>
          <w:rFonts w:eastAsia="Cambria" w:cs="Cambria"/>
          <w:b w:val="false"/>
          <w:bCs w:val="false"/>
          <w:i w:val="false"/>
          <w:iCs w:val="false"/>
          <w:sz w:val="22"/>
          <w:szCs w:val="22"/>
        </w:rPr>
        <w:t xml:space="preserve"> geregelt – anders als in den USA, wo jeder Bundesstaat sein eigenes Strafgesetz hat. Was sich zwischen den Provinzen unterscheidet, ist vor allem die Umsetzung: Verkehrsrecht, Polizeiorganisation und viele Ordnungsvorschriften sind Provinzsache.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Polizei arbeitet dabei mehrschichtig. Die RCMP ist Bundespolizei und übernimmt zugleich in den meisten Provinzen (außer Ontario und Québec, die eigene Provinzpolizeien betreiben, </w:t>
      </w:r>
      <w:r>
        <w:rPr>
          <w:rFonts w:eastAsia="Cambria" w:cs="Cambria"/>
          <w:b w:val="false"/>
          <w:bCs w:val="false"/>
          <w:i/>
          <w:iCs/>
          <w:sz w:val="22"/>
          <w:szCs w:val="22"/>
        </w:rPr>
        <w:t>Ontario Provincial Police</w:t>
      </w:r>
      <w:r>
        <w:rPr>
          <w:rFonts w:eastAsia="Cambria" w:cs="Cambria"/>
          <w:b w:val="false"/>
          <w:bCs w:val="false"/>
          <w:i w:val="false"/>
          <w:iCs w:val="false"/>
          <w:sz w:val="22"/>
          <w:szCs w:val="22"/>
        </w:rPr>
        <w:t xml:space="preserve"> und </w:t>
      </w:r>
      <w:r>
        <w:rPr>
          <w:rFonts w:eastAsia="Cambria" w:cs="Cambria"/>
          <w:b w:val="false"/>
          <w:bCs w:val="false"/>
          <w:i/>
          <w:iCs/>
          <w:sz w:val="22"/>
          <w:szCs w:val="22"/>
        </w:rPr>
        <w:t>Sûreté du Québec</w:t>
      </w:r>
      <w:r>
        <w:rPr>
          <w:rFonts w:eastAsia="Cambria" w:cs="Cambria"/>
          <w:b w:val="false"/>
          <w:bCs w:val="false"/>
          <w:i w:val="false"/>
          <w:iCs w:val="false"/>
          <w:sz w:val="22"/>
          <w:szCs w:val="22"/>
        </w:rPr>
        <w:t>) im Auftrag auch die alltägliche Provinz- und oft Kommunalpolizei. Größere Städte wie Toronto, Vancouver oder Calgary haben zusätzlich eigene städtische Polizeibehörden. Für dich als Neuankömmling bedeutet das: Wer genau vor dir steht – RCMP, Provinzpolizei oder Stadtpolizei –, hängt vom Ort ab, die Grundregeln im Umgang bleiben aber gleich.</w:t>
      </w:r>
    </w:p>
    <w:p>
      <w:pPr>
        <w:pStyle w:val="Heading3"/>
        <w:keepNext w:val="true"/>
        <w:spacing w:before="280" w:after="100"/>
        <w:jc w:val="center"/>
        <w:rPr/>
      </w:pPr>
      <w:r>
        <w:rPr>
          <w:rFonts w:eastAsia="Amazon Ember" w:cs="Amazon Ember" w:ascii="Amazon Ember" w:hAnsi="Amazon Ember"/>
          <w:b/>
          <w:bCs/>
          <w:color w:val="0000FF"/>
          <w:sz w:val="36"/>
          <w:szCs w:val="36"/>
        </w:rPr>
        <w:t>Verhalten bei einer Verkehrskontrolle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Blaulicht fährst du, sobald es sicher möglich ist, rechts ran, stellst den Motor ab und lässt das Fenster herunter. Beide Hände gehören sichtbar aufs Lenkrad, nachts schaltest du das Innenlicht ein. Bevor du zum Handschuhfach oder zur Innentasche greifst, um Führerschein, Fahrzeugschein und Versicherungsnachweis herauszuholen, sagst du laut, was du vorhast: „I’m going to reach for my documents in the glove compartment.“ Der Beamte muss sich identifizieren und dir den Grund der Kontrolle nennen; du darfst nach Namen und Dienstnummer fragen. Bleib höflich, diskutiere nicht am Straßenrand über die Berechtigung der Kontrolle – das klärst du später, notfalls vor Gericht, nicht an der Autotür.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ruhige, formelle Ton bei kanadischen Verkehrskontrollen unterscheidet sich von mancher informellen deutschen Polizeikontrolle. Plötzliche Bewegungen, auch gut gemeinte, wirken auf einen bewaffneten Beamten anders als beabsichtigt. Sichtbare Hände und angekündigte Bewegungen nehmen die Anspannung aus jeder Situation.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Deine Rechte gegenüber der Polizei</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kanadische Grundrechtecharta (</w:t>
      </w:r>
      <w:r>
        <w:rPr>
          <w:rFonts w:eastAsia="Cambria" w:cs="Cambria"/>
          <w:b w:val="false"/>
          <w:bCs w:val="false"/>
          <w:i/>
          <w:iCs/>
          <w:sz w:val="22"/>
          <w:szCs w:val="22"/>
        </w:rPr>
        <w:t>Canadian Charter of Rights and Freedoms</w:t>
      </w:r>
      <w:r>
        <w:rPr>
          <w:rFonts w:eastAsia="Cambria" w:cs="Cambria"/>
          <w:b w:val="false"/>
          <w:bCs w:val="false"/>
          <w:i w:val="false"/>
          <w:iCs w:val="false"/>
          <w:sz w:val="22"/>
          <w:szCs w:val="22"/>
        </w:rPr>
        <w:t>) gilt für jeden im Land, unabhängig von der Staatsangehörigkeit. Sie schützt unter anderem vor willkürlicher Festnahme, garantiert das Recht, umgehend über den Grund einer Festnahme oder Ingewahrsamnahme informiert zu werden, und das Recht, ohne Verzögerung einen Anwalt zu kontaktieren und über dieses Recht informiert zu werden. Ein allgemeines Schweigerecht gilt ebenfalls: Über deinen Namen und die gesetzlich verlangten Angaben (bei einer Verkehrskontrolle etwa Führerschein und Fahrzeugpapiere) hinaus musst du nichts sagen. Eine Durchsuchung deines Fahrzeugs oder deiner Wohnung ohne konkreten Verdacht oder richterlichen Beschluss darfst du höflich ablehnen – „I do not consent to a search“ –, ohne dich körperlich zu widersetzen; ob die Ablehnung im Ergebnis Bestand hat, klärt im Zweifel ein Gericht.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Viele Neuankömmlinge glauben, das Schweigerecht gelte automatisch, sobald man einfach aufhört zu reden. Sinnvoller ist es, es aktiv auszusprechen und dann tatsächlich zu schweigen, bis ein Anwalt anwesend ist. Bei einer Festnahme hast du zusätzlich als deutscher Staatsangehöriger das Recht, mit einem Konsularbeamten zu sprechen – verlange das ausdrücklich, es wird nicht überall automatisch angeboten.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Schweigen ist erlaubt, Höflichkeit hilft, Widerstand schadet. Nenne Name und die gesetzlich verlangten Angaben, verlange bei allem Weiteren ruhig einen Anwalt.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Bei einer Festnahme</w:t>
      </w:r>
      <w:r>
        <w:rPr>
          <w:rFonts w:eastAsia="Cambria" w:cs="Cambria"/>
          <w:b w:val="false"/>
          <w:bCs w:val="false"/>
          <w:i w:val="false"/>
          <w:iCs w:val="false"/>
          <w:sz w:val="22"/>
          <w:szCs w:val="22"/>
        </w:rPr>
        <w:t xml:space="preserve"> gilt: Leiste keinen Widerstand, das hält die Lage kontrollierbar. Sage nur Namen, Adresse und den Wunsch nach einem Anwalt; im Strafverfahren steht dir bei Bedürftigkeit in jeder Provinz eine Form von Pflichtverteidigung zu (</w:t>
      </w:r>
      <w:r>
        <w:rPr>
          <w:rFonts w:eastAsia="Cambria" w:cs="Cambria"/>
          <w:b w:val="false"/>
          <w:bCs w:val="false"/>
          <w:i/>
          <w:iCs/>
          <w:sz w:val="22"/>
          <w:szCs w:val="22"/>
        </w:rPr>
        <w:t>Legal Aid</w:t>
      </w:r>
      <w:r>
        <w:rPr>
          <w:rFonts w:eastAsia="Cambria" w:cs="Cambria"/>
          <w:b w:val="false"/>
          <w:bCs w:val="false"/>
          <w:i w:val="false"/>
          <w:iCs w:val="false"/>
          <w:sz w:val="22"/>
          <w:szCs w:val="22"/>
        </w:rPr>
        <w:t>, Organisation und Kosten unterscheiden sich je Provinz). Gegen Kaution (</w:t>
      </w:r>
      <w:r>
        <w:rPr>
          <w:rFonts w:eastAsia="Cambria" w:cs="Cambria"/>
          <w:b w:val="false"/>
          <w:bCs w:val="false"/>
          <w:i/>
          <w:iCs/>
          <w:sz w:val="22"/>
          <w:szCs w:val="22"/>
        </w:rPr>
        <w:t>Bail</w:t>
      </w:r>
      <w:r>
        <w:rPr>
          <w:rFonts w:eastAsia="Cambria" w:cs="Cambria"/>
          <w:b w:val="false"/>
          <w:bCs w:val="false"/>
          <w:i w:val="false"/>
          <w:iCs w:val="false"/>
          <w:sz w:val="22"/>
          <w:szCs w:val="22"/>
        </w:rPr>
        <w:t>) kommst du in den meisten Fällen frei, die genauen Bedingungen setzt ein Richter oder Friedensrichter fest. Für Nichtstaatsbürger kommt eine zweite Ebene hinzu: Bestimmte Verurteilungen können den Aufenthaltsstatus gefährden, bis hin zur Ausweisung (</w:t>
      </w:r>
      <w:r>
        <w:rPr>
          <w:rFonts w:eastAsia="Cambria" w:cs="Cambria"/>
          <w:b w:val="false"/>
          <w:bCs w:val="false"/>
          <w:i/>
          <w:iCs/>
          <w:sz w:val="22"/>
          <w:szCs w:val="22"/>
        </w:rPr>
        <w:t>Removal</w:t>
      </w:r>
      <w:r>
        <w:rPr>
          <w:rFonts w:eastAsia="Cambria" w:cs="Cambria"/>
          <w:b w:val="false"/>
          <w:bCs w:val="false"/>
          <w:i w:val="false"/>
          <w:iCs w:val="false"/>
          <w:sz w:val="22"/>
          <w:szCs w:val="22"/>
        </w:rPr>
        <w:t>) durch die Einwanderungsbehörde. Sag deinem Verteidiger deshalb als Erstes, dass du kein kanadischer Staatsbürger bist, damit er diese Folgen von Anfang an mitdenkt.</w:t>
      </w:r>
    </w:p>
    <w:p>
      <w:pPr>
        <w:pStyle w:val="Heading3"/>
        <w:keepNext w:val="true"/>
        <w:spacing w:before="280" w:after="100"/>
        <w:jc w:val="center"/>
        <w:rPr/>
      </w:pPr>
      <w:r>
        <w:rPr>
          <w:rFonts w:eastAsia="Amazon Ember" w:cs="Amazon Ember" w:ascii="Amazon Ember" w:hAnsi="Amazon Ember"/>
          <w:b/>
          <w:bCs/>
          <w:color w:val="0000FF"/>
          <w:sz w:val="36"/>
          <w:szCs w:val="36"/>
        </w:rPr>
        <w:t>Waffenrecht: drei Klassen und das laufende Rückkaufprogramm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Kanadisches Waffenrecht kennt drei gesetzliche Kategorien: </w:t>
      </w:r>
      <w:r>
        <w:rPr>
          <w:rFonts w:eastAsia="Cambria" w:cs="Cambria"/>
          <w:b w:val="false"/>
          <w:bCs w:val="false"/>
          <w:i/>
          <w:iCs/>
          <w:sz w:val="22"/>
          <w:szCs w:val="22"/>
        </w:rPr>
        <w:t>Non-Restricted</w:t>
      </w:r>
      <w:r>
        <w:rPr>
          <w:rFonts w:eastAsia="Cambria" w:cs="Cambria"/>
          <w:b w:val="false"/>
          <w:bCs w:val="false"/>
          <w:i w:val="false"/>
          <w:iCs w:val="false"/>
          <w:sz w:val="22"/>
          <w:szCs w:val="22"/>
        </w:rPr>
        <w:t xml:space="preserve"> (die meisten Jagd- und Sportgewehre sowie Schrotflinten), </w:t>
      </w:r>
      <w:r>
        <w:rPr>
          <w:rFonts w:eastAsia="Cambria" w:cs="Cambria"/>
          <w:b w:val="false"/>
          <w:bCs w:val="false"/>
          <w:i/>
          <w:iCs/>
          <w:sz w:val="22"/>
          <w:szCs w:val="22"/>
        </w:rPr>
        <w:t>Restricted</w:t>
      </w:r>
      <w:r>
        <w:rPr>
          <w:rFonts w:eastAsia="Cambria" w:cs="Cambria"/>
          <w:b w:val="false"/>
          <w:bCs w:val="false"/>
          <w:i w:val="false"/>
          <w:iCs w:val="false"/>
          <w:sz w:val="22"/>
          <w:szCs w:val="22"/>
        </w:rPr>
        <w:t xml:space="preserve"> (bestimmte Faustfeuerwaffen und kurzläufige halbautomatische Gewehre) und </w:t>
      </w:r>
      <w:r>
        <w:rPr>
          <w:rFonts w:eastAsia="Cambria" w:cs="Cambria"/>
          <w:b w:val="false"/>
          <w:bCs w:val="false"/>
          <w:i/>
          <w:iCs/>
          <w:sz w:val="22"/>
          <w:szCs w:val="22"/>
        </w:rPr>
        <w:t>Prohibited</w:t>
      </w:r>
      <w:r>
        <w:rPr>
          <w:rFonts w:eastAsia="Cambria" w:cs="Cambria"/>
          <w:b w:val="false"/>
          <w:bCs w:val="false"/>
          <w:i w:val="false"/>
          <w:iCs w:val="false"/>
          <w:sz w:val="22"/>
          <w:szCs w:val="22"/>
        </w:rPr>
        <w:t xml:space="preserve"> (Vollautomaten sowie mehr als 2.500 seit 2020 schrittweise verbotene „Assault-Style“-Modelle). Für Non-Restricted-Waffen brauchst du eine </w:t>
      </w:r>
      <w:r>
        <w:rPr>
          <w:rFonts w:eastAsia="Cambria" w:cs="Cambria"/>
          <w:b w:val="false"/>
          <w:bCs w:val="false"/>
          <w:i/>
          <w:iCs/>
          <w:sz w:val="22"/>
          <w:szCs w:val="22"/>
        </w:rPr>
        <w:t>Possession and Acquisition Licence</w:t>
      </w:r>
      <w:r>
        <w:rPr>
          <w:rFonts w:eastAsia="Cambria" w:cs="Cambria"/>
          <w:b w:val="false"/>
          <w:bCs w:val="false"/>
          <w:i w:val="false"/>
          <w:iCs w:val="false"/>
          <w:sz w:val="22"/>
          <w:szCs w:val="22"/>
        </w:rPr>
        <w:t xml:space="preserve"> (PAL, Besitz- und Erwerbserlaubnis) – Mindestalter 18 Jahre, ein Sicherheitskurs und eine behördliche Sicherheitsüberprüfung sind Pflicht. Für Restricted-Waffen kommt eine zusätzliche, strengere Lizenz mit eigenem Kurs hinzu.</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Seit Oktober 2022 gilt ein bundesweiter Einfrierungsstopp: Verkauf, Erwerb und Import von Handfeuerwaffen sind für Privatpersonen praktisch blockiert, mit engen Ausnahmen für bereits zuvor Berechtigte und für Sportschützen in olympischen Disziplinen. Für die bereits verbotenen „Assault-Style“-Waffen läuft 2026 ein Rückkaufprogramm für Privatpersonen (</w:t>
      </w:r>
      <w:r>
        <w:rPr>
          <w:rFonts w:eastAsia="Cambria" w:cs="Cambria"/>
          <w:b w:val="false"/>
          <w:bCs w:val="false"/>
          <w:i/>
          <w:iCs/>
          <w:sz w:val="22"/>
          <w:szCs w:val="22"/>
        </w:rPr>
        <w:t>Assault-Style Firearms Compensation Program</w:t>
      </w:r>
      <w:r>
        <w:rPr>
          <w:rFonts w:eastAsia="Cambria" w:cs="Cambria"/>
          <w:b w:val="false"/>
          <w:bCs w:val="false"/>
          <w:i w:val="false"/>
          <w:iCs w:val="false"/>
          <w:sz w:val="22"/>
          <w:szCs w:val="22"/>
        </w:rPr>
        <w:t>, ASFCP): Das Meldefenster für die Teilnahme lief vom 19. Januar bis 31. März 2026, budgetiert für rund 136.000 Waffen, tatsächlich meldeten sich nur rund 67.000 Besitzer. Die Abholung durch RCMP und lokale Polizei läuft seither bis in den Herbst 2026; wer nicht teilgenommen hat, muss seine Waffe bis zum Ende der Amnestiefrist am 30. Oktober 2026 entsorgen oder dauerhaft unbrauchbar machen lassen.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Rechtslage rund um das Rückkaufprogramm ist 2026 in Bewegung, und Fristen wie die Amnestie bis Ende Oktober können sich ändern. Wer selbst Waffen besitzt oder erbt, sollte den aktuellen Stand direkt bei der RCMP oder der lokalen Polizei prüfen, statt sich auf Hörensagen zu verlassen.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dich als deutschen Neuankömmling bedeutet das in der Praxis meist wenig Berührung mit dem Thema: Waffenbesitz ist grundsätzlich möglich, aber mit Lizenz, Kurs und Sicherheitsprüfung verbunden – wer aus dem ebenfalls streng regulierten Deutschland kommt, wird das Grundniveau vertraut finden, nur die Einteilung ist eine andere. Fasse fremde Waffen bei Einladungen nicht an, leihe keine aus und nimm auch keine zur Aufbewahrung an; ohne eigene Lizenz kann das rechtliche Folgen haben. Aus Deutschland solltest du ohnehin keine Waffen mitbringen (siehe das Kapitel zum Umzug in diesem Buch).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Besitzt du selbst eine Lizenz, schreibt das Gesetz eine getrennte, verschlossene Aufbewahrung von Waffe und Munition vor, meist in einem Tresor oder mit einem abschließbaren Schlossriegel am Abzug; beim Transport im Auto muss die Waffe entladen und in einem verschlossenen Behältnis liegen, nicht griffbereit im Handschuhfach. Kontrollen durch die Polizei sind jederzeit möglich, auch ohne konkreten Anlass.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In Kanada ist Waffenbesitz ein bedingtes Privileg mit Nachweispflicht, kein selbstverständliches Recht. Wer hier zum ersten Mal in Kontakt mit dem Thema kommt, etwa bei einer Einladung zum Jagen oder Sportschießen, sollte sich vorher über die eigene rechtliche Position informieren, statt sich auf die Gastfreundschaft des Gastgebers zu verlassen.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Cannabis-Recht: legal in Kanada, illegal in den USA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Punkt, den viele deutsche Auswanderer unterschätzen: Cannabis ist in Kanada seit dem </w:t>
      </w:r>
      <w:r>
        <w:rPr>
          <w:rFonts w:eastAsia="Cambria" w:cs="Cambria"/>
          <w:b w:val="false"/>
          <w:bCs w:val="false"/>
          <w:i/>
          <w:iCs/>
          <w:sz w:val="22"/>
          <w:szCs w:val="22"/>
        </w:rPr>
        <w:t>Cannabis Act</w:t>
      </w:r>
      <w:r>
        <w:rPr>
          <w:rFonts w:eastAsia="Cambria" w:cs="Cambria"/>
          <w:b w:val="false"/>
          <w:bCs w:val="false"/>
          <w:i w:val="false"/>
          <w:iCs w:val="false"/>
          <w:sz w:val="22"/>
          <w:szCs w:val="22"/>
        </w:rPr>
        <w:t xml:space="preserve"> vom 17. Oktober 2018 bundesweit legal – ein grundlegender Unterschied zu den USA, wo Cannabis trotz einzelstaatlicher Legalisierung nach Bundesrecht weiterhin verboten ist. Bundesweit dürfen Erwachsene bis zu 30 Gramm getrocknetes Cannabis öffentlich mit sich führen und bis zu vier Pflanzen pro Haushalt anbauen; das Mindestalter liegt föderal bei 18 Jahren, die meisten Provinzen haben es auf 19 angehoben, Québec verlangt als einzige Provinz 21 Jahre. Verkauf läuft über provinzlich lizenzierte Geschäfte, teils als staatliches Monopol, teils privat organisiert.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Deutschland hat mit dem Cannabisgesetz vom 1. April 2024 einen eigenen, vorsichtigeren Schritt gemacht: Besitz begrenzter Mengen und Eigenanbau von bis zu drei Pflanzen sind seither erlaubt, ein regulierter Verkauf wie in Kanada existiert bislang nicht. Wer mit deutschem Maßstab nach Kanada kommt, findet dort also ein deutlich offeneres, seit acht Jahren etabliertes System vor.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Verbreiteter Irrtum ist, kanadische Legalität gelte automatisch auch jenseits der Grenze. Tatsächlich bleibt Cannabis nach US-Bundesrecht vollständig illegal, unabhängig davon, was einzelne US-Bundesstaaten erlauben. Der Grenzübertritt mit Cannabis – ob nach Süden in die USA oder aus den USA zurück – ist ein Bundesdelikt und kann selbst bei kleinsten Mengen zu jahrelangen Einreiseverboten führen. Lass beim Grenzübertritt jede Spur von Cannabis, auch CBD-Produkte, zu Hause.</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Legal ist zudem nicht gleichbedeutend mit folgenlos. Seit der Reform des Strafgesetzbuchs von 2018 gilt Fahren mit Cannabis im Blut als eigenständige Straftat, unabhängig von einer tatsächlichen Fahruntüchtigkeit: Bereits ab einem THC-Grenzwert von 2 Nanogramm pro Milliliter Blut drohen Bußgeld und Punkte, ab 5 Nanogramm sowie bei einer Kombination mit Alkohol wird es zum ernsteren Straftatbestand mit Führerscheinentzug und möglicher Haftstrafe. Ein ärztliches Rezept für medizinisches Cannabis ändert daran nichts – der Test misst die Substanz im Blut, nicht die Verschreibung. Arbeitgeber in sicherheitskritischen Branchen, etwa in der Ölförderung, in der Lukas Berger arbeitet, testen außerdem regelmäßig auf Drogen- und Alkoholkonsum; das ist arbeitsrechtlich zulässig und in der Ressourcenindustrie eher Regel als Ausnahme.</w:t>
      </w:r>
    </w:p>
    <w:p>
      <w:pPr>
        <w:pStyle w:val="Heading3"/>
        <w:keepNext w:val="true"/>
        <w:spacing w:before="280" w:after="100"/>
        <w:jc w:val="center"/>
        <w:rPr/>
      </w:pPr>
      <w:r>
        <w:rPr>
          <w:rFonts w:eastAsia="Amazon Ember" w:cs="Amazon Ember" w:ascii="Amazon Ember" w:hAnsi="Amazon Ember"/>
          <w:b/>
          <w:bCs/>
          <w:color w:val="0000FF"/>
          <w:sz w:val="36"/>
          <w:szCs w:val="36"/>
        </w:rPr>
        <w:t>Kriminalität im Alltag und die Wahl des Wohnorts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Kanadas Großstädte gehören im internationalen Vergleich zu den sichereren, wobei sich die Lage innerhalb einer Stadt oft stärker unterscheidet als zwischen ganzen Städten – ein Großteil der Vorfälle konzentriert sich auf wenige Straßenzüge. Pauschalurteile über „gefährliche Viertel“ helfen wenig, konkrete Kriterien mehr: Viele Stadtpolizeien veröffentlichen Kriminalitätskarten, ein Besuch der Zielgegend zu verschiedenen Tageszeiten zeigt mehr als jede Statistik, und Nachbarn oder Vermieter geben oft ehrlichere Auskunft als jede Online-Bewertung (mehr dazu im </w:t>
      </w:r>
      <w:hyperlink w:anchor="tka09">
        <w:r>
          <w:rPr>
            <w:rStyle w:val="ListLabel113"/>
            <w:rFonts w:eastAsia="Cambria" w:cs="Cambria"/>
            <w:b w:val="false"/>
            <w:bCs w:val="false"/>
            <w:i w:val="false"/>
            <w:iCs w:val="false"/>
            <w:color w:val="0563C1"/>
            <w:sz w:val="22"/>
            <w:szCs w:val="22"/>
            <w:u w:val="single"/>
          </w:rPr>
          <w:t>Kapitel zum Wohnen in diesem Teil</w:t>
        </w:r>
      </w:hyperlink>
      <w:r>
        <w:rPr>
          <w:rFonts w:eastAsia="Cambria" w:cs="Cambria"/>
          <w:b w:val="false"/>
          <w:bCs w:val="false"/>
          <w:i w:val="false"/>
          <w:iCs w:val="false"/>
          <w:sz w:val="22"/>
          <w:szCs w:val="22"/>
        </w:rPr>
        <w:t>). Häufiger als Gewaltkriminalität sind Eigentumsdelikte wie Fahrzeugaufbrüche und Paketdiebstahl; lass Wertsachen nie sichtbar im Auto liegen und nutze, wo verfügbar, abschließbare Paketstationen. Bei einem akuten Notfall gilt bundesweit dieselbe Nummer wie in den USA: 911; für weniger dringende Anliegen nutzt du die Nicht-Notfall-Nummer der örtlichen Polizei.</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Auch Betrug gegenüber Neuankömmlingen kommt vor, meist in vertrauten Mustern: angebliche Steuerbehörden-Anrufe (die </w:t>
      </w:r>
      <w:r>
        <w:rPr>
          <w:rFonts w:eastAsia="Cambria" w:cs="Cambria"/>
          <w:b w:val="false"/>
          <w:bCs w:val="false"/>
          <w:i/>
          <w:iCs/>
          <w:sz w:val="22"/>
          <w:szCs w:val="22"/>
        </w:rPr>
        <w:t>Canada Revenue Agency</w:t>
      </w:r>
      <w:r>
        <w:rPr>
          <w:rFonts w:eastAsia="Cambria" w:cs="Cambria"/>
          <w:b w:val="false"/>
          <w:bCs w:val="false"/>
          <w:i w:val="false"/>
          <w:iCs w:val="false"/>
          <w:sz w:val="22"/>
          <w:szCs w:val="22"/>
        </w:rPr>
        <w:t xml:space="preserve"> verlangt am Telefon nie sofortige Zahlung per Geschenkkarte oder Kryptowährung), gefälschte Vermietungsanzeigen für Wohnungen, die es gar nicht gibt, und unseriöse „Einwanderungsberater“, die schnelle Abkürzungen versprechen. Zahle nie unter Zeitdruck und nie an unbekannte Dritte, bevor du eine Wohnung besichtigt oder eine Beratung unabhängig geprüft hast.</w:t>
      </w:r>
    </w:p>
    <w:p>
      <w:pPr>
        <w:pStyle w:val="Heading3"/>
        <w:keepNext w:val="true"/>
        <w:spacing w:before="280" w:after="100"/>
        <w:jc w:val="center"/>
        <w:rPr/>
      </w:pPr>
      <w:r>
        <w:rPr>
          <w:rFonts w:eastAsia="Amazon Ember" w:cs="Amazon Ember" w:ascii="Amazon Ember" w:hAnsi="Amazon Ember"/>
          <w:b/>
          <w:bCs/>
          <w:color w:val="0000FF"/>
          <w:sz w:val="36"/>
          <w:szCs w:val="36"/>
        </w:rPr>
        <w:t>Naturgefahren: Waldbrände im Westen, Winterstürme im Osten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Welche Naturgefahr für dich am wichtigsten ist, hängt stark vom Wohnort ab. British Columbia und Alberta – also auch Calgary, wo Lukas Berger lebt – liegen mitten in der Waldbrandzone: Die Saison reicht meist von Mai bis September, mit Rauch, der ganze Städte tagelang einhüllen kann, und gelegentlichen Evakuierungsanordnungen. Im bisherigen Rekordjahr 2023 brannte nach Angaben kanadischer Waldbrandbehörden eine Fläche von rund 18 Millionen Hektar – mehr als doppelt so viel wie im bisherigen Höchststand –, mit Evakuierungen unter anderem in der Stadt Yellowknife in den Nordwest-Territorien. Das ist kein jährliches Regelereignis, zeigt aber die Größenordnung, die ein Extremjahr erreichen kann. Warnungen zu Waldbränden und Luftqualität kommen über die jeweilige Provinzbehörde (in Alberta etwa Alberta Wildfire) und über das nationale Warnsystem </w:t>
      </w:r>
      <w:r>
        <w:rPr>
          <w:rFonts w:eastAsia="Cambria" w:cs="Cambria"/>
          <w:b w:val="false"/>
          <w:bCs w:val="false"/>
          <w:i/>
          <w:iCs/>
          <w:sz w:val="22"/>
          <w:szCs w:val="22"/>
        </w:rPr>
        <w:t>Alert Ready</w:t>
      </w:r>
      <w:r>
        <w:rPr>
          <w:rFonts w:eastAsia="Cambria" w:cs="Cambria"/>
          <w:b w:val="false"/>
          <w:bCs w:val="false"/>
          <w:i w:val="false"/>
          <w:iCs w:val="false"/>
          <w:sz w:val="22"/>
          <w:szCs w:val="22"/>
        </w:rPr>
        <w:t>, das Warnmeldungen automatisch auf Handys, Radio und Fernsehen ausspielt, ähnlich dem Cell Broadcast in Deutschland.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Im Osten – etwa in Toronto, wo Familie Ahrens lebt – prägt dagegen der Winter das Naturgefahrenbild: Schneestürme (</w:t>
      </w:r>
      <w:r>
        <w:rPr>
          <w:rFonts w:eastAsia="Cambria" w:cs="Cambria"/>
          <w:b w:val="false"/>
          <w:bCs w:val="false"/>
          <w:i/>
          <w:iCs/>
          <w:sz w:val="22"/>
          <w:szCs w:val="22"/>
        </w:rPr>
        <w:t>Blizzards</w:t>
      </w:r>
      <w:r>
        <w:rPr>
          <w:rFonts w:eastAsia="Cambria" w:cs="Cambria"/>
          <w:b w:val="false"/>
          <w:bCs w:val="false"/>
          <w:i w:val="false"/>
          <w:iCs w:val="false"/>
          <w:sz w:val="22"/>
          <w:szCs w:val="22"/>
        </w:rPr>
        <w:t xml:space="preserve">), gelegentliche Eisstürme mit tagelangen Stromausfällen und Kälteperioden mit zweistelligen Minusgraden. Der Wetterdienst </w:t>
      </w:r>
      <w:r>
        <w:rPr>
          <w:rFonts w:eastAsia="Cambria" w:cs="Cambria"/>
          <w:b w:val="false"/>
          <w:bCs w:val="false"/>
          <w:i/>
          <w:iCs/>
          <w:sz w:val="22"/>
          <w:szCs w:val="22"/>
        </w:rPr>
        <w:t>Environment and Climate Change Canada</w:t>
      </w:r>
      <w:r>
        <w:rPr>
          <w:rFonts w:eastAsia="Cambria" w:cs="Cambria"/>
          <w:b w:val="false"/>
          <w:bCs w:val="false"/>
          <w:i w:val="false"/>
          <w:iCs w:val="false"/>
          <w:sz w:val="22"/>
          <w:szCs w:val="22"/>
        </w:rPr>
        <w:t xml:space="preserve"> warnt bei extremer Kälte mit einer </w:t>
      </w:r>
      <w:r>
        <w:rPr>
          <w:rFonts w:eastAsia="Cambria" w:cs="Cambria"/>
          <w:b w:val="false"/>
          <w:bCs w:val="false"/>
          <w:i/>
          <w:iCs/>
          <w:sz w:val="22"/>
          <w:szCs w:val="22"/>
        </w:rPr>
        <w:t>Extreme Cold Warning</w:t>
      </w:r>
      <w:r>
        <w:rPr>
          <w:rFonts w:eastAsia="Cambria" w:cs="Cambria"/>
          <w:b w:val="false"/>
          <w:bCs w:val="false"/>
          <w:i w:val="false"/>
          <w:iCs w:val="false"/>
          <w:sz w:val="22"/>
          <w:szCs w:val="22"/>
        </w:rPr>
        <w:t>, die den gefühlten Windchill-Wert einbezieht; schon kurze Zeit im Freien kann dann zu Erfrierungen führen. Ein Winter-Notfallset im Auto – Decke, kleine Schaufel, Streusalz oder Katzenstreu für griffigere Reifen, Starthilfekabel, warme Kleidung – ist in weiten Teilen Kanadas so selbstverständlich wie der Eiskratzer in Deutschland, nur mit höherem Einsatz.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Weitere Regionen bringen eigene Risiken mit, die sich grob nach Landesteil einordnen lassen:</w:t>
      </w:r>
    </w:p>
    <w:tbl>
      <w:tblPr>
        <w:tblW w:w="6480" w:type="dxa"/>
        <w:jc w:val="left"/>
        <w:tblInd w:w="0" w:type="dxa"/>
        <w:tblLayout w:type="fixed"/>
        <w:tblCellMar>
          <w:top w:w="50" w:type="dxa"/>
          <w:left w:w="80" w:type="dxa"/>
          <w:bottom w:w="50" w:type="dxa"/>
          <w:right w:w="80" w:type="dxa"/>
        </w:tblCellMar>
      </w:tblPr>
      <w:tblGrid>
        <w:gridCol w:w="3063"/>
        <w:gridCol w:w="3416"/>
      </w:tblGrid>
      <w:tr>
        <w:trPr>
          <w:tblHeader w:val="true"/>
          <w:cantSplit w:val="true"/>
        </w:trPr>
        <w:tc>
          <w:tcPr>
            <w:tcW w:w="306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Region</w:t>
            </w:r>
          </w:p>
        </w:tc>
        <w:tc>
          <w:tcPr>
            <w:tcW w:w="341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Typische Gefahr</w:t>
            </w:r>
          </w:p>
        </w:tc>
      </w:tr>
      <w:tr>
        <w:trPr>
          <w:cantSplit w:val="true"/>
        </w:trPr>
        <w:tc>
          <w:tcPr>
            <w:tcW w:w="30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British Columbia, Alberta (Calgary)</w:t>
            </w:r>
          </w:p>
        </w:tc>
        <w:tc>
          <w:tcPr>
            <w:tcW w:w="34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Waldbrände Mai bis September, Rauchbelastung, gelegentliche Erdbebengefahr an der Pazifikküste</w:t>
            </w:r>
          </w:p>
        </w:tc>
      </w:tr>
      <w:tr>
        <w:trPr>
          <w:cantSplit w:val="true"/>
        </w:trPr>
        <w:tc>
          <w:tcPr>
            <w:tcW w:w="30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Prairies (Saskatchewan, Teile Albertas und Manitobas)</w:t>
            </w:r>
          </w:p>
        </w:tc>
        <w:tc>
          <w:tcPr>
            <w:tcW w:w="34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Tornados im Frühsommer, schwere Gewitter mit Hagel</w:t>
            </w:r>
          </w:p>
        </w:tc>
      </w:tr>
      <w:tr>
        <w:trPr>
          <w:cantSplit w:val="true"/>
        </w:trPr>
        <w:tc>
          <w:tcPr>
            <w:tcW w:w="30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Ontario, Québec (Toronto, Montreal)</w:t>
            </w:r>
          </w:p>
        </w:tc>
        <w:tc>
          <w:tcPr>
            <w:tcW w:w="34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Schneestürme, Eisstürme, Extremkälte im Winter</w:t>
            </w:r>
          </w:p>
        </w:tc>
      </w:tr>
      <w:tr>
        <w:trPr>
          <w:cantSplit w:val="true"/>
        </w:trPr>
        <w:tc>
          <w:tcPr>
            <w:tcW w:w="30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Atlantikprovinzen (Nova Scotia, New Brunswick u. a.)</w:t>
            </w:r>
          </w:p>
        </w:tc>
        <w:tc>
          <w:tcPr>
            <w:tcW w:w="34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Ausläufer tropischer Wirbelstürme im Spätsommer und Herbst, Sturmfluten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Selbst die Atlantikküste bleibt vor Wetterextremen nicht verschont: 2022 traf der als Post-Tropical Storm eingestufte Hurrikan „Fiona“ Nova Scotia und die Nachbarprovinzen mit einer der stärksten je dort gemessenen Sturmböen und großflächigen, tagelangen Stromausfällen. Wer in eine der betroffenen Regionen zieht, sollte sich an der jeweiligen Saison orientieren, nicht an der aus Deutschland gewohnten Vorstellung von einem gleichmäßig gemäßigten Klima.</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Ahrens (fiktives Beispiel) erlebt im ersten Winter in Toronto einen mehrtägigen Kälteeinbruch mit Windchill-Werten deutlich unter minus 20 Grad. Julia Ahrens hatte die Warnung der Stadt auf dem Handy zunächst weggewischt, „das wird schon nicht so schlimm“, bis eine Nachbarin erklärt, dass die Schule bei solchen Werten die Pausen nach draußen streicht und Finn und Mia in dicken Mänteln trotzdem nur kurz vor die Tür sollen. Von da an liegen Handschuhe, Mützen und eine Packung Streusalz griffbereit am Wohnungseingang, und die Familie prüft die Wetterwarnung morgens so selbstverständlich wie früher den Wetterbericht im Radio.</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Prüfe deine Hausrat- oder Gebäudeversicherung, bevor du in eine waldbrand- oder überflutungsgefährdete Gegend ziehst. Rückstau- und Überflutungsschäden sind in Kanada nicht automatisch in jeder Standardpolice enthalten; ein Vergleich mehrerer Anbieter vor Vertragsabschluss lohnt sich mehr als der Blick auf die günstigste Prämie.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Konsularische Hilfe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Deutschland unterhält die Botschaft in Ottawa sowie Generalkonsulate in Toronto, Montreal und Vancouver. Sie helfen bei Festnahme, schwerer Erkrankung oder Verlust der Papiere, etwa mit einem Reiseausweis als Passersatz, und stellen auf Wunsch Kontakt zu Angehörigen her; Anwaltskosten, Kautionen oder ein Eingreifen in ein laufendes Verfahren übernehmen sie nicht. Trage dich zusätzlich in die Krisenvorsorgeliste </w:t>
      </w:r>
      <w:r>
        <w:rPr>
          <w:rFonts w:eastAsia="Cambria" w:cs="Cambria"/>
          <w:b w:val="false"/>
          <w:bCs w:val="false"/>
          <w:i/>
          <w:iCs/>
          <w:sz w:val="22"/>
          <w:szCs w:val="22"/>
        </w:rPr>
        <w:t>Elefand</w:t>
      </w:r>
      <w:r>
        <w:rPr>
          <w:rFonts w:eastAsia="Cambria" w:cs="Cambria"/>
          <w:b w:val="false"/>
          <w:bCs w:val="false"/>
          <w:i w:val="false"/>
          <w:iCs w:val="false"/>
          <w:sz w:val="22"/>
          <w:szCs w:val="22"/>
        </w:rPr>
        <w:t xml:space="preserve"> des Auswärtigen Amts ein, damit dich die Botschaft im Krisenfall erreichen kann.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gibt eine Orientierung zu Recht und Sicherheit in Kanada, keine Rechtsberatung. Polizei-, Waffen- und Cannabis-Recht unterscheiden sich im Detail zwischen den Provinzen und Territorien und ändern sich, wie das laufende Rückkaufprogramm zeigt, auch kurzfristig. Lass dich im Einzelfall von einer kanadischen Anwältin beraten.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Einheitliches Strafrecht im ganzen Land, anders als in den 50 US-Bundesstaaten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Polizeiorganisation bleibt ein Flickenteppich aus RCMP, Provinz- und Stadtpolizei</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Grundrechte bei Polizeikontakt (Schweigen, Anwalt) gelten für alle im Land</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Formellerer, distanzierterer Kontrollton als mancher informelle deutsche Alltag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Striktes Waffenrecht bedeutet vergleichsweise wenig Waffengewalt im Alltag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Rückkaufprogramm und Fristen sind 2026 noch in Bewegung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Cannabis ist bundesweit legal und reguliert, anders als in den USA</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Grenzübertritt in die USA mit Cannabis bleibt ein Bundesdelikt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Klare Warnsysteme (Alert Ready) für Waldbrand, Sturm und Kälte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Waldbrand- und Winterrisiko sind für viele Regionen real, nicht nur theoretisch</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Mach dich schon vor dem Umzug mit dem Verhalten bei einer Verkehrskontrolle vertraut und übe den Satz zum Anwalt einmal laut. Kläre für deinen konkreten Wohnort, welche Naturgefahr am wahrscheinlichsten ist, installiere die passenden Warn-Apps und leg einen Notfallplan an, bevor die erste Waldbrand- oder Wintersaison beginnt. Cannabis meidest du am besten komplett, sobald eine Reise in die USA ansteht.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Verhalten bei einer Verkehrskontrolle mit der Familie einmal durchgesprochen: Hände sichtbar, Bewegungen ankündigen, ruhig bleiben.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Grundrechte gekannt: Name und Pflichtangaben nennen, sonst schweigen dürfen, Durchsuchung ohne Verdacht ablehnen dürfen.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Geprüft, ob am Wohnort Waffenbesitz überhaupt relevant wird – für die meisten Neuankömmlinge nicht.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Cannabis-Grenzen der eigenen Provinz nachgeschlagen und Cannabis vor jeder Reise in die USA konsequent zu Hause gelassen.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Warn-App der zuständigen Provinzbehörde und Alert Ready aktiviert.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Notfallplan mit Sammelpunkt, Notvorrat und externer Kontaktperson erstellt.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Winter-Notfallset fürs Auto zusammengestellt, wenn der Wohnort das nahelegt.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Hausrat- oder Gebäudeversicherung auf Überflutungs- und Rückstauschutz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Nummer der deutschen Auslandsvertretung gespeichert und in die Krisenvorsorgeliste Elefand eingetragen.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RCMP – Newcomers Guide, Verhalten bei Polizeikontakt: </w:t>
      </w:r>
      <w:hyperlink r:id="rId634">
        <w:r>
          <w:rPr>
            <w:rStyle w:val="ListLabel113"/>
            <w:rFonts w:eastAsia="Cambria" w:cs="Cambria"/>
            <w:b w:val="false"/>
            <w:bCs w:val="false"/>
            <w:i w:val="false"/>
            <w:iCs w:val="false"/>
            <w:color w:val="0563C1"/>
            <w:sz w:val="22"/>
            <w:szCs w:val="22"/>
            <w:u w:val="single"/>
          </w:rPr>
          <w:t>rcmp.ca/en/bc/corporate-information/newcomers-guide/interactions-police</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RCMP – Waffenrecht und Lizenzierung: </w:t>
      </w:r>
      <w:hyperlink r:id="rId635">
        <w:r>
          <w:rPr>
            <w:rStyle w:val="ListLabel113"/>
            <w:rFonts w:eastAsia="Cambria" w:cs="Cambria"/>
            <w:b w:val="false"/>
            <w:bCs w:val="false"/>
            <w:i w:val="false"/>
            <w:iCs w:val="false"/>
            <w:color w:val="0563C1"/>
            <w:sz w:val="22"/>
            <w:szCs w:val="22"/>
            <w:u w:val="single"/>
          </w:rPr>
          <w:t>rcmp.ca/en/firearms</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Kanadische Regierung – Rückkaufprogramm für Waffen (Suchbegriff Assault-Style Firearms Compensation Program): </w:t>
      </w:r>
      <w:hyperlink r:id="rId636">
        <w:r>
          <w:rPr>
            <w:rStyle w:val="ListLabel113"/>
            <w:rFonts w:eastAsia="Cambria" w:cs="Cambria"/>
            <w:b w:val="false"/>
            <w:bCs w:val="false"/>
            <w:i w:val="false"/>
            <w:iCs w:val="false"/>
            <w:color w:val="0563C1"/>
            <w:sz w:val="22"/>
            <w:szCs w:val="22"/>
            <w:u w:val="single"/>
          </w:rPr>
          <w:t>canada.ca</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Health Canada – Cannabis Act, Regeln zu Besitz und Anbau: </w:t>
      </w:r>
      <w:hyperlink r:id="rId637">
        <w:r>
          <w:rPr>
            <w:rStyle w:val="ListLabel113"/>
            <w:rFonts w:eastAsia="Cambria" w:cs="Cambria"/>
            <w:b w:val="false"/>
            <w:bCs w:val="false"/>
            <w:i w:val="false"/>
            <w:iCs w:val="false"/>
            <w:color w:val="0563C1"/>
            <w:sz w:val="22"/>
            <w:szCs w:val="22"/>
            <w:u w:val="single"/>
          </w:rPr>
          <w:t>canada.ca/en/health-canada/services/drugs-medication/cannabis.html</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Canada Border Services Agency – Einfuhrbestimmungen für Cannabis (Suchbegriff CBSA cannabis travellers): </w:t>
      </w:r>
      <w:hyperlink r:id="rId638">
        <w:r>
          <w:rPr>
            <w:rStyle w:val="ListLabel113"/>
            <w:rFonts w:eastAsia="Cambria" w:cs="Cambria"/>
            <w:b w:val="false"/>
            <w:bCs w:val="false"/>
            <w:i w:val="false"/>
            <w:iCs w:val="false"/>
            <w:color w:val="0563C1"/>
            <w:sz w:val="22"/>
            <w:szCs w:val="22"/>
            <w:u w:val="single"/>
          </w:rPr>
          <w:t>cbsa-asfc.gc.ca</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Alert Ready – nationales Warnsystem: </w:t>
      </w:r>
      <w:hyperlink r:id="rId639">
        <w:r>
          <w:rPr>
            <w:rStyle w:val="ListLabel113"/>
            <w:rFonts w:eastAsia="Cambria" w:cs="Cambria"/>
            <w:b w:val="false"/>
            <w:bCs w:val="false"/>
            <w:i w:val="false"/>
            <w:iCs w:val="false"/>
            <w:color w:val="0563C1"/>
            <w:sz w:val="22"/>
            <w:szCs w:val="22"/>
            <w:u w:val="single"/>
          </w:rPr>
          <w:t>alertready.ca</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Environment and Climate Change Canada – Wetterwarnungen: </w:t>
      </w:r>
      <w:hyperlink r:id="rId640">
        <w:r>
          <w:rPr>
            <w:rStyle w:val="ListLabel113"/>
            <w:rFonts w:eastAsia="Cambria" w:cs="Cambria"/>
            <w:b w:val="false"/>
            <w:bCs w:val="false"/>
            <w:i w:val="false"/>
            <w:iCs w:val="false"/>
            <w:color w:val="0563C1"/>
            <w:sz w:val="22"/>
            <w:szCs w:val="22"/>
            <w:u w:val="single"/>
          </w:rPr>
          <w:t>weather.gc.ca</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Auswärtiges Amt – Hilfe für Deutsche im Ausland und Krisenvorsorgeliste Elefand: </w:t>
      </w:r>
      <w:hyperlink r:id="rId641">
        <w:r>
          <w:rPr>
            <w:rStyle w:val="ListLabel113"/>
            <w:rFonts w:eastAsia="Cambria" w:cs="Cambria"/>
            <w:b w:val="false"/>
            <w:bCs w:val="false"/>
            <w:i w:val="false"/>
            <w:iCs w:val="false"/>
            <w:color w:val="0563C1"/>
            <w:sz w:val="22"/>
            <w:szCs w:val="22"/>
            <w:u w:val="single"/>
          </w:rPr>
          <w:t>auswaertiges-amt.de</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schnell: das laufende Rückkaufprogramm für Waffen (Meldefenster abgeschlossen, Abholung und Amnestiefrist bis 30. Oktober 2026 noch offen), die genaue Cannabis-Rechtslage je Provinz sowie die jährliche Waldbrand- und Wintersturmlage. Prüfe vor jeder Entscheidung die aktuellen Seiten von RCMP, Public Safety Canada und der zuständigen Provinzbehörde.</w:t>
            </w:r>
          </w:p>
        </w:tc>
      </w:tr>
    </w:tbl>
    <w:p>
      <w:pPr>
        <w:pStyle w:val="Normal"/>
        <w:spacing w:lineRule="exact" w:line="220" w:before="0" w:after="0"/>
        <w:rPr/>
      </w:pPr>
      <w:r>
        <w:rPr/>
      </w:r>
      <w:r>
        <w:br w:type="page"/>
      </w:r>
    </w:p>
    <w:p>
      <w:pPr>
        <w:pStyle w:val="Heading2"/>
        <w:keepNext w:val="true"/>
        <w:spacing w:before="0" w:after="300"/>
        <w:jc w:val="center"/>
        <w:rPr/>
      </w:pPr>
      <w:bookmarkStart w:id="167" w:name="__RefHeading___Toc56597_3769931028"/>
      <w:bookmarkStart w:id="168" w:name="tka16"/>
      <w:bookmarkEnd w:id="167"/>
      <w:r>
        <w:rPr>
          <w:rFonts w:eastAsia="Amazon Ember" w:cs="Amazon Ember" w:ascii="Amazon Ember" w:hAnsi="Amazon Ember"/>
          <w:b/>
          <w:bCs/>
          <w:color w:val="0000FF"/>
          <w:sz w:val="36"/>
          <w:szCs w:val="36"/>
        </w:rPr>
        <w:t>Kanada: Staatsbürgerschaft und Steuerresidenz</w:t>
      </w:r>
      <w:bookmarkEnd w:id="168"/>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Als Julia Ahrens zum ersten Mal hört, wie die USA ihre Staatsbürger besteuern – lebenslang, weltweit, unabhängig vom Wohnort, sogar nach einer Rückkehr nach Deutschland –, fragt sie sich kurz, ob Kanada das ähnlich handhabt, sobald sie eines Tages den kanadischen Pass hat. Ein kanadischer Steuerberater in Toronto winkt ab: Kanada fragt nicht, welchen Pass man trägt, sondern wo man lebt. Der Weg zum kanadischen Pass und die Frage, was er steuerlich bedeutet, sind zwei ganz verschiedene Geschichten – und genau die erzählt dieses Kapitel.</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Einbürgerung setzt 1.095 Tage (drei Jahre) physische Anwesenheit innerhalb der letzten fünf Jahre vor Antragstellung voraus, davon mindestens 730 Tage als Permanent Resident (PR); Zeiten vor dem PR-Status zählen nur zur Hälfte, gedeckelt auf 365 Anrechnungstage.</w:t>
            </w:r>
          </w:p>
          <w:p>
            <w:pPr>
              <w:pStyle w:val="ListParagraph"/>
              <w:numPr>
                <w:ilvl w:val="0"/>
                <w:numId w:val="1"/>
              </w:numPr>
              <w:spacing w:lineRule="exact" w:line="264" w:before="0" w:after="50"/>
              <w:rPr/>
            </w:pPr>
            <w:r>
              <w:rPr>
                <w:rFonts w:eastAsia="Cambria" w:cs="Cambria"/>
                <w:b w:val="false"/>
                <w:bCs w:val="false"/>
                <w:i w:val="false"/>
                <w:iCs w:val="false"/>
                <w:sz w:val="20"/>
                <w:szCs w:val="20"/>
              </w:rPr>
              <w:t>Sprachnachweis (CLB/NCLC 4 in Sprechen und Hören) und Staatskundetest (20 Fragen, 15 richtig) sind nur für 18- bis 54-Jährige Pflicht; der Test läuft seit März 2026 dauerhaft online.</w:t>
            </w:r>
          </w:p>
          <w:p>
            <w:pPr>
              <w:pStyle w:val="ListParagraph"/>
              <w:numPr>
                <w:ilvl w:val="0"/>
                <w:numId w:val="1"/>
              </w:numPr>
              <w:spacing w:lineRule="exact" w:line="264" w:before="0" w:after="50"/>
              <w:rPr/>
            </w:pPr>
            <w:r>
              <w:rPr>
                <w:rFonts w:eastAsia="Cambria" w:cs="Cambria"/>
                <w:b w:val="false"/>
                <w:bCs w:val="false"/>
                <w:i w:val="false"/>
                <w:iCs w:val="false"/>
                <w:sz w:val="20"/>
                <w:szCs w:val="20"/>
              </w:rPr>
              <w:t>Gebühr 653 CAD pro Erwachsenem (seit 31. März 2026); realistische Gesamtdauer von der Einreise bis zum Einbürgerungsantrag vier bis neun Jahre, je nachdem, wie schnell der PR-Status erreicht wurde.</w:t>
            </w:r>
          </w:p>
          <w:p>
            <w:pPr>
              <w:pStyle w:val="ListParagraph"/>
              <w:numPr>
                <w:ilvl w:val="0"/>
                <w:numId w:val="1"/>
              </w:numPr>
              <w:spacing w:lineRule="exact" w:line="264" w:before="0" w:after="50"/>
              <w:rPr/>
            </w:pPr>
            <w:r>
              <w:rPr>
                <w:rFonts w:eastAsia="Cambria" w:cs="Cambria"/>
                <w:b w:val="false"/>
                <w:bCs w:val="false"/>
                <w:i w:val="false"/>
                <w:iCs w:val="false"/>
                <w:sz w:val="20"/>
                <w:szCs w:val="20"/>
              </w:rPr>
              <w:t>Doppelte Staatsbürgerschaft ist seit 1977 (Kanada) und seit dem 27. Juni 2024 (Deutschland) für beide Seiten unproblematisch.</w:t>
            </w:r>
          </w:p>
          <w:p>
            <w:pPr>
              <w:pStyle w:val="ListParagraph"/>
              <w:numPr>
                <w:ilvl w:val="0"/>
                <w:numId w:val="1"/>
              </w:numPr>
              <w:spacing w:lineRule="exact" w:line="264" w:before="0" w:after="50"/>
              <w:rPr/>
            </w:pPr>
            <w:r>
              <w:rPr>
                <w:rFonts w:eastAsia="Cambria" w:cs="Cambria"/>
                <w:b w:val="false"/>
                <w:bCs w:val="false"/>
                <w:i w:val="false"/>
                <w:iCs w:val="false"/>
                <w:sz w:val="20"/>
                <w:szCs w:val="20"/>
              </w:rPr>
              <w:t>Verbreiteter Irrtum: Kanada besteuert nach Steuerwohnsitz, nicht nach Pass. Anders als die USA gibt es keine an die Staatsbürgerschaft gekoppelte, lebenslange Steuerpflicht und keine Exit Tax beim Verzicht auf die kanadische Staatsbürgerschaft.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Stufenweg zur Staatsbürgerschaft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Wie lange der Weg zum Pass dauert, hängt fast ausschließlich davon ab, wie schnell der </w:t>
      </w:r>
      <w:r>
        <w:rPr>
          <w:rFonts w:eastAsia="Cambria" w:cs="Cambria"/>
          <w:b w:val="false"/>
          <w:bCs w:val="false"/>
          <w:i/>
          <w:iCs/>
          <w:sz w:val="22"/>
          <w:szCs w:val="22"/>
        </w:rPr>
        <w:t>Permanent-Resident</w:t>
      </w:r>
      <w:r>
        <w:rPr>
          <w:rFonts w:eastAsia="Cambria" w:cs="Cambria"/>
          <w:b w:val="false"/>
          <w:bCs w:val="false"/>
          <w:i w:val="false"/>
          <w:iCs w:val="false"/>
          <w:sz w:val="22"/>
          <w:szCs w:val="22"/>
        </w:rPr>
        <w:t xml:space="preserve">-Status erreicht wird – die eigentliche Einbürgerungs-Uhr läuft erst richtig, sobald der PR-Status steht. Wer wie Familie Ahrens direkt über Express Entry mit hohem CRS-Score einreist, hält den PR-Status bereits bei der Landung; die 1.095-Tage-Uhr beginnt dann sofort zu laufen, und der Antrag ist realistisch nach vier bis fünf Jahren möglich. Wer dagegen zunächst mit einem befristeten Work Permit oder Study Permit einreist und erst nach kanadischer Berufserfahrung über die </w:t>
      </w:r>
      <w:r>
        <w:rPr>
          <w:rFonts w:eastAsia="Cambria" w:cs="Cambria"/>
          <w:b w:val="false"/>
          <w:bCs w:val="false"/>
          <w:i/>
          <w:iCs/>
          <w:sz w:val="22"/>
          <w:szCs w:val="22"/>
        </w:rPr>
        <w:t>Canadian Experience Class</w:t>
      </w:r>
      <w:r>
        <w:rPr>
          <w:rFonts w:eastAsia="Cambria" w:cs="Cambria"/>
          <w:b w:val="false"/>
          <w:bCs w:val="false"/>
          <w:i w:val="false"/>
          <w:iCs w:val="false"/>
          <w:sz w:val="22"/>
          <w:szCs w:val="22"/>
        </w:rPr>
        <w:t xml:space="preserve"> den PR-Status erhält, startet die entscheidende Uhr deutlich später. Für diesen Weg sind sechs bis neun Jahre ab der Einreise realistischer, weil vor der PR-Erteilung meist ein bis drei Jahre als befristeter Resident liegen, die nur zur Hälfte und gedeckelt auf maximal 365 Tage angerechnet werden.</w:t>
      </w:r>
    </w:p>
    <w:tbl>
      <w:tblPr>
        <w:tblW w:w="6480" w:type="dxa"/>
        <w:jc w:val="left"/>
        <w:tblInd w:w="0" w:type="dxa"/>
        <w:tblLayout w:type="fixed"/>
        <w:tblCellMar>
          <w:top w:w="50" w:type="dxa"/>
          <w:left w:w="80" w:type="dxa"/>
          <w:bottom w:w="50" w:type="dxa"/>
          <w:right w:w="80" w:type="dxa"/>
        </w:tblCellMar>
      </w:tblPr>
      <w:tblGrid>
        <w:gridCol w:w="4002"/>
        <w:gridCol w:w="2477"/>
      </w:tblGrid>
      <w:tr>
        <w:trPr>
          <w:tblHeader w:val="true"/>
          <w:cantSplit w:val="true"/>
        </w:trPr>
        <w:tc>
          <w:tcPr>
            <w:tcW w:w="400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Einstiegsweg</w:t>
            </w:r>
          </w:p>
        </w:tc>
        <w:tc>
          <w:tcPr>
            <w:tcW w:w="247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Realistische Gesamtdauer Einreise → Antrag</w:t>
            </w:r>
          </w:p>
        </w:tc>
      </w:tr>
      <w:tr>
        <w:trPr>
          <w:cantSplit w:val="true"/>
        </w:trPr>
        <w:tc>
          <w:tcPr>
            <w:tcW w:w="40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Express Entry direkt aus Deutschland (wie Familie Ahrens)</w:t>
            </w:r>
          </w:p>
        </w:tc>
        <w:tc>
          <w:tcPr>
            <w:tcW w:w="24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4–5 Jahre</w:t>
            </w:r>
          </w:p>
        </w:tc>
      </w:tr>
      <w:tr>
        <w:trPr>
          <w:cantSplit w:val="true"/>
        </w:trPr>
        <w:tc>
          <w:tcPr>
            <w:tcW w:w="40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Befristetes Work- oder Study-Permit → PR über Canadian Experience Class</w:t>
            </w:r>
          </w:p>
        </w:tc>
        <w:tc>
          <w:tcPr>
            <w:tcW w:w="24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6–9 Jahre</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Stufenweg selbst hat vier Etappen: befristeter Aufenthalt (Work Permit, oft LMIA-gestützt, oder Study Permit mit anschließendem </w:t>
      </w:r>
      <w:r>
        <w:rPr>
          <w:rFonts w:eastAsia="Cambria" w:cs="Cambria"/>
          <w:b w:val="false"/>
          <w:bCs w:val="false"/>
          <w:i/>
          <w:iCs/>
          <w:sz w:val="22"/>
          <w:szCs w:val="22"/>
        </w:rPr>
        <w:t>Post-Graduation Work Permit</w:t>
      </w:r>
      <w:r>
        <w:rPr>
          <w:rFonts w:eastAsia="Cambria" w:cs="Cambria"/>
          <w:b w:val="false"/>
          <w:bCs w:val="false"/>
          <w:i w:val="false"/>
          <w:iCs w:val="false"/>
          <w:sz w:val="22"/>
          <w:szCs w:val="22"/>
        </w:rPr>
        <w:t xml:space="preserve">), Übergang zum PR-Status über Express Entry oder eine </w:t>
      </w:r>
      <w:r>
        <w:rPr>
          <w:rFonts w:eastAsia="Cambria" w:cs="Cambria"/>
          <w:b w:val="false"/>
          <w:bCs w:val="false"/>
          <w:i/>
          <w:iCs/>
          <w:sz w:val="22"/>
          <w:szCs w:val="22"/>
        </w:rPr>
        <w:t>Provincial Nominee Program</w:t>
      </w:r>
      <w:r>
        <w:rPr>
          <w:rFonts w:eastAsia="Cambria" w:cs="Cambria"/>
          <w:b w:val="false"/>
          <w:bCs w:val="false"/>
          <w:i w:val="false"/>
          <w:iCs w:val="false"/>
          <w:sz w:val="22"/>
          <w:szCs w:val="22"/>
        </w:rPr>
        <w:t>-Nominierung, die 1.095-Tage-Anwesenheitspflicht als PR, und schließlich der Einbürgerungsantrag selbst mit anschließender Bearbeitung von rund zwölf bis 18 Monaten bis zur Zeremonie.</w:t>
      </w:r>
    </w:p>
    <w:p>
      <w:pPr>
        <w:pStyle w:val="Heading3"/>
        <w:keepNext w:val="true"/>
        <w:spacing w:before="280" w:after="100"/>
        <w:jc w:val="center"/>
        <w:rPr/>
      </w:pPr>
      <w:r>
        <w:rPr>
          <w:rFonts w:eastAsia="Amazon Ember" w:cs="Amazon Ember" w:ascii="Amazon Ember" w:hAnsi="Amazon Ember"/>
          <w:b/>
          <w:bCs/>
          <w:color w:val="0000FF"/>
          <w:sz w:val="36"/>
          <w:szCs w:val="36"/>
        </w:rPr>
        <w:t>Die Anwesenheitspflicht: 1.095 Tage, aber nicht wie gedacht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Grundregel klingt einfach: 1.095 Tage physische Anwesenheit in Kanada innerhalb der fünf Jahre unmittelbar vor der Antragstellung, nicht am Stück. Der Teufel steckt in zwei Details, die in Foren und Ratgebern regelmäßig durcheinandergeraten. Erstens: Mindestens 730 dieser 1.095 Tage müssen als PR verbracht worden sein – wer vorher lange als </w:t>
      </w:r>
      <w:r>
        <w:rPr>
          <w:rFonts w:eastAsia="Cambria" w:cs="Cambria"/>
          <w:b w:val="false"/>
          <w:bCs w:val="false"/>
          <w:i/>
          <w:iCs/>
          <w:sz w:val="22"/>
          <w:szCs w:val="22"/>
        </w:rPr>
        <w:t>Temporary Resident</w:t>
      </w:r>
      <w:r>
        <w:rPr>
          <w:rFonts w:eastAsia="Cambria" w:cs="Cambria"/>
          <w:b w:val="false"/>
          <w:bCs w:val="false"/>
          <w:i w:val="false"/>
          <w:iCs w:val="false"/>
          <w:sz w:val="22"/>
          <w:szCs w:val="22"/>
        </w:rPr>
        <w:t xml:space="preserve"> in Kanada war, kann diese Zeit nicht beliebig anrechnen. Zweitens: Tage vor der PR-Erteilung zählen nur zur Hälfte und sind auf maximal 365 Anrechnungstage gedeckelt. Wer zwei Jahre als Study- oder Work-Permit-Inhaber in Kanada verbracht hat, bevor der PR-Status kam, darf davon höchstens 365 Tage zur Hälfte anrechnen lassen – nicht die vollen 730 Tage, wie viele Neuankömmlinge zunächst annehmen.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zweiter, oft vermischter Punkt betrifft den PR-Status selbst: Um ihn zu behalten (unabhängig von der Einbürgerung), reicht eine andere Regel – 730 von 1.825 Tagen (fünf Jahre), ebenfalls nicht am Stück. Diese beiden 730-Tage-Regeln beziehen sich auf unterschiedliche Dinge (PR-Erhalt versus Einbürgerungsfähigkeit) und werden in der Praxis häufig verwechselt.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Anrechnungsdeckel für Zeit vor dem PR-Status wird regelmäßig unterschätzt. Wer glaubt, seine gesamte Study- oder Work-Permit-Zeit zähle voll zur 1.095-Tage-Pflicht, plant seinen Zeitplan oft ein bis zwei Jahre zu optimistisch. Rechne bei einem längeren befristeten Aufenthalt vor dem PR-Status immer mit dem Deckel von 365 halb angerechneten Tagen, nicht mit der vollen Aufenthaltsdauer.</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Auslandsreisen nach der Antragstellung sind grundsätzlich erlaubt, solange die Anwesenheitspflicht davor bereits erfüllt war – riskant wird es nur, wenn dabei ein Testtermin, ein Zeremonietermin oder wichtige Post der Einwanderungsbehörde IRCC verpasst wird. Zeiten in Haft, Bewährung oder gegen Kaution freigelassen zählen in aller Regel nicht zur Anwesenheit.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Lukas Berger (fiktives Beispiel) kommt mit einem LMIA-pflichtigen Employer-Sponsored Work Permit nach Calgary und arbeitet dort zwei Jahre, bevor sein Arbeitgeber den Übergang zur Canadian Experience Class unterstützt und er den PR-Status erhält. Beim Hochrechnen seiner Einbürgerungsfrist geht Lukas zunächst davon aus, die zwei Jahre als Work-Permit-Inhaber zählten voll zu den 1.095 Tagen – tatsächlich werden nur 365 Tage davon angerechnet, und auch das nur zur Hälfte, also 182,5 Tage. Statt der erhofften eineinhalb Jahre bis zum Antrag nach der PR-Erteilung muss er rund zweieinhalb Jahre als PR in Kanada verbringen, bevor die 1.095-Tage-Schwelle wirklich erreicht ist.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Sprache und Staatskundetest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formaler Sprachnachweis ist nur für Antragsteller zwischen 18 und 54 Jahren Pflicht: CLB/NCLC-Stufe 4 in Sprechen und Hören, nicht in Lesen und Schreiben. Anerkannt werden unter anderem zertifizierte Sprachtests wie CELPIP oder IELTS General, ein Bildungsabschluss in Englisch oder Französisch oder bestimmte geförderte Sprachprogramme. Unter 18 und ab 55 Jahren entfällt die Sprachpflicht vollständig.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Staatskundetest (</w:t>
      </w:r>
      <w:r>
        <w:rPr>
          <w:rFonts w:eastAsia="Cambria" w:cs="Cambria"/>
          <w:b w:val="false"/>
          <w:bCs w:val="false"/>
          <w:i/>
          <w:iCs/>
          <w:sz w:val="22"/>
          <w:szCs w:val="22"/>
        </w:rPr>
        <w:t>Citizenship Test</w:t>
      </w:r>
      <w:r>
        <w:rPr>
          <w:rFonts w:eastAsia="Cambria" w:cs="Cambria"/>
          <w:b w:val="false"/>
          <w:bCs w:val="false"/>
          <w:i w:val="false"/>
          <w:iCs w:val="false"/>
          <w:sz w:val="22"/>
          <w:szCs w:val="22"/>
        </w:rPr>
        <w:t>) prüft anhand von 20 Fragen aus dem Leitfaden „Discover Canada“ Wissen zu Geschichte, Geografie, Wirtschaft, Regierungssystem sowie Rechten und Pflichten; 15 richtige Antworten (75 %) gelten als bestanden. Auch hier sind nur 18- bis 54-Jährige geprüfungspflichtig. Seit dem 9. März 2026 ist das Online-Format dauerhafter Standard für alle berechtigten Antragsteller, mit rund 45 Minuten Bearbeitungszeit (vor Ort etwas kürzer); wählbar sind Englisch oder Französisch. Nach Sekundärquellen bestehen rund 96 % der Antragsteller den Test beim ersten Versuch – wer durchfällt, kann ihn in aller Regel wiederholen.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ausländisches Führungszeugnis ist für den Einbürgerungsantrag selbst normalerweise nicht einzureichen; die Einwanderungsbehörde IRCC gleicht stattdessen mit eigenen Datenbanken ab und fragt gezielt nach, falls nötig. Anders bei der vorgelagerten PR-Erteilung: Dort ist ein Führungszeugnis aus jedem Land Pflicht, in dem man in den letzten Jahren mindestens sechs Monate am Stück gelebt hat – für Deutsche also das Führungszeugnis vom Bundesamt für Justiz.</w:t>
      </w:r>
    </w:p>
    <w:p>
      <w:pPr>
        <w:pStyle w:val="Heading3"/>
        <w:keepNext w:val="true"/>
        <w:spacing w:before="280" w:after="100"/>
        <w:jc w:val="center"/>
        <w:rPr/>
      </w:pPr>
      <w:r>
        <w:rPr>
          <w:rFonts w:eastAsia="Amazon Ember" w:cs="Amazon Ember" w:ascii="Amazon Ember" w:hAnsi="Amazon Ember"/>
          <w:b/>
          <w:bCs/>
          <w:color w:val="0000FF"/>
          <w:sz w:val="36"/>
          <w:szCs w:val="36"/>
        </w:rPr>
        <w:t>Gebühren und Bearbeitungszeit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Einbürgerungsgebühr liegt seit dem 31. März 2026 bei 653 CAD pro Erwachsenem (530 CAD Bearbeitungsgebühr plus 123 CAD „Right of Citizenship Fee“); Kinder zahlen pauschal 100 CAD ohne diese Zusatzgebühr. Wer anschließend ein offizielles Staatsbürgerschaftszertifikat benötigt, zahlt dafür zusätzlich 75 CAD. Die Bearbeitung selbst dauert von der Antragstellung bis zur Einbürgerungszeremonie üblicherweise rund zwölf bis 18 Monate, verteilt auf Background-Check (drei bis neun Monate), Testtermin (ein bis drei Monate danach) und die abschließende Zeremonie (ein bis drei weitere Monate).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Verwechsle den regulären Einbürgerungsantrag nicht mit dem separaten „Proof of Citizenship“-Zertifikat, das vor allem im Ausland geborene Personen mit Anspruch auf die kanadische Staatsangehörigkeit beantragen. Dessen Wartezeit ist 2026 auf rund 33 Monate gestiegen – ein völlig anderes Verfahren als der normale Grant-Antrag für in Kanada lebende Permanent Residents, der weiterhin bei zwölf bis 18 Monaten liegt. Presseberichte vermengen beide Fristen gelegentlich.</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eigentliche Ablauf gliedert sich in drei Schritte: Online-Antrag mit Nachweisen zu Aufenthalt, Sprache und Identität; Testtermin und, je nach Fall, ein persönliches Interview; und schließlich die Einbürgerungszeremonie, meist per Videokonferenz, seltener in Präsenz im IRCC-Büro. Die Einladung dazu kommt üblicherweise ein bis zwei Wochen vorher; Kernbestandteile sind der Eid oder eine Bestätigung (</w:t>
      </w:r>
      <w:r>
        <w:rPr>
          <w:rFonts w:eastAsia="Cambria" w:cs="Cambria"/>
          <w:b w:val="false"/>
          <w:bCs w:val="false"/>
          <w:i/>
          <w:iCs/>
          <w:sz w:val="22"/>
          <w:szCs w:val="22"/>
        </w:rPr>
        <w:t>Oath/Affirmation of Citizenship</w:t>
      </w:r>
      <w:r>
        <w:rPr>
          <w:rFonts w:eastAsia="Cambria" w:cs="Cambria"/>
          <w:b w:val="false"/>
          <w:bCs w:val="false"/>
          <w:i w:val="false"/>
          <w:iCs w:val="false"/>
          <w:sz w:val="22"/>
          <w:szCs w:val="22"/>
        </w:rPr>
        <w:t>), die kanadische Nationalhymne und die Unterschrift des Oath-Formulars. Ab 14 Jahren ist die Teilnahme an der Zeremonie Pflicht, Kinder darunter erhalten das Zertifikat ohne persönliche Teilnahmepflicht. Bei einer Präsenzzeremonie gibt es das Zertifikat sofort, bei einer virtuellen Zeremonie folgt es postalisch (zwei bis vier Wochen) oder als E-Zertifikat binnen weniger Werktage.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Anwalt ist für den Einbürgerungsantrag nicht vorgeschrieben. Bei einer sauberen Aktenlage – korrekt geführtes Reiseprotokoll, keine Lücken bei der Steuererklärung, keine offenen Rechtsfragen – lässt sich der Antrag in aller Regel gut in Eigenregie stellen.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Doppelte Staatsbürgerschaft: Kanada und Deutschland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Kanada erlaubt Mehrstaatigkeit seit 1977 uneingeschränkt; weder eine Anzeige- noch eine Genehmigungspflicht besteht, und IRCC informiert den Herkunftsstaat nicht über die Einbürgerung.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Kanadier wird, behält die deutsche Staatsangehörigkeit automatisch, ganz ohne die früher nötige Beibehaltungsgenehmigung.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Reform wirkt nicht rückwirkend. Wer sich vor dem 27. Juni 2024 in Kanada einbürgern ließ, ohne vorher eine Beibehaltungsgenehmigung beim Bundesverwaltungsamt eingeholt zu haben, hat die deutsche Staatsangehörigkeit nach damaliger Rechtslage verloren – dieser Verlust bleibt bestehen. Wer schon länger in Kanada lebt und plant, sich einbürgern zu lassen, aber unsicher ist, ob eine frühere Einbürgerung in einem anderen Land bereits Folgen hatte, sollte den eigenen Fall beim zuständigen deutschen Generalkonsulat individuell prüfen lassen.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Kinder: das kanadische Geburtsortsprinzip</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Anders als in Australien oder Neuseeland gilt in Kanada ein unbedingtes Geburtsortsprinzip (</w:t>
      </w:r>
      <w:r>
        <w:rPr>
          <w:rFonts w:eastAsia="Cambria" w:cs="Cambria"/>
          <w:b w:val="false"/>
          <w:bCs w:val="false"/>
          <w:i/>
          <w:iCs/>
          <w:sz w:val="22"/>
          <w:szCs w:val="22"/>
        </w:rPr>
        <w:t>Jus Soli</w:t>
      </w:r>
      <w:r>
        <w:rPr>
          <w:rFonts w:eastAsia="Cambria" w:cs="Cambria"/>
          <w:b w:val="false"/>
          <w:bCs w:val="false"/>
          <w:i w:val="false"/>
          <w:iCs w:val="false"/>
          <w:sz w:val="22"/>
          <w:szCs w:val="22"/>
        </w:rPr>
        <w:t>): Wer in Kanada geboren wird, ist automatisch kanadischer Staatsbürger, unabhängig vom Aufenthaltsstatus der Eltern – die einzige Ausnahme betrifft Kinder von Diplomaten oder Vertretern fremder Regierungen. Für Familien wie die Ahrens bedeutet das: Ein in Toronto geborenes Geschwisterkind von Finn und Mia wäre vom ersten Atemzug an kanadischer Staatsbürger, selbst wenn die Eltern zu diesem Zeitpunkt noch gar keinen PR-Status gehabt hätten.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im Ausland geborenen Kindern kanadischer Eltern greift seit dem 15. Dezember 2025 eine neue Regel (Bill C-3): Wurde das Kind vor diesem Stichtag geboren und wäre wegen der alten „First Generation Limit“-Regel leer ausgegangen, ist es rückwirkend kanadisch. Für Geburten ab dem 15. Dezember 2025 gilt stattdessen ein „Substantial Connection Test“: Der kanadische Elternteil muss vor der Geburt oder Adoption kumulativ mindestens 1.095 Tage physisch in Kanada gewesen sein – dieselbe Tageszahl wie bei der Einbürgerung selbst, hier aber auf den Elternteil bezogen. Die deutsche Seite bleibt davon unberührt: Ein Kind mit einem deutschen Elternteil ist unabhängig vom Geburtsort von Geburt an deutsch (§ 4 Abs. 1 StAG).</w:t>
      </w:r>
    </w:p>
    <w:p>
      <w:pPr>
        <w:pStyle w:val="Heading3"/>
        <w:keepNext w:val="true"/>
        <w:spacing w:before="280" w:after="100"/>
        <w:jc w:val="center"/>
        <w:rPr/>
      </w:pPr>
      <w:r>
        <w:rPr>
          <w:rFonts w:eastAsia="Amazon Ember" w:cs="Amazon Ember" w:ascii="Amazon Ember" w:hAnsi="Amazon Ember"/>
          <w:b/>
          <w:bCs/>
          <w:color w:val="0000FF"/>
          <w:sz w:val="36"/>
          <w:szCs w:val="36"/>
        </w:rPr>
        <w:t>Das Steuerresidenz-Prinzip: Wohnsitz statt Pass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Hier liegt der wichtigste Unterschied zur US-Regelung, der viele Auswanderer verunsichert, sobald sie zum ersten Mal davon hören: Die kanadische Finanzbehörde CRA (</w:t>
      </w:r>
      <w:r>
        <w:rPr>
          <w:rFonts w:eastAsia="Cambria" w:cs="Cambria"/>
          <w:b w:val="false"/>
          <w:bCs w:val="false"/>
          <w:i/>
          <w:iCs/>
          <w:sz w:val="22"/>
          <w:szCs w:val="22"/>
        </w:rPr>
        <w:t>Canada Revenue Agency</w:t>
      </w:r>
      <w:r>
        <w:rPr>
          <w:rFonts w:eastAsia="Cambria" w:cs="Cambria"/>
          <w:b w:val="false"/>
          <w:bCs w:val="false"/>
          <w:i w:val="false"/>
          <w:iCs w:val="false"/>
          <w:sz w:val="22"/>
          <w:szCs w:val="22"/>
        </w:rPr>
        <w:t xml:space="preserve">) besteuert nach Steuerwohnsitz, nicht nach Staatsangehörigkeit. Wer keine wesentlichen „Residential Ties“ zu Kanada mehr hat – etwa keine Wohnung, keinen Ehepartner, keine Kinder mehr im Land –, gilt steuerlich als </w:t>
      </w:r>
      <w:r>
        <w:rPr>
          <w:rFonts w:eastAsia="Cambria" w:cs="Cambria"/>
          <w:b w:val="false"/>
          <w:bCs w:val="false"/>
          <w:i/>
          <w:iCs/>
          <w:sz w:val="22"/>
          <w:szCs w:val="22"/>
        </w:rPr>
        <w:t>Non-Resident</w:t>
      </w:r>
      <w:r>
        <w:rPr>
          <w:rFonts w:eastAsia="Cambria" w:cs="Cambria"/>
          <w:b w:val="false"/>
          <w:bCs w:val="false"/>
          <w:i w:val="false"/>
          <w:iCs w:val="false"/>
          <w:sz w:val="22"/>
          <w:szCs w:val="22"/>
        </w:rPr>
        <w:t xml:space="preserve"> und zahlt keine kanadische Einkommensteuer auf sein Welteinkommen, selbst mit kanadischem Pass in der Tasche. Umgekehrt zahlt, wer als </w:t>
      </w:r>
      <w:r>
        <w:rPr>
          <w:rFonts w:eastAsia="Cambria" w:cs="Cambria"/>
          <w:b w:val="false"/>
          <w:bCs w:val="false"/>
          <w:i/>
          <w:iCs/>
          <w:sz w:val="22"/>
          <w:szCs w:val="22"/>
        </w:rPr>
        <w:t>Tax Resident</w:t>
      </w:r>
      <w:r>
        <w:rPr>
          <w:rFonts w:eastAsia="Cambria" w:cs="Cambria"/>
          <w:b w:val="false"/>
          <w:bCs w:val="false"/>
          <w:i w:val="false"/>
          <w:iCs w:val="false"/>
          <w:sz w:val="22"/>
          <w:szCs w:val="22"/>
        </w:rPr>
        <w:t xml:space="preserve"> gilt, unabhängig von der Staatsangehörigkeit auf sein weltweites Einkommen kanadische Steuern – die genauen Kriterien dafür sind ein eigenes, komplexes Thema und im </w:t>
      </w:r>
      <w:hyperlink w:anchor="tka07">
        <w:r>
          <w:rPr>
            <w:rStyle w:val="ListLabel113"/>
            <w:rFonts w:eastAsia="Cambria" w:cs="Cambria"/>
            <w:b w:val="false"/>
            <w:bCs w:val="false"/>
            <w:i w:val="false"/>
            <w:iCs w:val="false"/>
            <w:color w:val="0563C1"/>
            <w:sz w:val="22"/>
            <w:szCs w:val="22"/>
            <w:u w:val="single"/>
          </w:rPr>
          <w:t>Kapitel zu Steuer-ID, Bank und Kredit in diesem Teil</w:t>
        </w:r>
      </w:hyperlink>
      <w:r>
        <w:rPr>
          <w:rFonts w:eastAsia="Cambria" w:cs="Cambria"/>
          <w:b w:val="false"/>
          <w:bCs w:val="false"/>
          <w:i w:val="false"/>
          <w:iCs w:val="false"/>
          <w:sz w:val="22"/>
          <w:szCs w:val="22"/>
        </w:rPr>
        <w:t xml:space="preserve"> ausführlicher erklärt.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USA gehen den entgegengesetzten Weg: Wer den US-Pass trägt, bleibt lebenslang steuerpflichtig, unabhängig vom Wohnort, und ein Verzicht auf die US-Staatsbürgerschaft kann eine eigene Steuer, die </w:t>
      </w:r>
      <w:r>
        <w:rPr>
          <w:rFonts w:eastAsia="Cambria" w:cs="Cambria"/>
          <w:b w:val="false"/>
          <w:bCs w:val="false"/>
          <w:i/>
          <w:iCs/>
          <w:sz w:val="22"/>
          <w:szCs w:val="22"/>
        </w:rPr>
        <w:t>Exit Tax</w:t>
      </w:r>
      <w:r>
        <w:rPr>
          <w:rFonts w:eastAsia="Cambria" w:cs="Cambria"/>
          <w:b w:val="false"/>
          <w:bCs w:val="false"/>
          <w:i w:val="false"/>
          <w:iCs w:val="false"/>
          <w:sz w:val="22"/>
          <w:szCs w:val="22"/>
        </w:rPr>
        <w:t>, auslösen – nachzulesen im Teil zu den USA in diesem Buch. In Kanada gibt es dieses Konstrukt nicht: Der Verzicht auf die kanadische Staatsbürgerschaft selbst löst keine gesonderte Steuer aus. Was es gibt, ist eine „Deemed Disposition“ (eine fiktive Veräußerung des Vermögens zum Marktwert), die beim Wegzug als Steuerresident anfallen kann – das betrifft aber jeden, der die steuerliche Ansässigkeit aufgibt, unabhängig davon, ob er den kanadischen Pass behält, ablegt oder nie besessen hat. Es ist eine Frage des Steuerwohnsitzes, keine Frage der Staatsangehörigkeit.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kanadische Pass hat keine steuerlichen Nebenwirkungen. Was zählt, ist immer, wo du tatsächlich lebst – nicht, welchen Ausweis du dabei in der Tasche trägst.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Familie Ahrens (fiktives Beispiel) lebt seit einigen Jahren mit kanadischem Pass in Toronto, als Markus überlegt, ein Angebot eines Leipziger Arbeitgebers anzunehmen und mit der Familie für zwei Jahre nach Deutschland zurückzukehren. Sein erster Gedanke gilt der Sorge, ob Kanada ihn dann weiter besteuert, weil er ja Staatsbürger bleibt. Ein Steuerberater klärt ihn auf: Sobald die Familie Wohnung, Schulplätze und den Lebensmittelpunkt nach Leipzig verlagert und keine wesentlichen kanadischen Bindungen mehr hat, gilt Markus als </w:t>
            </w:r>
            <w:r>
              <w:rPr>
                <w:rFonts w:eastAsia="Cambria" w:cs="Cambria"/>
                <w:b w:val="false"/>
                <w:bCs w:val="false"/>
                <w:i/>
                <w:iCs/>
                <w:sz w:val="20"/>
                <w:szCs w:val="20"/>
              </w:rPr>
              <w:t>Non-Resident</w:t>
            </w:r>
            <w:r>
              <w:rPr>
                <w:rFonts w:eastAsia="Cambria" w:cs="Cambria"/>
                <w:b w:val="false"/>
                <w:bCs w:val="false"/>
                <w:i w:val="false"/>
                <w:iCs w:val="false"/>
                <w:sz w:val="20"/>
                <w:szCs w:val="20"/>
              </w:rPr>
              <w:t xml:space="preserve"> – unabhängig vom kanadischen Pass. Kanadische Steuern fallen dann nur noch auf rein kanadische Einkünfte an, etwa eine vermietete Eigentumswohnung in Toronto, nicht auf sein neues deutsches Gehalt.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erklärt den Weg zur Staatsbürgerschaft und das Grundprinzip der kanadischen Steuerresidenz. Es ersetzt keine Rechts- oder Steuerberatung. Ob du im Einzelfall als Tax Resident oder Non-Resident giltst, wie sich ein Wegzug aus Kanada konkret auswirkt und wie das Doppelbesteuerungsabkommen zwischen Deutschland und Kanada mit Einkommen, Vermögen oder der gesetzlichen Rente umgeht, hängt von den Details deines Falls ab. Lass das von einer kanadischen Steuerfachperson prüfen, die sich mit einer deutschen abstimmt.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Zwang zur Aufgabe der deutschen Staatsangehörigkeit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Zwei getrennte 730-Tage-Regeln (PR-Erhalt und Einbürgerungsfähigkeit) werden leicht verwechselt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Unbedingtes Jus Soli für in Kanada geborene Kinder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Anrechnungsdeckel von 365 halben Tagen für Zeit vor dem PR-Status oft unterschätzt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Steuerpflicht endet mit dem Steuerwohnsitz, nicht mit dem Pass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Gesamtdauer bis zum Pass real oft 6 bis 9 Jahre, nicht die schnellstmöglichen 4</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Exit Tax beim Verzicht auf die Staatsbürgerschaft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Proof of Citizenship“-Zertifikat (getrennt vom Grant-Antrag) aktuell mit 33 Monaten Wartezeit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Test und Sprachnachweis entfallen komplett unter 18 und ab 55 Jahren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Reform von 2024 wirkt nicht rückwirkend für ältere Einbürgerungsfälle</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Rechne früh aus, über welchen Weg du realistisch den PR-Status erreichst, denn davon hängt die gesamte weitere Zeitachse ab – und rechne dabei bewusst mit dem Anrechnungsdeckel, nicht mit der vollen Aufenthaltsdauer vor dem PR-Status. Führe von Anfang an ein Reiseprotokoll aller Auslandsaufenthalte, damit die 1.095-Tage-Rechnung am Ende nicht zur Detektivarbeit wird. Bereite Sprachnachweis und Staatskundetest rechtzeitig vor, falls du zwischen 18 und 54 Jahre alt bist. Bei der Steuerresidenz gilt: Sprich frühzeitig mit einer Steuerfachperson, sobald ein Wegzug aus Kanada – auch nur vorübergehend – im Raum steht, denn das betrifft dich unabhängig davon, ob du je einbürgern willst oder den Pass schon hast.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Eigenen Einstiegsweg (direktes PR-Visum oder Übergang vom befristeten Permit) und realistische Gesamtdauer bis zum Antrag eingeschätzt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Anrechnungsdeckel (max. 365 Tage zur Hälfte) für Zeit vor dem PR-Status korrekt einkalkuliert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Unterschied zwischen PR-Erhalt (730/1.825 Tage) und Einbürgerungsfähigkeit (1.095/1.825 Tage, davon ≥ 730 als PR) verstanden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Reiseprotokoll aller Auslandsaufenthalte seit Einreise geführt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Sprachnachweis (CLB/NCLC 4) und Staatskundetest vorbereitet, falls zwischen 18 und 54 Jahre alt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Steuererklärungspflicht in mindestens drei der letzten fünf Jahre erfüllt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im Ausland geborenen Kindern: Bill-C-3-Regeln und Substantial Connection Test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Eigenen steuerlichen Status (Tax Resident oder Non-Resident) mit einer Steuerfachperson geklärt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geplantem Wegzug aus Kanada: Folgen einer „Deemed Disposition“ vorab mit Steuerberatung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Regulären Einbürgerungsantrag nicht mit dem separaten „Proof of Citizenship“-Verfahren verwechselt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hyperlink r:id="rId642">
        <w:r>
          <w:rPr>
            <w:rStyle w:val="ListLabel113"/>
            <w:rFonts w:eastAsia="Cambria" w:cs="Cambria"/>
            <w:b w:val="false"/>
            <w:bCs w:val="false"/>
            <w:i w:val="false"/>
            <w:iCs w:val="false"/>
            <w:color w:val="0563C1"/>
            <w:sz w:val="22"/>
            <w:szCs w:val="22"/>
            <w:u w:val="single"/>
          </w:rPr>
          <w:t>canada.ca</w:t>
        </w:r>
      </w:hyperlink>
      <w:r>
        <w:rPr>
          <w:rFonts w:eastAsia="Cambria" w:cs="Cambria"/>
          <w:b w:val="false"/>
          <w:bCs w:val="false"/>
          <w:i w:val="false"/>
          <w:iCs w:val="false"/>
          <w:sz w:val="22"/>
          <w:szCs w:val="22"/>
        </w:rPr>
        <w:t xml:space="preserve"> – Citizenship: physical presence calculator, requirements, fees</w:t>
      </w:r>
    </w:p>
    <w:p>
      <w:pPr>
        <w:pStyle w:val="ListParagraph"/>
        <w:numPr>
          <w:ilvl w:val="0"/>
          <w:numId w:val="1"/>
        </w:numPr>
        <w:spacing w:lineRule="exact" w:line="288" w:before="0" w:after="60"/>
        <w:rPr/>
      </w:pPr>
      <w:hyperlink r:id="rId643">
        <w:r>
          <w:rPr>
            <w:rStyle w:val="ListLabel113"/>
            <w:rFonts w:eastAsia="Cambria" w:cs="Cambria"/>
            <w:b w:val="false"/>
            <w:bCs w:val="false"/>
            <w:i w:val="false"/>
            <w:iCs w:val="false"/>
            <w:color w:val="0563C1"/>
            <w:sz w:val="22"/>
            <w:szCs w:val="22"/>
            <w:u w:val="single"/>
          </w:rPr>
          <w:t>canada.ca</w:t>
        </w:r>
      </w:hyperlink>
      <w:r>
        <w:rPr>
          <w:rFonts w:eastAsia="Cambria" w:cs="Cambria"/>
          <w:b w:val="false"/>
          <w:bCs w:val="false"/>
          <w:i w:val="false"/>
          <w:iCs w:val="false"/>
          <w:sz w:val="22"/>
          <w:szCs w:val="22"/>
        </w:rPr>
        <w:t xml:space="preserve"> – Understand permanent resident status, IRPA-Aufenthaltspflichten</w:t>
      </w:r>
    </w:p>
    <w:p>
      <w:pPr>
        <w:pStyle w:val="ListParagraph"/>
        <w:numPr>
          <w:ilvl w:val="0"/>
          <w:numId w:val="1"/>
        </w:numPr>
        <w:spacing w:lineRule="exact" w:line="288" w:before="0" w:after="60"/>
        <w:rPr/>
      </w:pPr>
      <w:hyperlink r:id="rId644">
        <w:r>
          <w:rPr>
            <w:rStyle w:val="ListLabel113"/>
            <w:rFonts w:eastAsia="Cambria" w:cs="Cambria"/>
            <w:b w:val="false"/>
            <w:bCs w:val="false"/>
            <w:i w:val="false"/>
            <w:iCs w:val="false"/>
            <w:color w:val="0563C1"/>
            <w:sz w:val="22"/>
            <w:szCs w:val="22"/>
            <w:u w:val="single"/>
          </w:rPr>
          <w:t>cra-arc.gc.ca</w:t>
        </w:r>
      </w:hyperlink>
      <w:r>
        <w:rPr>
          <w:rFonts w:eastAsia="Cambria" w:cs="Cambria"/>
          <w:b w:val="false"/>
          <w:bCs w:val="false"/>
          <w:i w:val="false"/>
          <w:iCs w:val="false"/>
          <w:sz w:val="22"/>
          <w:szCs w:val="22"/>
        </w:rPr>
        <w:t xml:space="preserve"> – Non-residents of Canada, steuerliche Ansässigkeit</w:t>
      </w:r>
    </w:p>
    <w:p>
      <w:pPr>
        <w:pStyle w:val="ListParagraph"/>
        <w:numPr>
          <w:ilvl w:val="0"/>
          <w:numId w:val="1"/>
        </w:numPr>
        <w:spacing w:lineRule="exact" w:line="288" w:before="0" w:after="60"/>
        <w:rPr/>
      </w:pPr>
      <w:hyperlink r:id="rId645">
        <w:r>
          <w:rPr>
            <w:rStyle w:val="ListLabel113"/>
            <w:rFonts w:eastAsia="Cambria" w:cs="Cambria"/>
            <w:b w:val="false"/>
            <w:bCs w:val="false"/>
            <w:i w:val="false"/>
            <w:iCs w:val="false"/>
            <w:color w:val="0563C1"/>
            <w:sz w:val="22"/>
            <w:szCs w:val="22"/>
            <w:u w:val="single"/>
          </w:rPr>
          <w:t>bmi.bund.de</w:t>
        </w:r>
      </w:hyperlink>
      <w:r>
        <w:rPr>
          <w:rFonts w:eastAsia="Cambria" w:cs="Cambria"/>
          <w:b w:val="false"/>
          <w:bCs w:val="false"/>
          <w:i w:val="false"/>
          <w:iCs w:val="false"/>
          <w:sz w:val="22"/>
          <w:szCs w:val="22"/>
        </w:rPr>
        <w:t xml:space="preserve"> – Staatsangehörigkeitsrecht, Reform 2024</w:t>
      </w:r>
    </w:p>
    <w:p>
      <w:pPr>
        <w:pStyle w:val="ListParagraph"/>
        <w:numPr>
          <w:ilvl w:val="0"/>
          <w:numId w:val="1"/>
        </w:numPr>
        <w:spacing w:lineRule="exact" w:line="288" w:before="0" w:after="60"/>
        <w:rPr/>
      </w:pPr>
      <w:hyperlink r:id="rId646">
        <w:r>
          <w:rPr>
            <w:rStyle w:val="ListLabel113"/>
            <w:rFonts w:eastAsia="Cambria" w:cs="Cambria"/>
            <w:b w:val="false"/>
            <w:bCs w:val="false"/>
            <w:i w:val="false"/>
            <w:iCs w:val="false"/>
            <w:color w:val="0563C1"/>
            <w:sz w:val="22"/>
            <w:szCs w:val="22"/>
            <w:u w:val="single"/>
          </w:rPr>
          <w:t>kanada.diplo.de</w:t>
        </w:r>
      </w:hyperlink>
      <w:r>
        <w:rPr>
          <w:rFonts w:eastAsia="Cambria" w:cs="Cambria"/>
          <w:b w:val="false"/>
          <w:bCs w:val="false"/>
          <w:i w:val="false"/>
          <w:iCs w:val="false"/>
          <w:sz w:val="22"/>
          <w:szCs w:val="22"/>
        </w:rPr>
        <w:t xml:space="preserve"> – Deutsche Botschaft Ottawa, Generalkonsulate, Beratung zur doppelten Staatsangehörigkeit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Schnell ändern sich: die Einbürgerungsgebühr, Bearbeitungs- und Wartezeiten bis zur Zeremonie sowie Detailfragen der Steuerresidenz-Tests. Prüfe vor jeder Entscheidung die aktuellen Seiten von IRCC und CRA.</w:t>
            </w:r>
          </w:p>
        </w:tc>
      </w:tr>
    </w:tbl>
    <w:p>
      <w:pPr>
        <w:sectPr>
          <w:footerReference w:type="even" r:id="rId647"/>
          <w:footerReference w:type="default" r:id="rId648"/>
          <w:footerReference w:type="first" r:id="rId649"/>
          <w:type w:val="nextPage"/>
          <w:pgSz w:w="8640" w:h="12983"/>
          <w:pgMar w:left="1080" w:right="1080" w:gutter="0" w:header="0" w:top="1080" w:footer="708" w:bottom="1100"/>
          <w:pgNumType w:fmt="decimal"/>
          <w:formProt w:val="false"/>
          <w:textDirection w:val="lrTb"/>
          <w:docGrid w:type="default" w:linePitch="360" w:charSpace="4096"/>
        </w:sectPr>
        <w:pStyle w:val="Normal"/>
        <w:spacing w:lineRule="exact" w:line="220" w:before="0" w:after="0"/>
        <w:rPr/>
      </w:pPr>
      <w:r>
        <w:rPr/>
      </w:r>
    </w:p>
    <w:p>
      <w:pPr>
        <w:pStyle w:val="Heading1"/>
        <w:spacing w:before="0" w:after="360"/>
        <w:jc w:val="center"/>
        <w:rPr/>
      </w:pPr>
      <w:bookmarkStart w:id="169" w:name="__RefHeading___Toc56599_3769931028"/>
      <w:bookmarkEnd w:id="169"/>
      <w:r>
        <w:rPr>
          <w:rFonts w:eastAsia="Amazon Ember" w:cs="Amazon Ember" w:ascii="Amazon Ember" w:hAnsi="Amazon Ember"/>
          <w:b/>
          <w:bCs/>
          <w:color w:val="0000FF"/>
        </w:rPr>
        <w:t>TEIL NEUSEELAND — Am Ende der Welt neu anfangen</w:t>
      </w:r>
    </w:p>
    <w:p>
      <w:pPr>
        <w:sectPr>
          <w:footerReference w:type="even" r:id="rId650"/>
          <w:footerReference w:type="default" r:id="rId651"/>
          <w:footerReference w:type="first" r:id="rId652"/>
          <w:type w:val="nextPage"/>
          <w:pgSz w:w="8640" w:h="12983"/>
          <w:pgMar w:left="1080" w:right="1080" w:gutter="0" w:header="0" w:top="1080" w:footer="708" w:bottom="1100"/>
          <w:pgNumType w:fmt="decimal"/>
          <w:formProt w:val="false"/>
          <w:vAlign w:val="center"/>
          <w:textDirection w:val="lrTb"/>
          <w:docGrid w:type="default" w:linePitch="360" w:charSpace="4096"/>
        </w:sectPr>
        <w:pStyle w:val="Normal"/>
        <w:spacing w:lineRule="exact" w:line="300" w:before="0" w:after="160"/>
        <w:ind w:left="400" w:right="400"/>
        <w:jc w:val="center"/>
        <w:rPr/>
      </w:pPr>
      <w:r>
        <w:rPr>
          <w:rFonts w:eastAsia="Cambria" w:cs="Cambria"/>
          <w:b w:val="false"/>
          <w:bCs w:val="false"/>
          <w:i/>
          <w:iCs/>
          <w:sz w:val="24"/>
          <w:szCs w:val="24"/>
        </w:rPr>
        <w:t>Neuseeland ist das am weitesten entfernte der vier Länder dieses Buches, mit dem niedrigsten Steuerkeil und einem eigenen Verhältnis zu Familie, Ruhestand und Naturgefahren. Dieser Teil begleitet Familie Krüger und Paul Lindner durch Einwanderungswege, Alltag und die Frage, ob die Distanz zu Deutschland für dich tragbar ist.</w:t>
      </w:r>
      <w:r>
        <w:br w:type="page"/>
      </w:r>
    </w:p>
    <w:p>
      <w:pPr>
        <w:pStyle w:val="Heading2"/>
        <w:keepNext w:val="true"/>
        <w:spacing w:before="0" w:after="300"/>
        <w:jc w:val="center"/>
        <w:rPr/>
      </w:pPr>
      <w:bookmarkStart w:id="170" w:name="__RefHeading___Toc56601_3769931028"/>
      <w:bookmarkStart w:id="171" w:name="tnz01"/>
      <w:bookmarkEnd w:id="170"/>
      <w:r>
        <w:rPr>
          <w:rFonts w:eastAsia="Amazon Ember" w:cs="Amazon Ember" w:ascii="Amazon Ember" w:hAnsi="Amazon Ember"/>
          <w:b/>
          <w:bCs/>
          <w:color w:val="0000FF"/>
          <w:sz w:val="36"/>
          <w:szCs w:val="36"/>
        </w:rPr>
        <w:t>Neuseeland: Die ehrliche Bilanz</w:t>
      </w:r>
      <w:bookmarkEnd w:id="171"/>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Auf dem Küchentisch der Krügers in Rostock liegt ein Ausdruck der Green List, mit gelbem Textmarker an zwei Stellen markiert: Agrarwissenschaften, Tiermedizin. Sebastian, 43, Agraringenieur, hat seinen künftigen Arbeitgeber in Christchurch bereits zweimal am Telefon gehabt; Petra, 40, Tierärztin, rechnet parallel nach, was von einem neuseeländischen Gehalt nach Steuern tatsächlich übrig bleibt – und stößt auf eine Zahl, die sie zunächst für einen Tippfehler hält. Der Anteil, den Steuern und Abgaben von den gesamten Arbeitskosten wegnehmen, liegt in Neuseeland nicht nur deutlich unter dem deutschen Wert, sondern auch spürbar unter dem von Australien und Kanada. Bevor aus dieser Zahl eine Entscheidung wird, verdient sie einen zweiten, nüchternen Blick – zusammen mit allem, was sie nicht zeigt. Genau den liefert dieses Kapitel.</w:t>
      </w:r>
    </w:p>
    <w:tbl>
      <w:tblPr>
        <w:tblW w:w="6480" w:type="dxa"/>
        <w:jc w:val="left"/>
        <w:tblInd w:w="0" w:type="dxa"/>
        <w:tblLayout w:type="fixed"/>
        <w:tblCellMar>
          <w:top w:w="110" w:type="dxa"/>
          <w:left w:w="200" w:type="dxa"/>
          <w:bottom w:w="80" w:type="dxa"/>
          <w:right w:w="160" w:type="dxa"/>
        </w:tblCellMar>
      </w:tblPr>
      <w:tblGrid>
        <w:gridCol w:w="6480"/>
      </w:tblGrid>
      <w:tr>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Der OECD-Steuerkeil zeigt Neuseeland 2025 bei 18,5 % – der niedrigste Wert unter den vier Zielländern dieses Buches, weit unter Deutschland (49,3 %) und auch unter Australien (29,6 %) und Kanada (32,0 %).</w:t>
            </w:r>
          </w:p>
          <w:p>
            <w:pPr>
              <w:pStyle w:val="ListParagraph"/>
              <w:numPr>
                <w:ilvl w:val="0"/>
                <w:numId w:val="1"/>
              </w:numPr>
              <w:spacing w:lineRule="exact" w:line="264" w:before="0" w:after="50"/>
              <w:rPr/>
            </w:pPr>
            <w:r>
              <w:rPr>
                <w:rFonts w:eastAsia="Cambria" w:cs="Cambria"/>
                <w:b w:val="false"/>
                <w:bCs w:val="false"/>
                <w:i w:val="false"/>
                <w:iCs w:val="false"/>
                <w:sz w:val="20"/>
                <w:szCs w:val="20"/>
              </w:rPr>
              <w:t>Die Kehrseite: keine Steuerfreigrenze (der Satz greift ab dem ersten Dollar) und kein Sozialsystem, das der deutschen Kombination aus GKV und gesetzlicher Rente entspricht.</w:t>
            </w:r>
          </w:p>
          <w:p>
            <w:pPr>
              <w:pStyle w:val="ListParagraph"/>
              <w:numPr>
                <w:ilvl w:val="0"/>
                <w:numId w:val="1"/>
              </w:numPr>
              <w:spacing w:lineRule="exact" w:line="264" w:before="0" w:after="50"/>
              <w:rPr/>
            </w:pPr>
            <w:r>
              <w:rPr>
                <w:rFonts w:eastAsia="Cambria" w:cs="Cambria"/>
                <w:b w:val="false"/>
                <w:bCs w:val="false"/>
                <w:i w:val="false"/>
                <w:iCs w:val="false"/>
                <w:sz w:val="20"/>
                <w:szCs w:val="20"/>
              </w:rPr>
              <w:t>Das öffentliche Gesundheitssystem steht erst Inhabern eines Visums mit mindestens 2 Jahren Laufzeit offen; wer kürzer bleibt, braucht eine private Übergangsversicherung.</w:t>
            </w:r>
          </w:p>
          <w:p>
            <w:pPr>
              <w:pStyle w:val="ListParagraph"/>
              <w:numPr>
                <w:ilvl w:val="0"/>
                <w:numId w:val="1"/>
              </w:numPr>
              <w:spacing w:lineRule="exact" w:line="264" w:before="0" w:after="50"/>
              <w:rPr/>
            </w:pPr>
            <w:r>
              <w:rPr>
                <w:rFonts w:eastAsia="Cambria" w:cs="Cambria"/>
                <w:b w:val="false"/>
                <w:bCs w:val="false"/>
                <w:i w:val="false"/>
                <w:iCs w:val="false"/>
                <w:sz w:val="20"/>
                <w:szCs w:val="20"/>
              </w:rPr>
              <w:t>KiwiSaver, das neuseeländische Altersvorsorgesystem, ist nur für Bürger und Personen mit unbefristetem Aufenthaltsrecht offen – mit einem befristeten Arbeitsvisum bleibst du in der Regel außen vor, bis die Residency erreicht ist.</w:t>
            </w:r>
          </w:p>
          <w:p>
            <w:pPr>
              <w:pStyle w:val="ListParagraph"/>
              <w:numPr>
                <w:ilvl w:val="0"/>
                <w:numId w:val="1"/>
              </w:numPr>
              <w:spacing w:lineRule="exact" w:line="264" w:before="0" w:after="50"/>
              <w:rPr/>
            </w:pPr>
            <w:r>
              <w:rPr>
                <w:rFonts w:eastAsia="Cambria" w:cs="Cambria"/>
                <w:b w:val="false"/>
                <w:bCs w:val="false"/>
                <w:i w:val="false"/>
                <w:iCs w:val="false"/>
                <w:sz w:val="20"/>
                <w:szCs w:val="20"/>
              </w:rPr>
              <w:t>ACC deckt jeden Unfall in Neuseeland ohne Verschuldensfrage ab, auch bei Touristen und Kindern – im Gegenzug entfällt für Personenschäden praktisch das Klagerecht auf Schadensersatz.</w:t>
            </w:r>
          </w:p>
          <w:p>
            <w:pPr>
              <w:pStyle w:val="ListParagraph"/>
              <w:numPr>
                <w:ilvl w:val="0"/>
                <w:numId w:val="1"/>
              </w:numPr>
              <w:spacing w:lineRule="exact" w:line="264" w:before="0" w:after="50"/>
              <w:rPr/>
            </w:pPr>
            <w:r>
              <w:rPr>
                <w:rFonts w:eastAsia="Cambria" w:cs="Cambria"/>
                <w:b w:val="false"/>
                <w:bCs w:val="false"/>
                <w:i w:val="false"/>
                <w:iCs w:val="false"/>
                <w:sz w:val="20"/>
                <w:szCs w:val="20"/>
              </w:rPr>
              <w:t>Auckland und Wellington liegen bei den Lebenshaltungskosten merklich unter München und Berlin – aber Neuseeland ist von den vier Ländern am weitesten von Deutschland entfernt: kein Direktflug, rund 24 Stunden Reisezeit, 11 bis 12 Stunden Zeitverschiebung.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Gehalt, Steuern und der niedrigste Steuerkeil der vier Länder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zum ersten Mal ein neuseeländisches Jobangebot neben die deutsche Gehaltsabrechnung legt, sieht selten die spektakuläre Bruttozahl, die man aus manchem US-amerikanischen Vergleich kennt. Interessant wird es erst beim zweiten Blick, dem OECD-Steuerkeil (</w:t>
      </w:r>
      <w:r>
        <w:rPr>
          <w:rFonts w:eastAsia="Cambria" w:cs="Cambria"/>
          <w:b w:val="false"/>
          <w:bCs w:val="false"/>
          <w:i/>
          <w:iCs/>
          <w:sz w:val="22"/>
          <w:szCs w:val="22"/>
        </w:rPr>
        <w:t>Tax Wedge</w:t>
      </w:r>
      <w:r>
        <w:rPr>
          <w:rFonts w:eastAsia="Cambria" w:cs="Cambria"/>
          <w:b w:val="false"/>
          <w:bCs w:val="false"/>
          <w:i w:val="false"/>
          <w:iCs w:val="false"/>
          <w:sz w:val="22"/>
          <w:szCs w:val="22"/>
        </w:rPr>
        <w:t>, das Verhältnis aus Einkommensteuer plus Arbeitnehmer- und Arbeitgeberabgaben abzüglich Familienleistungen zu den gesamten Arbeitskosten). Für einen kinderlosen Durchschnittsverdiener lag er 2025 in Neuseeland bei 18,5 % – niedriger als in Australien (29,6 %, 2024), niedriger als in Kanada (32,0 %, 2024) und weit unter dem deutschen Wert von 49,3 % (2025), dem zweithöchsten unter 38 OECD-Ländern nach Belgien. Unter den vier Zielländern dieses Buches ist Neuseeland damit der Spitzenreiter bei der niedrigen Abgabenlast – allerdings, wie so oft bei Zahlen, die zu gut aussehen, um wahr zu sein, mit einem Preis: Was in Deutschland über die umlagefinanzierte Rentenversicherung und die gesetzliche Krankenversicherung mitfinanziert wird, existiert in Neuseeland in dieser Form schlicht nicht (mehr dazu weiter unten bei KiwiSaver und dem Gesundheitssystem).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Konkret gilt für Steuerinländer im neuseeländischen Steuerjahr 2026/27 (1. April 2026 bis 31. März 2027, unverändert gegenüber dem Vorjahr) ein fünfstufiger Tarif: 10,5 % bis 15.600 NZD, 17,5 % von 15.601 bis 53.500 NZD, 30 % von 53.501 bis 78.100 NZD, 33 % von 78.101 bis 180.000 NZD und 39 % darüber.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Anders als in Deutschland gibt es keinen Grundfreibetrag – die 10,5 % greifen ab dem ersten verdienten Dollar. Wer aus der deutschen Logik „die ersten paar Tausend Euro sind steuerfrei“ kommt, sollte diesen Unterschied bei der eigenen Nettorechnung nicht übersehen: Er macht die niedrigen Stufen der Tabelle etwas weniger großzügig, als die Prozentsätze auf den ersten Blick vermuten lassen.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Lohnsteuerabzug (</w:t>
      </w:r>
      <w:r>
        <w:rPr>
          <w:rFonts w:eastAsia="Cambria" w:cs="Cambria"/>
          <w:b w:val="false"/>
          <w:bCs w:val="false"/>
          <w:i/>
          <w:iCs/>
          <w:sz w:val="22"/>
          <w:szCs w:val="22"/>
        </w:rPr>
        <w:t>PAYE</w:t>
      </w:r>
      <w:r>
        <w:rPr>
          <w:rFonts w:eastAsia="Cambria" w:cs="Cambria"/>
          <w:b w:val="false"/>
          <w:bCs w:val="false"/>
          <w:i w:val="false"/>
          <w:iCs w:val="false"/>
          <w:sz w:val="22"/>
          <w:szCs w:val="22"/>
        </w:rPr>
        <w:t xml:space="preserve">, „Pay As You Earn“, der laufende Steuerabzug direkt vom Arbeitgeber) folgt automatisch denselben Stufen, sodass die meisten Angestellten keine eigene Steuererklärung abgeben müssen. Dazu kommt die Verbrauchssteuer: Die </w:t>
      </w:r>
      <w:r>
        <w:rPr>
          <w:rFonts w:eastAsia="Cambria" w:cs="Cambria"/>
          <w:b w:val="false"/>
          <w:bCs w:val="false"/>
          <w:i/>
          <w:iCs/>
          <w:sz w:val="22"/>
          <w:szCs w:val="22"/>
        </w:rPr>
        <w:t>GST</w:t>
      </w:r>
      <w:r>
        <w:rPr>
          <w:rFonts w:eastAsia="Cambria" w:cs="Cambria"/>
          <w:b w:val="false"/>
          <w:bCs w:val="false"/>
          <w:i w:val="false"/>
          <w:iCs w:val="false"/>
          <w:sz w:val="22"/>
          <w:szCs w:val="22"/>
        </w:rPr>
        <w:t xml:space="preserve"> (</w:t>
      </w:r>
      <w:r>
        <w:rPr>
          <w:rFonts w:eastAsia="Cambria" w:cs="Cambria"/>
          <w:b w:val="false"/>
          <w:bCs w:val="false"/>
          <w:i/>
          <w:iCs/>
          <w:sz w:val="22"/>
          <w:szCs w:val="22"/>
        </w:rPr>
        <w:t>Goods and Services Tax</w:t>
      </w:r>
      <w:r>
        <w:rPr>
          <w:rFonts w:eastAsia="Cambria" w:cs="Cambria"/>
          <w:b w:val="false"/>
          <w:bCs w:val="false"/>
          <w:i w:val="false"/>
          <w:iCs w:val="false"/>
          <w:sz w:val="22"/>
          <w:szCs w:val="22"/>
        </w:rPr>
        <w:t>) liegt einheitlich bei 15 % und ist, anders als die separat ausgewiesene US-Sales-Tax, bereits im angezeigten Preis enthalten – näher am Prinzip der deutschen Mehrwertsteuer als am amerikanischen System. Der ausgezeichnete Preis ist tatsächlich der Preis, den man zahlt – eine Schlichtheit, die man erst zu schätzen weiß, wenn man sie einmal vermisst hat.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Beantrage deine IRD-Nummer (die kostenlose, lebenslang gültige neuseeländische Steuernummer) so früh wie möglich, am besten direkt nach Erhalt des Visums über das Verfahren „New Arrival to New Zealand“ – bei erfolgreicher Online-Prüfung liegt sie innerhalb von 2 Tagen vor. Ohne sie drohen laut mehreren übereinstimmenden, aber nicht amtlich einzeln bestätigten Quellen pauschale Steuerabzüge von bis zu 45 % auf Zinsen und bestimmte Zahlungen – ein Betrag, den man sich erst mit der nächsten Steuererklärung zurückholt.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steuerlich als </w:t>
      </w:r>
      <w:r>
        <w:rPr>
          <w:rFonts w:eastAsia="Cambria" w:cs="Cambria"/>
          <w:b w:val="false"/>
          <w:bCs w:val="false"/>
          <w:i/>
          <w:iCs/>
          <w:sz w:val="22"/>
          <w:szCs w:val="22"/>
        </w:rPr>
        <w:t>Resident</w:t>
      </w:r>
      <w:r>
        <w:rPr>
          <w:rFonts w:eastAsia="Cambria" w:cs="Cambria"/>
          <w:b w:val="false"/>
          <w:bCs w:val="false"/>
          <w:i w:val="false"/>
          <w:iCs w:val="false"/>
          <w:sz w:val="22"/>
          <w:szCs w:val="22"/>
        </w:rPr>
        <w:t xml:space="preserve"> gilt – im Kern über die 183-Tage-Regel innerhalb eines rollierenden 12-Monats-Fensters, rückwirkend zum ersten dieser Tage –, versteuert sein weltweites Einkommen in Neuseeland. Für Neuankömmlinge gibt es dabei eine Erleichterung: die </w:t>
      </w:r>
      <w:r>
        <w:rPr>
          <w:rFonts w:eastAsia="Cambria" w:cs="Cambria"/>
          <w:b w:val="false"/>
          <w:bCs w:val="false"/>
          <w:i/>
          <w:iCs/>
          <w:sz w:val="22"/>
          <w:szCs w:val="22"/>
        </w:rPr>
        <w:t>Transitional-Resident</w:t>
      </w:r>
      <w:r>
        <w:rPr>
          <w:rFonts w:eastAsia="Cambria" w:cs="Cambria"/>
          <w:b w:val="false"/>
          <w:bCs w:val="false"/>
          <w:i w:val="false"/>
          <w:iCs w:val="false"/>
          <w:sz w:val="22"/>
          <w:szCs w:val="22"/>
        </w:rPr>
        <w:t>-Befreiung. Wer in den vergangenen zehn Jahren kein neuseeländischer Steuerinländer war, ist automatisch 48 Monate lang von den meisten ausländischen Kapital-, Miet- und Beteiligungseinkünften befreit – nicht jedoch von im Ausland erzieltem Erwerbseinkommen. Für Deutsche mit Mieteinnahmen, Kapitalerträgen oder einer Betriebsrente aus Deutschland ist das ein Detail, das sich finanziell lohnen kann, aber vor der Ausreise mit einem Steuerberater geklärt gehört; das Doppelbesteuerungsabkommen zwischen Deutschland und Neuseeland ist hier nicht im Detail geprüft.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Neuseeland reiht sich damit, ebenso wie Australien und Kanada, in die Gruppe der punktebasierten Einwanderungsländer ein – im Unterschied zum stärker sponsoring- und lotterieabhängigen System der USA. Wie genau das Punktesystem der Skilled Migrant Category funktioniert und welche der hier nur angerissenen Wege zu wem passt, zeigt das </w:t>
      </w:r>
      <w:hyperlink w:anchor="tnz02">
        <w:r>
          <w:rPr>
            <w:rStyle w:val="ListLabel113"/>
            <w:rFonts w:eastAsia="Cambria" w:cs="Cambria"/>
            <w:b w:val="false"/>
            <w:bCs w:val="false"/>
            <w:i w:val="false"/>
            <w:iCs w:val="false"/>
            <w:color w:val="0563C1"/>
            <w:sz w:val="22"/>
            <w:szCs w:val="22"/>
            <w:u w:val="single"/>
          </w:rPr>
          <w:t>nächste Kapitel dieses Teils</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Lebenshaltungskosten: Auckland und Wellington im Vergleich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 dem Numbeo-Kostenindex (Mitte 2026, New York = 100, nutzergenerierte Vergleichsdaten, keine amtliche Statistik) liegen Auckland bei 62,5 Punkten (Miete 48,7) und Wellington bei 63,0 (Miete 48,8) – beide spürbar unter München (76,1, Miete 62,4) und auch unter Berlin (70,0, Miete 54,9). Im Länderdurchschnitt liegt Neuseeland insgesamt bei 60,2 Punkten (Miete 43,9) – der niedrigste Wert unter den vier Zielländern dieses Buches, noch unter Kanada (61,3/46,6). Kurz gesagt: Wer aus einer deutschen Großstadt kommt, erlebt in Auckland oder Wellington in aller Regel keinen Kaufkraftschock nach oben, sondern eher das Gegenteil.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Diese Durchschnittszahl sagt nichts über die Verteilung innerhalb der Städte – ein gefragtes Viertel in Auckland kann ebenso über dem Durchschnitt liegen wie ein Szeneviertel in Berlin. Und sie sagt erst recht nichts über das, was am Ende auf dem Konto ankommt: Erst das neuseeländische Nettogehalt – nach Einkommensteuer, ohne Grundfreibetrag – den tatsächlichen Ausgaben am Zielort gegenüberzustellen, ergibt ein ehrliches Bild.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niedrige Steuerkeil aus dem vorigen Abschnitt und die im Index vergleichsweise günstigen Städte verstärken sich für die meisten Neuankömmlinge in der Praxis gegenseitig – eine seltene Kombination unter den vier Ländern dieses Buches. Das ersetzt aber nicht die eigene Rechnung mit dem konkreten Zielort, dem konkreten Beruf und der konkreten Wohnform.</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Gesundheit: öffentlich, aber nicht ab dem ersten Tag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Wer in ein Land mit einem staatlichen Gesundheitssystem zieht, sei von Ankunft an automatisch mitversichert, ähnlich wie beim Wechsel zwischen zwei EU-Staaten. Für Neuseeland stimmt das nur für einen Teil der Neuankömmlinge. Zugang zur subventionierten öffentlichen Gesundheitsversorgung haben von Anfang an neuseeländische Staatsbürger, Inhaber eines Resident-Visums – und Inhaber eines Arbeitsvisums mit einer Laufzeit von mindestens 2 Jahren, gerechnet ab dem ersten Tag in Neuseeland (bereits in Neuseeland verbrachte Zeit wird angerechnet). Wer mit einem kürzeren Visum einreist, etwa Working Holiday oder ein Studienvisum, ist in aller Regel nicht automatisch abgedeckt.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Das Accredited Employer Work Visa gilt je nach Tätigkeit bis zu 5 Jahre, bei geringerer Kompetenzstufe aber nur 3 Jahre. Liegt die tatsächlich bewilligte Laufzeit darunter oder wird das Visum erst kurz vor Ablauf verlängert, kann die 2-Jahres-Schwelle knapp verfehlt werden. Prüfe die genaue, im Visum eingetragene Laufzeit, nicht nur die Visumskategorie, bevor du fest mit öffentlicher Gesundheitsversorgung planst.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die Schwelle nicht erreicht, zahlt Behandlungen privat oder schließt eine private Zusatzversicherung ab – bei einigen befristeten Visa, etwa dem Working-Holiday-Visum, ist eine Vollkrankenversicherung ohnehin Voraussetzung für die Erteilung. Anbieter wie Southern Cross (nach Sekundärquellen der mit Abstand größte Versicherer im Land) oder nib bieten Policen ab grob 50 bis 80 NZD im Monat für eine Basis-OP-Absicherung; umfassendere Krankenhauspläne mit Selbstbehalt liegen eher bei 80 bis 120 NZD im Monat. Diese Werte stammen von Vergleichsportalen, nicht direkt von den Versicherern, und gehören vor einer Entscheidung mit einem aktuellen Tarifrechner gegengeprüft.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Eine zweite Besonderheit kennt Neuseeland, die es in dieser Form in keinem der anderen drei Zielländer dieses Buches gibt: die </w:t>
      </w:r>
      <w:r>
        <w:rPr>
          <w:rFonts w:eastAsia="Cambria" w:cs="Cambria"/>
          <w:b w:val="false"/>
          <w:bCs w:val="false"/>
          <w:i/>
          <w:iCs/>
          <w:sz w:val="22"/>
          <w:szCs w:val="22"/>
        </w:rPr>
        <w:t>Accident Compensation Corporation</w:t>
      </w:r>
      <w:r>
        <w:rPr>
          <w:rFonts w:eastAsia="Cambria" w:cs="Cambria"/>
          <w:b w:val="false"/>
          <w:bCs w:val="false"/>
          <w:i w:val="false"/>
          <w:iCs w:val="false"/>
          <w:sz w:val="22"/>
          <w:szCs w:val="22"/>
        </w:rPr>
        <w:t xml:space="preserve"> (ACC), eine verpflichtende, aus einer eigenen Abgabe finanzierte No-Fault-Unfallversicherung für alle Personen in Neuseeland – Touristen, Studierende und Kinder eingeschlossen. Sie zahlt bei Unfallverletzungen unabhängig davon, wer den Unfall verschuldet hat. Der Tausch dahinter ist grundlegend: Im Gegenzug entfällt für Personenschäden praktisch das Klagerecht auf zivilrechtlichen Schadensersatz, von engen Ausnahmen abgesehen. Wer aus Deutschland eine Kultur der Haftpflichtklage gewohnt ist, sollte diesen Systemwechsel verstehen, bevor er ihn am eigenen Leib erlebt – im Guten wie im Schlechten ersetzt ACC private Ansprüche vollständig.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ACC finanziert sich über die </w:t>
            </w:r>
            <w:r>
              <w:rPr>
                <w:rFonts w:eastAsia="Cambria" w:cs="Cambria"/>
                <w:b w:val="false"/>
                <w:bCs w:val="false"/>
                <w:i/>
                <w:iCs/>
                <w:sz w:val="20"/>
                <w:szCs w:val="20"/>
              </w:rPr>
              <w:t>Earner’s Levy</w:t>
            </w:r>
            <w:r>
              <w:rPr>
                <w:rFonts w:eastAsia="Cambria" w:cs="Cambria"/>
                <w:b w:val="false"/>
                <w:bCs w:val="false"/>
                <w:i w:val="false"/>
                <w:iCs w:val="false"/>
                <w:sz w:val="20"/>
                <w:szCs w:val="20"/>
              </w:rPr>
              <w:t>, ab April 2026 1,75 % des beitragspflichtigen Einkommens, gedeckelt bei 156.641 NZD Jahreseinkommen. Anders gesagt: Ein Teil des niedrigen Steuerkeils aus dem ersten Abschnitt fließt über diesen Umweg wieder in ein staatliches System – nur eben in ein anderes als in Deutschland, ohne direkte deutsche Entsprechung.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KiwiSaver statt gesetzlicher Rente – und wer draußen bleibt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Neuseeland kennt, wie Australien und Kanada, keine umlagefinanzierte gesetzliche Rentenversicherung nach deutschem Vorbild. Das Äquivalent heißt </w:t>
      </w:r>
      <w:r>
        <w:rPr>
          <w:rFonts w:eastAsia="Cambria" w:cs="Cambria"/>
          <w:b w:val="false"/>
          <w:bCs w:val="false"/>
          <w:i/>
          <w:iCs/>
          <w:sz w:val="22"/>
          <w:szCs w:val="22"/>
        </w:rPr>
        <w:t>KiwiSaver</w:t>
      </w:r>
      <w:r>
        <w:rPr>
          <w:rFonts w:eastAsia="Cambria" w:cs="Cambria"/>
          <w:b w:val="false"/>
          <w:bCs w:val="false"/>
          <w:i w:val="false"/>
          <w:iCs w:val="false"/>
          <w:sz w:val="22"/>
          <w:szCs w:val="22"/>
        </w:rPr>
        <w:t>, ein grundsätzlich freiwilliges, aber vom Staat gefördertes Sparsystem mit verpflichtendem Arbeitgeberbeitrag für Mitglieder – ab 1. April 2026 mindestens 3,5 % des Lohns, mit einer weiteren geplanten Erhöhung auf 4 % bis 2028.</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Haken für frisch zugewanderte Deutsche steht schon in der Beitrittsvoraussetzung: KiwiSaver steht nur neuseeländischen Staatsbürgern und Personen mit einem unbefristeten Aufenthaltsrecht offen. Wer mit einem AEWV oder einem Working-Holiday-Visum einreist, also mit einem befristeten Status, kann in aller Regel nicht beitreten, selbst wenn er wollte. Das ist ein klarer Unterschied zu Australiens Superannuation, die vom ersten Arbeitstag an für so gut wie jeden Beschäftigten unabhängig vom Aufenthaltsstatus gilt, und zu Kanadas CPP, der ebenfalls ab der ersten Gehaltsabrechnung greift. Wer über AEWV und Green List den Weg zur Residency geht, wie Familie Krüger, baut also unter Umständen mehrere Jahre lang gar keine betriebliche Altersvorsorge in Neuseeland auf – ein Punkt, der in der Euphorie über den niedrigen Steuerkeil leicht untergeht.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Krüger (fiktiv) rechnete diesen Punkt zunächst nicht mit ein. Sebastian, Agraringenieur, hatte seinen Job in Christchurch über das AEWV-Verfahren gesichert, sein Beruf stand auf der Green List. Erst beim Gespräch mit einer Finanzberaterin kurz vor der Ausreise fiel auf: Weder er noch Petra würden als AEWV-Inhaber in KiwiSaver einzahlen können, solange keiner von beiden über die Green-List-Regelung zur Residency gewechselt wäre – realistisch nach rund zwei Jahren Arbeit in Neuseeland. Für die Übergangszeit blieb es bei freiwilligen Beiträgen zur deutschen Rentenversicherung, ein Punkt, den das Kapitel zu Steuern, Rente und Geld im Universal-Teil dieses Buches vertieft.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dagegen wie Paul Lindner direkt mit einem Daueraufenthaltstitel einreist, kann KiwiSaver von Anfang an nutzen und profitiert vom Arbeitgeberbeitrag ohne Wartezeit – ein weiterer Unterschied, der bei der Wahl des Einwanderungswegs mitentscheiden sollte, nicht erst nach der Ankunft auffallen sollte.</w:t>
      </w:r>
    </w:p>
    <w:p>
      <w:pPr>
        <w:pStyle w:val="Heading3"/>
        <w:keepNext w:val="true"/>
        <w:spacing w:before="280" w:after="100"/>
        <w:jc w:val="center"/>
        <w:rPr/>
      </w:pPr>
      <w:r>
        <w:rPr>
          <w:rFonts w:eastAsia="Amazon Ember" w:cs="Amazon Ember" w:ascii="Amazon Ember" w:hAnsi="Amazon Ember"/>
          <w:b/>
          <w:bCs/>
          <w:color w:val="0000FF"/>
          <w:sz w:val="36"/>
          <w:szCs w:val="36"/>
        </w:rPr>
        <w:t>Was der Umzug selbst kostet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Schon vor dem ersten Gehaltseingang verlangt Neuseeland Vorleistungen, deren Höhe stark vom gewählten Weg abhängt. Ein Antrag auf das Skilled Migrant Category Resident Visa – der direkte Weg zum Daueraufenthalt, wie ihn Paul Lindner wählt – kostet 6.450 NZD für den Hauptantragsteller (2.880 NZD Antragsgebühr plus 3.570 NZD Immigration Levy, eine zusätzliche Einwanderungsabgabe); Partner und Kinder zahlen jeweils separat. Das Accredited Employer Work Visa, Familie Krügers Weg, ist mit 1.540 NZD auf den ersten Blick deutlich günstiger – allerdings kommt hier vorher die Prüfung des Arbeitgebers (</w:t>
      </w:r>
      <w:r>
        <w:rPr>
          <w:rFonts w:eastAsia="Cambria" w:cs="Cambria"/>
          <w:b w:val="false"/>
          <w:bCs w:val="false"/>
          <w:i/>
          <w:iCs/>
          <w:sz w:val="22"/>
          <w:szCs w:val="22"/>
        </w:rPr>
        <w:t>Employer Accreditation</w:t>
      </w:r>
      <w:r>
        <w:rPr>
          <w:rFonts w:eastAsia="Cambria" w:cs="Cambria"/>
          <w:b w:val="false"/>
          <w:bCs w:val="false"/>
          <w:i w:val="false"/>
          <w:iCs w:val="false"/>
          <w:sz w:val="22"/>
          <w:szCs w:val="22"/>
        </w:rPr>
        <w:t>) und der konkreten Stelle (</w:t>
      </w:r>
      <w:r>
        <w:rPr>
          <w:rFonts w:eastAsia="Cambria" w:cs="Cambria"/>
          <w:b w:val="false"/>
          <w:bCs w:val="false"/>
          <w:i/>
          <w:iCs/>
          <w:sz w:val="22"/>
          <w:szCs w:val="22"/>
        </w:rPr>
        <w:t>Job Check</w:t>
      </w:r>
      <w:r>
        <w:rPr>
          <w:rFonts w:eastAsia="Cambria" w:cs="Cambria"/>
          <w:b w:val="false"/>
          <w:bCs w:val="false"/>
          <w:i w:val="false"/>
          <w:iCs w:val="false"/>
          <w:sz w:val="22"/>
          <w:szCs w:val="22"/>
        </w:rPr>
        <w:t>) hinzu, deren Gebühren der Arbeitgeber trägt, nicht der Antragsteller.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 beiden Wegen kommen für jede Person ab 15 Jahren eine ärztliche Untersuchung mit Röntgen-Thorax (Nachweis höchstens 3 Monate alt) sowie ein Führungszeugnis (höchstens 6 Monate alt) hinzu – die konkreten Kosten dafür hängen vom jeweiligen Land und Anbieter ab und sind hier nicht beziffert. Deutschland gehört zudem nicht zu den Ländern, mit denen Neuseeland ein Gebührenbefreiungsabkommen hat – anders als etwa Österreich zahlen deutsche Antragsteller die vollen Sätze ohne Rabatt. Für eine vierköpfige Familie wie die Krügers kommen so allein an Visumsgebühren mehrere Tausend NZD zusammen, bevor überhaupt ein Flug gebucht ist.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Paul Lindner (fiktiv), 31, IT-Berater aus Frankfurt, alleinstehend, beantragte das Skilled-Migrant-Category-Visum direkt aus Deutschland, ohne vorherige Zwischenstation über ein Arbeitsvisum. Die 6.450 NZD Antragsgebühr plus Kosten für Gesundheitscheck, Führungszeugnis und Sprachtest summierten sich vor der Ausreise auf einen Betrag im vierstelligen Bereich. Der Vorteil: Als Inhaber eines Daueraufenthaltsvisums war er ab dem Tag der Einreise voll bei der öffentlichen Gesundheitsversorgung abgesichert und konnte sofort einer KiwiSaver-Mitgliedschaft beitreten – beides blieb Familie Krüger mit ihrem befristeten AEWV zunächst verwehrt.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sich nicht in NZD messen lässt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Unter den vier Zielländern dieses Buches ist Neuseeland am weitesten von Deutschland entfernt – merklich weiter als Kanada, spürbar weiter noch als Australien. Zwischen Frankfurt und Auckland gibt es keinen Direktflug; mit mindestens einem Zwischenstopp dauert die Reise rund 24 Stunden über etwa 18.201 Kilometer Luftlinie. Dazu kommt die größte Zeitverschiebung aller vier Länder: Neuseeland liegt rund 11 bis 12 Stunden vor Deutschland, fast eine vollständige Tag-Nacht-Umkehr. Ein Anruf bei den Eltern zur deutschen Frühstückszeit trifft in Neuseeland auf den frühen Abend; wer sich das nicht vorher bewusst macht, wundert sich später jedes Mal aufs Neue, warum niemand rangeht.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Zur Größe der deutschen Gemeinschaft vor Ort lässt sich, anders als für die anderen drei Länder, derzeit keine belastbare aktuelle Zahl nennen. Die letzte greifbare Angabe stammt aus dem Zensus 2018: Damals ordneten sich 16.818 Personen der „deutschen ethnischen Gruppe“ zu, rund 0,36 % der Bevölkerung – eine mittlerweile veraltete Momentaufnahme. Eine in Foren und auf manchen Auswanderer-Seiten kursierende Schätzung von rund 200.000 Personen deutscher Abstammung ist nirgends belastbar belegt und sollte nicht als Fakt behandelt werden – ein kleines Beispiel dafür, dass sich nicht jede Zahl googeln lässt, nur weil sie oft genug wiederholt wird.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Auf der positiven Seite: Sowohl Deutschland als auch Neuseeland erlauben die doppelte Staatsangehörigkeit ausdrücklich. Seit der deutschen Reform vom 27. Juni 2024 führt eine neuseeländische Einbürgerung nicht mehr automatisch zum Verlust des deutschen Passes – ein Punkt, der noch vor wenigen Jahren deutlich komplizierter war.</w:t>
      </w:r>
    </w:p>
    <w:p>
      <w:pPr>
        <w:pStyle w:val="Heading3"/>
        <w:keepNext w:val="true"/>
        <w:spacing w:before="280" w:after="100"/>
        <w:jc w:val="center"/>
        <w:rPr/>
      </w:pPr>
      <w:r>
        <w:rPr>
          <w:rFonts w:eastAsia="Amazon Ember" w:cs="Amazon Ember" w:ascii="Amazon Ember" w:hAnsi="Amazon Ember"/>
          <w:b/>
          <w:bCs/>
          <w:color w:val="0000FF"/>
          <w:sz w:val="36"/>
          <w:szCs w:val="36"/>
        </w:rPr>
        <w:t>Wer profitiert, wer nicht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stärksten profitiert von der neuseeländischen Rechnung, wer einen Beruf auf der Green List mitbringt oder die Punkteschwelle der Skilled Migrant Category komfortabel erreicht, und wer die geringere Abgabenlast bewusst gegen ein dünneres soziales Sicherungsnetz eintauschen will. Auch alleinstehende Berufseinsteiger ohne große Bindungen fahren mit dem direkten SMC-Weg vergleichsweise gut, sofern Alter (unter 55 Jahren) und Berufserfahrung passen.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Kritischer wird die Bilanz für alle, die zunächst über ein befristetes Arbeitsvisum einreisen und mehrere Jahre mit Lücken bei Gesundheitsversorgung und Altersvorsorge überbrücken müssen, für alle mit pflegebedürftigen Eltern in Deutschland – die Distanz wiegt hier schwerer als bei jedem anderen der vier Länder dieses Buches – und für alle, die finanziell wenig Puffer für Vorlaufkosten und private Übergangsversicherung mitbringen.</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Niedrigster Steuerkeil der vier Zielländer (18,5 % gegenüber 49,3 % in Deutschland)</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Steuerfreigrenze – der volle Satz greift ab dem ersten Dollar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Auckland und Wellington bei Lebenshaltungskosten unter München und Berlin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Öffentliche Gesundheitsversorgung erst ab Visum mit mindestens 2 Jahren Laufzeit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ACC deckt jeden Unfall ohne Verschuldensfrage – auch für Besucher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 Gegenzug praktisch kein Klagerecht auf Schadensersatz bei Personenschäden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List erlaubt bei Mangelberufen einen direkten Weg zur Residency</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KiwiSaver erst nach Erreichen eines unbefristeten Aufenthaltstitels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Doppelte Staatsangehörigkeit ausdrücklich erlaubt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Größte Distanz und Zeitverschiebung aller vier Zielländer, kein Direktflug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Transitional-Resident-Befreiung erleichtert die ersten vier Jahre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Deutschland zählt nicht zu den Gebührenbefreiungsländern – volle Visumskosten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Rechne mit deinen eigenen Zahlen, nicht mit dem Bruttogehalt: Trage dein voraussichtliches Einkommen in die neuseeländische Steuerstaffel ein, und vergleiche das Ergebnis mit deiner heutigen deutschen Nettoabrechnung – nicht mit dem Bruttogehalt. Kläre parallel, ob dein Beruf auf der Green List steht oder ob die Skilled Migrant Category realistisch erreichbar ist; das </w:t>
      </w:r>
      <w:hyperlink w:anchor="tnz02">
        <w:r>
          <w:rPr>
            <w:rStyle w:val="ListLabel113"/>
            <w:rFonts w:eastAsia="Cambria" w:cs="Cambria"/>
            <w:b w:val="false"/>
            <w:bCs w:val="false"/>
            <w:i w:val="false"/>
            <w:iCs w:val="false"/>
            <w:color w:val="0563C1"/>
            <w:sz w:val="22"/>
            <w:szCs w:val="22"/>
            <w:u w:val="single"/>
          </w:rPr>
          <w:t>nächste Kapitel dieses Teils</w:t>
        </w:r>
      </w:hyperlink>
      <w:r>
        <w:rPr>
          <w:rFonts w:eastAsia="Cambria" w:cs="Cambria"/>
          <w:b w:val="false"/>
          <w:bCs w:val="false"/>
          <w:i w:val="false"/>
          <w:iCs w:val="false"/>
          <w:sz w:val="22"/>
          <w:szCs w:val="22"/>
        </w:rPr>
        <w:t xml:space="preserve"> zeigt die einzelnen Wege im Detail. Prüfe außerdem, wie lange dein konkretes Visum tatsächlich gilt, um die Wartezeit bis zur öffentlichen Gesundheitsversorgung einzuschätzen, und plane für diese Zeit eine private Zusatzversicherung fest ein.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Eigenes Bruttogehalt in die neuseeländische Steuerstaffel eingetragen und mit der deutschen Nettoabrechnung verglichen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Geprüft, ob der eigene Beruf auf der Green List steht oder ob die SMC-Punkteschwelle erreichbar ist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Tatsächliche Visumslaufzeit geklärt und daraus abgeleitet, ab wann öffentliche Gesundheitsversorgung greift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Kosten für eine private Übergangsversicherung für die Zeit bis zur 2-Jahres-Schwelle eingeplant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Geklärt, ob und wann eine KiwiSaver-Mitgliedschaft möglich wird, und Alternativen für die Übergangszeit überlegt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Lebenshaltungskosten am konkreten Zielort, nicht nur den Landesdurchschnitt, recherchiert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New Zealand — Gebühren, Visakategorien, Gesundheitsanforderungen (</w:t>
      </w:r>
      <w:hyperlink r:id="rId653">
        <w:r>
          <w:rPr>
            <w:rStyle w:val="ListLabel113"/>
            <w:rFonts w:eastAsia="Cambria" w:cs="Cambria"/>
            <w:b w:val="false"/>
            <w:bCs w:val="false"/>
            <w:i w:val="false"/>
            <w:iCs w:val="false"/>
            <w:color w:val="0563C1"/>
            <w:sz w:val="22"/>
            <w:szCs w:val="22"/>
            <w:u w:val="single"/>
          </w:rPr>
          <w:t>immigration.govt.nz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Inland Revenue Department — Einkommensteuersätze, IRD-Nummer, Steuerresidenz (</w:t>
      </w:r>
      <w:hyperlink r:id="rId654">
        <w:r>
          <w:rPr>
            <w:rStyle w:val="ListLabel113"/>
            <w:rFonts w:eastAsia="Cambria" w:cs="Cambria"/>
            <w:b w:val="false"/>
            <w:bCs w:val="false"/>
            <w:i w:val="false"/>
            <w:iCs w:val="false"/>
            <w:color w:val="0563C1"/>
            <w:sz w:val="22"/>
            <w:szCs w:val="22"/>
            <w:u w:val="single"/>
          </w:rPr>
          <w:t>ird.govt.nz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ACC — Leistungen und Finanzierung der Unfallversicherung (</w:t>
      </w:r>
      <w:hyperlink r:id="rId655">
        <w:r>
          <w:rPr>
            <w:rStyle w:val="ListLabel113"/>
            <w:rFonts w:eastAsia="Cambria" w:cs="Cambria"/>
            <w:b w:val="false"/>
            <w:bCs w:val="false"/>
            <w:i w:val="false"/>
            <w:iCs w:val="false"/>
            <w:color w:val="0563C1"/>
            <w:sz w:val="22"/>
            <w:szCs w:val="22"/>
            <w:u w:val="single"/>
          </w:rPr>
          <w:t>acc.co.nz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OECD — Taxing Wages, Steuerkeil-Vergleich (</w:t>
      </w:r>
      <w:hyperlink r:id="rId656">
        <w:r>
          <w:rPr>
            <w:rStyle w:val="ListLabel113"/>
            <w:rFonts w:eastAsia="Cambria" w:cs="Cambria"/>
            <w:b w:val="false"/>
            <w:bCs w:val="false"/>
            <w:i w:val="false"/>
            <w:iCs w:val="false"/>
            <w:color w:val="0563C1"/>
            <w:sz w:val="22"/>
            <w:szCs w:val="22"/>
            <w:u w:val="single"/>
          </w:rPr>
          <w:t>oecd.org</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Numbeo — Lebenshaltungskosten im Städtevergleich (</w:t>
      </w:r>
      <w:hyperlink r:id="rId657">
        <w:r>
          <w:rPr>
            <w:rStyle w:val="ListLabel113"/>
            <w:rFonts w:eastAsia="Cambria" w:cs="Cambria"/>
            <w:b w:val="false"/>
            <w:bCs w:val="false"/>
            <w:i w:val="false"/>
            <w:iCs w:val="false"/>
            <w:color w:val="0563C1"/>
            <w:sz w:val="22"/>
            <w:szCs w:val="22"/>
            <w:u w:val="single"/>
          </w:rPr>
          <w:t>numbeo.com</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Statistics New Zealand — Bevölkerungs- und Zensusdaten (</w:t>
      </w:r>
      <w:hyperlink r:id="rId658">
        <w:r>
          <w:rPr>
            <w:rStyle w:val="ListLabel113"/>
            <w:rFonts w:eastAsia="Cambria" w:cs="Cambria"/>
            <w:b w:val="false"/>
            <w:bCs w:val="false"/>
            <w:i w:val="false"/>
            <w:iCs w:val="false"/>
            <w:color w:val="0563C1"/>
            <w:sz w:val="22"/>
            <w:szCs w:val="22"/>
            <w:u w:val="single"/>
          </w:rPr>
          <w:t>stats.govt.nz</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Steuerstufen, KiwiSaver-Beitragssätze und ACC-Levies werden regelmäßig angepasst, die SMC-Lohnschwellen ändern sich mehrfach im Jahr, und einzelne Zahlen (Kosten privater Krankenversicherung, aktuelle Größe der deutschen Community) stammen aus Sekundärquellen ohne amtliche Bestätigung. Prüfe vor jeder Entscheidung die aktuellen Werte auf immigration.govt.nz und ird.govt.nz.</w:t>
            </w:r>
          </w:p>
        </w:tc>
      </w:tr>
    </w:tbl>
    <w:p>
      <w:pPr>
        <w:pStyle w:val="Normal"/>
        <w:spacing w:lineRule="exact" w:line="220" w:before="0" w:after="0"/>
        <w:rPr/>
      </w:pPr>
      <w:r>
        <w:rPr/>
      </w:r>
      <w:r>
        <w:br w:type="page"/>
      </w:r>
    </w:p>
    <w:p>
      <w:pPr>
        <w:pStyle w:val="Heading2"/>
        <w:keepNext w:val="true"/>
        <w:spacing w:before="0" w:after="300"/>
        <w:jc w:val="center"/>
        <w:rPr/>
      </w:pPr>
      <w:bookmarkStart w:id="172" w:name="__RefHeading___Toc56603_3769931028"/>
      <w:bookmarkStart w:id="173" w:name="tnz02"/>
      <w:bookmarkEnd w:id="172"/>
      <w:r>
        <w:rPr>
          <w:rFonts w:eastAsia="Amazon Ember" w:cs="Amazon Ember" w:ascii="Amazon Ember" w:hAnsi="Amazon Ember"/>
          <w:b/>
          <w:bCs/>
          <w:color w:val="0000FF"/>
          <w:sz w:val="36"/>
          <w:szCs w:val="36"/>
        </w:rPr>
        <w:t>Neuseeland: Wege der Einwanderung</w:t>
      </w:r>
      <w:bookmarkEnd w:id="173"/>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zum ersten Mal die Visa-Seiten von Immigration New Zealand (INZ, die neuseeländische Einwanderungsbehörde, Teil des Wirtschaftsministeriums MBIE) durchklickt, stößt nicht auf eine einzelne Tür, sondern auf ein kleines Labyrinth aus Kategorien: Skilled Migrant Category, Accredited Employer Work Visa, Green List, Working Holiday, Student Visa – jede mit eigenen Schwellen, eigenen Gebühren, eigenem Tempo. Paul Lindner aus Frankfurt fand seinen Weg direkt über das Punktesystem; Familie Krüger aus Rostock kam über ein Jobangebot und einen Beruf auf der Green List ins Land. Beide leben heute – oder bald – in Neuseeland, aber durch unterschiedliche Türen. Dieses Kapitel ordnet die wichtigsten Wege für Deutsche, bevor die folgenden Kapitel dieses Teils sie im Detail vertiefen.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Neuseeland öffnet sich für Deutsche vor allem über zwei Prinzipien: das Punktesystem der Skilled Migrant Category (SMC) und das Arbeitgeber-Sponsoring über das Accredited Employer Work Visa (AEWV).</w:t>
            </w:r>
          </w:p>
          <w:p>
            <w:pPr>
              <w:pStyle w:val="ListParagraph"/>
              <w:numPr>
                <w:ilvl w:val="0"/>
                <w:numId w:val="1"/>
              </w:numPr>
              <w:spacing w:lineRule="exact" w:line="264" w:before="0" w:after="50"/>
              <w:rPr/>
            </w:pPr>
            <w:r>
              <w:rPr>
                <w:rFonts w:eastAsia="Cambria" w:cs="Cambria"/>
                <w:b w:val="false"/>
                <w:bCs w:val="false"/>
                <w:i w:val="false"/>
                <w:iCs w:val="false"/>
                <w:sz w:val="20"/>
                <w:szCs w:val="20"/>
              </w:rPr>
              <w:t>Seit einer Reform 2025/26 reicht für die SMC eine neue, deutlich einfachere Schwelle von 6 Punkten – vorher waren es 180 Punkte in einem komplizierteren Modell.</w:t>
            </w:r>
          </w:p>
          <w:p>
            <w:pPr>
              <w:pStyle w:val="ListParagraph"/>
              <w:numPr>
                <w:ilvl w:val="0"/>
                <w:numId w:val="1"/>
              </w:numPr>
              <w:spacing w:lineRule="exact" w:line="264" w:before="0" w:after="50"/>
              <w:rPr/>
            </w:pPr>
            <w:r>
              <w:rPr>
                <w:rFonts w:eastAsia="Cambria" w:cs="Cambria"/>
                <w:b w:val="false"/>
                <w:bCs w:val="false"/>
                <w:i w:val="false"/>
                <w:iCs w:val="false"/>
                <w:sz w:val="20"/>
                <w:szCs w:val="20"/>
              </w:rPr>
              <w:t>Die Green List (Mangelberufe-Liste) verkürzt oder ersetzt für rund 200 Berufe den üblichen Weg: Tier 1 erlaubt den direkten Antrag auf Daueraufenthalt, Tier 2 verlangt vorher 24 Monate Arbeit in Neuseeland.</w:t>
            </w:r>
          </w:p>
          <w:p>
            <w:pPr>
              <w:pStyle w:val="ListParagraph"/>
              <w:numPr>
                <w:ilvl w:val="0"/>
                <w:numId w:val="1"/>
              </w:numPr>
              <w:spacing w:lineRule="exact" w:line="264" w:before="0" w:after="50"/>
              <w:rPr/>
            </w:pPr>
            <w:r>
              <w:rPr>
                <w:rFonts w:eastAsia="Cambria" w:cs="Cambria"/>
                <w:b w:val="false"/>
                <w:bCs w:val="false"/>
                <w:i w:val="false"/>
                <w:iCs w:val="false"/>
                <w:sz w:val="20"/>
                <w:szCs w:val="20"/>
              </w:rPr>
              <w:t>Working Holiday und Studienvisum sind selbst keine Daueraufenthaltswege, aber für viele der Seiteneingang, über den sich AEWV oder SMC später leichter öffnen.</w:t>
            </w:r>
          </w:p>
          <w:p>
            <w:pPr>
              <w:pStyle w:val="ListParagraph"/>
              <w:numPr>
                <w:ilvl w:val="0"/>
                <w:numId w:val="1"/>
              </w:numPr>
              <w:spacing w:lineRule="exact" w:line="264" w:before="0" w:after="50"/>
              <w:rPr/>
            </w:pPr>
            <w:r>
              <w:rPr>
                <w:rFonts w:eastAsia="Cambria" w:cs="Cambria"/>
                <w:b w:val="false"/>
                <w:bCs w:val="false"/>
                <w:i w:val="false"/>
                <w:iCs w:val="false"/>
                <w:sz w:val="20"/>
                <w:szCs w:val="20"/>
              </w:rPr>
              <w:t>Deutschland zählt nicht zu den Ländern mit Gebührenbefreiung – anders als etwa Österreich zahlst du die vollen INZ-Gebühren.</w:t>
            </w:r>
          </w:p>
          <w:p>
            <w:pPr>
              <w:pStyle w:val="ListParagraph"/>
              <w:numPr>
                <w:ilvl w:val="0"/>
                <w:numId w:val="1"/>
              </w:numPr>
              <w:spacing w:lineRule="exact" w:line="264" w:before="0" w:after="50"/>
              <w:rPr/>
            </w:pPr>
            <w:r>
              <w:rPr>
                <w:rFonts w:eastAsia="Cambria" w:cs="Cambria"/>
                <w:b w:val="false"/>
                <w:bCs w:val="false"/>
                <w:i w:val="false"/>
                <w:iCs w:val="false"/>
                <w:sz w:val="20"/>
                <w:szCs w:val="20"/>
              </w:rPr>
              <w:t>Welcher Weg passt, hängt weniger vom Wunschort ab als von Beruf, Alter, Sprachniveau und der Frage, ob bereits ein Jobangebot vorliegt.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Grundprinzip: Punkte oder Arbeitgeber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Fast jeder berufliche Weg nach Neuseeland läuft am Ende auf eine von zwei Fragen hinaus: Erreichst du allein, mit deiner Qualifikation und deinem Gehalt, genug Punkte für einen direkten Antrag auf Daueraufenthalt? Oder brauchst du zunächst einen Arbeitgeber, der bereit ist, dich zu sponsern? Die erste Frage führt zur </w:t>
      </w:r>
      <w:r>
        <w:rPr>
          <w:rFonts w:eastAsia="Cambria" w:cs="Cambria"/>
          <w:b w:val="false"/>
          <w:bCs w:val="false"/>
          <w:i/>
          <w:iCs/>
          <w:sz w:val="22"/>
          <w:szCs w:val="22"/>
        </w:rPr>
        <w:t>Skilled Migrant Category</w:t>
      </w:r>
      <w:r>
        <w:rPr>
          <w:rFonts w:eastAsia="Cambria" w:cs="Cambria"/>
          <w:b w:val="false"/>
          <w:bCs w:val="false"/>
          <w:i w:val="false"/>
          <w:iCs w:val="false"/>
          <w:sz w:val="22"/>
          <w:szCs w:val="22"/>
        </w:rPr>
        <w:t xml:space="preserve"> (SMC), dem zentralen Punktesystem für Fachkräfte. Die zweite führt zum </w:t>
      </w:r>
      <w:r>
        <w:rPr>
          <w:rFonts w:eastAsia="Cambria" w:cs="Cambria"/>
          <w:b w:val="false"/>
          <w:bCs w:val="false"/>
          <w:i/>
          <w:iCs/>
          <w:sz w:val="22"/>
          <w:szCs w:val="22"/>
        </w:rPr>
        <w:t>Accredited Employer Work Visa</w:t>
      </w:r>
      <w:r>
        <w:rPr>
          <w:rFonts w:eastAsia="Cambria" w:cs="Cambria"/>
          <w:b w:val="false"/>
          <w:bCs w:val="false"/>
          <w:i w:val="false"/>
          <w:iCs w:val="false"/>
          <w:sz w:val="22"/>
          <w:szCs w:val="22"/>
        </w:rPr>
        <w:t xml:space="preserve"> (AEWV), dem befristeten Arbeitsvisum, über das die meisten Deutschen zunächst ins Land kommen, bevor sie – oft über die Green List – zur Residency wechseln.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Beide Wege sind eng miteinander verzahnt, nicht strikt getrennt: Ein AEWV kann der erste Schritt zu einer späteren SMC-Bewerbung sein, sobald genug Berufserfahrung in Neuseeland vorliegt. Wer dagegen schon jetzt komfortabel über der Punkteschwelle liegt, kann die SMC auch direkt aus Deutschland beantragen, ganz ohne vorherigen Zwischenschritt über ein Arbeitsvisum – der Weg, den Paul Lindner wählt.</w:t>
      </w:r>
    </w:p>
    <w:p>
      <w:pPr>
        <w:pStyle w:val="Heading3"/>
        <w:keepNext w:val="true"/>
        <w:spacing w:before="280" w:after="100"/>
        <w:jc w:val="center"/>
        <w:rPr/>
      </w:pPr>
      <w:r>
        <w:rPr>
          <w:rFonts w:eastAsia="Amazon Ember" w:cs="Amazon Ember" w:ascii="Amazon Ember" w:hAnsi="Amazon Ember"/>
          <w:b/>
          <w:bCs/>
          <w:color w:val="0000FF"/>
          <w:sz w:val="36"/>
          <w:szCs w:val="36"/>
        </w:rPr>
        <w:t>Skilled Migrant Category: das neue, einfachere Punktesystem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SMC ist seit einer Reform 2025/26 grundlegend einfacher geworden. Das frühere System mit einer Schwelle von 180 Punkten in einem umfangreichen Punkteraster (das genaue Datum der Umstellung ist in den verfügbaren Quellen nicht abschließend belegt) wurde durch ein schlankeres Modell mit einer Mindestschwelle von nur noch </w:t>
      </w:r>
      <w:r>
        <w:rPr>
          <w:rFonts w:eastAsia="Cambria" w:cs="Cambria"/>
          <w:b/>
          <w:bCs/>
          <w:i w:val="false"/>
          <w:iCs w:val="false"/>
          <w:sz w:val="22"/>
          <w:szCs w:val="22"/>
        </w:rPr>
        <w:t>6 Punkten</w:t>
      </w:r>
      <w:r>
        <w:rPr>
          <w:rFonts w:eastAsia="Cambria" w:cs="Cambria"/>
          <w:b w:val="false"/>
          <w:bCs w:val="false"/>
          <w:i w:val="false"/>
          <w:iCs w:val="false"/>
          <w:sz w:val="22"/>
          <w:szCs w:val="22"/>
        </w:rPr>
        <w:t xml:space="preserve"> ersetzt. Diese Punkte stammen aus vier Quellen:</w:t>
      </w:r>
    </w:p>
    <w:p>
      <w:pPr>
        <w:pStyle w:val="ListParagraph"/>
        <w:numPr>
          <w:ilvl w:val="0"/>
          <w:numId w:val="1"/>
        </w:numPr>
        <w:spacing w:lineRule="exact" w:line="288" w:before="0" w:after="60"/>
        <w:rPr/>
      </w:pPr>
      <w:r>
        <w:rPr>
          <w:rFonts w:eastAsia="Cambria" w:cs="Cambria"/>
          <w:b/>
          <w:bCs/>
          <w:i w:val="false"/>
          <w:iCs w:val="false"/>
          <w:sz w:val="22"/>
          <w:szCs w:val="22"/>
        </w:rPr>
        <w:t>Qualifikation:</w:t>
      </w:r>
      <w:r>
        <w:rPr>
          <w:rFonts w:eastAsia="Cambria" w:cs="Cambria"/>
          <w:b w:val="false"/>
          <w:bCs w:val="false"/>
          <w:i w:val="false"/>
          <w:iCs w:val="false"/>
          <w:sz w:val="22"/>
          <w:szCs w:val="22"/>
        </w:rPr>
        <w:t xml:space="preserve"> 4 bis 6 Punkte – ein Bachelorabschluss bringt seit dem 24.08.2026 4 statt vorher 3 Punkte, ein Master- oder Doktortitel entsprechend mehr.</w:t>
      </w:r>
    </w:p>
    <w:p>
      <w:pPr>
        <w:pStyle w:val="ListParagraph"/>
        <w:numPr>
          <w:ilvl w:val="0"/>
          <w:numId w:val="1"/>
        </w:numPr>
        <w:spacing w:lineRule="exact" w:line="288" w:before="0" w:after="60"/>
        <w:rPr/>
      </w:pPr>
      <w:r>
        <w:rPr>
          <w:rFonts w:eastAsia="Cambria" w:cs="Cambria"/>
          <w:b/>
          <w:bCs/>
          <w:i w:val="false"/>
          <w:iCs w:val="false"/>
          <w:sz w:val="22"/>
          <w:szCs w:val="22"/>
        </w:rPr>
        <w:t>Berufliche Registrierung:</w:t>
      </w:r>
      <w:r>
        <w:rPr>
          <w:rFonts w:eastAsia="Cambria" w:cs="Cambria"/>
          <w:b w:val="false"/>
          <w:bCs w:val="false"/>
          <w:i w:val="false"/>
          <w:iCs w:val="false"/>
          <w:sz w:val="22"/>
          <w:szCs w:val="22"/>
        </w:rPr>
        <w:t xml:space="preserve"> 3 bis 6 Punkte, sofern der Beruf einer Registrierungspflicht unterliegt (etwa bei regulierten Berufen wie Pflege oder Ingenieurwesen).</w:t>
      </w:r>
    </w:p>
    <w:p>
      <w:pPr>
        <w:pStyle w:val="ListParagraph"/>
        <w:numPr>
          <w:ilvl w:val="0"/>
          <w:numId w:val="1"/>
        </w:numPr>
        <w:spacing w:lineRule="exact" w:line="288" w:before="0" w:after="60"/>
        <w:rPr/>
      </w:pPr>
      <w:r>
        <w:rPr>
          <w:rFonts w:eastAsia="Cambria" w:cs="Cambria"/>
          <w:b/>
          <w:bCs/>
          <w:i w:val="false"/>
          <w:iCs w:val="false"/>
          <w:sz w:val="22"/>
          <w:szCs w:val="22"/>
        </w:rPr>
        <w:t>Einkommen:</w:t>
      </w:r>
      <w:r>
        <w:rPr>
          <w:rFonts w:eastAsia="Cambria" w:cs="Cambria"/>
          <w:b w:val="false"/>
          <w:bCs w:val="false"/>
          <w:i w:val="false"/>
          <w:iCs w:val="false"/>
          <w:sz w:val="22"/>
          <w:szCs w:val="22"/>
        </w:rPr>
        <w:t xml:space="preserve"> 3 bis 6 Punkte, gestaffelt nach Lohnschwelle (siehe unten).</w:t>
      </w:r>
    </w:p>
    <w:p>
      <w:pPr>
        <w:pStyle w:val="ListParagraph"/>
        <w:numPr>
          <w:ilvl w:val="0"/>
          <w:numId w:val="1"/>
        </w:numPr>
        <w:spacing w:lineRule="exact" w:line="288" w:before="0" w:after="60"/>
        <w:rPr/>
      </w:pPr>
      <w:r>
        <w:rPr>
          <w:rFonts w:eastAsia="Cambria" w:cs="Cambria"/>
          <w:b/>
          <w:bCs/>
          <w:i w:val="false"/>
          <w:iCs w:val="false"/>
          <w:sz w:val="22"/>
          <w:szCs w:val="22"/>
        </w:rPr>
        <w:t>Neuseeländische Facharbeitserfahrung:</w:t>
      </w:r>
      <w:r>
        <w:rPr>
          <w:rFonts w:eastAsia="Cambria" w:cs="Cambria"/>
          <w:b w:val="false"/>
          <w:bCs w:val="false"/>
          <w:i w:val="false"/>
          <w:iCs w:val="false"/>
          <w:sz w:val="22"/>
          <w:szCs w:val="22"/>
        </w:rPr>
        <w:t xml:space="preserve"> bis zu 3 Zusatzpunkte für bereits geleistete Arbeit im Land.</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Einkommenspunkte gilt ein System aus Vielfachen des neuseeländischen Medianlohns, der seit dem 09.03.2026 bei 35,00 NZD pro Stunde liegt: Wer ohne bisherige neuseeländische Arbeitserfahrung das Dreifache dieses Medianlohns verdient – 105,00 NZD/Std. –, erhält die vollen 6 Punkte. Mit bereits vorhandener neuseeländischer Arbeitserfahrung genügt das Doppelte, 70,00 NZD/Std., für 4 Punkte. Ein wichtiges Detail: Einmal festgelegt, bleibt die Lohnschwelle für den jeweiligen Antrag bestehen – „once your threshold is set, it does not change“, wie INZ es formuliert. Wer früh mit einer Stelle unterhalb der aktuell gültigen Schwelle beginnt, sollte den genauen Startzeitpunkt sorgfältig dokumentieren, da spätere Erhöhungen nicht rückwirkend gelten.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6 Punkte klingt nach einer niedrigen Hürde – und ist es im Vergleich zum alten 180-Punkte-System auch. Die eigentliche Arbeit steckt nicht in der Punktzahl selbst, sondern in den Voraussetzungen dahinter: ein Jobangebot bei einem akkreditierten Arbeitgeber oder mehrjährige einschlägige Erfahrung, ausreichendes Englisch, gute Gesundheit und ein sauberes Führungszeugnis.</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Weitere Voraussetzungen: Höchstalter 55 Jahre bei Antragstellung, eine unbefristete Stelle oder mindestens 12 Monate befristete Beschäftigung bei mindestens 30 Wochenstunden, und – je nach gewähltem Pfad – zusätzliche Anforderungen. Neben dem regulären Punktepfad kennt die SMC zwei Alternativen: den </w:t>
      </w:r>
      <w:r>
        <w:rPr>
          <w:rFonts w:eastAsia="Cambria" w:cs="Cambria"/>
          <w:b w:val="false"/>
          <w:bCs w:val="false"/>
          <w:i/>
          <w:iCs/>
          <w:sz w:val="22"/>
          <w:szCs w:val="22"/>
        </w:rPr>
        <w:t>Skilled-Work-Experience-Pfad</w:t>
      </w:r>
      <w:r>
        <w:rPr>
          <w:rFonts w:eastAsia="Cambria" w:cs="Cambria"/>
          <w:b w:val="false"/>
          <w:bCs w:val="false"/>
          <w:i w:val="false"/>
          <w:iCs w:val="false"/>
          <w:sz w:val="22"/>
          <w:szCs w:val="22"/>
        </w:rPr>
        <w:t xml:space="preserve"> für Personen mit mindestens 5 Jahren einschlägiger Erfahrung, davon mindestens 2 Jahre in Neuseeland zum geforderten Lohnsatz, und den </w:t>
      </w:r>
      <w:r>
        <w:rPr>
          <w:rFonts w:eastAsia="Cambria" w:cs="Cambria"/>
          <w:b w:val="false"/>
          <w:bCs w:val="false"/>
          <w:i/>
          <w:iCs/>
          <w:sz w:val="22"/>
          <w:szCs w:val="22"/>
        </w:rPr>
        <w:t>Trades-&amp;-Technician-Pfad</w:t>
      </w:r>
      <w:r>
        <w:rPr>
          <w:rFonts w:eastAsia="Cambria" w:cs="Cambria"/>
          <w:b w:val="false"/>
          <w:bCs w:val="false"/>
          <w:i w:val="false"/>
          <w:iCs w:val="false"/>
          <w:sz w:val="22"/>
          <w:szCs w:val="22"/>
        </w:rPr>
        <w:t xml:space="preserve"> für Personen mit einer Level-4-Qualifikation oder höher und mindestens 2,5 Jahren einschlägiger Erfahrung nach Abschluss.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Reform vom 24.08.2026 hat auch die Regeln verschärft, nicht nur vereinfacht. Selbstständigkeit zählt seither nicht mehr automatisch als „direkt relevante Arbeitserfahrung“, und alle Nachweise müssen „unabhängig überprüfbar“ sein – reine Eigenerklärungen reichen nicht mehr. Wer seine Berufserfahrung über frühere Selbstständigkeit begründen wollte, sollte das vor der Antragstellung genau mit einer Einwanderungsberatung klären.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Gebühr für den Hauptantragsteller liegt bei 6.450 NZD (2.880 NZD Antragsgebühr plus 3.570 NZD </w:t>
      </w:r>
      <w:r>
        <w:rPr>
          <w:rFonts w:eastAsia="Cambria" w:cs="Cambria"/>
          <w:b w:val="false"/>
          <w:bCs w:val="false"/>
          <w:i/>
          <w:iCs/>
          <w:sz w:val="22"/>
          <w:szCs w:val="22"/>
        </w:rPr>
        <w:t>Immigration Levy</w:t>
      </w:r>
      <w:r>
        <w:rPr>
          <w:rFonts w:eastAsia="Cambria" w:cs="Cambria"/>
          <w:b w:val="false"/>
          <w:bCs w:val="false"/>
          <w:i w:val="false"/>
          <w:iCs w:val="false"/>
          <w:sz w:val="22"/>
          <w:szCs w:val="22"/>
        </w:rPr>
        <w:t xml:space="preserve">, eine zusätzliche Einwanderungsabgabe); Partner und Kinder zahlen über die Family Category beziehungsweise als Dependent Child jeweils separat. Wer die SMC erfolgreich durchläuft, erhält ein </w:t>
      </w:r>
      <w:r>
        <w:rPr>
          <w:rFonts w:eastAsia="Cambria" w:cs="Cambria"/>
          <w:b w:val="false"/>
          <w:bCs w:val="false"/>
          <w:i/>
          <w:iCs/>
          <w:sz w:val="22"/>
          <w:szCs w:val="22"/>
        </w:rPr>
        <w:t>Resident Visa</w:t>
      </w:r>
      <w:r>
        <w:rPr>
          <w:rFonts w:eastAsia="Cambria" w:cs="Cambria"/>
          <w:b w:val="false"/>
          <w:bCs w:val="false"/>
          <w:i w:val="false"/>
          <w:iCs w:val="false"/>
          <w:sz w:val="22"/>
          <w:szCs w:val="22"/>
        </w:rPr>
        <w:t xml:space="preserve"> – de facto einen Daueraufenthaltstitel, wenn auch mit Reisebedingungen, die zunächst 2 Jahre nach der ersten Einreise laufen, bevor gegebenenfalls ein </w:t>
      </w:r>
      <w:r>
        <w:rPr>
          <w:rFonts w:eastAsia="Cambria" w:cs="Cambria"/>
          <w:b w:val="false"/>
          <w:bCs w:val="false"/>
          <w:i/>
          <w:iCs/>
          <w:sz w:val="22"/>
          <w:szCs w:val="22"/>
        </w:rPr>
        <w:t>Permanent Resident Visa</w:t>
      </w:r>
      <w:r>
        <w:rPr>
          <w:rFonts w:eastAsia="Cambria" w:cs="Cambria"/>
          <w:b w:val="false"/>
          <w:bCs w:val="false"/>
          <w:i w:val="false"/>
          <w:iCs w:val="false"/>
          <w:sz w:val="22"/>
          <w:szCs w:val="22"/>
        </w:rPr>
        <w:t xml:space="preserve"> für uneingeschränktes Ein- und Ausreisen nötig wird.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Paul Lindner (fiktiv), 31, IT-Berater aus Frankfurt, alleinstehend, rechnete seine Punktzahl schon Monate vor der geplanten Ausreise durch. Mit einem Masterabschluss, einigen Jahren einschlägiger Berufserfahrung und einem Jobangebot eines Auckland-Unternehmens deutlich über der 105,00-NZD-Schwelle kam er komfortabel über die 6-Punkte-Marke – ein Ergebnis, das ihn selbst überraschte, weil er aus Erzählungen über das alte 180-Punkte-System eine viel härtere Hürde erwartet hatte. Der eigentliche Aufwand lag nicht in der Punkterechnung, sondern im Sprachtest, dem Gesundheitscheck und der Beschaffung eines aktuellen Führungszeugnisses.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Accredited Employer Work Visa: der häufigste erste Schritt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wie Familie Krüger keinen Direktweg über die SMC-Punktzahl anstrebt oder ihn erst über neuseeländische Berufserfahrung erreichen will, kommt in aller Regel über das </w:t>
      </w:r>
      <w:r>
        <w:rPr>
          <w:rFonts w:eastAsia="Cambria" w:cs="Cambria"/>
          <w:b w:val="false"/>
          <w:bCs w:val="false"/>
          <w:i/>
          <w:iCs/>
          <w:sz w:val="22"/>
          <w:szCs w:val="22"/>
        </w:rPr>
        <w:t>Accredited Employer Work Visa</w:t>
      </w:r>
      <w:r>
        <w:rPr>
          <w:rFonts w:eastAsia="Cambria" w:cs="Cambria"/>
          <w:b w:val="false"/>
          <w:bCs w:val="false"/>
          <w:i w:val="false"/>
          <w:iCs w:val="false"/>
          <w:sz w:val="22"/>
          <w:szCs w:val="22"/>
        </w:rPr>
        <w:t xml:space="preserve"> (AEWV) ins Land. Anders als bei der SMC bewirbst du dich hier nicht selbst um Punkte, sondern brauchst einen Arbeitgeber, der zwei Hürden nimmt: Er muss zunächst als Betrieb akkreditiert sein (</w:t>
      </w:r>
      <w:r>
        <w:rPr>
          <w:rFonts w:eastAsia="Cambria" w:cs="Cambria"/>
          <w:b w:val="false"/>
          <w:bCs w:val="false"/>
          <w:i/>
          <w:iCs/>
          <w:sz w:val="22"/>
          <w:szCs w:val="22"/>
        </w:rPr>
        <w:t>Employer Accreditation</w:t>
      </w:r>
      <w:r>
        <w:rPr>
          <w:rFonts w:eastAsia="Cambria" w:cs="Cambria"/>
          <w:b w:val="false"/>
          <w:bCs w:val="false"/>
          <w:i w:val="false"/>
          <w:iCs w:val="false"/>
          <w:sz w:val="22"/>
          <w:szCs w:val="22"/>
        </w:rPr>
        <w:t xml:space="preserve">) und anschließend für die konkrete Stelle einen </w:t>
      </w:r>
      <w:r>
        <w:rPr>
          <w:rFonts w:eastAsia="Cambria" w:cs="Cambria"/>
          <w:b w:val="false"/>
          <w:bCs w:val="false"/>
          <w:i/>
          <w:iCs/>
          <w:sz w:val="22"/>
          <w:szCs w:val="22"/>
        </w:rPr>
        <w:t>Job Check</w:t>
      </w:r>
      <w:r>
        <w:rPr>
          <w:rFonts w:eastAsia="Cambria" w:cs="Cambria"/>
          <w:b w:val="false"/>
          <w:bCs w:val="false"/>
          <w:i w:val="false"/>
          <w:iCs w:val="false"/>
          <w:sz w:val="22"/>
          <w:szCs w:val="22"/>
        </w:rPr>
        <w:t xml:space="preserve"> bestehen, mit dem INZ prüft, ob die Position den Anforderungen entspricht. Erst danach kannst du selbst das AEWV beantragen.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Voraussetzungen auf deiner Seite: eine Vollzeitstelle mit mindestens 30 Wochenstunden, Bezahlung mindestens zum geltenden Lohnsatz der jeweiligen Tätigkeit, dazu entweder mindestens 2 Jahre einschlägige Berufserfahrung oder eine Qualifikation ab Level 4 des neuseeländischen Qualifikationsrahmens. Englischkenntnisse sind nur für mittlere bis höhere Kompetenzstufen verpflichtend vorgeschrieben. Bei einer Bezahlung ab dem Doppelten des Medianlohns (67,12 NZD/Std.) entfällt der gesonderte Nachweis der Kompetenzanforderungen ganz – ein Umstand, der besonders für gut bezahlte Fachkräfte den Verwaltungsaufwand spürbar senkt.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AEWV gilt je nach Kompetenzstufe der Tätigkeit bis zu 5 Jahre, bei geringerer Kompetenzstufe 3 Jahre. Die Gesamtgebühr liegt bei 1.540 NZD (480 NZD Antrag plus 1.060 NZD Levy) – deutlich unter der SMC-Gebühr, allerdings trägt der Arbeitgeber zusätzlich die Kosten für Akkreditierung (775 NZD im Standardfall) und Job Check (735 NZD). Medizinische und charakterliche Anforderungen greifen gestaffelt: Ein Röntgen-Thorax wird erst ab 6 Monaten Aufenthalt und bei Herkunft aus einem Land mit erhöhtem Tuberkulose-Risiko verlangt, ein Führungszeugnis erst, wenn der Gesamtaufenthalt in Neuseeland 24 Monate übersteigt – merklich niedrigere Hürden als bei der SMC, wo beides von Anfang an Pflicht ist.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erklärt Regeln und Praxis, ersetzt aber keine Beratung durch eine lizenzierte Einwanderungsberaterin, einen Einwanderungsberater oder eine Anwältin beziehungsweise einen Anwalt für neuseeländisches Einwanderungsrecht.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große Vorteil des AEWV liegt in der niedrigeren Einstiegshürde: kein Punktetest, keine Altersgrenze wie bei der SMC. Der Preis ist die Bindung an den sponsernden Arbeitgeber – ein Wechsel bedeutet grundsätzlich ein neues Job-Check-Verfahren. Wer von dort aus zur Residency will, braucht entweder einen Beruf auf der Green List oder muss über die Jahre genug Punkte für die reguläre SMC sammeln.</w:t>
      </w:r>
    </w:p>
    <w:p>
      <w:pPr>
        <w:pStyle w:val="Heading3"/>
        <w:keepNext w:val="true"/>
        <w:spacing w:before="280" w:after="100"/>
        <w:jc w:val="center"/>
        <w:rPr/>
      </w:pPr>
      <w:r>
        <w:rPr>
          <w:rFonts w:eastAsia="Amazon Ember" w:cs="Amazon Ember" w:ascii="Amazon Ember" w:hAnsi="Amazon Ember"/>
          <w:b/>
          <w:bCs/>
          <w:color w:val="0000FF"/>
          <w:sz w:val="36"/>
          <w:szCs w:val="36"/>
        </w:rPr>
        <w:t>Green List: der Überholstreifen für Mangelberufe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rund 200 einzelne Berufe – Schwerpunkte liegen bei Ingenieurwesen, Gesundheitswesen, Bauwesen und Gewerken, IT und Lehrberufen – bietet die </w:t>
      </w:r>
      <w:r>
        <w:rPr>
          <w:rFonts w:eastAsia="Cambria" w:cs="Cambria"/>
          <w:b w:val="false"/>
          <w:bCs w:val="false"/>
          <w:i/>
          <w:iCs/>
          <w:sz w:val="22"/>
          <w:szCs w:val="22"/>
        </w:rPr>
        <w:t>Green List</w:t>
      </w:r>
      <w:r>
        <w:rPr>
          <w:rFonts w:eastAsia="Cambria" w:cs="Cambria"/>
          <w:b w:val="false"/>
          <w:bCs w:val="false"/>
          <w:i w:val="false"/>
          <w:iCs w:val="false"/>
          <w:sz w:val="22"/>
          <w:szCs w:val="22"/>
        </w:rPr>
        <w:t xml:space="preserve"> (die Mangelberufe-Liste) einen verkürzten oder direkten Weg zur Residency, unabhängig vom sonstigen Punktesystem. Sie unterscheidet zwei Stufen:</w:t>
      </w:r>
    </w:p>
    <w:p>
      <w:pPr>
        <w:pStyle w:val="ListParagraph"/>
        <w:numPr>
          <w:ilvl w:val="0"/>
          <w:numId w:val="1"/>
        </w:numPr>
        <w:spacing w:lineRule="exact" w:line="288" w:before="0" w:after="60"/>
        <w:rPr/>
      </w:pPr>
      <w:r>
        <w:rPr>
          <w:rFonts w:eastAsia="Cambria" w:cs="Cambria"/>
          <w:b/>
          <w:bCs/>
          <w:i w:val="false"/>
          <w:iCs w:val="false"/>
          <w:sz w:val="22"/>
          <w:szCs w:val="22"/>
        </w:rPr>
        <w:t>Tier 1, „Straight to Residence“:</w:t>
      </w:r>
      <w:r>
        <w:rPr>
          <w:rFonts w:eastAsia="Cambria" w:cs="Cambria"/>
          <w:b w:val="false"/>
          <w:bCs w:val="false"/>
          <w:i w:val="false"/>
          <w:iCs w:val="false"/>
          <w:sz w:val="22"/>
          <w:szCs w:val="22"/>
        </w:rPr>
        <w:t xml:space="preserve"> Sobald ein Jobangebot eines akkreditierten Arbeitgebers und die berufsspezifischen Voraussetzungen vorliegen, kann der direkte Antrag auf ein Daueraufenthaltsvisum gestellt werden – ganz ohne vorherige Arbeitszeit in Neuseeland.</w:t>
      </w:r>
    </w:p>
    <w:p>
      <w:pPr>
        <w:pStyle w:val="ListParagraph"/>
        <w:numPr>
          <w:ilvl w:val="0"/>
          <w:numId w:val="1"/>
        </w:numPr>
        <w:spacing w:lineRule="exact" w:line="288" w:before="0" w:after="60"/>
        <w:rPr/>
      </w:pPr>
      <w:r>
        <w:rPr>
          <w:rFonts w:eastAsia="Cambria" w:cs="Cambria"/>
          <w:b/>
          <w:bCs/>
          <w:i w:val="false"/>
          <w:iCs w:val="false"/>
          <w:sz w:val="22"/>
          <w:szCs w:val="22"/>
        </w:rPr>
        <w:t>Tier 2, „Work to Residence“:</w:t>
      </w:r>
      <w:r>
        <w:rPr>
          <w:rFonts w:eastAsia="Cambria" w:cs="Cambria"/>
          <w:b w:val="false"/>
          <w:bCs w:val="false"/>
          <w:i w:val="false"/>
          <w:iCs w:val="false"/>
          <w:sz w:val="22"/>
          <w:szCs w:val="22"/>
        </w:rPr>
        <w:t xml:space="preserve"> Zunächst ist ein AEWV nötig; nach 24 Monaten Arbeit in Neuseeland innerhalb der letzten 30 Monate vor Antragstellung öffnet sich der Wechsel zur Residency.</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Wo kein eigener berufsspezifischer Schwellenwert gilt, greift als Mindestlohn der allgemeine Immigration-Medianlohn von 35,00 NZD pro Stunde. Wichtig: Beide Tiers setzen trotzdem eine Stelle bei einem akkreditierten Arbeitgeber voraus – die Green List ersetzt also nicht das AEWV-System, sondern beschleunigt den Weg von dort zur Residency.</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Prüfe schon vor der Jobsuche, ob dein konkreter Beruf – mit dem passenden ANZSCO-Code, der australisch-neuseeländischen Standardklassifikation für Berufe – tatsächlich auf der Green List steht und welche Zusatzanforderungen (etwa eine berufliche Registrierung) für genau diesen Beruf gelten. Eine grobe Ähnlichkeit der Berufsbezeichnung reicht nicht; die Liste ist nach Einzelberufen, nicht nach Berufsfeldern sortiert.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Familie Krüger (fiktiv) prüfte vor der Entscheidung gezielt, ob Sebastians Tätigkeit als Agraringenieur auf der Green List steht – was sich bestätigte. Der Plan: zunächst über das AEWV nach Christchurch, dort mindestens 24 Monate arbeiten, dann über Tier 2 den Wechsel zur Residency beantragen. Der Vorteil gegenüber dem regulären SMC-Punktepfad: kein eigenständiges Punkterechnen nötig, solange der Beruf gelistet bleibt und der Arbeitgeber akkreditiert ist. Der Nachteil: Bis zur Residency bleibt die Familie an den Arbeitgeber gebunden und, wie das </w:t>
            </w:r>
            <w:hyperlink w:anchor="tnz01">
              <w:r>
                <w:rPr>
                  <w:rStyle w:val="ListLabel116"/>
                  <w:rFonts w:eastAsia="Cambria" w:cs="Cambria"/>
                  <w:b w:val="false"/>
                  <w:bCs w:val="false"/>
                  <w:i w:val="false"/>
                  <w:iCs w:val="false"/>
                  <w:color w:val="0563C1"/>
                  <w:sz w:val="20"/>
                  <w:szCs w:val="20"/>
                  <w:u w:val="single"/>
                </w:rPr>
                <w:t>vorige Kapitel dieses Teils</w:t>
              </w:r>
            </w:hyperlink>
            <w:r>
              <w:rPr>
                <w:rFonts w:eastAsia="Cambria" w:cs="Cambria"/>
                <w:b w:val="false"/>
                <w:bCs w:val="false"/>
                <w:i w:val="false"/>
                <w:iCs w:val="false"/>
                <w:sz w:val="20"/>
                <w:szCs w:val="20"/>
              </w:rPr>
              <w:t xml:space="preserve"> zeigt, zunächst von KiwiSaver und teilweise von der öffentlichen Gesundheitsversorgung ausgeschlossen.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Working Holiday: der Seiteneingang für junge Deutsche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w:t>
      </w:r>
      <w:r>
        <w:rPr>
          <w:rFonts w:eastAsia="Cambria" w:cs="Cambria"/>
          <w:b w:val="false"/>
          <w:bCs w:val="false"/>
          <w:i/>
          <w:iCs/>
          <w:sz w:val="22"/>
          <w:szCs w:val="22"/>
        </w:rPr>
        <w:t>Working-Holiday-Visum</w:t>
      </w:r>
      <w:r>
        <w:rPr>
          <w:rFonts w:eastAsia="Cambria" w:cs="Cambria"/>
          <w:b w:val="false"/>
          <w:bCs w:val="false"/>
          <w:i w:val="false"/>
          <w:iCs w:val="false"/>
          <w:sz w:val="22"/>
          <w:szCs w:val="22"/>
        </w:rPr>
        <w:t xml:space="preserve"> ist für sich genommen kein Weg zum Daueraufenthalt, aber für viele junge Deutsche der niedrigschwelligste erste Einstieg. Voraussetzungen: Alter zwischen 18 und 30 Jahren, deutsche Staatsangehörigkeit, kein früheres, bereits genutztes Working-Holiday-Visum, eine Vollkrankenversicherung für die gesamte Aufenthaltsdauer und der Nachweis von mindestens 4.200 NZD an Lebenshaltungsmitteln. Der Aufenthalt ist auf bis zu 12 Monate befristet, ein Daueranstellungsverhältnis ist ausdrücklich nicht erlaubt, Studium oder Ausbildung sind für bis zu 6 Monate im Rahmen des Aufenthalts zulässig. Die Gebühr liegt bei 770 NZD, ein Jobangebot ist für die Antragstellung nicht nötig.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eigentliche Wert dieses Visums liegt selten im Visum selbst, sondern in dem, was währenddessen entsteht: ein Netzwerk, ein Probejob, im besten Fall ein Arbeitgeber, der anschließend bereit ist, ein AEWV zu sponsern. Da für das Working-Holiday-Visum kein Jobangebot vorausgesetzt wird, steht dem Umstieg auf ein AEWV grundsätzlich nichts entgegen, sobald sich vor Ort eine passende Stelle findet.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Während des Working-Holiday-Jahres bist du in aller Regel nicht bei der öffentlichen Gesundheitsversorgung abgesichert – die vorgeschriebene Vollkrankenversicherung ist deshalb keine Formalität, sondern deine einzige Absicherung. Und: Ohne festen Plan für die Zeit nach Ablauf des Visums bleibt am Ende oft nur die Ausreise, weil sich weder ein Sponsoring noch eine andere Aufenthaltsgrundlage rechtzeitig ergeben hat.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Studium als Umweg zur Fachkraft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w:t>
      </w:r>
      <w:r>
        <w:rPr>
          <w:rFonts w:eastAsia="Cambria" w:cs="Cambria"/>
          <w:b w:val="false"/>
          <w:bCs w:val="false"/>
          <w:i/>
          <w:iCs/>
          <w:sz w:val="22"/>
          <w:szCs w:val="22"/>
        </w:rPr>
        <w:t>Fee Paying Student Visa</w:t>
      </w:r>
      <w:r>
        <w:rPr>
          <w:rFonts w:eastAsia="Cambria" w:cs="Cambria"/>
          <w:b w:val="false"/>
          <w:bCs w:val="false"/>
          <w:i w:val="false"/>
          <w:iCs w:val="false"/>
          <w:sz w:val="22"/>
          <w:szCs w:val="22"/>
        </w:rPr>
        <w:t xml:space="preserve"> führt nicht direkt zur Einwanderung, öffnet aber zwei Türen zugleich: einen anerkannten Abschluss, der die spätere SMC-Bewerbung erleichtert, und häufig den ersten Kontakt zu einem künftigen Arbeitgeber. Vollzeitstudierende mit einer Kursdauer von mindestens einem akademischen Jahr und mindestens 120 Credits dürfen während der Semesterferien Vollzeit arbeiten; Studierende in einem Master-by-Research- oder Promotionsprogramm haben durchgehend unbeschränkte Arbeitsrechte. Die Gebühr für das Studienvisum liegt bei 850 NZD.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Nach dem Abschluss ermöglicht das </w:t>
      </w:r>
      <w:r>
        <w:rPr>
          <w:rFonts w:eastAsia="Cambria" w:cs="Cambria"/>
          <w:b w:val="false"/>
          <w:bCs w:val="false"/>
          <w:i/>
          <w:iCs/>
          <w:sz w:val="22"/>
          <w:szCs w:val="22"/>
        </w:rPr>
        <w:t>Post-Study Work Visa</w:t>
      </w:r>
      <w:r>
        <w:rPr>
          <w:rFonts w:eastAsia="Cambria" w:cs="Cambria"/>
          <w:b w:val="false"/>
          <w:bCs w:val="false"/>
          <w:i w:val="false"/>
          <w:iCs w:val="false"/>
          <w:sz w:val="22"/>
          <w:szCs w:val="22"/>
        </w:rPr>
        <w:t xml:space="preserve"> (PSWV) bis zu 3 Jahre befristetes Arbeiten in Neuseeland, Gebühr 1.670 NZD, mit einem Nachweis von mindestens 5.000 NZD an Lebenshaltungsmitteln. Für diese Zeit gilt: Wer währenddessen einen Arbeitgeber findet, der eine Green-List-Stelle oder eine ausreichend bezahlte AEWV-Position anbietet, kann von dort aus weiter Richtung Residency planen. Einige angekündigte Neuerungen – etwa ein neues, kürzeres Graduate-Arbeitsvisum und eine mögliche Verkürzung der nötigen neuseeländischen Facharbeitserfahrung von 3 auf 2 Jahre – waren zum Zeitpunkt dieses Kapitels angekündigt, aber nicht abschließend bestätigt; prüfe den aktuellen Stand direkt bei INZ, bevor du deine Planung darauf aufbaust.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Studienweg gilt als planbarster, aber auch teuerster Weg nach Neuseeland – Studiengebühren selbst kommen zu den hier genannten Visumskosten noch hinzu und sind von Hochschule zu Hochschule sehr unterschiedlich.</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Typische Fehler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die Wege in diesem Kapitel zum ersten Mal vergleicht, tappt erfahrungsgemäß in ähnliche Fallen:</w:t>
      </w:r>
    </w:p>
    <w:p>
      <w:pPr>
        <w:pStyle w:val="ListParagraph"/>
        <w:numPr>
          <w:ilvl w:val="0"/>
          <w:numId w:val="1"/>
        </w:numPr>
        <w:spacing w:lineRule="exact" w:line="288" w:before="0" w:after="60"/>
        <w:rPr/>
      </w:pPr>
      <w:r>
        <w:rPr>
          <w:rFonts w:eastAsia="Cambria" w:cs="Cambria"/>
          <w:b w:val="false"/>
          <w:bCs w:val="false"/>
          <w:i w:val="false"/>
          <w:iCs w:val="false"/>
          <w:sz w:val="22"/>
          <w:szCs w:val="22"/>
        </w:rPr>
        <w:t>Verbreiteter Irrtum: 6 Punkte für die SMC klingen nach einer reinen Formsache. Tatsächlich stecken die eigentlichen Hürden in den Voraussetzungen dahinter – Jobangebot oder mehrjährige Erfahrung, Lohnschwelle, Sprachtest, Gesundheitscheck –, nicht in der Punktzahl selbst.</w:t>
      </w:r>
    </w:p>
    <w:p>
      <w:pPr>
        <w:pStyle w:val="ListParagraph"/>
        <w:numPr>
          <w:ilvl w:val="0"/>
          <w:numId w:val="1"/>
        </w:numPr>
        <w:spacing w:lineRule="exact" w:line="288" w:before="0" w:after="60"/>
        <w:rPr/>
      </w:pPr>
      <w:r>
        <w:rPr>
          <w:rFonts w:eastAsia="Cambria" w:cs="Cambria"/>
          <w:b w:val="false"/>
          <w:bCs w:val="false"/>
          <w:i w:val="false"/>
          <w:iCs w:val="false"/>
          <w:sz w:val="22"/>
          <w:szCs w:val="22"/>
        </w:rPr>
        <w:t>AEWV und SMC werden verwechselt: Das AEWV ist ein befristetes Arbeitsvisum an einen bestimmten Arbeitgeber gebunden, die SMC ein Daueraufenthaltstitel ohne diese Bindung. Wer „ein Visum für Neuseeland“ sucht, ohne diesen Unterschied zu kennen, bewirbt sich leicht für den falschen Weg.</w:t>
      </w:r>
    </w:p>
    <w:p>
      <w:pPr>
        <w:pStyle w:val="ListParagraph"/>
        <w:numPr>
          <w:ilvl w:val="0"/>
          <w:numId w:val="1"/>
        </w:numPr>
        <w:spacing w:lineRule="exact" w:line="288" w:before="0" w:after="60"/>
        <w:rPr/>
      </w:pPr>
      <w:r>
        <w:rPr>
          <w:rFonts w:eastAsia="Cambria" w:cs="Cambria"/>
          <w:b w:val="false"/>
          <w:bCs w:val="false"/>
          <w:i w:val="false"/>
          <w:iCs w:val="false"/>
          <w:sz w:val="22"/>
          <w:szCs w:val="22"/>
        </w:rPr>
        <w:t>Die einmal festgelegte SMC-Lohnschwelle wird mit der zum Zeitpunkt der Antragstellung aktuellen Schwelle verwechselt – maßgeblich ist der Satz zum Start der Facharbeit, nicht ein späterer, möglicherweise höherer Wert.</w:t>
      </w:r>
    </w:p>
    <w:p>
      <w:pPr>
        <w:pStyle w:val="ListParagraph"/>
        <w:numPr>
          <w:ilvl w:val="0"/>
          <w:numId w:val="1"/>
        </w:numPr>
        <w:spacing w:lineRule="exact" w:line="288" w:before="0" w:after="60"/>
        <w:rPr/>
      </w:pPr>
      <w:r>
        <w:rPr>
          <w:rFonts w:eastAsia="Cambria" w:cs="Cambria"/>
          <w:b w:val="false"/>
          <w:bCs w:val="false"/>
          <w:i w:val="false"/>
          <w:iCs w:val="false"/>
          <w:sz w:val="22"/>
          <w:szCs w:val="22"/>
        </w:rPr>
        <w:t>Working Holiday wird als eigenständiger Einwanderungsweg missverstanden, obwohl das Visum selbst keinen Daueraufenthalt vorsieht.</w:t>
      </w:r>
    </w:p>
    <w:p>
      <w:pPr>
        <w:pStyle w:val="ListParagraph"/>
        <w:numPr>
          <w:ilvl w:val="0"/>
          <w:numId w:val="1"/>
        </w:numPr>
        <w:spacing w:lineRule="exact" w:line="288" w:before="0" w:after="60"/>
        <w:rPr/>
      </w:pPr>
      <w:r>
        <w:rPr>
          <w:rFonts w:eastAsia="Cambria" w:cs="Cambria"/>
          <w:b w:val="false"/>
          <w:bCs w:val="false"/>
          <w:i w:val="false"/>
          <w:iCs w:val="false"/>
          <w:sz w:val="22"/>
          <w:szCs w:val="22"/>
        </w:rPr>
        <w:t>Die Bearbeitungszeit wird unterschätzt, weil Online-Angaben oft nur die INZ-Bearbeitung selbst zeigen, nicht die Monate für Sprachtest, Skills-Nachweise und Dokumentenbeschaffung davor.</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Welcher Weg passt zu wem?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Entscheidung ist selten eine reine Punkterechnung. Wer eine Familie mitnimmt, wie die Krügers, gewichtet oft Planbarkeit und einen konkreten Arbeitsplatz höher als Tempo und wählt den Weg über AEWV und Green List. Wer alleinstehend ist, gut verdient und die Punktzahl direkt erreicht, wie Paul Lindner, kann den Umweg über ein befristetes Arbeitsvisum überspringen und direkt zur SMC. Die folgende Übersicht ersetzt keine individuelle Rechnung, zeigt aber, wo die meisten Deutschen typischerweise landen:</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Ausgangslage</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Meist passender Weg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Jobangebot mit hohem Gehalt, SMC-Punktzahl direkt erreichbar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Skilled Migrant Category, direkt aus Deutschland</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Beruf steht auf der Green List, Jobangebot liegt vor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List Tier 1 (direkt) oder Tier 2 über AEWV</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Jobangebot vorhanden, Beruf nicht auf der Green List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Accredited Employer Work Visa, später ggf. SMC</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Noch kein Jobangebot, 18 bis 30 Jahre, will erst reinschnuppern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Working Holiday</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Punktzahl oder Abschluss reichen noch nicht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Studienvisum als Zwischenschritt über PSWV</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 55 Jahre oder Punktetest-Weg nicht offen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siehe </w:t>
            </w:r>
            <w:hyperlink w:anchor="tnz04">
              <w:r>
                <w:rPr>
                  <w:rStyle w:val="ListLabel117"/>
                  <w:rFonts w:eastAsia="Cambria" w:cs="Cambria"/>
                  <w:b w:val="false"/>
                  <w:bCs w:val="false"/>
                  <w:i w:val="false"/>
                  <w:iCs w:val="false"/>
                  <w:color w:val="0563C1"/>
                  <w:sz w:val="18"/>
                  <w:szCs w:val="18"/>
                  <w:u w:val="single"/>
                </w:rPr>
                <w:t>Kapitel zu Familie, Investor und Ruhestand in diesem Teil</w:t>
              </w:r>
            </w:hyperlink>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 Zuordnung ist eine grobe Orientierung, keine Garantie. Lohnschwellen, die Green-List-Berufe und die genauen SMC-Regeln ändern sich mehrfach im Jahr – zuletzt zum 24.08.2026. Prüfe jede Zahl vor einer Kündigung in Deutschland direkt bei Immigration New Zealand.</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SMC-Punktesystem seit der Reform deutlich einfacher (6-Punkte-Schwelle)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Voraussetzungen hinter der Punktzahl bleiben anspruchsvoll</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List verkürzt für rund 200 Berufe den Weg zur Residency</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exakt gelistete Berufe profitieren, keine verwandten Tätigkeiten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AEWV erlaubt Einstieg ohne Punktetest und ohne Altersgrenze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AEWV bindet für die Vertragsdauer an einen einzelnen Arbeitgeber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Working Holiday ermöglicht risikoarmes erstes Kennenlernen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Working Holiday ist selbst kein Daueraufenthaltsweg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Mehrere parallele Wege erhöhen die Gesamtchance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Deutschland zahlt volle Gebühren, keine Fee-Waiver-Vergünstigung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Studienweg eröffnet Abschluss, Punkte und Kontakte zugleich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Studienweg ist zeit- und kostenintensiv ohne Jobgarantie</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Beginne mit einer ehrlichen Bestandsaufnahme: Beruf, Alter, Sprachniveau, vorhandenes oder fehlendes Jobangebot. Prüfe als Erstes, ob dein Beruf auf der Green List steht – das entscheidet oft mehr über den passenden Weg als jede andere einzelne Zahl. Rechne parallel deine SMC-Punktzahl überschlägig durch, auch wenn du zunächst über ein AEWV einreisen willst – die Punktzahl zeigt dir, wie weit der spätere Wechsel zur Residency entfernt ist. Die folgenden Kapitel dieses Teils vertiefen den Arbeitsweg im Detail sowie Familie, Investor- und Ruhestandswege für alle, die keinen eigenen gefragten Beruf mitbringen.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Eigenen Beruf mit der aktuellen Green List und dem passenden ANZSCO-Code abgeglichen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SMC-Punktzahl überschlägig berechnet (Qualifikation, Registrierung, Einkommen, NZ-Erfahrung)</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Geprüft, ob ein Jobangebot eines akkreditierten Arbeitgebers realistisch erreichbar ist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Working Holiday als möglichen ersten Schritt erwogen, falls 18 bis 30 Jahre und noch unentschlossen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Studienvisum als Zwischenschritt geprüft, falls Punktzahl oder Abschluss noch nicht reichen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Aktuelle Lohnschwellen, Gebühren und Bearbeitungszeiten direkt bei Immigration New Zealand geprüft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New Zealand — Skilled Migrant Category Resident Visa (</w:t>
      </w:r>
      <w:hyperlink r:id="rId659">
        <w:r>
          <w:rPr>
            <w:rStyle w:val="ListLabel113"/>
            <w:rFonts w:eastAsia="Cambria" w:cs="Cambria"/>
            <w:b w:val="false"/>
            <w:bCs w:val="false"/>
            <w:i w:val="false"/>
            <w:iCs w:val="false"/>
            <w:color w:val="0563C1"/>
            <w:sz w:val="22"/>
            <w:szCs w:val="22"/>
            <w:u w:val="single"/>
          </w:rPr>
          <w:t>immigration.govt.nz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New Zealand — Accredited Employer Work Visa (</w:t>
      </w:r>
      <w:hyperlink r:id="rId660">
        <w:r>
          <w:rPr>
            <w:rStyle w:val="ListLabel113"/>
            <w:rFonts w:eastAsia="Cambria" w:cs="Cambria"/>
            <w:b w:val="false"/>
            <w:bCs w:val="false"/>
            <w:i w:val="false"/>
            <w:iCs w:val="false"/>
            <w:color w:val="0563C1"/>
            <w:sz w:val="22"/>
            <w:szCs w:val="22"/>
            <w:u w:val="single"/>
          </w:rPr>
          <w:t>immigration.govt.nz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New Zealand — Green List (</w:t>
      </w:r>
      <w:hyperlink r:id="rId661">
        <w:r>
          <w:rPr>
            <w:rStyle w:val="ListLabel113"/>
            <w:rFonts w:eastAsia="Cambria" w:cs="Cambria"/>
            <w:b w:val="false"/>
            <w:bCs w:val="false"/>
            <w:i w:val="false"/>
            <w:iCs w:val="false"/>
            <w:color w:val="0563C1"/>
            <w:sz w:val="22"/>
            <w:szCs w:val="22"/>
            <w:u w:val="single"/>
          </w:rPr>
          <w:t>immigration.govt.nz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New Zealand — Germany Working Holiday Visa (</w:t>
      </w:r>
      <w:hyperlink r:id="rId662">
        <w:r>
          <w:rPr>
            <w:rStyle w:val="ListLabel113"/>
            <w:rFonts w:eastAsia="Cambria" w:cs="Cambria"/>
            <w:b w:val="false"/>
            <w:bCs w:val="false"/>
            <w:i w:val="false"/>
            <w:iCs w:val="false"/>
            <w:color w:val="0563C1"/>
            <w:sz w:val="22"/>
            <w:szCs w:val="22"/>
            <w:u w:val="single"/>
          </w:rPr>
          <w:t>immigration.govt.nz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New Zealand — Fees Guide INZ 1028 (</w:t>
      </w:r>
      <w:hyperlink r:id="rId663">
        <w:r>
          <w:rPr>
            <w:rStyle w:val="ListLabel113"/>
            <w:rFonts w:eastAsia="Cambria" w:cs="Cambria"/>
            <w:b w:val="false"/>
            <w:bCs w:val="false"/>
            <w:i w:val="false"/>
            <w:iCs w:val="false"/>
            <w:color w:val="0563C1"/>
            <w:sz w:val="22"/>
            <w:szCs w:val="22"/>
            <w:u w:val="single"/>
          </w:rPr>
          <w:t>immigration.govt.nz</w:t>
        </w:r>
      </w:hyperlink>
      <w:r>
        <w:rPr>
          <w:rFonts w:eastAsia="Cambria" w:cs="Cambria"/>
          <w:b w:val="false"/>
          <w:bCs w:val="false"/>
          <w:i w:val="false"/>
          <w:iCs w:val="false"/>
          <w:sz w:val="22"/>
          <w:szCs w:val="22"/>
        </w:rPr>
        <w:t>, PDF-Formularseite)</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New Zealand — Gesundheits- und Charakteranforderungen (</w:t>
      </w:r>
      <w:hyperlink r:id="rId664">
        <w:r>
          <w:rPr>
            <w:rStyle w:val="ListLabel113"/>
            <w:rFonts w:eastAsia="Cambria" w:cs="Cambria"/>
            <w:b w:val="false"/>
            <w:bCs w:val="false"/>
            <w:i w:val="false"/>
            <w:iCs w:val="false"/>
            <w:color w:val="0563C1"/>
            <w:sz w:val="22"/>
            <w:szCs w:val="22"/>
            <w:u w:val="single"/>
          </w:rPr>
          <w:t>immigration.govt.nz</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schnell: die SMC-Lohnschwellen mehrfach im Jahr, die Green-List-Berufe, die AEWV-Lohnschwellen und alle genannten Gebühren. Mehrere angekündigte Neuerungen beim Studienweg waren zum Redaktionsschluss noch nicht abschließend bestätigt. Prüfe vor jeder Entscheidung die aktuellen Werte direkt auf immigration.govt.nz.</w:t>
            </w:r>
          </w:p>
        </w:tc>
      </w:tr>
    </w:tbl>
    <w:p>
      <w:pPr>
        <w:pStyle w:val="Normal"/>
        <w:spacing w:lineRule="exact" w:line="220" w:before="0" w:after="0"/>
        <w:rPr/>
      </w:pPr>
      <w:r>
        <w:rPr/>
      </w:r>
      <w:r>
        <w:br w:type="page"/>
      </w:r>
    </w:p>
    <w:p>
      <w:pPr>
        <w:pStyle w:val="Heading2"/>
        <w:keepNext w:val="true"/>
        <w:spacing w:before="0" w:after="300"/>
        <w:jc w:val="center"/>
        <w:rPr/>
      </w:pPr>
      <w:bookmarkStart w:id="174" w:name="__RefHeading___Toc56605_3769931028"/>
      <w:bookmarkStart w:id="175" w:name="tnz03"/>
      <w:bookmarkEnd w:id="174"/>
      <w:r>
        <w:rPr>
          <w:rFonts w:eastAsia="Amazon Ember" w:cs="Amazon Ember" w:ascii="Amazon Ember" w:hAnsi="Amazon Ember"/>
          <w:b/>
          <w:bCs/>
          <w:color w:val="0000FF"/>
          <w:sz w:val="36"/>
          <w:szCs w:val="36"/>
        </w:rPr>
        <w:t>Neuseeland: Der Arbeitsweg im Detail</w:t>
      </w:r>
      <w:bookmarkEnd w:id="175"/>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glaubt, in Neuseeland zähle vor allem guter Wille und ein fester Händedruck, wird von der ersten Antwort-E-Mail von </w:t>
      </w:r>
      <w:r>
        <w:rPr>
          <w:rFonts w:eastAsia="Cambria" w:cs="Cambria"/>
          <w:b w:val="false"/>
          <w:bCs w:val="false"/>
          <w:i/>
          <w:iCs/>
          <w:sz w:val="22"/>
          <w:szCs w:val="22"/>
        </w:rPr>
        <w:t>Immigration New Zealand</w:t>
      </w:r>
      <w:r>
        <w:rPr>
          <w:rFonts w:eastAsia="Cambria" w:cs="Cambria"/>
          <w:b w:val="false"/>
          <w:bCs w:val="false"/>
          <w:i w:val="false"/>
          <w:iCs w:val="false"/>
          <w:sz w:val="22"/>
          <w:szCs w:val="22"/>
        </w:rPr>
        <w:t xml:space="preserve"> (INZ, die neuseeländische Einwanderungsbehörde) eines Besseren belehrt: Darin geht es um ANZSCO-Codes, Lohnschwellen auf die Kommastelle genau und Fristen, die klingen, als habe sie jemand mit einer Stoppuhr in der Hand verfasst. Die gute Nachricht: Bei aller Gründlichkeit ist das System ungewöhnlich transparent – wer die Regeln kennt, kann seinen eigenen Weg fast wie eine Rechnung nachvollziehen. Die weniger gute Nachricht: Ausgerechnet diese Regeln ändern sich derzeit im Halbjahrestakt, und wer sich auf den Stand von vor zwölf Monaten verlässt, rechnet mit der falschen Formel. Wer den deutschen Umgang mit Bürokratie für gründlich hält, darf sich auf ein weiteres Level gefasst machen – nur eben mit deutlich mehr Sonne und einer Behörde, die zumindest auf ihrer Website erstaunlich offen kommuniziert, was sie von dir will.</w:t>
      </w:r>
    </w:p>
    <w:tbl>
      <w:tblPr>
        <w:tblW w:w="6480" w:type="dxa"/>
        <w:jc w:val="left"/>
        <w:tblInd w:w="0" w:type="dxa"/>
        <w:tblLayout w:type="fixed"/>
        <w:tblCellMar>
          <w:top w:w="110" w:type="dxa"/>
          <w:left w:w="200" w:type="dxa"/>
          <w:bottom w:w="80" w:type="dxa"/>
          <w:right w:w="160" w:type="dxa"/>
        </w:tblCellMar>
      </w:tblPr>
      <w:tblGrid>
        <w:gridCol w:w="6480"/>
      </w:tblGrid>
      <w:tr>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Das </w:t>
            </w:r>
            <w:r>
              <w:rPr>
                <w:rFonts w:eastAsia="Cambria" w:cs="Cambria"/>
                <w:b w:val="false"/>
                <w:bCs w:val="false"/>
                <w:i/>
                <w:iCs/>
                <w:sz w:val="20"/>
                <w:szCs w:val="20"/>
              </w:rPr>
              <w:t>Accredited Employer Work Visa</w:t>
            </w:r>
            <w:r>
              <w:rPr>
                <w:rFonts w:eastAsia="Cambria" w:cs="Cambria"/>
                <w:b w:val="false"/>
                <w:bCs w:val="false"/>
                <w:i w:val="false"/>
                <w:iCs w:val="false"/>
                <w:sz w:val="20"/>
                <w:szCs w:val="20"/>
              </w:rPr>
              <w:t xml:space="preserve"> (AEWV, das Arbeitsvisum für Angestellte akkreditierter Arbeitgeber) ist das zentrale befristete Arbeitsvisum: Der Arbeitgeber muss vorab akkreditiert sein und einen </w:t>
            </w:r>
            <w:r>
              <w:rPr>
                <w:rFonts w:eastAsia="Cambria" w:cs="Cambria"/>
                <w:b w:val="false"/>
                <w:bCs w:val="false"/>
                <w:i/>
                <w:iCs/>
                <w:sz w:val="20"/>
                <w:szCs w:val="20"/>
              </w:rPr>
              <w:t>Job Check</w:t>
            </w:r>
            <w:r>
              <w:rPr>
                <w:rFonts w:eastAsia="Cambria" w:cs="Cambria"/>
                <w:b w:val="false"/>
                <w:bCs w:val="false"/>
                <w:i w:val="false"/>
                <w:iCs w:val="false"/>
                <w:sz w:val="20"/>
                <w:szCs w:val="20"/>
              </w:rPr>
              <w:t xml:space="preserve"> bestehen, bevor du überhaupt einen Antrag stellen kannst.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Die </w:t>
            </w:r>
            <w:r>
              <w:rPr>
                <w:rFonts w:eastAsia="Cambria" w:cs="Cambria"/>
                <w:b w:val="false"/>
                <w:bCs w:val="false"/>
                <w:i/>
                <w:iCs/>
                <w:sz w:val="20"/>
                <w:szCs w:val="20"/>
              </w:rPr>
              <w:t>Green List</w:t>
            </w:r>
            <w:r>
              <w:rPr>
                <w:rFonts w:eastAsia="Cambria" w:cs="Cambria"/>
                <w:b w:val="false"/>
                <w:bCs w:val="false"/>
                <w:i w:val="false"/>
                <w:iCs w:val="false"/>
                <w:sz w:val="20"/>
                <w:szCs w:val="20"/>
              </w:rPr>
              <w:t xml:space="preserve"> (Berufsliste mit bevorzugtem Zugang zur Residency) öffnet für rund 200 Berufe einen direkten (Tier 1) oder verkürzten (Tier 2, nach 24 Monaten Arbeit) Weg zum Daueraufenthalt.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Die </w:t>
            </w:r>
            <w:r>
              <w:rPr>
                <w:rFonts w:eastAsia="Cambria" w:cs="Cambria"/>
                <w:b w:val="false"/>
                <w:bCs w:val="false"/>
                <w:i/>
                <w:iCs/>
                <w:sz w:val="20"/>
                <w:szCs w:val="20"/>
              </w:rPr>
              <w:t>Skilled Migrant Category</w:t>
            </w:r>
            <w:r>
              <w:rPr>
                <w:rFonts w:eastAsia="Cambria" w:cs="Cambria"/>
                <w:b w:val="false"/>
                <w:bCs w:val="false"/>
                <w:i w:val="false"/>
                <w:iCs w:val="false"/>
                <w:sz w:val="20"/>
                <w:szCs w:val="20"/>
              </w:rPr>
              <w:t xml:space="preserve"> (SMC, die Fachkräfte-Kategorie für den Daueraufenthalt) wurde 2025/26 grundlegend vereinfacht: Statt eines alten 180-Punkte-Systems reicht heute eine Schwelle von 6 Punkten.</w:t>
            </w:r>
          </w:p>
          <w:p>
            <w:pPr>
              <w:pStyle w:val="ListParagraph"/>
              <w:numPr>
                <w:ilvl w:val="0"/>
                <w:numId w:val="1"/>
              </w:numPr>
              <w:spacing w:lineRule="exact" w:line="264" w:before="0" w:after="50"/>
              <w:rPr/>
            </w:pPr>
            <w:r>
              <w:rPr>
                <w:rFonts w:eastAsia="Cambria" w:cs="Cambria"/>
                <w:b w:val="false"/>
                <w:bCs w:val="false"/>
                <w:i w:val="false"/>
                <w:iCs w:val="false"/>
                <w:sz w:val="20"/>
                <w:szCs w:val="20"/>
              </w:rPr>
              <w:t>Wer die SMC ohne neuseeländische Arbeitserfahrung direkt aus Deutschland beantragen will, braucht ein sehr hohes Gehalt – für die meisten deutschen Fachkräfte ist der Umweg über das AEWV realistischer.</w:t>
            </w:r>
          </w:p>
          <w:p>
            <w:pPr>
              <w:pStyle w:val="ListParagraph"/>
              <w:numPr>
                <w:ilvl w:val="0"/>
                <w:numId w:val="1"/>
              </w:numPr>
              <w:spacing w:lineRule="exact" w:line="264" w:before="0" w:after="50"/>
              <w:rPr/>
            </w:pPr>
            <w:r>
              <w:rPr>
                <w:rFonts w:eastAsia="Cambria" w:cs="Cambria"/>
                <w:b w:val="false"/>
                <w:bCs w:val="false"/>
                <w:i w:val="false"/>
                <w:iCs w:val="false"/>
                <w:sz w:val="20"/>
                <w:szCs w:val="20"/>
              </w:rPr>
              <w:t>Deutschland gehört nicht zu den Ländern mit Gebührenbefreiung; du zahlst die vollen Sätze, anders als etwa Antragstellende aus Österreich.</w:t>
            </w:r>
          </w:p>
          <w:p>
            <w:pPr>
              <w:pStyle w:val="ListParagraph"/>
              <w:numPr>
                <w:ilvl w:val="0"/>
                <w:numId w:val="1"/>
              </w:numPr>
              <w:spacing w:lineRule="exact" w:line="264" w:before="0" w:after="50"/>
              <w:rPr/>
            </w:pPr>
            <w:r>
              <w:rPr>
                <w:rFonts w:eastAsia="Cambria" w:cs="Cambria"/>
                <w:b w:val="false"/>
                <w:bCs w:val="false"/>
                <w:i w:val="false"/>
                <w:iCs w:val="false"/>
                <w:sz w:val="20"/>
                <w:szCs w:val="20"/>
              </w:rPr>
              <w:t>Zahlen, Schwellen und Fristen ändern sich laufend: Prüfe vor jeder Entscheidung die aktuellen Werte auf immigration.govt.nz.</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Accredited Employer Work Visa im Detail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AEWV ist seit 2022 der zentrale Zugang zum neuseeländischen Arbeitsmarkt für befristete Fachkräfte und läuft in drei getrennten Schritten, die auch drei getrennte Gebühren nach sich ziehen. Zuerst muss dein künftiger Arbeitgeber selbst die </w:t>
      </w:r>
      <w:r>
        <w:rPr>
          <w:rFonts w:eastAsia="Cambria" w:cs="Cambria"/>
          <w:b w:val="false"/>
          <w:bCs w:val="false"/>
          <w:i/>
          <w:iCs/>
          <w:sz w:val="22"/>
          <w:szCs w:val="22"/>
        </w:rPr>
        <w:t>Employer Accreditation</w:t>
      </w:r>
      <w:r>
        <w:rPr>
          <w:rFonts w:eastAsia="Cambria" w:cs="Cambria"/>
          <w:b w:val="false"/>
          <w:bCs w:val="false"/>
          <w:i w:val="false"/>
          <w:iCs w:val="false"/>
          <w:sz w:val="22"/>
          <w:szCs w:val="22"/>
        </w:rPr>
        <w:t xml:space="preserve"> (Arbeitgeber-Akkreditierung) durchlaufen – eine Prüfung, ob das Unternehmen finanziell solide genug ist und Arbeits- sowie Einwanderungsrecht einhält. Je nach erwarteter Zahl an AEWV-Beschäftigten zahlt der Arbeitgeber dafür 775 NZD (Standard), 1.280 NZD (High Volume, ab sechs Beschäftigten) oder 4.060 NZD (Triangular Employment, bei Personalverleih über Drittfirmen); die Bearbeitung dauert laut INZ rund zwei Werktage. Erst danach folgt der zweite Schritt, der </w:t>
      </w:r>
      <w:r>
        <w:rPr>
          <w:rFonts w:eastAsia="Cambria" w:cs="Cambria"/>
          <w:b w:val="false"/>
          <w:bCs w:val="false"/>
          <w:i/>
          <w:iCs/>
          <w:sz w:val="22"/>
          <w:szCs w:val="22"/>
        </w:rPr>
        <w:t>Job Check</w:t>
      </w:r>
      <w:r>
        <w:rPr>
          <w:rFonts w:eastAsia="Cambria" w:cs="Cambria"/>
          <w:b w:val="false"/>
          <w:bCs w:val="false"/>
          <w:i w:val="false"/>
          <w:iCs w:val="false"/>
          <w:sz w:val="22"/>
          <w:szCs w:val="22"/>
        </w:rPr>
        <w:t xml:space="preserve"> (Stellenprüfung): Der Arbeitgeber weist für die konkrete Position nach, dass Lohn und Arbeitsbedingungen den Vorgaben entsprechen. Das kostet 735 NZD und dauert rund drei Werktage. Erst wenn beides bestätigt ist, kannst du selbst das eigentliche AEWV beantragen – Gebühr 1.540 NZD (480 NZD Antrag plus 1.060 NZD </w:t>
      </w:r>
      <w:r>
        <w:rPr>
          <w:rFonts w:eastAsia="Cambria" w:cs="Cambria"/>
          <w:b w:val="false"/>
          <w:bCs w:val="false"/>
          <w:i/>
          <w:iCs/>
          <w:sz w:val="22"/>
          <w:szCs w:val="22"/>
        </w:rPr>
        <w:t>Immigration Levy</w:t>
      </w:r>
      <w:r>
        <w:rPr>
          <w:rFonts w:eastAsia="Cambria" w:cs="Cambria"/>
          <w:b w:val="false"/>
          <w:bCs w:val="false"/>
          <w:i w:val="false"/>
          <w:iCs w:val="false"/>
          <w:sz w:val="22"/>
          <w:szCs w:val="22"/>
        </w:rPr>
        <w:t>, eine Zusatzabgabe, die praktisch bei jedem Visum anfällt). INZ nennt für die Bearbeitung des Visumsantrags selbst „80 % innerhalb von sechs Wochen“.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Vergleich mit Deutschland hilft beim Einordnen. Die Blaue Karte EU verlangt von dir einen anerkannten Abschluss, ein Jobangebot und ein Mindestgehalt – aber keine gestaffelte Vorabprüfung des Arbeitgebers selbst. Das AEWV dreht die Reihenfolge um: Bevor überhaupt eine einzelne Bewerberin oder ein einzelner Bewerber ins Spiel kommt, muss der Arbeitgeber seine eigene Zuverlässigkeit nachweisen. Für dich als Bewerber bedeutet das einen Vorteil: Ein bereits akkreditierter Arbeitgeber hat die aufwendigste Hürde schon hinter sich, und dein eigener Antrag läuft danach vergleichsweise zügig durch.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Inhaltlich verlangt das AEWV eine Vollzeitstelle von mindestens 30 Wochenstunden, bezahlt mindestens zum marktüblichen Lohnsatz der Tätigkeit, sowie entweder mindestens zwei Jahre einschlägige Berufserfahrung oder eine Qualifikation auf </w:t>
      </w:r>
      <w:r>
        <w:rPr>
          <w:rFonts w:eastAsia="Cambria" w:cs="Cambria"/>
          <w:b w:val="false"/>
          <w:bCs w:val="false"/>
          <w:i/>
          <w:iCs/>
          <w:sz w:val="22"/>
          <w:szCs w:val="22"/>
        </w:rPr>
        <w:t>New Zealand Qualifications Framework</w:t>
      </w:r>
      <w:r>
        <w:rPr>
          <w:rFonts w:eastAsia="Cambria" w:cs="Cambria"/>
          <w:b w:val="false"/>
          <w:bCs w:val="false"/>
          <w:i w:val="false"/>
          <w:iCs w:val="false"/>
          <w:sz w:val="22"/>
          <w:szCs w:val="22"/>
        </w:rPr>
        <w:t xml:space="preserve">-Level 4 oder höher (NZQF, das neuseeländische Qualifikationsrahmenwerk, vergleichbar mit dem Deutschen Qualifikationsrahmen). Ein Englischnachweis ist nur für Berufe der ANZSCO-Kompetenzstufen 3 bis 5 zwingend vorgeschrieben – die </w:t>
      </w:r>
      <w:r>
        <w:rPr>
          <w:rFonts w:eastAsia="Cambria" w:cs="Cambria"/>
          <w:b w:val="false"/>
          <w:bCs w:val="false"/>
          <w:i/>
          <w:iCs/>
          <w:sz w:val="22"/>
          <w:szCs w:val="22"/>
        </w:rPr>
        <w:t>Australian and New Zealand Standard Classification of Occupations</w:t>
      </w:r>
      <w:r>
        <w:rPr>
          <w:rFonts w:eastAsia="Cambria" w:cs="Cambria"/>
          <w:b w:val="false"/>
          <w:bCs w:val="false"/>
          <w:i w:val="false"/>
          <w:iCs w:val="false"/>
          <w:sz w:val="22"/>
          <w:szCs w:val="22"/>
        </w:rPr>
        <w:t xml:space="preserve"> (ANZSCO) ist das gemeinsame Berufsklassifikationssystem beider Länder und taucht dir in fast jedem Dokument von INZ wieder unter. Branchenvereinbarungen erlauben in Fleisch-, Fisch-, Pflege- sowie Tourismus- und Gastgewerbeberufen sogar Löhne unter dem allgemeinen Medianlohn (bis hinunter zu 29,66 NZD/Std.); umgekehrt entfällt ab einem Lohn von 67,12 NZD/Std. (dem doppelten Medianlohn) die gesonderte Prüfung der Kompetenzanforderungen – wer so viel verdient, gilt automatisch als ausreichend qualifiziert. Zur Einordnung: Der allgemeine neuseeländische Mindestlohn liegt seit dem 1. April 2026 bei 23,95 NZD/Std. – selbst die niedrigsten AEWV-Branchenausnahmen liegen also spürbar darüber, und der reguläre Medianlohn von 35,00 NZD/Std. bildet für die meisten Berufe die eigentliche Untergrenze.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Visumsdauer richtet sich nach dem Kompetenzniveau der Stelle: bis zu fünf Jahre für die meisten Berufe, aber nur drei Jahre für Tätigkeiten der ANZSCO-Kompetenzstufen 4 und 5 (angelernte und einfache Tätigkeiten). Medizinische Anforderungen greifen gestaffelt: Ein Röntgen-Thorax wird erst fällig, wenn der geplante Aufenthalt sechs Monate übersteigt und du aus einem Land mit erhöhter Tuberkulose-Häufigkeit stammst; ein Führungszeugnis wird erst nötig, wenn dein kumulierter Neuseeland-Aufenthalt insgesamt 24 Monate überschreitet. INZ verpflichtet den Arbeitgeber ausdrücklich, bei der Ansiedlung zu unterstützen, keine Anwerbekosten auf dich abzuwälzen und Arbeits- sowie Migrationsrecht einzuhalten – eine Klausel, die es in dieser Form so pauschal im deutschen Arbeitsrecht nicht gibt.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Das AEWV bindet dich an genau einen Arbeitgeber und eine einzige Position. Ein Jobwechsel bedeutet in aller Regel: neuer Job Check, neuer Antrag, neue Gebühren – nicht einfach eine formlose Ummeldung. Wer während der Jobsuche schon eine Kündigung in Deutschland ausspricht, sollte diesen zeitlichen Vorlauf realistisch einplanen und nicht mit einem nahtlosen Übergang rechnen.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Green List: direkter oder verkürzter Weg zur Residency</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rund 200 Einzelberufe hat INZ mit der </w:t>
      </w:r>
      <w:r>
        <w:rPr>
          <w:rFonts w:eastAsia="Cambria" w:cs="Cambria"/>
          <w:b w:val="false"/>
          <w:bCs w:val="false"/>
          <w:i/>
          <w:iCs/>
          <w:sz w:val="22"/>
          <w:szCs w:val="22"/>
        </w:rPr>
        <w:t>Green List</w:t>
      </w:r>
      <w:r>
        <w:rPr>
          <w:rFonts w:eastAsia="Cambria" w:cs="Cambria"/>
          <w:b w:val="false"/>
          <w:bCs w:val="false"/>
          <w:i w:val="false"/>
          <w:iCs w:val="false"/>
          <w:sz w:val="22"/>
          <w:szCs w:val="22"/>
        </w:rPr>
        <w:t xml:space="preserve"> einen Sonderweg geschaffen, der das AEWV mit einem beschleunigten Zugang zum Daueraufenthalt verbindet. Die Liste ist in zwei Stufen gegliedert. In </w:t>
      </w:r>
      <w:r>
        <w:rPr>
          <w:rFonts w:eastAsia="Cambria" w:cs="Cambria"/>
          <w:b/>
          <w:bCs/>
          <w:i w:val="false"/>
          <w:iCs w:val="false"/>
          <w:sz w:val="22"/>
          <w:szCs w:val="22"/>
        </w:rPr>
        <w:t>Tier 1 („Straight to Residence“)</w:t>
      </w:r>
      <w:r>
        <w:rPr>
          <w:rFonts w:eastAsia="Cambria" w:cs="Cambria"/>
          <w:b w:val="false"/>
          <w:bCs w:val="false"/>
          <w:i w:val="false"/>
          <w:iCs w:val="false"/>
          <w:sz w:val="22"/>
          <w:szCs w:val="22"/>
        </w:rPr>
        <w:t xml:space="preserve"> kannst du direkt ein Daueraufenthaltsvisum beantragen, sobald ein akkreditierter Arbeitgeber dir eine Stelle anbietet und du die berufsspezifischen Anforderungen erfüllst – ganz ohne vorherige Arbeitszeit in Neuseeland. In </w:t>
      </w:r>
      <w:r>
        <w:rPr>
          <w:rFonts w:eastAsia="Cambria" w:cs="Cambria"/>
          <w:b/>
          <w:bCs/>
          <w:i w:val="false"/>
          <w:iCs w:val="false"/>
          <w:sz w:val="22"/>
          <w:szCs w:val="22"/>
        </w:rPr>
        <w:t>Tier 2 („Work to Residence“)</w:t>
      </w:r>
      <w:r>
        <w:rPr>
          <w:rFonts w:eastAsia="Cambria" w:cs="Cambria"/>
          <w:b w:val="false"/>
          <w:bCs w:val="false"/>
          <w:i w:val="false"/>
          <w:iCs w:val="false"/>
          <w:sz w:val="22"/>
          <w:szCs w:val="22"/>
        </w:rPr>
        <w:t xml:space="preserve"> startest du zunächst mit dem regulären AEWV und kannst erst wechseln, nachdem du innerhalb der letzten 30 Monate vor der Antragstellung mindestens 24 Monate in Neuseeland gearbeitet hast. Die meisten gelisteten Rollen konzentrieren sich auf Ingenieurwesen, Gesundheitsberufe (darunter Ärztinnen und Ärzte sowie Pflegekräfte), Bauwesen und Gewerke, Informations- und Kommunikationstechnologie sowie Lehrberufe – Felder, in denen deutsche Fachkräfte traditionell stark vertreten sind. Die Logik dahinter ist wenig überraschend: INZ pflegt die Liste dort ein, wo der neuseeländische Arbeitsmarkt seit Jahren spürbaren Fachkräftemangel meldet, und passt sie entsprechend an, wenn sich dieser Mangel verschiebt.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Wo für einen Beruf kein eigener Lohnschwellenwert gilt, greift ersatzweise der allgemeine Immigration-Medianlohn von 35,00 NZD/Std. als Mindestgrenze. Beide Tiers setzen dabei immer eine Stelle bei einem akkreditierten Arbeitgeber voraus – die Green List ist also kein eigenständiges Visum, sondern ein Turbo-Aufsatz auf das AEWV-System.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Viele lesen „Green List“ und denken an eine Art Lotteriegewinn, der automatisch zur Aufenthaltserlaubnis führt. Tatsächlich ersetzt die Liste weder die Jobsuche noch die Lohn- und Registrierungsvoraussetzungen des jeweiligen Berufs – sie verkürzt lediglich den Weg, nachdem du diese Hürden bereits genommen hast. Wer seinen Beruf auf der Liste findet, sollte vor jeder Entscheidung genau prüfen, ob die eigene Qualifikation und gegebenenfalls die berufliche Registrierung exakt dem gelisteten ANZSCO-Code entsprechen; Abweichungen im Detail sind keine Seltenheit.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Krüger (fiktiv). Sebastian, 43, Agraringenieur aus Rostock, findet über eine Fachmesse Kontakt zu einem akkreditierten Arbeitgeber im Großraum Christchurch. Sein Beruf taucht in der Green List unter den Ingenieursrollen auf, sodass er nach bestandenem Job Check direkt in Tier 1 einsteigen kann, statt erst zwei Jahre AEWV-Arbeit nachweisen zu müssen. Petra, 40, Tierärztin, erhält als Partnerin ein eigenes Arbeitsvisum und kann ihre Zulassung parallel bei der zuständigen neuseeländischen Stelle prüfen lassen. Mit Lotta, 12, und Finn, 8, zieht die Familie nach Christchurch, Canterbury – für die Kinder ändert sich vor allem der Schulweg, für die Eltern vor allem die Papierlage.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Skilled Migrant Category im Detail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w:t>
      </w:r>
      <w:r>
        <w:rPr>
          <w:rFonts w:eastAsia="Cambria" w:cs="Cambria"/>
          <w:b w:val="false"/>
          <w:bCs w:val="false"/>
          <w:i/>
          <w:iCs/>
          <w:sz w:val="22"/>
          <w:szCs w:val="22"/>
        </w:rPr>
        <w:t>Skilled Migrant Category</w:t>
      </w:r>
      <w:r>
        <w:rPr>
          <w:rFonts w:eastAsia="Cambria" w:cs="Cambria"/>
          <w:b w:val="false"/>
          <w:bCs w:val="false"/>
          <w:i w:val="false"/>
          <w:iCs w:val="false"/>
          <w:sz w:val="22"/>
          <w:szCs w:val="22"/>
        </w:rPr>
        <w:t xml:space="preserve"> (SMC) ist das Hauptvisum für Fachkräfte, die dauerhaft in Neuseeland leben wollen, unabhängig von der Green List. Seit einer 2025/26 durchgeführten Reform arbeitet die SMC mit einer vereinfachten Schwelle von nur noch </w:t>
      </w:r>
      <w:r>
        <w:rPr>
          <w:rFonts w:eastAsia="Cambria" w:cs="Cambria"/>
          <w:b/>
          <w:bCs/>
          <w:i w:val="false"/>
          <w:iCs w:val="false"/>
          <w:sz w:val="22"/>
          <w:szCs w:val="22"/>
        </w:rPr>
        <w:t>6 Punkten</w:t>
      </w:r>
      <w:r>
        <w:rPr>
          <w:rFonts w:eastAsia="Cambria" w:cs="Cambria"/>
          <w:b w:val="false"/>
          <w:bCs w:val="false"/>
          <w:i w:val="false"/>
          <w:iCs w:val="false"/>
          <w:sz w:val="22"/>
          <w:szCs w:val="22"/>
        </w:rPr>
        <w:t xml:space="preserve"> – deutlich weniger komplex als das frühere 180-Punkte-Modell mit Bewerberpool, dessen genaues Reformdatum sich nicht abschließend verifizieren ließ und das hier deshalb nur als Kontrastfolie dient. Die Punkte setzen sich aus vier Quellen zusammen: Qualifikation (4 bis 6 Punkte, ein Bachelorabschluss bringt seit dem 24. August 2026 vier statt vorher drei Punkte – ausdrücklich auch, wenn er nach dem </w:t>
      </w:r>
      <w:r>
        <w:rPr>
          <w:rFonts w:eastAsia="Cambria" w:cs="Cambria"/>
          <w:b w:val="false"/>
          <w:bCs w:val="false"/>
          <w:i/>
          <w:iCs/>
          <w:sz w:val="22"/>
          <w:szCs w:val="22"/>
        </w:rPr>
        <w:t>Washington Accord</w:t>
      </w:r>
      <w:r>
        <w:rPr>
          <w:rFonts w:eastAsia="Cambria" w:cs="Cambria"/>
          <w:b w:val="false"/>
          <w:bCs w:val="false"/>
          <w:i w:val="false"/>
          <w:iCs w:val="false"/>
          <w:sz w:val="22"/>
          <w:szCs w:val="22"/>
        </w:rPr>
        <w:t xml:space="preserve"> oder </w:t>
      </w:r>
      <w:r>
        <w:rPr>
          <w:rFonts w:eastAsia="Cambria" w:cs="Cambria"/>
          <w:b w:val="false"/>
          <w:bCs w:val="false"/>
          <w:i/>
          <w:iCs/>
          <w:sz w:val="22"/>
          <w:szCs w:val="22"/>
        </w:rPr>
        <w:t>Sydney Accord</w:t>
      </w:r>
      <w:r>
        <w:rPr>
          <w:rFonts w:eastAsia="Cambria" w:cs="Cambria"/>
          <w:b w:val="false"/>
          <w:bCs w:val="false"/>
          <w:i w:val="false"/>
          <w:iCs w:val="false"/>
          <w:sz w:val="22"/>
          <w:szCs w:val="22"/>
        </w:rPr>
        <w:t xml:space="preserve"> akkreditiert ist, zwei internationalen Abkommen zur gegenseitigen Anerkennung von Ingenieursabschlüssen, denen auch deutsche Akkreditierungsstellen angehören können –, ein Master- oder Doktortitel entsprechend mehr; prüfe die Akkreditierung deines konkreten Studiengangs im Einzelfall), berufliche Registrierung (3 bis 6 Punkte, relevant vor allem für reglementierte Berufe wie Pflege, Medizin oder bestimmte Ingenieursdisziplinen), Einkommen (3 bis 6 Punkte, siehe unten) sowie ein Bonus von bis zu 3 zusätzlichen Punkten für bereits geleistete Facharbeit in Neuseeland.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Einkommenspunkte hängen unmittelbar vom Stundenlohn ab, und zwar gestaffelt: Ohne jede neuseeländische Arbeitserfahrung braucht es 105,00 NZD/Std. (das Dreifache des Medianlohns) für die vollen 6 Punkte. Mit bereits geleisteter Facharbeit in Neuseeland genügen 70,00 NZD/Std. (das Doppelte) für 4 Punkte, mit einer Grundschwelle von 35,00 NZD/Std. für Berufe der ANZSCO-Kompetenzstufen 1 bis 3 beziehungsweise 52,50 NZD/Std. für Stufe 4/5 oder ungelistete Berufe. Für den Trades-&amp;-Technician-Pfad gilt eine eigene Staffelung zwischen 35,00 und 42,00 NZD/Std., je nachdem, ob der Beruf auf der sogenannten Amber List steht. Wichtig für die Planung: Nach dem Grundsatz „once your threshold is set, it does not change“ bleibt der beim Start deiner Facharbeit geltende Lohnsatz maßgeblich, auch wenn die Schwelle später steigt.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Beginnst du deine Facharbeit rechtzeitig, bevor eine angekündigte Schwellenerhöhung greift, dokumentiere Startdatum und damals geltenden Lohnsatz sorgfältig – etwa mit Arbeitsvertrag, erster Gehaltsabrechnung und einem Ausdruck der damals gültigen INZ-Lohnschwellenseite. Weil der Einstiegssatz eingefroren wird, kann dich das später vor einer sonst nötigen Gehaltssteigerung allein wegen einer Regeländerung bewahren.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Reform vom 24. August 2026 hat das System an mehreren Stellen weiter verändert: Statt getrennter Lohnsätze für die Erfahrungsphase und die Antragstellung gilt seither nur noch eine einheitliche SMC-Lohnschwelle, ergänzt um eine fünfmonatige Kulanzfrist, wenn die Facharbeit innerhalb von fünf Monaten nach Visumerteilung beginnt. Level-8- oder Level-9-Qualifikationen (etwa bestimmte Masterabschlüsse) benötigen zusätzlich einen nachgewiesenen Bachelor-Unterbau, außer bei speziell gelisteten neuseeländischen Masterabschlüssen mit eigener Fünf-Punkte-Regel. Beim Trades-&amp;-Technician-Pfad zählen für neuseeländische Qualifikationen mindestens 120 Credits, während ausländische Abschlüsse stattdessen über eine individuelle Qualifikationsbewertung (IQA) auf Level 4 oder höher eingestuft werden. Eine Änderung betrifft besonders Selbstständige: Selbstständigkeit zählt seit der Reform nicht mehr automatisch als „direkt relevante Arbeitserfahrung“ – Nachweise müssen unabhängig überprüfbar sein, etwa durch Kundenverträge, Rechnungen und Referenzen Dritter, nicht durch eigene Angaben allein.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Weitere Zulassungsvoraussetzungen: Höchstalter 55 Jahre bei Antragstellung, eine Stelle bei einem akkreditierten Arbeitgeber (mindestens 30 Wochenstunden) oder ein konkretes Jobangebot, ausreichende Englischkenntnisse, eine unbefristete Stelle oder mindestens zwölf Monate befristeter Vertrag beziehungsweise mindestens sechs Monate Vertrag oder Vertragsreihe, guter Gesundheitszustand sowie ein Führungszeugnis ab 17 Jahren. Wer die reguläre Einkommensschwelle nicht erreicht, hat zwei alternative Pfade: den </w:t>
      </w:r>
      <w:r>
        <w:rPr>
          <w:rFonts w:eastAsia="Cambria" w:cs="Cambria"/>
          <w:b w:val="false"/>
          <w:bCs w:val="false"/>
          <w:i/>
          <w:iCs/>
          <w:sz w:val="22"/>
          <w:szCs w:val="22"/>
        </w:rPr>
        <w:t>Skilled Work Experience Pathway</w:t>
      </w:r>
      <w:r>
        <w:rPr>
          <w:rFonts w:eastAsia="Cambria" w:cs="Cambria"/>
          <w:b w:val="false"/>
          <w:bCs w:val="false"/>
          <w:i w:val="false"/>
          <w:iCs w:val="false"/>
          <w:sz w:val="22"/>
          <w:szCs w:val="22"/>
        </w:rPr>
        <w:t xml:space="preserve"> (mindestens fünf Jahre einschlägige Berufserfahrung, davon mindestens zwei Jahre in Neuseeland zum geforderten Lohnsatz) und den </w:t>
      </w:r>
      <w:r>
        <w:rPr>
          <w:rFonts w:eastAsia="Cambria" w:cs="Cambria"/>
          <w:b w:val="false"/>
          <w:bCs w:val="false"/>
          <w:i/>
          <w:iCs/>
          <w:sz w:val="22"/>
          <w:szCs w:val="22"/>
        </w:rPr>
        <w:t>Trades-&amp;-Technician-Pfad</w:t>
      </w:r>
      <w:r>
        <w:rPr>
          <w:rFonts w:eastAsia="Cambria" w:cs="Cambria"/>
          <w:b w:val="false"/>
          <w:bCs w:val="false"/>
          <w:i w:val="false"/>
          <w:iCs w:val="false"/>
          <w:sz w:val="22"/>
          <w:szCs w:val="22"/>
        </w:rPr>
        <w:t xml:space="preserve"> (Level-4-Qualifikation oder höher, mindestens 2,5 Jahre einschlägige Erfahrung nach Abschluss, davon mindestens 1,5 Jahre in Neuseeland).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Nach Erteilung ist das Daueraufenthaltsvisum nicht ganz voraussetzungslos: Eine sogenannte Section-49-Bedingung kann vorsehen, dass eine ununterbrochene Arbeitslosigkeit von mehr als drei Monaten die Bedingungen des Visums verletzt. Die Kosten liegen bei 6.450 NZD für die Hauptantragstellerin oder den Hauptantragsteller (2.880 NZD Antragsgebühr plus 3.570 NZD Levy); Partner und Kinder werden über eigene Kategorien separat berechnet. Wichtig für die Reiseplanung: Das erteilte Daueraufenthaltsvisum erlaubt zunächst zwei Jahre freies Ein- und Ausreisen ab der ersten Einreise; danach braucht es in der Regel ein </w:t>
      </w:r>
      <w:r>
        <w:rPr>
          <w:rFonts w:eastAsia="Cambria" w:cs="Cambria"/>
          <w:b w:val="false"/>
          <w:bCs w:val="false"/>
          <w:i/>
          <w:iCs/>
          <w:sz w:val="22"/>
          <w:szCs w:val="22"/>
        </w:rPr>
        <w:t>Permanent Resident Visa</w:t>
      </w:r>
      <w:r>
        <w:rPr>
          <w:rFonts w:eastAsia="Cambria" w:cs="Cambria"/>
          <w:b w:val="false"/>
          <w:bCs w:val="false"/>
          <w:i w:val="false"/>
          <w:iCs w:val="false"/>
          <w:sz w:val="22"/>
          <w:szCs w:val="22"/>
        </w:rPr>
        <w:t xml:space="preserve"> (unbefristetes Daueraufenthaltsvisum ohne Reisebeschränkung), um weiterhin uneingeschränkt reisen zu können.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Arbeitsvisum wie das AEWV ist kein Daueraufenthalt. Es ist befristet, an einen einzigen Arbeitgeber gebunden und endet mit dem Job. Die SMC dagegen führt zu einem unbefristeten Aufenthaltsrecht, unabhängig von einer bestimmten Stelle – auch wenn die Section-49-Bedingung zeigt, dass „unbefristet“ nicht ganz ohne Erwartungen an dich kommt.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Paul Lindner (fiktiv), 31, IT-Berater aus Frankfurt, alleinstehend, plant den Weg direkt aus Deutschland, ohne vorherige neuseeländische Arbeitserfahrung. Damit braucht er für die vollen Einkommenspunkte einen Stundenlohn von rund 105 NZD – bei seinem Beratungsprofil mit internationalen Kunden realistisch erreichbar, aber kein Selbstläufer. Seinen Bachelorabschluss lässt er vorab bewerten, um sicherzugehen, dass er die seit August 2026 vier statt drei Punkte auch tatsächlich bekommt, und kombiniert das mit einem konkreten Jobangebot eines Unternehmens in Auckland, um die Gesamtschwelle von 6 Punkten sicher zu erreichen.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für deutsche Fachkräfte realistisch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In der Praxis führen für die meisten deutschen Fachkräfte drei Routen nach Neuseeland, und sie unterscheiden sich deutlich in Tempo und Risiko. Der planbarste Weg ist das AEWV mit anschließendem Wechsel über </w:t>
      </w:r>
      <w:r>
        <w:rPr>
          <w:rFonts w:eastAsia="Cambria" w:cs="Cambria"/>
          <w:b/>
          <w:bCs/>
          <w:i w:val="false"/>
          <w:iCs w:val="false"/>
          <w:sz w:val="22"/>
          <w:szCs w:val="22"/>
        </w:rPr>
        <w:t>Green-List-Tier-2</w:t>
      </w:r>
      <w:r>
        <w:rPr>
          <w:rFonts w:eastAsia="Cambria" w:cs="Cambria"/>
          <w:b w:val="false"/>
          <w:bCs w:val="false"/>
          <w:i w:val="false"/>
          <w:iCs w:val="false"/>
          <w:sz w:val="22"/>
          <w:szCs w:val="22"/>
        </w:rPr>
        <w:t xml:space="preserve"> oder die SMC mit neuseeländischer Arbeitserfahrung: Du brauchst zunächst „nur“ einen akkreditierten Arbeitgeber und den niedrigeren Lohnsatz von 70,00 NZD/Std. für die Einkommenspunkte, sammelst vor Ort Erfahrung und stellst den Residency-Antrag erst, wenn du die Lohnschwelle bereits erreichst. Schneller, aber enger ist </w:t>
      </w:r>
      <w:r>
        <w:rPr>
          <w:rFonts w:eastAsia="Cambria" w:cs="Cambria"/>
          <w:b/>
          <w:bCs/>
          <w:i w:val="false"/>
          <w:iCs w:val="false"/>
          <w:sz w:val="22"/>
          <w:szCs w:val="22"/>
        </w:rPr>
        <w:t>Green-List-Tier 1</w:t>
      </w:r>
      <w:r>
        <w:rPr>
          <w:rFonts w:eastAsia="Cambria" w:cs="Cambria"/>
          <w:b w:val="false"/>
          <w:bCs w:val="false"/>
          <w:i w:val="false"/>
          <w:iCs w:val="false"/>
          <w:sz w:val="22"/>
          <w:szCs w:val="22"/>
        </w:rPr>
        <w:t xml:space="preserve">: Direkter Weg zur Residency, aber nur, wenn dein exakter Beruf gelistet ist und ein akkreditierter Arbeitgeber sofort bereitsteht. Am voraussetzungsreichsten ist die </w:t>
      </w:r>
      <w:r>
        <w:rPr>
          <w:rFonts w:eastAsia="Cambria" w:cs="Cambria"/>
          <w:b/>
          <w:bCs/>
          <w:i w:val="false"/>
          <w:iCs w:val="false"/>
          <w:sz w:val="22"/>
          <w:szCs w:val="22"/>
        </w:rPr>
        <w:t>direkte SMC-Bewerbung aus Deutschland</w:t>
      </w:r>
      <w:r>
        <w:rPr>
          <w:rFonts w:eastAsia="Cambria" w:cs="Cambria"/>
          <w:b w:val="false"/>
          <w:bCs w:val="false"/>
          <w:i w:val="false"/>
          <w:iCs w:val="false"/>
          <w:sz w:val="22"/>
          <w:szCs w:val="22"/>
        </w:rPr>
        <w:t xml:space="preserve"> ohne jede neuseeländische Erfahrung. Dieser Weg verlangt den höchsten Lohnsatz (105,00 NZD/Std., umgerechnet auf eine Vollzeitstelle etwa 218.000 NZD im Jahr) und eignet sich vor allem für Fachkräfte in gut bezahlten Nischen wie erfahrene IT-Beraterinnen und -Berater, Fachärztinnen und Fachärzte oder Senior-Ingenieurinnen und -Ingenieure mit internationalem Gehaltsniveau.</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Zwei Dinge solltest du bei der Kostenplanung nicht übersehen. Erstens: Deutschland steht nicht auf der INZ-Liste der Länder mit Gebührenbefreiung – anders als etwa Österreich zahlst du bei jedem Visum den vollen Satz, ohne Rabatt. Zweitens: Die Bearbeitungszeiten summieren sich. Für das AEWV kommen zu den „80 % innerhalb von sechs Wochen“ noch die vorgelagerte Akkreditierung (rund zwei Werktage) und der Job Check (rund drei Werktage) hinzu; die SMC-Residence dauert im Schnitt rund neun Wochen ab vollständigem Antrag. Realistisch bedeutet das für die meisten Interessierten ohne bereits bestehenden Neuseeland-Bezug: mehrere Monate von der ersten Bewerbung bis zur Einreise, plus – je nach gewähltem Pfad – ein bis zwei weitere Jahre bis zum Daueraufenthalt.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Sprachlich sind gute Englischkenntnisse in jedem der drei Wege Pflicht, wenn auch beim AEWV nur für bestimmte Kompetenzstufen zwingend vorgeschrieben. Wer aus einem reglementierten Beruf kommt – Pflege, Medizin, bestimmte Ingenieursdisziplinen –, sollte die Anerkennung der eigenen Qualifikation und die Registrierung bei der zuständigen neuseeländischen Berufsstelle so früh wie möglich klären, da diese Prüfungen oft mehr Zeit beanspruchen als der eigentliche Visumsantrag.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noch keinen akkreditierten Arbeitgeber gefunden hat, aber unter 31 Jahre alt ist, hat noch eine weitere, deutlich niedrigschwelligere Tür: das </w:t>
      </w:r>
      <w:r>
        <w:rPr>
          <w:rFonts w:eastAsia="Cambria" w:cs="Cambria"/>
          <w:b w:val="false"/>
          <w:bCs w:val="false"/>
          <w:i/>
          <w:iCs/>
          <w:sz w:val="22"/>
          <w:szCs w:val="22"/>
        </w:rPr>
        <w:t>Working Holiday Visa</w:t>
      </w:r>
      <w:r>
        <w:rPr>
          <w:rFonts w:eastAsia="Cambria" w:cs="Cambria"/>
          <w:b w:val="false"/>
          <w:bCs w:val="false"/>
          <w:i w:val="false"/>
          <w:iCs w:val="false"/>
          <w:sz w:val="22"/>
          <w:szCs w:val="22"/>
        </w:rPr>
        <w:t xml:space="preserve"> für deutsche Staatsangehörige zwischen 18 und 30 Jahren, ohne Jobangebot beantragbar, gültig für bis zu zwölf Monate, gegen Nachweis von mindestens 4.200 NZD Lebenshaltungsmitteln. Es erlaubt keine Dauerstelle, aber genau die Art von Vor-Ort-Kontakten, aus denen später ein Jobangebot und damit ein AEWV werden kann – ein Umweg, der sich vor allem für jüngere Fachkräfte am Anfang der Karriere lohnt, die noch keinen fertigen Arbeitsvertrag in der Tasche haben. Wer darüber hinaus ist, bleibt auf die direkte Bewerbung bei akkreditierten Arbeitgebern angewiesen.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Vergleich mit dem deutschen System zeigt noch einen grundsätzlichen Unterschied: Die Blaue Karte EU kennt keinen Wettbewerb um eine begrenzte Zahl an Einladungen und auch keine Punkteschwelle, die sich mehrmals im Jahr verschiebt – wer die Voraussetzungen erfüllt, bekommt die Karte. Das neuseeländische System dagegen bewertet dich laufend neu: Die SMC-Lohnschwelle von heute muss nicht die von übermorgen sein, und wer seinen Antrag ein halbes Jahr verschiebt, kann in eine andere Rechnung hineinlaufen. Wer ernsthaft plant, sollte deshalb nicht nur die aktuellen Zahlen kennen, sondern auch beobachten, in welche Richtung sie sich zuletzt bewegt haben.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erklärt Regeln und gängige Praxis des neuseeländischen Arbeitsvisumssystems, ersetzt aber keine Beratung durch eine bei der zuständigen Aufsichtsstelle registrierte Einwanderungsberaterin, einen registrierten Einwanderungsberater (</w:t>
            </w:r>
            <w:r>
              <w:rPr>
                <w:rFonts w:eastAsia="Cambria" w:cs="Cambria"/>
                <w:b w:val="false"/>
                <w:bCs w:val="false"/>
                <w:i/>
                <w:iCs/>
                <w:sz w:val="20"/>
                <w:szCs w:val="20"/>
              </w:rPr>
              <w:t>Licensed Immigration Adviser</w:t>
            </w:r>
            <w:r>
              <w:rPr>
                <w:rFonts w:eastAsia="Cambria" w:cs="Cambria"/>
                <w:b w:val="false"/>
                <w:bCs w:val="false"/>
                <w:i w:val="false"/>
                <w:iCs w:val="false"/>
                <w:sz w:val="20"/>
                <w:szCs w:val="20"/>
              </w:rPr>
              <w:t>) oder eine auf neuseeländisches Recht spezialisierte Anwaltskanzlei. Gerade bei Lohnschwellen, Berufsregistrierung und der Wahl zwischen AEWV, Green List und SMC lohnt sich eine individuelle Prüfung, bevor du kündigst oder Gebühren zahlst.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Klar dokumentiertes, transparentes Punkte- und Lohnschwellensystem</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Schwellen und Regeln ändern sich mehrfach jährlich</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List verkürzt den Weg zum Daueraufenthalt erheblich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für rund 200 Berufe gültig, exakter ANZSCO-Code entscheidet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AEWV-Einstieg auch ohne sofortige Spitzengehälter möglich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AEWV bindet dich fest an einen einzigen Arbeitgeber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SMC bietet mit 6-Punkte-Schwelle ein einfacheres Modell als früher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Direktbewerbung aus Deutschland verlangt sehr hohes Gehalt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Einmal gesetzte Lohnschwelle bleibt für dich eingefroren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Gebührenbefreiung für Deutschland</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Beginne mit einem nüchternen Abgleich: Prüfe, ob dein Beruf auf der Green List steht und, wenn ja, in welchem Tier, und ob der dort genannte ANZSCO-Code wirklich zu deiner Qualifikation und beruflichen Registrierung passt. Lass parallel deinen Abschluss und – falls einschlägig – deine berufliche Zulassung von der zuständigen neuseeländischen Stelle bewerten, denn das dauert oft länger als du denkst. Berechne anhand der aktuellen Lohnschwellen, welchen der drei Wege (AEWV mit späterem Wechsel, Green-List-Tier-1 oder direkte SMC-Bewerbung) dein Gehaltsniveau realistisch zulässt, und suche gezielt nach akkreditierten Arbeitgebern in deinem Berufsfeld. Kläre außerdem frühzeitig deinen Englischnachweis, auch wenn er für deine ANZSCO-Stufe formal nicht zwingend ist – ein aktueller Test schadet keiner Bewerbung.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Stelle außerdem frühzeitig eine eigene Belegmappe zusammen: aktueller Arbeitsvertrag, die letzten Gehaltsabrechnungen, eine Tätigkeitsbeschreibung in Englisch und Nachweise über Berufserfahrung und Fortbildungen. Diese Unterlagen brauchst du ohnehin für den Job Check deines künftigen Arbeitgebers oder für die Einkommenspunkte der SMC – wer sie schon während der Jobsuche griffbereit hat, gewinnt bei der eigentlichen Antragstellung wertvolle Wochen. Die konkreten Schritte zu Antrag, Konsulat, Gesamtkosten und Bearbeitungszeit behandelt das </w:t>
      </w:r>
      <w:hyperlink w:anchor="tnz05">
        <w:r>
          <w:rPr>
            <w:rStyle w:val="ListLabel113"/>
            <w:rFonts w:eastAsia="Cambria" w:cs="Cambria"/>
            <w:b w:val="false"/>
            <w:bCs w:val="false"/>
            <w:i w:val="false"/>
            <w:iCs w:val="false"/>
            <w:color w:val="0563C1"/>
            <w:sz w:val="22"/>
            <w:szCs w:val="22"/>
            <w:u w:val="single"/>
          </w:rPr>
          <w:t>Kapitel zu Antrag, Kosten und Bearbeitungszeit in diesem Teil</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Eigenen Beruf gegen die aktuelle Green List und den passenden ANZSCO-Code prüfen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Qualifikation und ggf. Berufsregistrierung bei der zuständigen neuseeländischen Stelle bewerten lassen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Aktuelle SMC-Lohnschwellen mit dem eigenen (angestrebten) Gehalt abgleichen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Englischnachweis vorbereiten, auch wenn nicht für jede Stufe zwingend</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Gezielt nach akkreditierten Arbeitgebern im eigenen Berufsfeld suchen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Prüfen, ob AEWV+Wechsel, Green-List-Tier-1 oder Direktbewerbung realistisch zum eigenen Profil passt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Start- und Lohndaten bei Arbeitsbeginn sorgfältig dokumentieren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jeder Entscheidung aktuelle Werte auf immigration.govt.nz prüfen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New Zealand — Accredited Employer Work Visa (</w:t>
      </w:r>
      <w:hyperlink r:id="rId665">
        <w:r>
          <w:rPr>
            <w:rStyle w:val="ListLabel113"/>
            <w:rFonts w:eastAsia="Cambria" w:cs="Cambria"/>
            <w:b w:val="false"/>
            <w:bCs w:val="false"/>
            <w:i w:val="false"/>
            <w:iCs w:val="false"/>
            <w:color w:val="0563C1"/>
            <w:sz w:val="22"/>
            <w:szCs w:val="22"/>
            <w:u w:val="single"/>
          </w:rPr>
          <w:t>immigration.govt.nz/new-zealand-visas/visas/visa/accredited-employer-work-visa</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New Zealand — Skilled Migrant Category Resident Visa (</w:t>
      </w:r>
      <w:hyperlink r:id="rId666">
        <w:r>
          <w:rPr>
            <w:rStyle w:val="ListLabel113"/>
            <w:rFonts w:eastAsia="Cambria" w:cs="Cambria"/>
            <w:b w:val="false"/>
            <w:bCs w:val="false"/>
            <w:i w:val="false"/>
            <w:iCs w:val="false"/>
            <w:color w:val="0563C1"/>
            <w:sz w:val="22"/>
            <w:szCs w:val="22"/>
            <w:u w:val="single"/>
          </w:rPr>
          <w:t>immigration.govt.nz/new-zealand-visas/visas/visa/skilled-migrant-category-resident-visa</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New Zealand — Green List (</w:t>
      </w:r>
      <w:hyperlink r:id="rId667">
        <w:r>
          <w:rPr>
            <w:rStyle w:val="ListLabel113"/>
            <w:rFonts w:eastAsia="Cambria" w:cs="Cambria"/>
            <w:b w:val="false"/>
            <w:bCs w:val="false"/>
            <w:i w:val="false"/>
            <w:iCs w:val="false"/>
            <w:color w:val="0563C1"/>
            <w:sz w:val="22"/>
            <w:szCs w:val="22"/>
            <w:u w:val="single"/>
          </w:rPr>
          <w:t>immigration.govt.nz/new-zealand-visas/preparing-a-visa-application/working-in-nz/green-list</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New Zealand — SMC-Lohnschwellen (</w:t>
      </w:r>
      <w:hyperlink r:id="rId668">
        <w:r>
          <w:rPr>
            <w:rStyle w:val="ListLabel113"/>
            <w:rFonts w:eastAsia="Cambria" w:cs="Cambria"/>
            <w:b w:val="false"/>
            <w:bCs w:val="false"/>
            <w:i w:val="false"/>
            <w:iCs w:val="false"/>
            <w:color w:val="0563C1"/>
            <w:sz w:val="22"/>
            <w:szCs w:val="22"/>
            <w:u w:val="single"/>
          </w:rPr>
          <w:t>immigration.govt.nz/.../skilled-migrant-category-resident-visa-wage-rate-thresholds</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New Zealand — Fees Guide INZ 1028, Ausgabe Mai 2026 (</w:t>
      </w:r>
      <w:hyperlink r:id="rId669">
        <w:r>
          <w:rPr>
            <w:rStyle w:val="ListLabel113"/>
            <w:rFonts w:eastAsia="Cambria" w:cs="Cambria"/>
            <w:b w:val="false"/>
            <w:bCs w:val="false"/>
            <w:i w:val="false"/>
            <w:iCs w:val="false"/>
            <w:color w:val="0563C1"/>
            <w:sz w:val="22"/>
            <w:szCs w:val="22"/>
            <w:u w:val="single"/>
          </w:rPr>
          <w:t>immigration.govt.nz/assets/inz/documents/forms-and-guides/Fees-Guide-INZ-1028.pdf</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New Zealand — Gesundheitsanforderungen (</w:t>
      </w:r>
      <w:hyperlink r:id="rId670">
        <w:r>
          <w:rPr>
            <w:rStyle w:val="ListLabel113"/>
            <w:rFonts w:eastAsia="Cambria" w:cs="Cambria"/>
            <w:b w:val="false"/>
            <w:bCs w:val="false"/>
            <w:i w:val="false"/>
            <w:iCs w:val="false"/>
            <w:color w:val="0563C1"/>
            <w:sz w:val="22"/>
            <w:szCs w:val="22"/>
            <w:u w:val="single"/>
          </w:rPr>
          <w:t>immigration.govt.nz/process-to-apply/applying-for-a-visa/providing-evidence-and-documents-to-support-your-visa-application/health-requirements</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besonders schnell: die SMC- und AEWV-Lohnschwellen, die genaue Zusammensetzung der Green List, Bearbeitungszeiten und Gebühren. Prüfe vor jeder Entscheidung die aktuellen Werte auf immigration.govt.nz.</w:t>
            </w:r>
          </w:p>
        </w:tc>
      </w:tr>
    </w:tbl>
    <w:p>
      <w:pPr>
        <w:pStyle w:val="Normal"/>
        <w:spacing w:lineRule="exact" w:line="220" w:before="0" w:after="0"/>
        <w:rPr/>
      </w:pPr>
      <w:r>
        <w:rPr/>
      </w:r>
      <w:r>
        <w:br w:type="page"/>
      </w:r>
    </w:p>
    <w:p>
      <w:pPr>
        <w:pStyle w:val="Heading2"/>
        <w:keepNext w:val="true"/>
        <w:spacing w:before="0" w:after="300"/>
        <w:jc w:val="center"/>
        <w:rPr/>
      </w:pPr>
      <w:bookmarkStart w:id="176" w:name="__RefHeading___Toc56607_3769931028"/>
      <w:bookmarkStart w:id="177" w:name="tnz04"/>
      <w:bookmarkEnd w:id="176"/>
      <w:r>
        <w:rPr>
          <w:rFonts w:eastAsia="Amazon Ember" w:cs="Amazon Ember" w:ascii="Amazon Ember" w:hAnsi="Amazon Ember"/>
          <w:b/>
          <w:bCs/>
          <w:color w:val="0000FF"/>
          <w:sz w:val="36"/>
          <w:szCs w:val="36"/>
        </w:rPr>
        <w:t>Neuseeland: Familie, Investoren und der Ruhestand</w:t>
      </w:r>
      <w:bookmarkEnd w:id="177"/>
    </w:p>
    <w:p>
      <w:pPr>
        <w:pStyle w:val="Normal"/>
        <w:keepNext w:val="false"/>
        <w:keepLines w:val="false"/>
        <w:spacing w:lineRule="exact" w:line="288" w:before="0" w:after="140"/>
        <w:jc w:val="left"/>
        <w:rPr/>
      </w:pPr>
      <w:r>
        <w:rPr>
          <w:rFonts w:eastAsia="Cambria" w:cs="Cambria"/>
          <w:b w:val="false"/>
          <w:bCs w:val="false"/>
          <w:i w:val="false"/>
          <w:iCs w:val="false"/>
          <w:sz w:val="22"/>
          <w:szCs w:val="22"/>
        </w:rPr>
        <w:t>Es gehört zu den kleinen Überraschungen des neuseeländischen Einwanderungssystems, dass ausgerechnet das Land der Kiwis und der endlosen Wanderwege beim Thema Geld keinerlei Sentimentalität kennt: Wer investieren will, muss Millionen mitbringen; wer die eigenen Eltern nachholen will, braucht entweder viel Geduld oder ein noch dickeres Portemonnaie. Und doch bietet Neuseeland, verglichen mit den anderen drei in diesem Buch behandelten Ländern, an einer Stelle eine echte Besonderheit: einen Ruhestandsweg, der ganz ohne dort lebendes Kind auskommt – solange man bereit ist, ihn als das zu nehmen, was er ist, nämlich befristet und keineswegs günstig. Dieses Kapitel ordnet Partnervisum, Investorenwege und Ruhestand ohne Job ein, mit einem offenen Wort zu einer Quellenlage, die selbst die Einwanderungsbehörde nicht ganz aufgeräumt zu haben scheint. Trockener Trost vorweg: Verglichen mit dem, was andernorts in diesem Buch für Eltern und Großeltern beschrieben wird, ist Neuseeland streng, aber wenigstens berechenbar streng.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Das Partnervisum verlangt zwölf Monate nachgewiesenes Zusammenleben in einer echten Partnerschaft; die Bearbeitung dauert im Schnitt rund sechs Monate.</w:t>
            </w:r>
          </w:p>
          <w:p>
            <w:pPr>
              <w:pStyle w:val="ListParagraph"/>
              <w:numPr>
                <w:ilvl w:val="0"/>
                <w:numId w:val="1"/>
              </w:numPr>
              <w:spacing w:lineRule="exact" w:line="264" w:before="0" w:after="50"/>
              <w:rPr/>
            </w:pPr>
            <w:r>
              <w:rPr>
                <w:rFonts w:eastAsia="Cambria" w:cs="Cambria"/>
                <w:b w:val="false"/>
                <w:bCs w:val="false"/>
                <w:i w:val="false"/>
                <w:iCs w:val="false"/>
                <w:sz w:val="20"/>
                <w:szCs w:val="20"/>
              </w:rPr>
              <w:t>Das frühere Entrepreneur Work Visa wurde offiziell zum 27.08.2025 durch das Business Investor Work Visa ersetzt – die Gebührentabelle von Immigration New Zealand führt die alte Kategorie im Mai 2026 aber weiterhin auf. Diese Diskrepanz ist ungeklärt.</w:t>
            </w:r>
          </w:p>
          <w:p>
            <w:pPr>
              <w:pStyle w:val="ListParagraph"/>
              <w:numPr>
                <w:ilvl w:val="0"/>
                <w:numId w:val="1"/>
              </w:numPr>
              <w:spacing w:lineRule="exact" w:line="264" w:before="0" w:after="50"/>
              <w:rPr/>
            </w:pPr>
            <w:r>
              <w:rPr>
                <w:rFonts w:eastAsia="Cambria" w:cs="Cambria"/>
                <w:b w:val="false"/>
                <w:bCs w:val="false"/>
                <w:i w:val="false"/>
                <w:iCs w:val="false"/>
                <w:sz w:val="20"/>
                <w:szCs w:val="20"/>
              </w:rPr>
              <w:t>Investorenvisa bewegen sich zwischen 1 Million NZD (langsamerer Weg) und 10 Millionen NZD (Active Investor Plus, „Balanced“) – nichts davon ist ein Weg für den Mittelstand.</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Neuseeland ist unter den vier Ländern dieses Buches das einzige mit einem Ruhestandsweg ganz ohne dort lebendes Kind: der </w:t>
            </w:r>
            <w:r>
              <w:rPr>
                <w:rFonts w:eastAsia="Cambria" w:cs="Cambria"/>
                <w:b w:val="false"/>
                <w:bCs w:val="false"/>
                <w:i/>
                <w:iCs/>
                <w:sz w:val="20"/>
                <w:szCs w:val="20"/>
              </w:rPr>
              <w:t>Temporary Retirement Visitor Visa</w:t>
            </w:r>
            <w:r>
              <w:rPr>
                <w:rFonts w:eastAsia="Cambria" w:cs="Cambria"/>
                <w:b w:val="false"/>
                <w:bCs w:val="false"/>
                <w:i w:val="false"/>
                <w:iCs w:val="false"/>
                <w:sz w:val="20"/>
                <w:szCs w:val="20"/>
              </w:rPr>
              <w:t>.</w:t>
            </w:r>
          </w:p>
          <w:p>
            <w:pPr>
              <w:pStyle w:val="ListParagraph"/>
              <w:numPr>
                <w:ilvl w:val="0"/>
                <w:numId w:val="1"/>
              </w:numPr>
              <w:spacing w:lineRule="exact" w:line="264" w:before="0" w:after="50"/>
              <w:rPr/>
            </w:pPr>
            <w:r>
              <w:rPr>
                <w:rFonts w:eastAsia="Cambria" w:cs="Cambria"/>
                <w:b w:val="false"/>
                <w:bCs w:val="false"/>
                <w:i w:val="false"/>
                <w:iCs w:val="false"/>
                <w:sz w:val="20"/>
                <w:szCs w:val="20"/>
              </w:rPr>
              <w:t>Dieser Weg ist allerdings nur zwei Jahre befristet und verlangt 750.000 NZD Investition, 500.000 NZD Liquidität und 60.000 NZD Jahreseinkommen – eine durchschnittliche deutsche Rente allein reicht dafür nicht.</w:t>
            </w:r>
          </w:p>
          <w:p>
            <w:pPr>
              <w:pStyle w:val="ListParagraph"/>
              <w:numPr>
                <w:ilvl w:val="0"/>
                <w:numId w:val="1"/>
              </w:numPr>
              <w:spacing w:lineRule="exact" w:line="264" w:before="0" w:after="50"/>
              <w:rPr/>
            </w:pPr>
            <w:r>
              <w:rPr>
                <w:rFonts w:eastAsia="Cambria" w:cs="Cambria"/>
                <w:b w:val="false"/>
                <w:bCs w:val="false"/>
                <w:i w:val="false"/>
                <w:iCs w:val="false"/>
                <w:sz w:val="20"/>
                <w:szCs w:val="20"/>
              </w:rPr>
              <w:t>Zahlen, Schwellen und Programmstatus ändern sich häufig: Prüfe vor jeder Entscheidung die aktuellen Angaben auf immigration.govt.nz.</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Partnervisum und Familiennachzug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Ehepaare, eingetragene Lebenspartnerschaften und sogenannte </w:t>
      </w:r>
      <w:r>
        <w:rPr>
          <w:rFonts w:eastAsia="Cambria" w:cs="Cambria"/>
          <w:b w:val="false"/>
          <w:bCs w:val="false"/>
          <w:i/>
          <w:iCs/>
          <w:sz w:val="22"/>
          <w:szCs w:val="22"/>
        </w:rPr>
        <w:t>De-facto</w:t>
      </w:r>
      <w:r>
        <w:rPr>
          <w:rFonts w:eastAsia="Cambria" w:cs="Cambria"/>
          <w:b w:val="false"/>
          <w:bCs w:val="false"/>
          <w:i w:val="false"/>
          <w:iCs w:val="false"/>
          <w:sz w:val="22"/>
          <w:szCs w:val="22"/>
        </w:rPr>
        <w:t xml:space="preserve">-Partnerschaften (unverheiratete, aber fest zusammenlebende Paare, einschließlich gleichgeschlechtlicher Paare) sieht die </w:t>
      </w:r>
      <w:r>
        <w:rPr>
          <w:rFonts w:eastAsia="Cambria" w:cs="Cambria"/>
          <w:b w:val="false"/>
          <w:bCs w:val="false"/>
          <w:i/>
          <w:iCs/>
          <w:sz w:val="22"/>
          <w:szCs w:val="22"/>
        </w:rPr>
        <w:t>Family Category</w:t>
      </w:r>
      <w:r>
        <w:rPr>
          <w:rFonts w:eastAsia="Cambria" w:cs="Cambria"/>
          <w:b w:val="false"/>
          <w:bCs w:val="false"/>
          <w:i w:val="false"/>
          <w:iCs w:val="false"/>
          <w:sz w:val="22"/>
          <w:szCs w:val="22"/>
        </w:rPr>
        <w:t xml:space="preserve"> („Partner of a New Zealander Resident Visa“) einen eigenen Weg zum Daueraufenthalt vor. Zentrale Voraussetzung: Das Paar muss zum Zeitpunkt der Antragstellung seit mindestens zwölf Monaten in einer echten, festen Partnerschaft zusammenleben. Der unterstützende Partner muss neuseeländische Staatsbürgerschaft oder einen Residence-Status besitzen und darf in den vergangenen fünf Jahren keine andere Person für ein Residence-Visum unterstützt haben – eine Klausel, die Mehrfach-Sponsoring in kurzer Folge verhindern soll. Beide Partner müssen zudem die üblichen Gesundheits- und Charakteranforderungen erfüllen, die für praktisch jedes Daueraufenthaltsvisum gelten.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Gebühr liegt bei 5.360 NZD (1.940 NZD Antrag plus 3.420 NZD </w:t>
      </w:r>
      <w:r>
        <w:rPr>
          <w:rFonts w:eastAsia="Cambria" w:cs="Cambria"/>
          <w:b w:val="false"/>
          <w:bCs w:val="false"/>
          <w:i/>
          <w:iCs/>
          <w:sz w:val="22"/>
          <w:szCs w:val="22"/>
        </w:rPr>
        <w:t>Immigration Levy</w:t>
      </w:r>
      <w:r>
        <w:rPr>
          <w:rFonts w:eastAsia="Cambria" w:cs="Cambria"/>
          <w:b w:val="false"/>
          <w:bCs w:val="false"/>
          <w:i w:val="false"/>
          <w:iCs w:val="false"/>
          <w:sz w:val="22"/>
          <w:szCs w:val="22"/>
        </w:rPr>
        <w:t>), ein mitreisendes, abhängiges Kind kostet zusätzlich 1.830 NZD Antrag plus 1.400 NZD Levy. Als „abhängiges Kind“ zählt dabei, wer 17 Jahre oder jünger und ledig ist, 18 bis 20 Jahre, ledig und kinderlos, oder 21 bis 24 Jahre, ledig, kinderlos und wirtschaftlich überwiegend von den Eltern abhängig. Die Bearbeitung dauert im Schnitt rund sechs Monate – deutlich länger als bei vielen Arbeitsvisa, aber ohne die jahrelangen Wartezeiten, die andere Länder bei manchen Familienkategorien kennen.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Vergleich mit Deutschland relativiert die Wartezeit außerdem: Auch ein deutsches Verwaltungsverfahren für den Familiennachzug – etwa bei binationalen Paaren, die von einem Drittstaat nach Deutschland ziehen wollen – braucht selten weniger als mehrere Monate, sobald Termine bei Auslandsvertretungen und Übersetzungen von Urkunden hinzukommen. Neu und ungewohnt ist für viele deutsche Paare eher die Zwölf-Monats-Regel selbst: Wer erst kurz vor der geplanten Auswanderung zusammengezogen ist, kann das Partnervisum schlicht noch nicht beantragen, unabhängig davon, wie ernst die Beziehung gemeint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nicht auf die Entscheidung über das Daueraufenthaltsvisum warten will oder kann, findet im </w:t>
      </w:r>
      <w:r>
        <w:rPr>
          <w:rFonts w:eastAsia="Cambria" w:cs="Cambria"/>
          <w:b w:val="false"/>
          <w:bCs w:val="false"/>
          <w:i/>
          <w:iCs/>
          <w:sz w:val="22"/>
          <w:szCs w:val="22"/>
        </w:rPr>
        <w:t>Partnership Work Visa</w:t>
      </w:r>
      <w:r>
        <w:rPr>
          <w:rFonts w:eastAsia="Cambria" w:cs="Cambria"/>
          <w:b w:val="false"/>
          <w:bCs w:val="false"/>
          <w:i w:val="false"/>
          <w:iCs w:val="false"/>
          <w:sz w:val="22"/>
          <w:szCs w:val="22"/>
        </w:rPr>
        <w:t xml:space="preserve"> eine befristete Zwischenlösung: ein Arbeitsvisum für Partnerinnen und Partner neuseeländischer Staatsbürgerinnen und Staatsbürger oder Residents sowie für Partner bestimmter Arbeits- oder Studienvisum-Inhaberinnen und -Inhaber, Gebühr 1.630 NZD (570 NZD Antrag plus 1.060 NZD Levy).</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Verwechsle das befristete Partnership Work Visa nicht mit dem eigentlichen Daueraufenthaltsvisum der Family Category. Das eine erlaubt dir zu arbeiten, während der Antrag läuft – das andere ist das Ziel selbst. Wer nach Erhalt des Partnership Work Visa den eigentlichen Residence-Antrag aus den Augen verliert, sitzt am Ende mit einem befristeten Status da, obwohl eigentlich ein unbefristeter geplant war.</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Familien, die gemeinsam auswandern, ist der Familiennachzug im engeren Sinne oft weniger relevant als die praktische Frage, wie Partnerin oder Partner sowie Kinder parallel zur Hauptantragstellung ihre eigenen Visa erhalten. Beim AEWV oder der Skilled Migrant Category (beide ausführlich im </w:t>
      </w:r>
      <w:hyperlink w:anchor="tnz03">
        <w:r>
          <w:rPr>
            <w:rStyle w:val="ListLabel113"/>
            <w:rFonts w:eastAsia="Cambria" w:cs="Cambria"/>
            <w:b w:val="false"/>
            <w:bCs w:val="false"/>
            <w:i w:val="false"/>
            <w:iCs w:val="false"/>
            <w:color w:val="0563C1"/>
            <w:sz w:val="22"/>
            <w:szCs w:val="22"/>
            <w:u w:val="single"/>
          </w:rPr>
          <w:t>vorherigen Kapitel dieses Teils</w:t>
        </w:r>
      </w:hyperlink>
      <w:r>
        <w:rPr>
          <w:rFonts w:eastAsia="Cambria" w:cs="Cambria"/>
          <w:b w:val="false"/>
          <w:bCs w:val="false"/>
          <w:i w:val="false"/>
          <w:iCs w:val="false"/>
          <w:sz w:val="22"/>
          <w:szCs w:val="22"/>
        </w:rPr>
        <w:t xml:space="preserve"> behandelt) läuft das über eigene Partner- und Kindervisa, die an das Hauptvisum anknüpfen, nicht über die Family Category selbst.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Krüger (fiktiv). Während Sebastian, 43, Agraringenieur aus Rostock, sein Arbeitsvisum über die Green List beantragt, stellt Petra, 40, Tierärztin, parallel einen Antrag auf ein eigenes Partnervisum mit Arbeitsberechtigung – so kann sie nach der Einreise unabhängig von Sebastians Arbeitgeber selbst eine Stelle suchen oder ihre tierärztliche Zulassung bei der zuständigen neuseeländischen Stelle prüfen lassen. Lotta, 12, und Finn, 8, werden als abhängige Kinder in den Antrag eingeschlossen. Die Familie plant die Bearbeitungszeit von mehreren Monaten von vornherein in den Umzugstermin ein, statt sich auf einen nahtlosen Übergang zu verlassen.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Investoren- und Unternehmervisa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nicht über einen Arbeitgeber, sondern über Kapital nach Neuseeland will, hat seit den letzten Jahren zwei sehr unterschiedlich anspruchsvolle Türen. Am oberen Ende steht das </w:t>
      </w:r>
      <w:r>
        <w:rPr>
          <w:rFonts w:eastAsia="Cambria" w:cs="Cambria"/>
          <w:b w:val="false"/>
          <w:bCs w:val="false"/>
          <w:i/>
          <w:iCs/>
          <w:sz w:val="22"/>
          <w:szCs w:val="22"/>
        </w:rPr>
        <w:t>Active Investor Plus Visa</w:t>
      </w:r>
      <w:r>
        <w:rPr>
          <w:rFonts w:eastAsia="Cambria" w:cs="Cambria"/>
          <w:b w:val="false"/>
          <w:bCs w:val="false"/>
          <w:i w:val="false"/>
          <w:iCs w:val="false"/>
          <w:sz w:val="22"/>
          <w:szCs w:val="22"/>
        </w:rPr>
        <w:t>, reine Kapitalanlage ohne operative Geschäftsführung: Die Kategorie „Growth“ verlangt mindestens 5 Millionen NZD, die Kategorie „Balanced“ mindestens 10 Millionen NZD bei einer Mindesthaltedauer von 60 Monaten; seit Neuregelungen zum 12. August 2026 zählen bei „Balanced“ auch Anleihen sowie Wohn- und Gewerbeimmobilien-Neuentwicklungen als anrechenbare Investition. Die Gebühr fällt entsprechend hoch aus: 12.070 NZD Antrag plus 15.400 NZD Levy – die mit Abstand höchste Levy aller neuseeländischen Visakategorien.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alle, die tatsächlich ein Unternehmen führen statt nur Kapital zu parken, ist das </w:t>
      </w:r>
      <w:r>
        <w:rPr>
          <w:rFonts w:eastAsia="Cambria" w:cs="Cambria"/>
          <w:b w:val="false"/>
          <w:bCs w:val="false"/>
          <w:i/>
          <w:iCs/>
          <w:sz w:val="22"/>
          <w:szCs w:val="22"/>
        </w:rPr>
        <w:t>Business Investor Work Visa</w:t>
      </w:r>
      <w:r>
        <w:rPr>
          <w:rFonts w:eastAsia="Cambria" w:cs="Cambria"/>
          <w:b w:val="false"/>
          <w:bCs w:val="false"/>
          <w:i w:val="false"/>
          <w:iCs w:val="false"/>
          <w:sz w:val="22"/>
          <w:szCs w:val="22"/>
        </w:rPr>
        <w:t xml:space="preserve"> der relevante Weg. Es bietet zwei Optionen: eine Investition von 1 Million NZD in ein bestehendes neuseeländisches Unternehmen, verbunden mit einem dreijährigen </w:t>
      </w:r>
      <w:r>
        <w:rPr>
          <w:rFonts w:eastAsia="Cambria" w:cs="Cambria"/>
          <w:b w:val="false"/>
          <w:bCs w:val="false"/>
          <w:i/>
          <w:iCs/>
          <w:sz w:val="22"/>
          <w:szCs w:val="22"/>
        </w:rPr>
        <w:t>Work-to-Residence</w:t>
      </w:r>
      <w:r>
        <w:rPr>
          <w:rFonts w:eastAsia="Cambria" w:cs="Cambria"/>
          <w:b w:val="false"/>
          <w:bCs w:val="false"/>
          <w:i w:val="false"/>
          <w:iCs w:val="false"/>
          <w:sz w:val="22"/>
          <w:szCs w:val="22"/>
        </w:rPr>
        <w:t>-Pfad (zunächst befristetes Arbeitsvisum, später Wechsel zur Residency), oder eine Investition von 2 Millionen NZD für einen zwölfmonatigen Schnellweg direkt zur Residency. In beiden Fällen kommen mindestens 500.000 NZD Eigenmittel für den Lebensunterhalt während des Geschäftsaufbaus hinzu. Voraussetzungen sind ein Höchstalter von 55 Jahren, Englischkenntnisse auf IELTS-Niveau 5,0 oder gleichwertig, die üblichen Gesundheits- und Charakteranforderungen, nachgewiesene unternehmerische Erfahrung sowie eine Investition in ein Unternehmen mit mindestens fünf Vollzeitstellen. Ausdrücklich ausgeschlossen sind unter anderem Dropshipping, Glücksspiel, Tabak- und Vaping-Handel, Convenience-Stores, Franchise-Betriebe, Fast-Food-Konzepte, reine Homeoffice-Geschäftsmodelle und Einwanderungsberatung – Branchen, die INZ offenbar als zu passiv oder zu leicht simulierbar einstuft.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Logik hinter den hohen Summen und der langen Ausschlussliste ist wenig verschleiert: Ein Land mit gut fünf Millionen Einwohnern kann sich nicht darauf verlassen, dass jede Kapitalzusage auch wirklich Arbeitsplätze für Einheimische schafft. Die Mindestbeschäftigung von fünf Vollzeitstellen und die Ausschlussliste sollen sicherstellen, dass die Investition eine reale Wirtschaftstätigkeit finanziert – und keine bloße Briefkastenkonstruktion, mit der jemand vor allem den eigenen Aufenthaltsstatus kauft.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Kläre früh, ob dein Vorhaben zum Active Investor Plus Visa (reine Kapitalanlage, kein eigener operativer Aufwand nötig) oder zum Business Investor Work Visa (aktive Unternehmensführung mit Mindestbeschäftigung) passt. Beide Kategorien sprechen völlig unterschiedliche Profile an, und eine Verwechslung kostet im Zweifel eine teure Fehlplanung.</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den Kosten wird die Quellenlage unübersichtlich, und das sollte hier offen benannt werden: Eine spezialisierte Kanzleiquelle nennt für das Business Investor Work Visa eine Gesamtgebühr von 12.380 NZD, während die offizielle INZ-Gebührentabelle (Fees Guide, Ausgabe Mai 2026) die Residence-Komponente „Business Investor Category“ mit 11.320 NZD Antrag plus 3.570 NZD Levy und die temporäre Work-Visa-Komponente mit 11.320 NZD Antrag plus 1.060 NZD Levy getrennt aufführt. Beide Angaben lassen sich nicht sauber zur Deckung bringen; möglicherweise beruht die Kanzleisumme auf einer anderen Kombination aus Antrag, Levy und Nebenkosten.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Noch verwirrender: Dieselbe Gebührentabelle vom Mai 2026 führt weiterhin zwei separate Zeilen für die eigentlich abgeschaffte alte Kategorie – „Entrepreneur Residence Category“ (11.320 NZD plus 3.570 NZD Levy) und „Entrepreneur Work Visa“ (11.320 NZD plus 1.060 NZD Levy) –, obwohl der offizielle INZ-Newsroom-Text von einer Schließung dieser Kategorie zum 27. August 2025 spricht. Ob diese Zeilen nur für laufende Übergangsfälle gedacht sind oder schlicht ein redaktioneller Rückstand im Gebührendokument sind, ließ sich nicht klären.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Fachliteratur zur alten Entrepreneur Work Visa widerspricht sich in diesem Punkt selbst – Neuanträge über diese Kategorie sollten daher nicht mehr eingeplant werden, ganz unabhängig davon, ob sie technisch noch in einer Gebührentabelle auftaucht. Wer ein Investoren- oder Unternehmervisum plant, sollte den aktuellen Status direkt bei Immigration New Zealand oder einer registrierten Einwanderungsberaterin beziehungsweise einem registrierten Einwanderungsberater erfragen, bevor Kapital gebunden oder eine Gebühr gezahlt wird. Verlasse dich hier nicht auf eine einzelne Quelle, auch nicht auf dieses Kapitel.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Ruhestand ohne Job: Neuseelands Sonderweg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Deutsche, die nicht mehr arbeiten wollen, sondern von Rente, Ersparnissen oder Kapitalerträgen leben und dauerhaft auswandern möchten, zeigt der Vergleich der vier in diesem Buch behandelten Länder ein auffälliges Muster: Fast überall hängt der Ruhestand im Ausland an einem bereits dort lebenden erwachsenen Kind. Neuseeland ist die Ausnahme – mit Einschränkungen, die die Freude schnell relativieren.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reguläre Familienweg, die </w:t>
      </w:r>
      <w:r>
        <w:rPr>
          <w:rFonts w:eastAsia="Cambria" w:cs="Cambria"/>
          <w:b w:val="false"/>
          <w:bCs w:val="false"/>
          <w:i/>
          <w:iCs/>
          <w:sz w:val="22"/>
          <w:szCs w:val="22"/>
        </w:rPr>
        <w:t>Parent Category</w:t>
      </w:r>
      <w:r>
        <w:rPr>
          <w:rFonts w:eastAsia="Cambria" w:cs="Cambria"/>
          <w:b w:val="false"/>
          <w:bCs w:val="false"/>
          <w:i w:val="false"/>
          <w:iCs w:val="false"/>
          <w:sz w:val="22"/>
          <w:szCs w:val="22"/>
        </w:rPr>
        <w:t xml:space="preserve">, bleibt an ein Kind mit neuseeländischer Staatsbürgerschaft oder Aufenthaltstitel vor Ort gebunden. Das jährliche Kontingent liegt bei 2.500 Parent Resident Visa pro Finanzjahr; die nächste reguläre Auswahlrunde unter dem noch laufenden System ist für den 11. August 2026 angesetzt. Zum 5. Oktober 2026 wechselt das Verfahren auf ein Hybridmodell: Rund 90 % der Interessensbekundungen werden künftig nach Eingangsdatum („first-in-first-served“) ausgewählt, die übrigen rund 10 % per Losverfahren; die erste Runde unter diesem neuen Modell folgt am 10. November 2026, bestehende Interessensbekundungen werden automatisch übernommen. Eine befristete Alternative ohne Daueraufenthaltsperspektive ist der </w:t>
      </w:r>
      <w:r>
        <w:rPr>
          <w:rFonts w:eastAsia="Cambria" w:cs="Cambria"/>
          <w:b w:val="false"/>
          <w:bCs w:val="false"/>
          <w:i/>
          <w:iCs/>
          <w:sz w:val="22"/>
          <w:szCs w:val="22"/>
        </w:rPr>
        <w:t>Parent Boost Visitor Visa</w:t>
      </w:r>
      <w:r>
        <w:rPr>
          <w:rFonts w:eastAsia="Cambria" w:cs="Cambria"/>
          <w:b w:val="false"/>
          <w:bCs w:val="false"/>
          <w:i w:val="false"/>
          <w:iCs w:val="false"/>
          <w:sz w:val="22"/>
          <w:szCs w:val="22"/>
        </w:rPr>
        <w:t>, ein Mehrfacheinreise-Besuchervisum für Eltern neuseeländischer Bürgerinnen, Bürger oder Residents mit Aufenthalten bis zu fünf Jahren am Stück und einer zweiten Ausstellung auf kumulativ bis zu zehn Jahre – aber eben kein Weg zur Residency. Für Anträge ab dem 30. April 2026 gelten neue, an den Medianlohn gekoppelte Einkommensschwellen für Sponsor und Antragstellerin oder Antragsteller.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eigentlich interessante Weg für kinderlose Ruheständler oder für Paare ohne Kind in Neuseeland ist der </w:t>
      </w:r>
      <w:r>
        <w:rPr>
          <w:rFonts w:eastAsia="Cambria" w:cs="Cambria"/>
          <w:b/>
          <w:bCs/>
          <w:i w:val="false"/>
          <w:iCs w:val="false"/>
          <w:sz w:val="22"/>
          <w:szCs w:val="22"/>
        </w:rPr>
        <w:t>*Temporary Retirement Visitor Visa</w:t>
      </w:r>
      <w:r>
        <w:rPr>
          <w:rFonts w:eastAsia="Cambria" w:cs="Cambria"/>
          <w:b w:val="false"/>
          <w:bCs w:val="false"/>
          <w:i w:val="false"/>
          <w:iCs w:val="false"/>
          <w:sz w:val="22"/>
          <w:szCs w:val="22"/>
        </w:rPr>
        <w:t xml:space="preserve">*. Er verlangt kein dort lebendes Kind – die einzige derart kindunabhängige Lösung unter den vier Ländern dieses Buches. Die Bedingungen sind allerdings hoch angesetzt: Mindestalter 66 Jahre, eine Investitionssumme von 750.000 NZD, die für mindestens zwei Jahre in Neuseeland angelegt bleiben muss, zusätzlich vorzuhaltende liquide Mittel von 500.000 NZD für den Lebensunterhalt sowie ein Jahreseinkommen von mindestens 60.000 NZD. Das Visum selbst gilt für bis zu zwei Jahre; danach ist eine erneute Antragstellung beziehungsweise Verlängerung möglich, solange die Bedingungen weiter erfüllt sind. Entscheidend zu wissen: Dieses Visum führt </w:t>
      </w:r>
      <w:r>
        <w:rPr>
          <w:rFonts w:eastAsia="Cambria" w:cs="Cambria"/>
          <w:b/>
          <w:bCs/>
          <w:i w:val="false"/>
          <w:iCs w:val="false"/>
          <w:sz w:val="22"/>
          <w:szCs w:val="22"/>
        </w:rPr>
        <w:t>nicht automatisch</w:t>
      </w:r>
      <w:r>
        <w:rPr>
          <w:rFonts w:eastAsia="Cambria" w:cs="Cambria"/>
          <w:b w:val="false"/>
          <w:bCs w:val="false"/>
          <w:i w:val="false"/>
          <w:iCs w:val="false"/>
          <w:sz w:val="22"/>
          <w:szCs w:val="22"/>
        </w:rPr>
        <w:t xml:space="preserve"> zu einem Daueraufenthaltsrecht. Die Antragskosten liegen ab 7.891 NZD, die Bearbeitung läuft nach INZ-Angaben zu 80 % innerhalb von vier Wochen ab.</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Eine durchschnittliche deutsche gesetzliche Rente allein reicht für die geforderten 60.000 NZD Jahreseinkommen in aller Regel nicht aus. Wer diesen Weg ernsthaft plant, braucht zusätzliches Einkommen aus Kapitalanlagen, einer Betriebsrente, Vermietung oder ähnlichen Quellen – und sollte diese Einkommensnachweise frühzeitig und lückenlos dokumentieren, bevor ein Antrag gestellt wird.</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Realistisch angesprochen sind mit diesem Visum also weniger Menschen mit „nur“ solider gesetzlicher Rente, sondern eher ehemalige Selbstständige oder Unternehmerinnen und Unternehmer nach einem Firmenverkauf, gut situierte Ruheständler mit vermietetem Immobilienbesitz in Deutschland oder Paare, die private und betriebliche Altersvorsorge über Jahrzehnte konsequent aufgebaut haben. Wer sein Haus in Deutschland verkaufen will, um die 750.000 NZD Investitionssumme aufzubringen, sollte diesen Verkauf zeitlich so planen, dass Kapital und Visum ungefähr gleichzeitig verfügbar sind – ein zu früher Verkauf bindet Kapital unnötig lange in Neuseeland, ein zu später verzögert den ganzen Umzug. Wie sich ein solcher Vermögenstransfer steuerlich auf der deutschen Seite auswirkt, behandelt das Kapitel zu Steuern, Rente und Geld im Universal-Teil dieses Buches.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ein erwachsenes Kind mit neuseeländischer Staatsbürgerschaft oder Residency vor Ort hat und stattdessen direkt einen Daueraufenthalt anstrebt, findet im </w:t>
      </w:r>
      <w:r>
        <w:rPr>
          <w:rFonts w:eastAsia="Cambria" w:cs="Cambria"/>
          <w:b w:val="false"/>
          <w:bCs w:val="false"/>
          <w:i/>
          <w:iCs/>
          <w:sz w:val="22"/>
          <w:szCs w:val="22"/>
        </w:rPr>
        <w:t>Parent Retirement Resident Visa</w:t>
      </w:r>
      <w:r>
        <w:rPr>
          <w:rFonts w:eastAsia="Cambria" w:cs="Cambria"/>
          <w:b w:val="false"/>
          <w:bCs w:val="false"/>
          <w:i w:val="false"/>
          <w:iCs w:val="false"/>
          <w:sz w:val="22"/>
          <w:szCs w:val="22"/>
        </w:rPr>
        <w:t xml:space="preserve"> die passendere, wenn auch noch teurere Alternative. Voraussetzung ist – anders als beim Temporary Retirement Visitor Visa – zwingend ein Kind vor Ort; die Investitionssumme steigt auf 1.000.000 NZD, angelegt für vier Jahre, zuzüglich derselben 500.000 NZD Ansiedlungsmittel und desselben Mindesteinkommens von 60.000 NZD im Jahr. Unterhaltsberechtigte, minderjährige Kinder der Antragstellerin oder des Antragstellers selbst sind dabei nicht zugelassen. Im Gegenzug führt dieser Weg zu einem echten Daueraufenthaltsrecht – leben, arbeiten und studieren auf unbestimmte Zeit, anders als bei den befristeten Visa der beiden vorherigen Absätze. Die Bearbeitung einer „Grundsatzgenehmigung“ (Approval in Principle) dauert laut INZ zu 80 % rund 21 Monate; eine einzelne Sekundärquelle nennt davon abweichend bis zu 37 Monate, eine Diskrepanz, die sich nicht abschließend klären ließ und die du bei der Zeitplanung als Unsicherheit einkalkulieren solltest. Nach der Grundsatzgenehmigung bleiben genau zwölf Monate, um das Kapital tatsächlich nach Neuseeland zu überweisen – eine Verlängerung dieser Frist ist nicht vorgesehen. Die Antragskosten beginnen bei 12.850 NZD.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Temporary Retirement Visitor Visa und der Parent Retirement Resident Visa lassen sich leicht verwechseln, sind aber grundverschieden. Der eine braucht kein Kind vor Ort, bleibt aber befristet und ohne automatischen Weg zur Residency. Der andere braucht zwingend ein Kind vor Ort, kostet mehr und dauert länger in der Bearbeitung, führt aber zum echten Daueraufenthalt. Wer beide Wege verwechselt, plant am Ende mit der falschen Investitionssumme oder der falschen Wartezeit.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Punkt für die langfristige Finanzplanung, der in der ersten Begeisterung über einen erfolgreichen Antrag leicht untergeht: Solltest du später neuseeländische Staatsbürgerschaft oder einen Residence-Status mit Anspruch auf die staatliche Altersrente </w:t>
      </w:r>
      <w:r>
        <w:rPr>
          <w:rFonts w:eastAsia="Cambria" w:cs="Cambria"/>
          <w:b w:val="false"/>
          <w:bCs w:val="false"/>
          <w:i/>
          <w:iCs/>
          <w:sz w:val="22"/>
          <w:szCs w:val="22"/>
        </w:rPr>
        <w:t>New Zealand Superannuation</w:t>
      </w:r>
      <w:r>
        <w:rPr>
          <w:rFonts w:eastAsia="Cambria" w:cs="Cambria"/>
          <w:b w:val="false"/>
          <w:bCs w:val="false"/>
          <w:i w:val="false"/>
          <w:iCs w:val="false"/>
          <w:sz w:val="22"/>
          <w:szCs w:val="22"/>
        </w:rPr>
        <w:t xml:space="preserve"> („NZ Super“) erwerben, greift die sogenannte </w:t>
      </w:r>
      <w:r>
        <w:rPr>
          <w:rFonts w:eastAsia="Cambria" w:cs="Cambria"/>
          <w:b w:val="false"/>
          <w:bCs w:val="false"/>
          <w:i/>
          <w:iCs/>
          <w:sz w:val="22"/>
          <w:szCs w:val="22"/>
        </w:rPr>
        <w:t>Direct Deduction Policy</w:t>
      </w:r>
      <w:r>
        <w:rPr>
          <w:rFonts w:eastAsia="Cambria" w:cs="Cambria"/>
          <w:b w:val="false"/>
          <w:bCs w:val="false"/>
          <w:i w:val="false"/>
          <w:iCs w:val="false"/>
          <w:sz w:val="22"/>
          <w:szCs w:val="22"/>
        </w:rPr>
        <w:t xml:space="preserve">. Nach Section 70 des Social Security Act 1964 wird die NZ Super Dollar für Dollar um den Betrag einer ausländischen – also auch deutschen – Sozialversicherungsrente gekürzt. Wer bereits die volle deutsche gesetzliche Rente bezieht, bekommt in der Praxis keine zusätzliche NZ Super obendrauf. Für Antragstellende des Temporary Retirement Visitor Visa oder des Parent Retirement Resident Visa ist das zunächst nicht relevant, da beide Wege keinen unmittelbaren NZ-Super-Anspruch begründen – wohl aber für die Finanzplanung nach einer eventuellen späteren Einbürgerung, die das </w:t>
      </w:r>
      <w:hyperlink w:anchor="tnz16">
        <w:r>
          <w:rPr>
            <w:rStyle w:val="ListLabel113"/>
            <w:rFonts w:eastAsia="Cambria" w:cs="Cambria"/>
            <w:b w:val="false"/>
            <w:bCs w:val="false"/>
            <w:i w:val="false"/>
            <w:iCs w:val="false"/>
            <w:color w:val="0563C1"/>
            <w:sz w:val="22"/>
            <w:szCs w:val="22"/>
            <w:u w:val="single"/>
          </w:rPr>
          <w:t>Kapitel zur Staatsbürgerschaft und Steuerresidenz in diesem Teil</w:t>
        </w:r>
      </w:hyperlink>
      <w:r>
        <w:rPr>
          <w:rFonts w:eastAsia="Cambria" w:cs="Cambria"/>
          <w:b w:val="false"/>
          <w:bCs w:val="false"/>
          <w:i w:val="false"/>
          <w:iCs w:val="false"/>
          <w:sz w:val="22"/>
          <w:szCs w:val="22"/>
        </w:rPr>
        <w:t xml:space="preserve"> behandelt.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Krankenversicherung ist für Ruheständler ohne Zugang zum öffentlichen Gesundheitssystem ein weiterer laufender Kostenfaktor: Für 55- bis 65-Jährige liegen reine Krankenhausdeckungen bei schätzungsweise 200 bis 400 NZD und mehr im Monat, für 65-Jährige bei rund 200 bis 340 NZD, Zusatzleistungen für ambulante und fachärztliche Behandlung kommen mit weiteren 40 bis 80 NZD im Monat hinzu. Das ausführliche </w:t>
      </w:r>
      <w:hyperlink w:anchor="tnz08">
        <w:r>
          <w:rPr>
            <w:rStyle w:val="ListLabel113"/>
            <w:rFonts w:eastAsia="Cambria" w:cs="Cambria"/>
            <w:b w:val="false"/>
            <w:bCs w:val="false"/>
            <w:i w:val="false"/>
            <w:iCs w:val="false"/>
            <w:color w:val="0563C1"/>
            <w:sz w:val="22"/>
            <w:szCs w:val="22"/>
            <w:u w:val="single"/>
          </w:rPr>
          <w:t>Gesundheitssystem-Kapitel in diesem Teil</w:t>
        </w:r>
      </w:hyperlink>
      <w:r>
        <w:rPr>
          <w:rFonts w:eastAsia="Cambria" w:cs="Cambria"/>
          <w:b w:val="false"/>
          <w:bCs w:val="false"/>
          <w:i w:val="false"/>
          <w:iCs w:val="false"/>
          <w:sz w:val="22"/>
          <w:szCs w:val="22"/>
        </w:rPr>
        <w:t xml:space="preserve"> geht auf die Unterschiede zur deutschen gesetzlichen Krankenversicherung näher ein.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beschreibt Regeln und Praxis, ersetzt aber keine individuelle Beratung durch eine registrierte Einwanderungsberaterin, einen registrierten Einwanderungsberater oder eine auf internationale Kapitalanlagen und Rentenbesteuerung spezialisierte Steuerberatung. Gerade bei sechsstelligen Investitionssummen, der widersprüchlichen Quellenlage zu Investorenvisa und der langfristigen Wirkung der Direct Deduction Policy auf die eigene Rente lohnt sich eine individuelle Prüfung, bevor du Kapital bindest oder Anträge einreichst.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Partnervisum verlangt kein Mindesteinkommen des Sponsors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Bearbeitung dauert dennoch rund sechs Monate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Business Investor Work Visa bietet zwei Investitionswege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Quellenlage zur alten Entrepreneur-Kategorie widersprüchlich</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Einziges Land der vier mit kindunabhängigem Ruhestandsweg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Temporary Retirement Visitor Visa bleibt nur zwei Jahre befristet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Parent Retirement Resident Visa führt zu echtem Daueraufenthalt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Dafür zwingend ein Kind vor Ort nötig, plus 1 Million NZD Investition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Rente wird bei NZ Super teilweise angerechnet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Direct Deduction Policy kürzt die NZ Super Dollar für Dollar</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Kläre zuerst, welcher Fall auf deine Situation zutrifft: Partnerschaft mit Nachzug, Investitionskapital für ein Unternehmerprofil oder Ruhestand ohne Job – und im letzten Fall, ob ein Kind mit neuseeländischem Status vor Ort lebt oder nicht. Bei einem Partnervisum solltest du frühzeitig Nachweise der Beziehung (gemeinsame Fotos, Mietverträge, Kontoauszüge, Reisebelege) sammeln, da die Bearbeitung Monate dauert. Wer ein Investoren- oder Unternehmervisum erwägt, sollte den aktuellen Status der jeweiligen Kategorie direkt bei Immigration New Zealand oder einer registrierten Fachperson erfragen, bevor Kapital gebunden wird – die widersprüchliche Quellenlage zur alten Entrepreneur-Kategorie zeigt, wie schnell sich hier etwas ändert. Für einen geplanten Ruhestand ohne Job rechne frühzeitig durch, ob dein Jahreseinkommen die Schwelle von 60.000 NZD erreicht, und hole dir eine erste Einschätzung, ob der Temporary Retirement Visitor Visa oder – bei vorhandenem Kind vor Ort – der Parent Retirement Resident Visa der passendere Weg ist. Erstelle dazu eine nüchterne Vermögensaufstellung: Was lässt sich innerhalb der geforderten Fristen tatsächlich liquidieren, ohne dich in Deutschland finanziell in Bedrängnis zu bringen, und was davon würdest du überhaupt langfristig in Neuseeland gebunden sehen wollen? Sprich außerdem frühzeitig mit einer auf internationale Fälle spezialisierten Steuerberatung über die Folgen der Direct Deduction Policy für deine spätere Altersvorsorge, bevor du dich auf einen der beiden Wege festlegst. Die Kosten und Fristen für die Antragstellung selbst behandelt das </w:t>
      </w:r>
      <w:hyperlink w:anchor="tnz05">
        <w:r>
          <w:rPr>
            <w:rStyle w:val="ListLabel113"/>
            <w:rFonts w:eastAsia="Cambria" w:cs="Cambria"/>
            <w:b w:val="false"/>
            <w:bCs w:val="false"/>
            <w:i w:val="false"/>
            <w:iCs w:val="false"/>
            <w:color w:val="0563C1"/>
            <w:sz w:val="22"/>
            <w:szCs w:val="22"/>
            <w:u w:val="single"/>
          </w:rPr>
          <w:t>Kapitel zu Antrag, Konsulat und Bearbeitungszeit in diesem Teil</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Zutreffenden Fall klären: Partnerschaft, Investition oder Ruhestand ohne Job</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Partnervisum: Nachweise der Beziehung frühzeitig sammeln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Investorenvisa: aktuellen Status direkt bei INZ oder Fachperson erfragen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Ruhestandsplänen: prüfen, ob ein Kind mit neuseeländischem Status vor Ort lebt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Jahreseinkommen von mindestens 60.000 NZD realistisch nachweisen können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Investitionssumme (750.000 NZD bzw. 1 Million NZD) und Liquiditätsanforderung klären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Langfristige Wirkung der Direct Deduction Policy auf die eigene Rente einkalkulieren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Regelmäßig auf immigration.govt.nz prüfen, ob sich Schwellen oder Kategorien geändert haben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New Zealand — Partner of a New Zealander Resident Visa (</w:t>
      </w:r>
      <w:hyperlink r:id="rId671">
        <w:r>
          <w:rPr>
            <w:rStyle w:val="ListLabel113"/>
            <w:rFonts w:eastAsia="Cambria" w:cs="Cambria"/>
            <w:b w:val="false"/>
            <w:bCs w:val="false"/>
            <w:i w:val="false"/>
            <w:iCs w:val="false"/>
            <w:color w:val="0563C1"/>
            <w:sz w:val="22"/>
            <w:szCs w:val="22"/>
            <w:u w:val="single"/>
          </w:rPr>
          <w:t>immigration.govt.nz/new-zealand-visas/visas/visa/partner-of-a-new-zealander-resident-visa</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New Zealand — Fees Guide INZ 1028, Ausgabe Mai 2026 (</w:t>
      </w:r>
      <w:hyperlink r:id="rId672">
        <w:r>
          <w:rPr>
            <w:rStyle w:val="ListLabel113"/>
            <w:rFonts w:eastAsia="Cambria" w:cs="Cambria"/>
            <w:b w:val="false"/>
            <w:bCs w:val="false"/>
            <w:i w:val="false"/>
            <w:iCs w:val="false"/>
            <w:color w:val="0563C1"/>
            <w:sz w:val="22"/>
            <w:szCs w:val="22"/>
            <w:u w:val="single"/>
          </w:rPr>
          <w:t>immigration.govt.nz/assets/inz/documents/forms-and-guides/Fees-Guide-INZ-1028.pdf</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New Zealand — Newsroom: Entrepreneur category closes, Business Investor Visa offers new immigration options (</w:t>
      </w:r>
      <w:hyperlink r:id="rId673">
        <w:r>
          <w:rPr>
            <w:rStyle w:val="ListLabel113"/>
            <w:rFonts w:eastAsia="Cambria" w:cs="Cambria"/>
            <w:b w:val="false"/>
            <w:bCs w:val="false"/>
            <w:i w:val="false"/>
            <w:iCs w:val="false"/>
            <w:color w:val="0563C1"/>
            <w:sz w:val="22"/>
            <w:szCs w:val="22"/>
            <w:u w:val="single"/>
          </w:rPr>
          <w:t>immigration.govt.nz/about-us/news-centre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New Zealand — Investor Category / Active Investor Plus (</w:t>
      </w:r>
      <w:hyperlink r:id="rId674">
        <w:r>
          <w:rPr>
            <w:rStyle w:val="ListLabel113"/>
            <w:rFonts w:eastAsia="Cambria" w:cs="Cambria"/>
            <w:b w:val="false"/>
            <w:bCs w:val="false"/>
            <w:i w:val="false"/>
            <w:iCs w:val="false"/>
            <w:color w:val="0563C1"/>
            <w:sz w:val="22"/>
            <w:szCs w:val="22"/>
            <w:u w:val="single"/>
          </w:rPr>
          <w:t>immigration.govt.nz/new-zealand-visas/visas/visa/active-investor-plus-visa</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New Zealand — Parent Category und Parent Boost Visitor Visa (</w:t>
      </w:r>
      <w:hyperlink r:id="rId675">
        <w:r>
          <w:rPr>
            <w:rStyle w:val="ListLabel113"/>
            <w:rFonts w:eastAsia="Cambria" w:cs="Cambria"/>
            <w:b w:val="false"/>
            <w:bCs w:val="false"/>
            <w:i w:val="false"/>
            <w:iCs w:val="false"/>
            <w:color w:val="0563C1"/>
            <w:sz w:val="22"/>
            <w:szCs w:val="22"/>
            <w:u w:val="single"/>
          </w:rPr>
          <w:t>immigration.govt.nz/new-zealand-visas/visas/visa/parent-resident-visa</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Work and Income New Zealand — New Zealand Superannuation, Direct Deduction Policy (</w:t>
      </w:r>
      <w:hyperlink r:id="rId676">
        <w:r>
          <w:rPr>
            <w:rStyle w:val="ListLabel113"/>
            <w:rFonts w:eastAsia="Cambria" w:cs="Cambria"/>
            <w:b w:val="false"/>
            <w:bCs w:val="false"/>
            <w:i w:val="false"/>
            <w:iCs w:val="false"/>
            <w:color w:val="0563C1"/>
            <w:sz w:val="22"/>
            <w:szCs w:val="22"/>
            <w:u w:val="single"/>
          </w:rPr>
          <w:t>workandincome.govt.nz</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besonders schnell: der Status der ehemaligen Entrepreneur-Kategorie, die Auswahlverfahren der Parent Category ab Oktober/November 2026, Einkommensschwellen und Gebühren. Prüfe vor jeder Entscheidung die aktuellen Angaben auf immigration.govt.nz.</w:t>
            </w:r>
          </w:p>
        </w:tc>
      </w:tr>
    </w:tbl>
    <w:p>
      <w:pPr>
        <w:pStyle w:val="Normal"/>
        <w:spacing w:lineRule="exact" w:line="220" w:before="0" w:after="0"/>
        <w:rPr/>
      </w:pPr>
      <w:r>
        <w:rPr/>
      </w:r>
      <w:r>
        <w:br w:type="page"/>
      </w:r>
    </w:p>
    <w:p>
      <w:pPr>
        <w:pStyle w:val="Heading2"/>
        <w:keepNext w:val="true"/>
        <w:spacing w:before="0" w:after="300"/>
        <w:jc w:val="center"/>
        <w:rPr/>
      </w:pPr>
      <w:bookmarkStart w:id="178" w:name="__RefHeading___Toc56609_3769931028"/>
      <w:bookmarkStart w:id="179" w:name="tnz05"/>
      <w:bookmarkEnd w:id="178"/>
      <w:r>
        <w:rPr>
          <w:rFonts w:eastAsia="Amazon Ember" w:cs="Amazon Ember" w:ascii="Amazon Ember" w:hAnsi="Amazon Ember"/>
          <w:b/>
          <w:bCs/>
          <w:color w:val="0000FF"/>
          <w:sz w:val="36"/>
          <w:szCs w:val="36"/>
        </w:rPr>
        <w:t>Neuseeland: Antrag, Konsulat und Kosten</w:t>
      </w:r>
      <w:bookmarkEnd w:id="179"/>
    </w:p>
    <w:p>
      <w:pPr>
        <w:pStyle w:val="Normal"/>
        <w:keepNext w:val="false"/>
        <w:keepLines w:val="false"/>
        <w:spacing w:lineRule="exact" w:line="288" w:before="0" w:after="140"/>
        <w:jc w:val="left"/>
        <w:rPr/>
      </w:pPr>
      <w:r>
        <w:rPr>
          <w:rFonts w:eastAsia="Cambria" w:cs="Cambria"/>
          <w:b w:val="false"/>
          <w:bCs w:val="false"/>
          <w:i w:val="false"/>
          <w:iCs w:val="false"/>
          <w:sz w:val="22"/>
          <w:szCs w:val="22"/>
        </w:rPr>
        <w:t>Paul Lindner sitzt an einem Dienstagabend in seiner Frankfurter Wohnung, das Jobangebot eines Aucklander IT-Beratungshauses seit drei Wochen unterschrieben, und lädt die letzten Nachweise in sein Online-Konto bei Immigration New Zealand (INZ) hoch: Abschlusszeugnis, Arbeitsvertrag, Gehaltsnachweis, ein Foto. Kein Termin, kein Wartesaal, kein Beamter, der die Mappe durchblättert und stirnrunzelt. Die Entscheidung kommt Wochen später schlicht als Statusänderung im Konto – ungefähr so aufregend wie ein Software-Update, das man sowieso installieren musste, nur mit deutlich größeren Folgen. Was zwischen Absenden und Entscheidung liegt, ist reine Verwaltungsarbeit: ein Online-Portal, mehrere Gebühren in neuseeländischen Dollar, ein Arztbesuch und ein Führungszeugnis. Keine Auslandsvertretung, kein Interview am Schalter – Neuseeland erledigt fast alles über den Bildschirm.</w:t>
      </w:r>
    </w:p>
    <w:tbl>
      <w:tblPr>
        <w:tblW w:w="6480" w:type="dxa"/>
        <w:jc w:val="left"/>
        <w:tblInd w:w="0" w:type="dxa"/>
        <w:tblLayout w:type="fixed"/>
        <w:tblCellMar>
          <w:top w:w="110" w:type="dxa"/>
          <w:left w:w="200" w:type="dxa"/>
          <w:bottom w:w="80" w:type="dxa"/>
          <w:right w:w="160" w:type="dxa"/>
        </w:tblCellMar>
      </w:tblPr>
      <w:tblGrid>
        <w:gridCol w:w="6480"/>
      </w:tblGrid>
      <w:tr>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Der Antrag läuft vollständig online über dein persönliches Konto bei Immigration New Zealand (INZ), Teil des </w:t>
            </w:r>
            <w:r>
              <w:rPr>
                <w:rFonts w:eastAsia="Cambria" w:cs="Cambria"/>
                <w:b w:val="false"/>
                <w:bCs w:val="false"/>
                <w:i/>
                <w:iCs/>
                <w:sz w:val="20"/>
                <w:szCs w:val="20"/>
              </w:rPr>
              <w:t>Ministry of Business, Innovation &amp; Employment</w:t>
            </w:r>
            <w:r>
              <w:rPr>
                <w:rFonts w:eastAsia="Cambria" w:cs="Cambria"/>
                <w:b w:val="false"/>
                <w:bCs w:val="false"/>
                <w:i w:val="false"/>
                <w:iCs w:val="false"/>
                <w:sz w:val="20"/>
                <w:szCs w:val="20"/>
              </w:rPr>
              <w:t xml:space="preserve"> (MBIE). Einen Termin bei einer neuseeländischen Auslandsvertretung gibt es für die reguläre Antragstellung nicht.</w:t>
            </w:r>
          </w:p>
          <w:p>
            <w:pPr>
              <w:pStyle w:val="ListParagraph"/>
              <w:numPr>
                <w:ilvl w:val="0"/>
                <w:numId w:val="1"/>
              </w:numPr>
              <w:spacing w:lineRule="exact" w:line="264" w:before="0" w:after="50"/>
              <w:rPr/>
            </w:pPr>
            <w:r>
              <w:rPr>
                <w:rFonts w:eastAsia="Cambria" w:cs="Cambria"/>
                <w:b w:val="false"/>
                <w:bCs w:val="false"/>
                <w:i w:val="false"/>
                <w:iCs w:val="false"/>
                <w:sz w:val="20"/>
                <w:szCs w:val="20"/>
              </w:rPr>
              <w:t>Die Kosten hängen stark vom Weg ab: Ein Accredited Employer Work Visa kostet 1.540 NZD, ein Skilled Migrant Category Resident Visa 6.450 NZD je Hauptantragsteller – Deutschland zählt nicht zu den Ländern mit Gebührenbefreiung.</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Gesundheitsuntersuchung und Führungszeugnis (der </w:t>
            </w:r>
            <w:r>
              <w:rPr>
                <w:rFonts w:eastAsia="Cambria" w:cs="Cambria"/>
                <w:b w:val="false"/>
                <w:bCs w:val="false"/>
                <w:i/>
                <w:iCs/>
                <w:sz w:val="20"/>
                <w:szCs w:val="20"/>
              </w:rPr>
              <w:t>Character Requirement</w:t>
            </w:r>
            <w:r>
              <w:rPr>
                <w:rFonts w:eastAsia="Cambria" w:cs="Cambria"/>
                <w:b w:val="false"/>
                <w:bCs w:val="false"/>
                <w:i w:val="false"/>
                <w:iCs w:val="false"/>
                <w:sz w:val="20"/>
                <w:szCs w:val="20"/>
              </w:rPr>
              <w:t>, die Vorgabe zum guten Leumund) sind eigene Pflichtschritte mit eigenen Fristen.</w:t>
            </w:r>
          </w:p>
          <w:p>
            <w:pPr>
              <w:pStyle w:val="ListParagraph"/>
              <w:numPr>
                <w:ilvl w:val="0"/>
                <w:numId w:val="1"/>
              </w:numPr>
              <w:spacing w:lineRule="exact" w:line="264" w:before="0" w:after="50"/>
              <w:rPr/>
            </w:pPr>
            <w:r>
              <w:rPr>
                <w:rFonts w:eastAsia="Cambria" w:cs="Cambria"/>
                <w:b w:val="false"/>
                <w:bCs w:val="false"/>
                <w:i w:val="false"/>
                <w:iCs w:val="false"/>
                <w:sz w:val="20"/>
                <w:szCs w:val="20"/>
              </w:rPr>
              <w:t>Anders als bei manch anderem Zielland verlangt INZ für das deutsche Führungszeugnis keine Apostille, sondern eine beglaubigte englische Übersetzung.</w:t>
            </w:r>
          </w:p>
          <w:p>
            <w:pPr>
              <w:pStyle w:val="ListParagraph"/>
              <w:numPr>
                <w:ilvl w:val="0"/>
                <w:numId w:val="1"/>
              </w:numPr>
              <w:spacing w:lineRule="exact" w:line="264" w:before="0" w:after="50"/>
              <w:rPr/>
            </w:pPr>
            <w:r>
              <w:rPr>
                <w:rFonts w:eastAsia="Cambria" w:cs="Cambria"/>
                <w:b w:val="false"/>
                <w:bCs w:val="false"/>
                <w:i w:val="false"/>
                <w:iCs w:val="false"/>
                <w:sz w:val="20"/>
                <w:szCs w:val="20"/>
              </w:rPr>
              <w:t>Bearbeitungszeiten schwanken zwischen wenigen Wochen (Arbeitsvisa) und mehreren Monaten (Residence-Kategorien).</w:t>
            </w:r>
          </w:p>
          <w:p>
            <w:pPr>
              <w:pStyle w:val="ListParagraph"/>
              <w:numPr>
                <w:ilvl w:val="0"/>
                <w:numId w:val="1"/>
              </w:numPr>
              <w:spacing w:lineRule="exact" w:line="264" w:before="0" w:after="50"/>
              <w:rPr/>
            </w:pPr>
            <w:r>
              <w:rPr>
                <w:rFonts w:eastAsia="Cambria" w:cs="Cambria"/>
                <w:b w:val="false"/>
                <w:bCs w:val="false"/>
                <w:i w:val="false"/>
                <w:iCs w:val="false"/>
                <w:sz w:val="20"/>
                <w:szCs w:val="20"/>
              </w:rPr>
              <w:t>Die deutsche Botschaft in Wellington und die Honorarkonsulate in Auckland und Christchurch helfen bei deutschen Dokumenten – über deinen neuseeländischen Visumantrag entscheidet ausschließlich INZ.</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System: ein Konto statt eines Konsulattermins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aus Deutschland kommt, verbindet einen Visumantrag fast automatisch mit einer Behörde vor Ort: Wartenummer, Schalter, ein Mensch, der Stempel setzt. Bei INZ fällt das komplett weg. Ob Arbeitsvisum, Working Holiday oder der Antrag auf ein Daueraufenthaltsvisum (das neuseeländische </w:t>
      </w:r>
      <w:r>
        <w:rPr>
          <w:rFonts w:eastAsia="Cambria" w:cs="Cambria"/>
          <w:b w:val="false"/>
          <w:bCs w:val="false"/>
          <w:i/>
          <w:iCs/>
          <w:sz w:val="22"/>
          <w:szCs w:val="22"/>
        </w:rPr>
        <w:t>Resident Visa</w:t>
      </w:r>
      <w:r>
        <w:rPr>
          <w:rFonts w:eastAsia="Cambria" w:cs="Cambria"/>
          <w:b w:val="false"/>
          <w:bCs w:val="false"/>
          <w:i w:val="false"/>
          <w:iCs w:val="false"/>
          <w:sz w:val="22"/>
          <w:szCs w:val="22"/>
        </w:rPr>
        <w:t>, funktional vergleichbar mit der amerikanischen Green Card) – alles läuft über dein persönliches Online-Konto bei Immigration New Zealand. Dort trägst du Angaben ein, lädst Dokumente hoch, bezahlst die Gebühr per Kreditkarte und verfolgst den Status. Jede Nachricht der Behörde – auch Nachforderungen – kommt ausschließlich dort an, nicht per Brief und nicht per Anruf. Ein Postfach, das du in den folgenden Wochen regelmäßig prüfen solltest.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Welcher Weg für dich der richtige ist – die punktebasierte Skilled Migrant Category (SMC), das Accredited Employer Work Visa (AEWV) mit einem Beruf auf der Green List, ein Familien- oder Investorenweg –, erklären die </w:t>
      </w:r>
      <w:hyperlink w:anchor="tnz03">
        <w:r>
          <w:rPr>
            <w:rStyle w:val="ListLabel113"/>
            <w:rFonts w:eastAsia="Cambria" w:cs="Cambria"/>
            <w:b w:val="false"/>
            <w:bCs w:val="false"/>
            <w:i w:val="false"/>
            <w:iCs w:val="false"/>
            <w:color w:val="0563C1"/>
            <w:sz w:val="22"/>
            <w:szCs w:val="22"/>
            <w:u w:val="single"/>
          </w:rPr>
          <w:t>Kapitel zu den Einwanderungswegen und zum Arbeitsweg in diesem Teil</w:t>
        </w:r>
      </w:hyperlink>
      <w:r>
        <w:rPr>
          <w:rFonts w:eastAsia="Cambria" w:cs="Cambria"/>
          <w:b w:val="false"/>
          <w:bCs w:val="false"/>
          <w:i w:val="false"/>
          <w:iCs w:val="false"/>
          <w:sz w:val="22"/>
          <w:szCs w:val="22"/>
        </w:rPr>
        <w:t xml:space="preserve"> ausführlich. Für den Antrag selbst macht es allerdings einen spürbaren Unterschied, welche Stufe der Green List für deinen Beruf gilt: Bei einem Tier-1-Beruf („Straight to Residence“) stellst du direkt einen Antrag auf ein Daueraufenthaltsvisum, sobald das Jobangebot steht; bei Tier 2 („Work to Residence“) beginnst du mit dem AEWV und wechselst erst nach 24 Monaten Arbeit in Neuseeland zur Residency – zwei völlig unterschiedliche Kostenkurven für dieselbe Berufsgruppe. Dieses Kapitel beginnt dort, wo die Entscheidung für einen Weg schon gefallen ist: beim nüchternen Kleingedruckten aus Formularen, Gebühren und Fristen.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Eine erteilte Genehmigung ist noch keine Einreise. Bei AEWV und SMC bekommst du zunächst die Zusage; wirksam wird dein Status endgültig erst bei der Einreisekontrolle – dazu mehr im </w:t>
            </w:r>
            <w:hyperlink w:anchor="tnz06">
              <w:r>
                <w:rPr>
                  <w:rStyle w:val="ListLabel116"/>
                  <w:rFonts w:eastAsia="Cambria" w:cs="Cambria"/>
                  <w:b w:val="false"/>
                  <w:bCs w:val="false"/>
                  <w:i w:val="false"/>
                  <w:iCs w:val="false"/>
                  <w:color w:val="0563C1"/>
                  <w:sz w:val="20"/>
                  <w:szCs w:val="20"/>
                  <w:u w:val="single"/>
                </w:rPr>
                <w:t>Kapitel zur Ankunft in diesem Teil</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der Antrag wirklich kostet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Gebühren unterscheiden sich drastisch je nach Visumtyp, und die reine Antragsgebühr ist nur die halbe Rechnung: Fast überall kommt die </w:t>
      </w:r>
      <w:r>
        <w:rPr>
          <w:rFonts w:eastAsia="Cambria" w:cs="Cambria"/>
          <w:b w:val="false"/>
          <w:bCs w:val="false"/>
          <w:i/>
          <w:iCs/>
          <w:sz w:val="22"/>
          <w:szCs w:val="22"/>
        </w:rPr>
        <w:t>Immigration Levy</w:t>
      </w:r>
      <w:r>
        <w:rPr>
          <w:rFonts w:eastAsia="Cambria" w:cs="Cambria"/>
          <w:b w:val="false"/>
          <w:bCs w:val="false"/>
          <w:i w:val="false"/>
          <w:iCs w:val="false"/>
          <w:sz w:val="22"/>
          <w:szCs w:val="22"/>
        </w:rPr>
        <w:t xml:space="preserve"> dazu, ein separater Aufschlag, der die Systemkosten von INZ mitfinanziert und in keiner ersten Kostenschätzung fehlen sollte.</w:t>
      </w:r>
    </w:p>
    <w:tbl>
      <w:tblPr>
        <w:tblW w:w="6480" w:type="dxa"/>
        <w:jc w:val="left"/>
        <w:tblInd w:w="0" w:type="dxa"/>
        <w:tblLayout w:type="fixed"/>
        <w:tblCellMar>
          <w:top w:w="50" w:type="dxa"/>
          <w:left w:w="80" w:type="dxa"/>
          <w:bottom w:w="50" w:type="dxa"/>
          <w:right w:w="80" w:type="dxa"/>
        </w:tblCellMar>
      </w:tblPr>
      <w:tblGrid>
        <w:gridCol w:w="2838"/>
        <w:gridCol w:w="950"/>
        <w:gridCol w:w="1659"/>
        <w:gridCol w:w="1032"/>
      </w:tblGrid>
      <w:tr>
        <w:trPr>
          <w:tblHeader w:val="true"/>
          <w:cantSplit w:val="true"/>
        </w:trPr>
        <w:tc>
          <w:tcPr>
            <w:tcW w:w="283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Kategorie</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Antragsgebühr</w:t>
            </w:r>
          </w:p>
        </w:tc>
        <w:tc>
          <w:tcPr>
            <w:tcW w:w="165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Levy</w:t>
            </w:r>
          </w:p>
        </w:tc>
        <w:tc>
          <w:tcPr>
            <w:tcW w:w="103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Gesamt</w:t>
            </w:r>
          </w:p>
        </w:tc>
      </w:tr>
      <w:tr>
        <w:trPr>
          <w:cantSplit w:val="true"/>
        </w:trPr>
        <w:tc>
          <w:tcPr>
            <w:tcW w:w="28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Accredited Employer Work Visa (AEWV)</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480 NZD</w:t>
            </w:r>
          </w:p>
        </w:tc>
        <w:tc>
          <w:tcPr>
            <w:tcW w:w="16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1.060 NZD</w:t>
            </w:r>
          </w:p>
        </w:tc>
        <w:tc>
          <w:tcPr>
            <w:tcW w:w="10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1.540 NZD</w:t>
            </w:r>
          </w:p>
        </w:tc>
      </w:tr>
      <w:tr>
        <w:trPr>
          <w:cantSplit w:val="true"/>
        </w:trPr>
        <w:tc>
          <w:tcPr>
            <w:tcW w:w="28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Skilled Migrant Category Resident Visa</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2.880 NZD</w:t>
            </w:r>
          </w:p>
        </w:tc>
        <w:tc>
          <w:tcPr>
            <w:tcW w:w="16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3.570 NZD</w:t>
            </w:r>
          </w:p>
        </w:tc>
        <w:tc>
          <w:tcPr>
            <w:tcW w:w="10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6.450 NZD</w:t>
            </w:r>
          </w:p>
        </w:tc>
      </w:tr>
      <w:tr>
        <w:trPr>
          <w:cantSplit w:val="true"/>
        </w:trPr>
        <w:tc>
          <w:tcPr>
            <w:tcW w:w="28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Partner-Residence-Visum (Family Category)</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1.940 NZD</w:t>
            </w:r>
          </w:p>
        </w:tc>
        <w:tc>
          <w:tcPr>
            <w:tcW w:w="16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3.420 NZD</w:t>
            </w:r>
          </w:p>
        </w:tc>
        <w:tc>
          <w:tcPr>
            <w:tcW w:w="10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5.360 NZD</w:t>
            </w:r>
          </w:p>
        </w:tc>
      </w:tr>
      <w:tr>
        <w:trPr>
          <w:cantSplit w:val="true"/>
        </w:trPr>
        <w:tc>
          <w:tcPr>
            <w:tcW w:w="28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Partnership Work Visa</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570 NZD</w:t>
            </w:r>
          </w:p>
        </w:tc>
        <w:tc>
          <w:tcPr>
            <w:tcW w:w="16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1.060 NZD</w:t>
            </w:r>
          </w:p>
        </w:tc>
        <w:tc>
          <w:tcPr>
            <w:tcW w:w="10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1.630 NZD</w:t>
            </w:r>
          </w:p>
        </w:tc>
      </w:tr>
      <w:tr>
        <w:trPr>
          <w:cantSplit w:val="true"/>
        </w:trPr>
        <w:tc>
          <w:tcPr>
            <w:tcW w:w="28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Studienvisum</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485 NZD</w:t>
            </w:r>
          </w:p>
        </w:tc>
        <w:tc>
          <w:tcPr>
            <w:tcW w:w="16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265 NZD (+ ggf. 100 NZD IVL)</w:t>
            </w:r>
          </w:p>
        </w:tc>
        <w:tc>
          <w:tcPr>
            <w:tcW w:w="10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750–850 NZD</w:t>
            </w:r>
          </w:p>
        </w:tc>
      </w:tr>
      <w:tr>
        <w:trPr>
          <w:cantSplit w:val="true"/>
        </w:trPr>
        <w:tc>
          <w:tcPr>
            <w:tcW w:w="28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Working Holiday Scheme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215 NZD</w:t>
            </w:r>
          </w:p>
        </w:tc>
        <w:tc>
          <w:tcPr>
            <w:tcW w:w="16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455 NZD (+ 100 NZD IVL)</w:t>
            </w:r>
          </w:p>
        </w:tc>
        <w:tc>
          <w:tcPr>
            <w:tcW w:w="10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770 NZD</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(Quelle: INZ Fees Guide INZ 1028, Ausgabe Mai 2026. Alle Beträge je Hauptantragsteller; Partner und Kinder zahlen bei den meisten Kategorien anteilig mit eigener Gebühr, beim AEWV etwa 1.630 NZD für den mitreisenden Partner über die Partnership Work Visa.)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Beim AEWV kommen für deinen Arbeitgeber weitere Posten dazu, die dich indirekt betreffen, weil sie über die Stellenverhandlung mitentschieden werden: die </w:t>
      </w:r>
      <w:r>
        <w:rPr>
          <w:rFonts w:eastAsia="Cambria" w:cs="Cambria"/>
          <w:b w:val="false"/>
          <w:bCs w:val="false"/>
          <w:i/>
          <w:iCs/>
          <w:sz w:val="22"/>
          <w:szCs w:val="22"/>
        </w:rPr>
        <w:t>Employer Accreditation</w:t>
      </w:r>
      <w:r>
        <w:rPr>
          <w:rFonts w:eastAsia="Cambria" w:cs="Cambria"/>
          <w:b w:val="false"/>
          <w:bCs w:val="false"/>
          <w:i w:val="false"/>
          <w:iCs w:val="false"/>
          <w:sz w:val="22"/>
          <w:szCs w:val="22"/>
        </w:rPr>
        <w:t xml:space="preserve"> (775 NZD in der Standardstufe, 1.280 NZD für Vielanstellende, 4.060 NZD bei Dreiecksbeschäftigung über Personaldienstleister) und der </w:t>
      </w:r>
      <w:r>
        <w:rPr>
          <w:rFonts w:eastAsia="Cambria" w:cs="Cambria"/>
          <w:b w:val="false"/>
          <w:bCs w:val="false"/>
          <w:i/>
          <w:iCs/>
          <w:sz w:val="22"/>
          <w:szCs w:val="22"/>
        </w:rPr>
        <w:t>Job Check</w:t>
      </w:r>
      <w:r>
        <w:rPr>
          <w:rFonts w:eastAsia="Cambria" w:cs="Cambria"/>
          <w:b w:val="false"/>
          <w:bCs w:val="false"/>
          <w:i w:val="false"/>
          <w:iCs w:val="false"/>
          <w:sz w:val="22"/>
          <w:szCs w:val="22"/>
        </w:rPr>
        <w:t xml:space="preserve"> für die konkrete Stelle (735 NZD). Diese Kosten trägt laut INZ-Vorgabe der Arbeitgeber, nicht der Arbeitnehmer – ein Punkt, den du im Bewerbungsgespräch ruhig ansprechen darfst, falls er unerwähnt bleibt.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Eine Besonderheit, die viele erst beim Bezahlbildschirm bemerken: die </w:t>
      </w:r>
      <w:r>
        <w:rPr>
          <w:rFonts w:eastAsia="Cambria" w:cs="Cambria"/>
          <w:b w:val="false"/>
          <w:bCs w:val="false"/>
          <w:i/>
          <w:iCs/>
          <w:sz w:val="22"/>
          <w:szCs w:val="22"/>
        </w:rPr>
        <w:t>International Visitor Conservation and Tourism Levy</w:t>
      </w:r>
      <w:r>
        <w:rPr>
          <w:rFonts w:eastAsia="Cambria" w:cs="Cambria"/>
          <w:b w:val="false"/>
          <w:bCs w:val="false"/>
          <w:i w:val="false"/>
          <w:iCs w:val="false"/>
          <w:sz w:val="22"/>
          <w:szCs w:val="22"/>
        </w:rPr>
        <w:t xml:space="preserve"> (IVL), eine Pauschale von 100 NZD pro Person, die bei einigen befristeten Kategorien zusätzlich zu Antragsgebühr und Levy anfällt und seit Oktober 2024 verdreifacht wurde. Und noch etwas, das sich nicht ändern lässt, so unfair es sich anfühlen mag: INZ hat mit einigen Ländern – darunter Österreich, Italien, Japan und die USA – Gebührenbefreiungsabkommen für bestimmte Antragsarten geschlossen. Deutschland gehört nicht dazu. Deutsche Antragsteller zahlen die vollen Sätze, während der österreichische Nachbar am Küchentisch nebenan unter Umständen für denselben Visumtyp gar nichts zahlt.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eine vierköpfige Familie auf dem AEWV-Weg kommen so schnell mehrere Tausend NZD zusammen, sobald der mitreisende Partner eingerechnet wird: 1.540 NZD für den Hauptantragsteller, 1.630 NZD für die Partnership Work Visa – und dazu für jedes Kind ein eigener, kleinerer Antrag auf ein Visitor- oder Student-Visum, dessen genaue Gebühr vom jeweiligen Kategorietyp abhängt und deshalb im INZ-Konto individuell zu prüfen ist. Wer stattdessen über die SMC direkt zur Residency will, zahlt zwar pro Kopf mehr, dafür aber nur einmal – ohne die spätere Zusatzrunde vom befristeten Arbeitsvisum zur Daueraufenthaltserlaubnis.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Bezahle die Gebühr im INZ-Konto erst, wenn wirklich alle Unterlagen vollständig sind. Ein unvollständiger Antrag lässt sich zwar nachbessern, die Gebühr ist bei einer Ablehnung aber ebenso verloren wie bei einer Genehmigung – eine Kulanzrunde wie beim deutschen Bürgeramt gibt es bei INZ nicht.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Bearbeitungszeiten: realistisch planen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INZ veröffentlicht laufend aktualisierte Bearbeitungszeiten, die sich je nach Kategorie und Auslastung deutlich unterscheiden. Zum Stand September 2026 gilt grob: Ein AEWV ist in 80 % der Fälle innerhalb von 25 bis 35 Werktagen entschieden, sobald der Antrag vollständig ist – allerdings erst, nachdem dein Arbeitgeber die Employer Accreditation (rund 2 Werktage) und den Job Check (rund 3 Werktage) durchlaufen hat. Für die SMC-Residence liegt die durchschnittliche Bearbeitungszeit bei rund 9 Wochen, für eine Partnerschafts-Residence bei rund 6 Monaten. Das Working-Holiday-Visum ist in 80 % der Fälle bereits innerhalb von 2 Wochen entschieden – für viele der schnellste Weg überhaupt ins Land, wenn auch mit den bekannten Einschränkungen bei Alter und Aufenthaltsdauer.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Diese Zahlen sind, wie bei vergleichbaren Behörden anderer Länder auch, rollende Durchschnittswerte auf Basis zuletzt abgeschlossener Fälle – keine Zusage für deinen konkreten Antrag. Rechne bei AEWV und SMC realistisch mit zwei bis vier Monaten von der ersten Einreichung bis zur endgültigen Entscheidung, wenn man Arbeitgeberschritte, Nachforderungen und die eigentliche Prüfung zusammenzählt. Das aktuelle, laufend aktualisierte INZ-Bearbeitungszeiten-Tool zeigt dir vor der Antragstellung eine tagesaktuelle Schätzung für deine konkrete Kategorie – ein Blick hinein gehört in jede Zeitplanung, nicht nur in die grobe Vorabrecherche.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Kündige Wohnung, Job oder Kinderbetreuungsplatz in Deutschland erst, wenn die Genehmigung tatsächlich im INZ-Konto steht – nicht schon, wenn die Employer Accreditation deines künftigen Arbeitgebers durchgekommen ist. Zwischen diesen beiden Schritten liegt in der Praxis noch der komplette eigentliche Visumantrag samt Gesundheits- und Charakterprüfung.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Gesundheitsuntersuchung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die meisten Daueraufenthaltsvisa und viele befristete Kategorien ist die </w:t>
      </w:r>
      <w:r>
        <w:rPr>
          <w:rFonts w:eastAsia="Cambria" w:cs="Cambria"/>
          <w:b w:val="false"/>
          <w:bCs w:val="false"/>
          <w:i/>
          <w:iCs/>
          <w:sz w:val="22"/>
          <w:szCs w:val="22"/>
        </w:rPr>
        <w:t>Health Examination</w:t>
      </w:r>
      <w:r>
        <w:rPr>
          <w:rFonts w:eastAsia="Cambria" w:cs="Cambria"/>
          <w:b w:val="false"/>
          <w:bCs w:val="false"/>
          <w:i w:val="false"/>
          <w:iCs w:val="false"/>
          <w:sz w:val="22"/>
          <w:szCs w:val="22"/>
        </w:rPr>
        <w:t xml:space="preserve"> Pflicht – eine freie Arztwahl gibt es dabei nicht. Ab 15 Jahren verlangt INZ ein Röntgenbild des Brustkorbs zusätzlich zur allgemeinen ärztlichen Untersuchung; Kinder zwischen 11 und 14 Jahren brauchen ebenfalls beides, Kinder bis 10 Jahre in der Regel nur die ärztliche Untersuchung ohne Röntgen. Beide Nachweise dürfen bei Einreichung höchstens drei Monate alt sein. Untersuchen darf dich nur ein von INZ zugelassener </w:t>
      </w:r>
      <w:r>
        <w:rPr>
          <w:rFonts w:eastAsia="Cambria" w:cs="Cambria"/>
          <w:b w:val="false"/>
          <w:bCs w:val="false"/>
          <w:i/>
          <w:iCs/>
          <w:sz w:val="22"/>
          <w:szCs w:val="22"/>
        </w:rPr>
        <w:t>Panel Physician</w:t>
      </w:r>
      <w:r>
        <w:rPr>
          <w:rFonts w:eastAsia="Cambria" w:cs="Cambria"/>
          <w:b w:val="false"/>
          <w:bCs w:val="false"/>
          <w:i w:val="false"/>
          <w:iCs w:val="false"/>
          <w:sz w:val="22"/>
          <w:szCs w:val="22"/>
        </w:rPr>
        <w:t xml:space="preserve"> beziehungsweise ein anerkanntes Röntgeninstitut – der eigene Hausarzt genügt nicht, egal wie vertraut und gründlich er sonst arbeitet.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Beim AEWV gelten die Anforderungen abgestuft: Das Röntgenbild wird erst ab sechs Monaten geplantem Aufenthalt verlangt, und auch dann nur bei Herkunft aus einem Land mit erhöhtem Tuberkulose-Risiko – für Antragsteller aus Deutschland ist das in der Praxis meist kein Thema. Wie hoch die Untersuchung selbst zu Buche schlägt, legt nicht INZ fest, sondern der jeweilige Panel-Arzt direkt vor Ort; die Liste zugelassener Ärzte findest du über dein INZ-Konto. Frage die Praxis vorab nach den Kosten, statt dich auf eine Pauschalzahl zu verlassen, die ohnehin von Praxis zu Praxis schwankt.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Buche den Untersuchungstermin, sobald INZ ihn anfordert, nicht erst kurz vor knapp. Zugelassene Panel Physicians sind nicht an jeder deutschen Ecke zu finden, und ein voller Terminkalender verzögert sonst den gesamten Antrag um Wochen.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Führungszeugnis und der Character Requirement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Antragsteller ab 17 Jahren verlangt INZ ein </w:t>
      </w:r>
      <w:r>
        <w:rPr>
          <w:rFonts w:eastAsia="Cambria" w:cs="Cambria"/>
          <w:b w:val="false"/>
          <w:bCs w:val="false"/>
          <w:i/>
          <w:iCs/>
          <w:sz w:val="22"/>
          <w:szCs w:val="22"/>
        </w:rPr>
        <w:t>Police Certificate</w:t>
      </w:r>
      <w:r>
        <w:rPr>
          <w:rFonts w:eastAsia="Cambria" w:cs="Cambria"/>
          <w:b w:val="false"/>
          <w:bCs w:val="false"/>
          <w:i w:val="false"/>
          <w:iCs w:val="false"/>
          <w:sz w:val="22"/>
          <w:szCs w:val="22"/>
        </w:rPr>
        <w:t xml:space="preserve"> – ein Führungszeugnis, das bei Antragstellung höchstens sechs Monate alt sein darf. Für deutsche Antragsteller ist das schlicht das bekannte Führungszeugnis vom Bundesamt für Justiz in Bonn, das du online, postalisch oder beim Einwohnermeldeamt beantragst, für 13 €.</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Wer sich vorher schon mit einem anderen Zielland beschäftigt hat, geht oft automatisch davon aus, dass auch Neuseeland eine </w:t>
      </w:r>
      <w:r>
        <w:rPr>
          <w:rFonts w:eastAsia="Cambria" w:cs="Cambria"/>
          <w:b w:val="false"/>
          <w:bCs w:val="false"/>
          <w:i/>
          <w:iCs/>
          <w:sz w:val="22"/>
          <w:szCs w:val="22"/>
        </w:rPr>
        <w:t>Apostille</w:t>
      </w:r>
      <w:r>
        <w:rPr>
          <w:rFonts w:eastAsia="Cambria" w:cs="Cambria"/>
          <w:b w:val="false"/>
          <w:bCs w:val="false"/>
          <w:i w:val="false"/>
          <w:iCs w:val="false"/>
          <w:sz w:val="22"/>
          <w:szCs w:val="22"/>
        </w:rPr>
        <w:t xml:space="preserve"> verlangt – die internationale Beglaubigung nach dem Haager Übereinkommen, die etwa Australien für dasselbe Dokument voraussetzt. Für Neuseeland ist das nicht der Fall. INZ verlangt lediglich, dass ein nicht auf Englisch ausgestelltes Führungszeugnis mit einer beglaubigten englischen Übersetzung eingereicht wird – erstellt von einer Person oder einem Übersetzungsbüro, das mit beiden Sprachen vertraut und für Übersetzungsarbeit qualifiziert ist, mit Stempel oder Unterschrift versehen (immigration.govt.nz, „Police certificates“). Eine Apostille schadet zwar nicht, ist aber für den INZ-Antrag reiner überflüssiger Aufwand.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w:t>
      </w:r>
      <w:r>
        <w:rPr>
          <w:rFonts w:eastAsia="Cambria" w:cs="Cambria"/>
          <w:b w:val="false"/>
          <w:bCs w:val="false"/>
          <w:i/>
          <w:iCs/>
          <w:sz w:val="22"/>
          <w:szCs w:val="22"/>
        </w:rPr>
        <w:t>Character Requirement</w:t>
      </w:r>
      <w:r>
        <w:rPr>
          <w:rFonts w:eastAsia="Cambria" w:cs="Cambria"/>
          <w:b w:val="false"/>
          <w:bCs w:val="false"/>
          <w:i w:val="false"/>
          <w:iCs w:val="false"/>
          <w:sz w:val="22"/>
          <w:szCs w:val="22"/>
        </w:rPr>
        <w:t xml:space="preserve"> selbst verlangt „guten Leumund“ von allen im Antrag eingeschlossenen Personen ab 17 Jahren; Vorstrafen führen nicht automatisch zur Ablehnung, müssen aber offengelegt werden und werden je nach Schwere unterschiedlich bewertet.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Führungszeugnis, das bei der tatsächlichen Antragsprüfung schon älter als sechs Monate ist, wird nicht mehr akzeptiert. Bei mehrmonatigen Bearbeitungszeiten – etwa bei der SMC – lohnt es sich, den Bestellzeitpunkt bewusst zu terminieren, statt das Dokument Monate im Voraus in der Schublade liegen zu haben.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Immigration Adviser oder allein durch den Antrag?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sich professionelle Unterstützung holen möchte, findet in Neuseeland einen eigenen regulierten Berufsstand: den </w:t>
      </w:r>
      <w:r>
        <w:rPr>
          <w:rFonts w:eastAsia="Cambria" w:cs="Cambria"/>
          <w:b w:val="false"/>
          <w:bCs w:val="false"/>
          <w:i/>
          <w:iCs/>
          <w:sz w:val="22"/>
          <w:szCs w:val="22"/>
        </w:rPr>
        <w:t>Licensed Immigration Adviser</w:t>
      </w:r>
      <w:r>
        <w:rPr>
          <w:rFonts w:eastAsia="Cambria" w:cs="Cambria"/>
          <w:b w:val="false"/>
          <w:bCs w:val="false"/>
          <w:i w:val="false"/>
          <w:iCs w:val="false"/>
          <w:sz w:val="22"/>
          <w:szCs w:val="22"/>
        </w:rPr>
        <w:t xml:space="preserve"> (LIA, den lizenzierten Einwanderungsberater). Reguliert wird dieser Berufsstand nach dem </w:t>
      </w:r>
      <w:r>
        <w:rPr>
          <w:rFonts w:eastAsia="Cambria" w:cs="Cambria"/>
          <w:b w:val="false"/>
          <w:bCs w:val="false"/>
          <w:i/>
          <w:iCs/>
          <w:sz w:val="22"/>
          <w:szCs w:val="22"/>
        </w:rPr>
        <w:t>Immigration Advisers Licensing Act 2007</w:t>
      </w:r>
      <w:r>
        <w:rPr>
          <w:rFonts w:eastAsia="Cambria" w:cs="Cambria"/>
          <w:b w:val="false"/>
          <w:bCs w:val="false"/>
          <w:i w:val="false"/>
          <w:iCs w:val="false"/>
          <w:sz w:val="22"/>
          <w:szCs w:val="22"/>
        </w:rPr>
        <w:t xml:space="preserve"> durch die </w:t>
      </w:r>
      <w:r>
        <w:rPr>
          <w:rFonts w:eastAsia="Cambria" w:cs="Cambria"/>
          <w:b w:val="false"/>
          <w:bCs w:val="false"/>
          <w:i/>
          <w:iCs/>
          <w:sz w:val="22"/>
          <w:szCs w:val="22"/>
        </w:rPr>
        <w:t>Immigration Advisers Authority</w:t>
      </w:r>
      <w:r>
        <w:rPr>
          <w:rFonts w:eastAsia="Cambria" w:cs="Cambria"/>
          <w:b w:val="false"/>
          <w:bCs w:val="false"/>
          <w:i w:val="false"/>
          <w:iCs w:val="false"/>
          <w:sz w:val="22"/>
          <w:szCs w:val="22"/>
        </w:rPr>
        <w:t xml:space="preserve"> (IAA), deren öffentliches Register auf iaa.govt.nz zeigt, ob eine Person aktuell lizenziert ist. Wer gegen Bezahlung Einwanderungsberatung anbietet – Anträge vorbereiten, Strategie empfehlen, mit INZ kommunizieren –, muss dort lizenziert sein, sofern er nicht ausdrücklich davon befreit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ein einzelnes AEWV mit klarer Stelle brauchst du in der Regel keinen Berater: Das Formular ist selbsterklärend, und dein Arbeitgeber übernimmt ohnehin die Accreditation und den Job Check. Bei der SMC mit knapper Punktzahl, bei Familienanträgen mit mehreren Personen oder bei Vorstrafen und früheren Visumsablehnungen kann ein lizenzierter Adviser dagegen echte Fehler vermeiden. Er ersetzt aber keine Garantie: Niemand kann dir eine Genehmigung versprechen, und wer das behauptet, verkauft dir vor allem eine gut formulierte Rechnung. Warnsignale sind dieselben wie überall: Erfolgsgarantie, Drängen auf sofortige Vorkasse an ein Privatkonto, keine schriftliche Honorarvereinbarung, angebliche „Kontakte“ bei INZ, die den Prozess beschleunigen sollen.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beschreibt Verfahren und Praxis, keine Rechtsberatung. Bei komplexen Fällen – Vorstrafen, frühere Visumsablehnungen, ungewöhnliche Familienkonstellationen – lohnt sich die Beratung durch einen lizenzierten Immigration Adviser oder eine neuseeländische Anwältin mit Migrationsrecht als Schwerpunkt.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deutsche Auslandsvertretung: zuständig für Deutsches, nicht für Neuseeländisches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Viele Auswanderer erwarten, dass die deutsche Botschaft beim neuseeländischen Visumantrag hilft oder zumindest vermittelt. Das ist nicht ihre Aufgabe. Über die Erteilung eines neuseeländischen Visums entscheidet ausschließlich INZ, online und ohne dass eine deutsche Stelle Einfluss darauf hätte. Die deutschen Vertretungen sind für deutsche Angelegenheiten zuständig – Reisepass, Personalausweis, Beglaubigungen, Notfallhilfe für deutsche Staatsangehörige –, nicht für neuseeländisches Verwaltungsrecht.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Neuseeland gliedert sich das Netz so: Die Deutsche Botschaft in Wellington ist die übergeordnete Vertretung für das gesamte Land. Ergänzt wird sie durch zwei Honorarkonsulate: In Auckland deckt der Honorarkonsul den Amtsbezirk Nord- und Südauckland ab, in Christchurch der Honorarkonsul den Amtsbezirk Nelson-Marlborough, Canterbury, West Coast, Otago und Southland. Honorarkonsuln sind meist ortsansässige Persönlichkeiten, die ehrenamtlich einen eingeschränkten Service anbieten – etwa Beglaubigungen oder die Weiterleitung von Passanträgen –, aber keine vollständige Konsularabteilung ersetzen. Für alles, was darüber hinausgeht, bleibt die Botschaft in Wellington zuständig, teils postalisch erreichbar.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Familie Krüger mit Ziel Christchurch heißt das konkret: Der Honorarkonsul vor Ort hilft bei kleineren Formalitäten, für einen neuen Reisepass oder umfangreichere Beglaubigungen bleibt der Weg nach Wellington. Für Paul Lindner mit Ziel Auckland gilt dasselbe mit dem dortigen Honorarkonsulat als erster Anlaufstelle. Beide Konsulate haben mit dem eigentlichen INZ-Antrag nichts zu tun – die beglaubigte Übersetzung des Führungszeugnisses etwa erledigst du über ein qualifiziertes Übersetzungsbüro, nicht über die Botschaft.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deutsche Auslandsvertretung ist deine Anlaufstelle für deutsche Dokumente und Notfälle, nicht für den neuseeländischen Visumantrag. Das erledigst du ausschließlich selbst über dein INZ-Konto, notfalls mit einem lizenzierten Immigration Adviser.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Alles online nachverfolgbar, kein Reisen zu einem Konsulattermin nötig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Deutschland gehört nicht zu den Gebührenbefreiungsländern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Apostille für das Führungszeugnis nötig, nur beglaubigte Übersetzung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Employer Accreditation und Job Check verlängern den AEWV-Prozess spürbar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Employer-Kosten (Accreditation, Job Check) trägt der Arbeitgeber, nicht du</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Gesundheitsuntersuchung nur bei zugelassenem Panel Physician möglich</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Working Holiday meist innerhalb von zwei Wochen entschieden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 Ablehnung sind alle gezahlten Gebühren unwiederbringlich verloren</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Krüger (Sebastian, 43, Agraringenieur; Petra, 40, Tierärztin; Lotta, 12; Finn, 8; Rostock) hat ein Jobangebot eines Agrarunternehmens bei Christchurch, dessen Beruf auf der Green List steht. Der Arbeitgeber übernimmt Accreditation und Job Check; Sebastian zahlt für sein AEWV 1.540 NZD, für Petras Partnership Work Visa kommen weitere 1.630 NZD dazu. Beide lassen ihre Führungszeugnisse beim Bundesamt für Justiz ausstellen und von einem vereidigten Übersetzer ins Englische übertragen – eine Apostille, mit der Sebastian schon aus einer früheren Australien-Recherche gerechnet hatte, brauchen sie am Ende gar nicht. Die Gesundheitsuntersuchung bei einem Panel Physician in Rostock dauert einen Vormittag für die ganze Familie. Nach knapp drei Monaten liegt die Genehmigung vor. (Fiktives Beispiel.)</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Paul Lindner (31, IT-Berater, Frankfurt) sichert sich sein Jobangebot noch von Deutschland aus und erfüllt mit Masterabschluss, Berufserfahrung und einem Gehalt deutlich über der geforderten Lohnschwelle die Punktzahl für die Skilled Migrant Category direkt – ohne vorheriges AEWV. Er zahlt 6.450 NZD, lässt sein Führungszeugnis beglaubigt übersetzen und bucht die Gesundheitsuntersuchung noch für dieselbe Woche. Rund neun Wochen später steht die Entscheidung im INZ-Konto – schneller, als er erwartet hatte, nachdem ihm ein Bekannter von einem AEWV-Verfahren mit mehreren Monaten Wartezeit erzählt hatte. (Fiktives Beispiel.)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Kläre zuerst über die </w:t>
      </w:r>
      <w:hyperlink w:anchor="tnz02">
        <w:r>
          <w:rPr>
            <w:rStyle w:val="ListLabel113"/>
            <w:rFonts w:eastAsia="Cambria" w:cs="Cambria"/>
            <w:b w:val="false"/>
            <w:bCs w:val="false"/>
            <w:i w:val="false"/>
            <w:iCs w:val="false"/>
            <w:color w:val="0563C1"/>
            <w:sz w:val="22"/>
            <w:szCs w:val="22"/>
            <w:u w:val="single"/>
          </w:rPr>
          <w:t>Kapitel zu den Einwanderungswegen in diesem Teil</w:t>
        </w:r>
      </w:hyperlink>
      <w:r>
        <w:rPr>
          <w:rFonts w:eastAsia="Cambria" w:cs="Cambria"/>
          <w:b w:val="false"/>
          <w:bCs w:val="false"/>
          <w:i w:val="false"/>
          <w:iCs w:val="false"/>
          <w:sz w:val="22"/>
          <w:szCs w:val="22"/>
        </w:rPr>
        <w:t>, welcher Weg für dich infrage kommt – das entscheidet, ob ein Arbeitgeber Accreditation und Job Check durchlaufen muss oder ob du direkt einen SMC-Antrag stellst. Lege dein INZ-Konto an, kalkuliere die Gesamtkosten inklusive Levy und IVL realistisch, und bestelle Führungszeugnis und Übersetzung so, dass beide bei Einreichung frisch genug sind. Buche die Gesundheitsuntersuchung, sobald INZ sie anfordert, und entscheide bewusst, ob ein lizenzierter Immigration Adviser für deinen Fall einen Unterschied macht.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Visumweg geklärt (AEWV mit Green-List-Beruf, SMC direkt, Working Holiday, Familie/Investor)</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INZ-Konto angelegt, Benachrichtigungen aktiviert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Alle Gebühren realistisch kalkuliert: Antragsgebühr, Levy, ggf. IVL, ggf. Employer-Kosten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Führungszeugnis beim Bundesamt für Justiz beantragt, höchstens sechs Monate vor Einreichung</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Beglaubigte englische Übersetzung des Führungszeugnisses organisiert (keine Apostille nötig)</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Gesundheitsuntersuchung bei einem von INZ zugelassenen Panel Physician terminiert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Entschieden, ob ein lizenzierter Immigration Adviser sinnvoll ist; Registrierung im IAA-Register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Zuständiges deutsches Honorarkonsulat (Auckland oder Christchurch) beziehungsweise die Botschaft Wellington für deutsche Dokumente identifiziert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Aktuelle Bearbeitungszeiten auf der INZ-Seite geprüft, Job und Wohnung in Deutschland erst nach der Genehmigung gekündigt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Immigration New Zealand — Visa, Gebühren, Antragskonto: </w:t>
      </w:r>
      <w:hyperlink r:id="rId677">
        <w:r>
          <w:rPr>
            <w:rStyle w:val="ListLabel113"/>
            <w:rFonts w:eastAsia="Cambria" w:cs="Cambria"/>
            <w:b w:val="false"/>
            <w:bCs w:val="false"/>
            <w:i w:val="false"/>
            <w:iCs w:val="false"/>
            <w:color w:val="0563C1"/>
            <w:sz w:val="22"/>
            <w:szCs w:val="22"/>
            <w:u w:val="single"/>
          </w:rPr>
          <w:t>immigration.govt.nz</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INZ Fees Guide (INZ 1028), Ausgabe Mai 2026: </w:t>
      </w:r>
      <w:hyperlink r:id="rId678">
        <w:r>
          <w:rPr>
            <w:rStyle w:val="ListLabel113"/>
            <w:rFonts w:eastAsia="Cambria" w:cs="Cambria"/>
            <w:b w:val="false"/>
            <w:bCs w:val="false"/>
            <w:i w:val="false"/>
            <w:iCs w:val="false"/>
            <w:color w:val="0563C1"/>
            <w:sz w:val="22"/>
            <w:szCs w:val="22"/>
            <w:u w:val="single"/>
          </w:rPr>
          <w:t>immigration.govt.nz/assets/inz/documents/forms-and-guides/Fees-Guide-INZ-1028.pdf</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INZ — Gesundheitsanforderungen: </w:t>
      </w:r>
      <w:hyperlink r:id="rId679">
        <w:r>
          <w:rPr>
            <w:rStyle w:val="ListLabel113"/>
            <w:rFonts w:eastAsia="Cambria" w:cs="Cambria"/>
            <w:b w:val="false"/>
            <w:bCs w:val="false"/>
            <w:i w:val="false"/>
            <w:iCs w:val="false"/>
            <w:color w:val="0563C1"/>
            <w:sz w:val="22"/>
            <w:szCs w:val="22"/>
            <w:u w:val="single"/>
          </w:rPr>
          <w:t>immigration.govt.nz/process-to-apply/applying-for-a-visa/providing-evidence-and-documents-to-support-your-visa-application/health-requirements</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INZ — Führungszeugnisse und Übersetzungen: </w:t>
      </w:r>
      <w:hyperlink r:id="rId680">
        <w:r>
          <w:rPr>
            <w:rStyle w:val="ListLabel113"/>
            <w:rFonts w:eastAsia="Cambria" w:cs="Cambria"/>
            <w:b w:val="false"/>
            <w:bCs w:val="false"/>
            <w:i w:val="false"/>
            <w:iCs w:val="false"/>
            <w:color w:val="0563C1"/>
            <w:sz w:val="22"/>
            <w:szCs w:val="22"/>
            <w:u w:val="single"/>
          </w:rPr>
          <w:t>immigration.govt.nz/process-to-apply/applying-for-a-visa/providing-evidence-and-documents-to-support-your-visa-application/good-character-requirements-and-police-certificates/police-certificates</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Immigration Advisers Authority — Register: </w:t>
      </w:r>
      <w:hyperlink r:id="rId681">
        <w:r>
          <w:rPr>
            <w:rStyle w:val="ListLabel113"/>
            <w:rFonts w:eastAsia="Cambria" w:cs="Cambria"/>
            <w:b w:val="false"/>
            <w:bCs w:val="false"/>
            <w:i w:val="false"/>
            <w:iCs w:val="false"/>
            <w:color w:val="0563C1"/>
            <w:sz w:val="22"/>
            <w:szCs w:val="22"/>
            <w:u w:val="single"/>
          </w:rPr>
          <w:t>iaa.govt.nz</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Deutsche Botschaft Wellington und Honorarkonsulate: </w:t>
      </w:r>
      <w:hyperlink r:id="rId682">
        <w:r>
          <w:rPr>
            <w:rStyle w:val="ListLabel113"/>
            <w:rFonts w:eastAsia="Cambria" w:cs="Cambria"/>
            <w:b w:val="false"/>
            <w:bCs w:val="false"/>
            <w:i w:val="false"/>
            <w:iCs w:val="false"/>
            <w:color w:val="0563C1"/>
            <w:sz w:val="22"/>
            <w:szCs w:val="22"/>
            <w:u w:val="single"/>
          </w:rPr>
          <w:t>wellington.diplo.de</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Bundesamt für Justiz — Führungszeugnis: </w:t>
      </w:r>
      <w:hyperlink r:id="rId683">
        <w:r>
          <w:rPr>
            <w:rStyle w:val="ListLabel113"/>
            <w:rFonts w:eastAsia="Cambria" w:cs="Cambria"/>
            <w:b w:val="false"/>
            <w:bCs w:val="false"/>
            <w:i w:val="false"/>
            <w:iCs w:val="false"/>
            <w:color w:val="0563C1"/>
            <w:sz w:val="22"/>
            <w:szCs w:val="22"/>
            <w:u w:val="single"/>
          </w:rPr>
          <w:t>bundesjustizamt.de</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schnell: Gebühren (Fees Guide, Ausgabe Mai 2026), Bearbeitungszeiten (laufend aktualisiert), die SMC-Reform vom 24.08.2026 sowie mögliche neue Studien- und Graduate-Visa-Wege, die für 2026/27 angekündigt, aber noch nicht endgültig bestätigt sind. Prüfe vor jeder Entscheidung immigration.govt.nz und die Seiten der deutschen Vertretungen.</w:t>
            </w:r>
          </w:p>
        </w:tc>
      </w:tr>
    </w:tbl>
    <w:p>
      <w:pPr>
        <w:pStyle w:val="Normal"/>
        <w:spacing w:lineRule="exact" w:line="220" w:before="0" w:after="0"/>
        <w:rPr/>
      </w:pPr>
      <w:r>
        <w:rPr/>
      </w:r>
      <w:r>
        <w:br w:type="page"/>
      </w:r>
    </w:p>
    <w:p>
      <w:pPr>
        <w:pStyle w:val="Heading2"/>
        <w:keepNext w:val="true"/>
        <w:spacing w:before="0" w:after="300"/>
        <w:jc w:val="center"/>
        <w:rPr/>
      </w:pPr>
      <w:bookmarkStart w:id="180" w:name="__RefHeading___Toc56611_3769931028"/>
      <w:bookmarkStart w:id="181" w:name="tnz06"/>
      <w:bookmarkEnd w:id="180"/>
      <w:r>
        <w:rPr>
          <w:rFonts w:eastAsia="Amazon Ember" w:cs="Amazon Ember" w:ascii="Amazon Ember" w:hAnsi="Amazon Ember"/>
          <w:b/>
          <w:bCs/>
          <w:color w:val="0000FF"/>
          <w:sz w:val="36"/>
          <w:szCs w:val="36"/>
        </w:rPr>
        <w:t>Neuseeland: Ankunft, erste Tage und Wochen</w:t>
      </w:r>
      <w:bookmarkEnd w:id="181"/>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Koffer ist noch nicht ausgepackt, der Langstreckenflug über Dubai oder Singapur liegt Sebastian Krüger noch spürbar in den Knochen, und schon steht die Familie am Gepäckband des Flughafens Christchurch vor der nächsten Aufgabe: die Biosecurity-Kontrolle, bei der ein Beagle interessiert an Lottas Rucksack schnuppert, weil darin noch ein Apfel vom Zwischenstopp steckt. Kein Drama, nur eine kurze Zusatzkontrolle – aber ein guter erster Eindruck davon, wie ernst Neuseeland die eigene Abgeschiedenheit nimmt. Was danach folgt, ist reine Organisation: eine Steuernummer, ein Bankkonto, eine SIM-Karte, irgendwann eine Wohnung, die nicht nur für zwei Wochen gemietet ist. Dieses Kapitel bringt Reihenfolge in das Durcheinander zwischen Landung und dem Gefühl, tatsächlich angekommen zu sein.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Vor der Landung ist die </w:t>
            </w:r>
            <w:r>
              <w:rPr>
                <w:rFonts w:eastAsia="Cambria" w:cs="Cambria"/>
                <w:b w:val="false"/>
                <w:bCs w:val="false"/>
                <w:i/>
                <w:iCs/>
                <w:sz w:val="20"/>
                <w:szCs w:val="20"/>
              </w:rPr>
              <w:t>New Zealand Traveller Declaration</w:t>
            </w:r>
            <w:r>
              <w:rPr>
                <w:rFonts w:eastAsia="Cambria" w:cs="Cambria"/>
                <w:b w:val="false"/>
                <w:bCs w:val="false"/>
                <w:i w:val="false"/>
                <w:iCs w:val="false"/>
                <w:sz w:val="20"/>
                <w:szCs w:val="20"/>
              </w:rPr>
              <w:t xml:space="preserve"> (NZTD) Pflicht – die digitale Einreise-, Zoll- und Biosecurity-Erklärung, die die frühere Papierkarte ersetzt hat.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Beantrage die </w:t>
            </w:r>
            <w:r>
              <w:rPr>
                <w:rFonts w:eastAsia="Cambria" w:cs="Cambria"/>
                <w:b w:val="false"/>
                <w:bCs w:val="false"/>
                <w:i/>
                <w:iCs/>
                <w:sz w:val="20"/>
                <w:szCs w:val="20"/>
              </w:rPr>
              <w:t>IRD-Nummer</w:t>
            </w:r>
            <w:r>
              <w:rPr>
                <w:rFonts w:eastAsia="Cambria" w:cs="Cambria"/>
                <w:b w:val="false"/>
                <w:bCs w:val="false"/>
                <w:i w:val="false"/>
                <w:iCs w:val="false"/>
                <w:sz w:val="20"/>
                <w:szCs w:val="20"/>
              </w:rPr>
              <w:t xml:space="preserve"> (Inland Revenue Department, die neuseeländische Steuerbehörde) sofort nach der Ankunft: kostenlos, oft binnen zwei Tagen bestätigt, aber ohne sie drohen hohe pauschale Steuerabzüge.</w:t>
            </w:r>
          </w:p>
          <w:p>
            <w:pPr>
              <w:pStyle w:val="ListParagraph"/>
              <w:numPr>
                <w:ilvl w:val="0"/>
                <w:numId w:val="1"/>
              </w:numPr>
              <w:spacing w:lineRule="exact" w:line="264" w:before="0" w:after="50"/>
              <w:rPr/>
            </w:pPr>
            <w:r>
              <w:rPr>
                <w:rFonts w:eastAsia="Cambria" w:cs="Cambria"/>
                <w:b w:val="false"/>
                <w:bCs w:val="false"/>
                <w:i w:val="false"/>
                <w:iCs w:val="false"/>
                <w:sz w:val="20"/>
                <w:szCs w:val="20"/>
              </w:rPr>
              <w:t>Ein Bankkonto lässt sich bei mehreren Großbanken schon von Deutschland aus online vorbereiten, wird aber erst nach persönlicher Identifizierung vor Ort voll nutzbar.</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Zugang zum öffentlichen Gesundheitssystem hast du erst mit einem Visum für mindestens zwei Jahre oder als Resident – die </w:t>
            </w:r>
            <w:r>
              <w:rPr>
                <w:rFonts w:eastAsia="Cambria" w:cs="Cambria"/>
                <w:b w:val="false"/>
                <w:bCs w:val="false"/>
                <w:i/>
                <w:iCs/>
                <w:sz w:val="20"/>
                <w:szCs w:val="20"/>
              </w:rPr>
              <w:t>ACC</w:t>
            </w:r>
            <w:r>
              <w:rPr>
                <w:rFonts w:eastAsia="Cambria" w:cs="Cambria"/>
                <w:b w:val="false"/>
                <w:bCs w:val="false"/>
                <w:i w:val="false"/>
                <w:iCs w:val="false"/>
                <w:sz w:val="20"/>
                <w:szCs w:val="20"/>
              </w:rPr>
              <w:t xml:space="preserve"> (die staatliche Unfallversicherung) deckt dagegen von der ersten Minute an jeden in Neuseeland ab.</w:t>
            </w:r>
          </w:p>
          <w:p>
            <w:pPr>
              <w:pStyle w:val="ListParagraph"/>
              <w:numPr>
                <w:ilvl w:val="0"/>
                <w:numId w:val="1"/>
              </w:numPr>
              <w:spacing w:lineRule="exact" w:line="264" w:before="0" w:after="50"/>
              <w:rPr/>
            </w:pPr>
            <w:r>
              <w:rPr>
                <w:rFonts w:eastAsia="Cambria" w:cs="Cambria"/>
                <w:b w:val="false"/>
                <w:bCs w:val="false"/>
                <w:i w:val="false"/>
                <w:iCs w:val="false"/>
                <w:sz w:val="20"/>
                <w:szCs w:val="20"/>
              </w:rPr>
              <w:t>Organisiere SIM-Karte und Internet früh, idealerweise schon vor dem Abflug.</w:t>
            </w:r>
          </w:p>
          <w:p>
            <w:pPr>
              <w:pStyle w:val="ListParagraph"/>
              <w:numPr>
                <w:ilvl w:val="0"/>
                <w:numId w:val="1"/>
              </w:numPr>
              <w:spacing w:lineRule="exact" w:line="264" w:before="0" w:after="50"/>
              <w:rPr/>
            </w:pPr>
            <w:r>
              <w:rPr>
                <w:rFonts w:eastAsia="Cambria" w:cs="Cambria"/>
                <w:b w:val="false"/>
                <w:bCs w:val="false"/>
                <w:i w:val="false"/>
                <w:iCs w:val="false"/>
                <w:sz w:val="20"/>
                <w:szCs w:val="20"/>
              </w:rPr>
              <w:t>Buche die erste Unterkunft nur als flexible Übergangslösung; die eigentliche Wohnungssuche läuft am besten vor Ort.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Einreise: NZTD, Zoll und Biosecurity</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Vor dem Abflug – frühestens 24 Stunden davor, spätestens vor der Passkontrolle in Neuseeland – füllst du die New Zealand Traveller Declaration online oder per App aus. Sie bündelt Reise-, Zoll-, Einwanderungs- und Biosecurity-Angaben in einem einzigen digitalen Formular und ersetzt die frühere Papier-Einreisekarte; ausfüllen muss sie jeder, auch Kinder und Kleinkinder mit eigener Erklärung. Das dauert rund zehn Minuten und erspart am Flughafen selbst viel Papierkram – nicht aber die eigentliche Kontrolle.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Direkt nach der Passkontrolle folgt die Biosecurity-Prüfung durch das </w:t>
      </w:r>
      <w:r>
        <w:rPr>
          <w:rFonts w:eastAsia="Cambria" w:cs="Cambria"/>
          <w:b w:val="false"/>
          <w:bCs w:val="false"/>
          <w:i/>
          <w:iCs/>
          <w:sz w:val="22"/>
          <w:szCs w:val="22"/>
        </w:rPr>
        <w:t>Ministry for Primary Industries</w:t>
      </w:r>
      <w:r>
        <w:rPr>
          <w:rFonts w:eastAsia="Cambria" w:cs="Cambria"/>
          <w:b w:val="false"/>
          <w:bCs w:val="false"/>
          <w:i w:val="false"/>
          <w:iCs w:val="false"/>
          <w:sz w:val="22"/>
          <w:szCs w:val="22"/>
        </w:rPr>
        <w:t xml:space="preserve"> (MPI, das Ministerium für Grundstoffindustrien, zuständig unter anderem für Biosicherheit). Neuseeland zählt zu den Ländern mit der strengsten Einfuhrkontrolle für Lebensmittel, Pflanzen, Holzprodukte und gebrauchte Outdoor-Ausrüstung weltweit – aus gutem Grund: Ohne nennenswerte natürliche Fressfeinde reagiert das Inselökosystem empfindlich auf eingeschleppte Schädlinge. Wanderschuhe mit Erdresten, Camping-Ausrüstung, Honig, frisches Obst oder auch nur eine offen angebrochene Tüte Nüsse gehören auf die Erklärung, ganz gleich, wie harmlos sie wirken. Speziell trainierte Spürhunde patrouillieren am Gepäckband und finden zuverlässig, was in der Eile vergessen wurde. Ehrliches Deklarieren kostet höchstens ein paar Minuten Nachfrage; Verschweigen kann teuer werden.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Biosecurity-Kontrolle gilt für jedes Familienmitglied und jedes Gepäckstück einzeln. Ein einzelner vergessener Apfel im Rucksack der Kinder reicht, um die ganze Familie in die längere Kontrollspur zu schicken – deklariere lieber einmal zu viel als zu wenig.</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Vom Flughafen geht es meist per Shuttle, Taxi, Fahrdienst oder Mietwagen weiter; in Christchurch, Auckland und Wellington sind die Stadtzentren jeweils nur eine kurze Fahrt entfernt. Wechsle nur so viel Bargeld wie nötig am Flughafenschalter – die Kurse dort sind selten die besten –, den Rest erledigst du bequemer über Karte oder das neue Konto.</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Bargeld und Reiseschecks über einem bestimmten Gesamtwert meldest du in der NZTD ebenfalls aktiv an; die Anmeldung selbst ist unproblematisch, das Verschweigen dagegen nicht. Wer mit dem Auto weiterreist, sollte sich außerdem gleich am ersten Tag klarmachen, dass in Neuseeland Linksverkehr gilt – ein Detail, das nach einem Nachtflug leichter in Vergessenheit gerät, als man denkt. Führerschein-Umtausch und die Besonderheiten des neuseeländischen Straßenverkehrs behandelt ein eigenes Kapitel in diesem Teil ausführlich.</w:t>
      </w:r>
    </w:p>
    <w:p>
      <w:pPr>
        <w:pStyle w:val="Heading3"/>
        <w:keepNext w:val="true"/>
        <w:spacing w:before="280" w:after="100"/>
        <w:jc w:val="center"/>
        <w:rPr/>
      </w:pPr>
      <w:r>
        <w:rPr>
          <w:rFonts w:eastAsia="Amazon Ember" w:cs="Amazon Ember" w:ascii="Amazon Ember" w:hAnsi="Amazon Ember"/>
          <w:b/>
          <w:bCs/>
          <w:color w:val="0000FF"/>
          <w:sz w:val="36"/>
          <w:szCs w:val="36"/>
        </w:rPr>
        <w:t>Jetlag und die ersten Tage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Neuseeland liegt, je nach Sommer- oder Winterzeit auf beiden Seiten der Erde, rund elf bis zwölf Stunden vor der deutschen Zeit – ein Sprung, der sich nicht mit einer Mütze Schlaf im Flugzeug erledigt. Plane die ersten zwei, drei Tage bewusst ohne wichtige Termine ein: kein Bankgespräch am Ankunftstag, keine Wohnungsbesichtigung mit Kopfschmerzen vom Nachtflug. Tageslicht, ein kurzer Spaziergang und das bewusste Durchhalten bis zum lokalen Abend helfen dem Rhythmus spürbar schneller auf die Sprünge als noch eine Tasse Kaffee.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gleich am zweiten Tag zum wichtigen Behördentermin will, überschätzt meist die eigene Tagesform. Ein, zwei Tage Puffer zahlen sich in jedem Gespräch aus, bei dem es auf Konzentration ankommt.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IRD-Nummer: dein erster Behördengang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Eine der ersten Amtshandlungen nach der Ankunft sollte die Beantragung der </w:t>
      </w:r>
      <w:r>
        <w:rPr>
          <w:rFonts w:eastAsia="Cambria" w:cs="Cambria"/>
          <w:b w:val="false"/>
          <w:bCs w:val="false"/>
          <w:i/>
          <w:iCs/>
          <w:sz w:val="22"/>
          <w:szCs w:val="22"/>
        </w:rPr>
        <w:t>IRD-Nummer</w:t>
      </w:r>
      <w:r>
        <w:rPr>
          <w:rFonts w:eastAsia="Cambria" w:cs="Cambria"/>
          <w:b w:val="false"/>
          <w:bCs w:val="false"/>
          <w:i w:val="false"/>
          <w:iCs w:val="false"/>
          <w:sz w:val="22"/>
          <w:szCs w:val="22"/>
        </w:rPr>
        <w:t xml:space="preserve"> sein, der kostenlosen, lebenslangen Steuer-Identifikationsnummer des </w:t>
      </w:r>
      <w:r>
        <w:rPr>
          <w:rFonts w:eastAsia="Cambria" w:cs="Cambria"/>
          <w:b w:val="false"/>
          <w:bCs w:val="false"/>
          <w:i/>
          <w:iCs/>
          <w:sz w:val="22"/>
          <w:szCs w:val="22"/>
        </w:rPr>
        <w:t>Inland Revenue Department</w:t>
      </w:r>
      <w:r>
        <w:rPr>
          <w:rFonts w:eastAsia="Cambria" w:cs="Cambria"/>
          <w:b w:val="false"/>
          <w:bCs w:val="false"/>
          <w:i w:val="false"/>
          <w:iCs w:val="false"/>
          <w:sz w:val="22"/>
          <w:szCs w:val="22"/>
        </w:rPr>
        <w:t xml:space="preserve">. Ohne sie läuft in Neuseeland weder ein reguläres Gehalt noch ein voll nutzbares Bankkonto oder ein späterer Beitritt zu </w:t>
      </w:r>
      <w:r>
        <w:rPr>
          <w:rFonts w:eastAsia="Cambria" w:cs="Cambria"/>
          <w:b w:val="false"/>
          <w:bCs w:val="false"/>
          <w:i/>
          <w:iCs/>
          <w:sz w:val="22"/>
          <w:szCs w:val="22"/>
        </w:rPr>
        <w:t>KiwiSaver</w:t>
      </w:r>
      <w:r>
        <w:rPr>
          <w:rFonts w:eastAsia="Cambria" w:cs="Cambria"/>
          <w:b w:val="false"/>
          <w:bCs w:val="false"/>
          <w:i w:val="false"/>
          <w:iCs w:val="false"/>
          <w:sz w:val="22"/>
          <w:szCs w:val="22"/>
        </w:rPr>
        <w:t xml:space="preserve">, dem staatlich geförderten Rentensparsystem. Die Beantragung läuft im Verfahren „New Arrival to New Zealand“ über ein persönliches </w:t>
      </w:r>
      <w:r>
        <w:rPr>
          <w:rFonts w:eastAsia="Cambria" w:cs="Cambria"/>
          <w:b w:val="false"/>
          <w:bCs w:val="false"/>
          <w:i/>
          <w:iCs/>
          <w:sz w:val="22"/>
          <w:szCs w:val="22"/>
        </w:rPr>
        <w:t>myIR</w:t>
      </w:r>
      <w:r>
        <w:rPr>
          <w:rFonts w:eastAsia="Cambria" w:cs="Cambria"/>
          <w:b w:val="false"/>
          <w:bCs w:val="false"/>
          <w:i w:val="false"/>
          <w:iCs w:val="false"/>
          <w:sz w:val="22"/>
          <w:szCs w:val="22"/>
        </w:rPr>
        <w:t>-Konto, bei dem das System deine Identität direkt mit den bei INZ hinterlegten Visadaten abgleicht. Resident-Visum-Inhaber brauchen dafür nur Passdaten und die INZ-Antragsnummer; wer mit einem Arbeits- oder Studienvisum einreist, gibt zusätzlich nach Möglichkeit die letzte ausländische Steuernummer an.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erfolgreicher Online-Verifizierung kommt die IRD-Nummer meist innerhalb von zwei Tagen per SMS oder E-Mail – ein Tempo, das in der sonst eher gemächlichen Behördenwelt angenehm überrascht. Wichtig ist die Reihenfolge: Ohne Wohnsitznachweis oder ohne die passenden Visadaten im System lässt sich der Antrag nicht sauber stellen, weshalb sich die Beantragung in der Praxis erst nach den ersten Tagen vor Ort erledigen lässt, nicht schon vom Hotelzimmer am Ankunftstag aus.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Mehrere unabhängige Quellen berichten übereinstimmend, dass Banken und Arbeitgeber ohne vorliegende IRD-Nummer Zinsen und bestimmte Zahlungen mit einem hohen pauschalen „No-notification“-Satz einbehalten müssen; der exakte Prozentsatz und Anwendungsbereich ließen sich nicht abschließend an der offiziellen IRD-Quelle verifizieren. Verlasse dich sicherheitshalber nicht auf eine bestimmte Zahl, sondern beantrage die Nummer schlicht so früh wie möglich – das kostet nichts und erspart im Zweifel eine unangenehme erste Gehaltsabrechnung.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Bankkonto: am besten schon vor dem Abflug vorbereitet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Gehalt, Miete und Alltag brauchst du ein neuseeländisches Bankkonto – und die gute Nachricht vorweg: ANZ bietet für die meisten Visumkategorien eine Kontoeröffnung bis zu 90 Tage vor der Einreise an, ASB lässt sich per App schon aus dem Ausland kontaktieren, sofern ein längerfristiges Visum vorliegt. Bei Westpac und BNZ ist laut mehreren Quellen eher ein persönlicher Filialbesuch üblich, wobei sich die genauen Abläufe der Banken immer wieder ändern. Nutze eine Vorab-Eröffnung, wenn deine Zielbank sie anbietet: Dann bist du vom ersten Arbeitstag an zahlungsfähig, statt in der turbulentesten Woche noch einen Filialtermin einzuschieben.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Unabhängig vom Vorab-Status bleibt jedes Konto bis zur persönlichen Identitätsprüfung in einer Filiale – mit Pass, Visumsnachweis und einem neuseeländischen Adressnachweis – im reinen „Nur-Einzahlung“-Modus: Geld kommt rein, aber Überweisungen, Karte und Online-Banking funktionieren erst nach der Verifizierung vor Ort. Auch ohne IRD-Nummer und ohne feste Adresse lässt sich meist ein Übergangskonto eröffnen; reiche die IRD-Nummer aber zügig nach, sonst greift bei Zinserträgen der oben beschriebene hohe Vorsteuersatz. Wie du dir eine neuseeländische Kreditwürdigkeit aufbaust und welche Bank sich für dich lohnt, vertieft das </w:t>
      </w:r>
      <w:hyperlink w:anchor="tnz07">
        <w:r>
          <w:rPr>
            <w:rStyle w:val="ListLabel113"/>
            <w:rFonts w:eastAsia="Cambria" w:cs="Cambria"/>
            <w:b w:val="false"/>
            <w:bCs w:val="false"/>
            <w:i w:val="false"/>
            <w:iCs w:val="false"/>
            <w:color w:val="0563C1"/>
            <w:sz w:val="22"/>
            <w:szCs w:val="22"/>
            <w:u w:val="single"/>
          </w:rPr>
          <w:t>Kapitel zu Steuer-ID, Bank und Kredit in diesem Teil</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Vergleiche vor der Wahl der Bank gezielt die Kontoführungsgebühren für Neuankömmlinge – einige Institute bieten befristete gebührenfreie Pakete an, die im Kleingedruckten der Newcomer-Seiten stehen, nicht auf der allgemeinen Startseite.</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der Beitritt zu KiwiSaver ist in den ersten Wochen meist noch kein Thema: Berechtigt sind nur Personen mit einem unbefristeten Aufenthaltsrecht, also in aller Regel erst ab einem Resident-Visum. Wer mit AEWV oder Working Holiday einreist, ist von KiwiSaver zunächst ausgeschlossen, selbst wenn der Arbeitsvertrag über Jahre läuft – das holst du nach, sobald ein Daueraufenthaltstitel vorliegt, nicht vorher.</w:t>
      </w:r>
    </w:p>
    <w:p>
      <w:pPr>
        <w:pStyle w:val="Heading3"/>
        <w:keepNext w:val="true"/>
        <w:spacing w:before="280" w:after="100"/>
        <w:jc w:val="center"/>
        <w:rPr/>
      </w:pPr>
      <w:r>
        <w:rPr>
          <w:rFonts w:eastAsia="Amazon Ember" w:cs="Amazon Ember" w:ascii="Amazon Ember" w:hAnsi="Amazon Ember"/>
          <w:b/>
          <w:bCs/>
          <w:color w:val="0000FF"/>
          <w:sz w:val="36"/>
          <w:szCs w:val="36"/>
        </w:rPr>
        <w:t>Gesundheitssystem und ACC: zwei unterschiedliche Systeme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Noch bevor der erste Arztbesuch ansteht, lohnt sich Klarheit über einen Punkt, den viele Neuankömmlinge durcheinanderbringen: Neuseeland hat zwei getrennte Absicherungssysteme, die nach völlig unterschiedlichen Regeln funktionieren. Zugang zum subventionierten öffentlichen Gesundheitssystem hast du erst als Staatsbürger, als Inhaber eines Resident-Visums oder mit einem Arbeitsvisum von mindestens zwei Jahren Laufzeit, gerechnet ab dem ersten Tag in Neuseeland beziehungsweise unter Anrechnung bereits verbrachter Zeit. Wer mit einem kürzeren Visum einreist – etwa Working Holiday oder ein kurz laufendes AEWV –, ist in der Regel nicht automatisch abgedeckt und braucht eine private Übergangsversicherung, wie sie bei vielen befristeten Visa ohnehin schon Voraussetzung für die Erteilung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Ganz anders die </w:t>
      </w:r>
      <w:r>
        <w:rPr>
          <w:rFonts w:eastAsia="Cambria" w:cs="Cambria"/>
          <w:b w:val="false"/>
          <w:bCs w:val="false"/>
          <w:i/>
          <w:iCs/>
          <w:sz w:val="22"/>
          <w:szCs w:val="22"/>
        </w:rPr>
        <w:t>Accident Compensation Corporation</w:t>
      </w:r>
      <w:r>
        <w:rPr>
          <w:rFonts w:eastAsia="Cambria" w:cs="Cambria"/>
          <w:b w:val="false"/>
          <w:bCs w:val="false"/>
          <w:i w:val="false"/>
          <w:iCs w:val="false"/>
          <w:sz w:val="22"/>
          <w:szCs w:val="22"/>
        </w:rPr>
        <w:t xml:space="preserve"> (ACC): Dieses staatliche No-Fault-Unfallversicherungssystem deckt jede Person in Neuseeland ab, unabhängig vom Aufenthaltsstatus – Touristen, Working-Holiday-Reisende, Kinder, alle. Bei einem Unfall zahlt ACC unabhängig davon, wer die Schuld trägt; im Gegenzug ist eine zivilrechtliche Klage auf Schadensersatz bei Personenschäden praktisch ausgeschlossen, ein Systemunterschied, der viele Deutsche zunächst überrascht. Finanziert wird das unter anderem über die Earner’s Levy, die direkt vom Gehalt abgezogen wird, sobald du regulär angestellt bist. Details zu beiden Systemen, zu Wartefristen und zu privaten Zusatzversicherungen erklärt das </w:t>
      </w:r>
      <w:hyperlink w:anchor="tnz08">
        <w:r>
          <w:rPr>
            <w:rStyle w:val="ListLabel113"/>
            <w:rFonts w:eastAsia="Cambria" w:cs="Cambria"/>
            <w:b w:val="false"/>
            <w:bCs w:val="false"/>
            <w:i w:val="false"/>
            <w:iCs w:val="false"/>
            <w:color w:val="0563C1"/>
            <w:sz w:val="22"/>
            <w:szCs w:val="22"/>
            <w:u w:val="single"/>
          </w:rPr>
          <w:t>Kapitel zum Gesundheitssystem in diesem Teil</w:t>
        </w:r>
      </w:hyperlink>
      <w:r>
        <w:rPr>
          <w:rFonts w:eastAsia="Cambria" w:cs="Cambria"/>
          <w:b w:val="false"/>
          <w:bCs w:val="false"/>
          <w:i w:val="false"/>
          <w:iCs w:val="false"/>
          <w:sz w:val="22"/>
          <w:szCs w:val="22"/>
        </w:rPr>
        <w:t xml:space="preserve"> ausführlich.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ACC greift ab der ersten Minute in Neuseeland, das öffentliche Gesundheitssystem erst mit ausreichend langem Aufenthaltstitel. Verwechsle die beiden nicht – ein Skiunfall in der ersten Woche ist über ACC abgesichert, ein banaler Zahnarztbesuch mit kurzem Visum in der Regel nicht.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Krüger landet mit dem bereits genehmigten AEWV in Christchurch – der Vertrag läuft über drei Jahre, womit die Familie die Zwei-Jahres-Schwelle für das öffentliche Gesundheitssystem von Anfang an erfüllt. Trotzdem dauert die formale Anmeldung einige Tage, weshalb Petra für die ersten zwei Wochen sicherheitshalber die deutsche Auslandskrankenversicherung der Familie verlängert. Als Finn sich in der zweiten Woche beim Klettern am Spielplatz den Arm verstaucht, übernimmt ACC die Behandlung im Krankenhaus, unabhängig vom Versicherungsstatus – eine Rechnung, die in Deutschland vermutlich zuerst bei der eigenen Kasse gelandet wäre. (Fiktives Beispiel.)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SIM-Karte und Internet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Deutsche Mobilfunktarife bieten für Neuseeland in aller Regel kein EU-Roaming, und wer das erst am Gepäckband merkt, zahlt für die ersten Anrufe unangenehm viel. Praktischer ist eine </w:t>
      </w:r>
      <w:r>
        <w:rPr>
          <w:rFonts w:eastAsia="Cambria" w:cs="Cambria"/>
          <w:b w:val="false"/>
          <w:bCs w:val="false"/>
          <w:i/>
          <w:iCs/>
          <w:sz w:val="22"/>
          <w:szCs w:val="22"/>
        </w:rPr>
        <w:t>eSIM</w:t>
      </w:r>
      <w:r>
        <w:rPr>
          <w:rFonts w:eastAsia="Cambria" w:cs="Cambria"/>
          <w:b w:val="false"/>
          <w:bCs w:val="false"/>
          <w:i w:val="false"/>
          <w:iCs w:val="false"/>
          <w:sz w:val="22"/>
          <w:szCs w:val="22"/>
        </w:rPr>
        <w:t xml:space="preserve"> (eine rein digitale SIM-Karte) mit Neuseeland-Datenpaket, eingerichtet schon vor dem Abflug, oder eine physische Prepaid-SIM direkt nach der Landung – erhältlich an Kiosken im Ankunftsbereich, in Supermärkten oder bei den Netzbetreibern selbst. Die drei großen Netze sind Spark, One NZ (früher Vodafone New Zealand) und 2degrees; alle drei betreiben eigene Mobilfunknetze mit guter Abdeckung in den Städten, während abgelegenere Regionen der Südinsel stellenweise dünner versorgt sind. Wer besonders auf den Preis schaut, findet bei Skinny – der Billigmarke von Spark – günstige Prepaid-Tarife ganz ohne Bonitätsprüfung. Behalte deine deutsche Nummer als Zweit-SIM, solange dort noch Bestätigungscodes von Bank oder deutschen Behörden eintreffen.</w:t>
      </w:r>
    </w:p>
    <w:p>
      <w:pPr>
        <w:pStyle w:val="Heading3"/>
        <w:keepNext w:val="true"/>
        <w:spacing w:before="280" w:after="100"/>
        <w:jc w:val="center"/>
        <w:rPr/>
      </w:pPr>
      <w:r>
        <w:rPr>
          <w:rFonts w:eastAsia="Amazon Ember" w:cs="Amazon Ember" w:ascii="Amazon Ember" w:hAnsi="Amazon Ember"/>
          <w:b/>
          <w:bCs/>
          <w:color w:val="0000FF"/>
          <w:sz w:val="36"/>
          <w:szCs w:val="36"/>
        </w:rPr>
        <w:t>Die erste Unterkunft: Übergang und Wohnungssuche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erste neuseeländische Adresse ist selten die endgültige – und genau so solltest du sie auch buchen: mit kostenloser Stornierung, ohne Langzeitvertrag. Ein möbliertes Apartment auf Zeit, ein Airbnb oder ein Motel mit Wochenpreisen überbrücken die ersten Tage bis Wochen, in denen du ohnehin erst IRD-Nummer, Bankverbindung und einen ersten Gehaltsnachweis vorweisen können solltest, bevor du dich um einen regulären Mietvertrag bemühst.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eigentliche Wohnungssuche läuft überwiegend online über Immobilienportale wie Trade Me Property, mit festen Besichtigungsterminen und einer Bewerbung pro Objekt: Gehaltsnachweis oder Jobangebot, Referenzen, oft auch der Ausweis mit Visumsnachweis. Rechne von Anfang an mit einer Kaution (</w:t>
      </w:r>
      <w:r>
        <w:rPr>
          <w:rFonts w:eastAsia="Cambria" w:cs="Cambria"/>
          <w:b w:val="false"/>
          <w:bCs w:val="false"/>
          <w:i/>
          <w:iCs/>
          <w:sz w:val="22"/>
          <w:szCs w:val="22"/>
        </w:rPr>
        <w:t>Bond</w:t>
      </w:r>
      <w:r>
        <w:rPr>
          <w:rFonts w:eastAsia="Cambria" w:cs="Cambria"/>
          <w:b w:val="false"/>
          <w:bCs w:val="false"/>
          <w:i w:val="false"/>
          <w:iCs w:val="false"/>
          <w:sz w:val="22"/>
          <w:szCs w:val="22"/>
        </w:rPr>
        <w:t xml:space="preserve">), die gesetzlich höchstens vier Wochenmieten betragen darf und treuhänderisch bei </w:t>
      </w:r>
      <w:r>
        <w:rPr>
          <w:rFonts w:eastAsia="Cambria" w:cs="Cambria"/>
          <w:b w:val="false"/>
          <w:bCs w:val="false"/>
          <w:i/>
          <w:iCs/>
          <w:sz w:val="22"/>
          <w:szCs w:val="22"/>
        </w:rPr>
        <w:t>Tenancy Services</w:t>
      </w:r>
      <w:r>
        <w:rPr>
          <w:rFonts w:eastAsia="Cambria" w:cs="Cambria"/>
          <w:b w:val="false"/>
          <w:bCs w:val="false"/>
          <w:i w:val="false"/>
          <w:iCs w:val="false"/>
          <w:sz w:val="22"/>
          <w:szCs w:val="22"/>
        </w:rPr>
        <w:t xml:space="preserve"> hinterlegt wird, nicht direkt beim Vermieter – das schützt beide Seiten, verlangt aber zusätzliches Bargeld auf der hohen Kante, bevor überhaupt die erste Miete fällig wird. Mietpreise nach Stadt, die genaue Kautionshöhe in der Praxis und die passende Gegend nach Berufsfeld und Budget behandelt das </w:t>
      </w:r>
      <w:hyperlink w:anchor="tnz09">
        <w:r>
          <w:rPr>
            <w:rStyle w:val="ListLabel113"/>
            <w:rFonts w:eastAsia="Cambria" w:cs="Cambria"/>
            <w:b w:val="false"/>
            <w:bCs w:val="false"/>
            <w:i w:val="false"/>
            <w:iCs w:val="false"/>
            <w:color w:val="0563C1"/>
            <w:sz w:val="22"/>
            <w:szCs w:val="22"/>
            <w:u w:val="single"/>
          </w:rPr>
          <w:t>Kapitel zum Wohnen in diesem Teil</w:t>
        </w:r>
      </w:hyperlink>
      <w:r>
        <w:rPr>
          <w:rFonts w:eastAsia="Cambria" w:cs="Cambria"/>
          <w:b w:val="false"/>
          <w:bCs w:val="false"/>
          <w:i w:val="false"/>
          <w:iCs w:val="false"/>
          <w:sz w:val="22"/>
          <w:szCs w:val="22"/>
        </w:rPr>
        <w:t xml:space="preserve"> ausführlich.</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Nutze die Tage in der Übergangsunterkunft aktiv für Besichtigungen, statt erst mit schrumpfendem Budget in Torschlusspanik zu geraten. Wer mit vollständigen Unterlagen und einer Terminliste anreist, kommt in gefragten Vierteln Aucklands oder Wellingtons spürbar schneller zum Zug als mit der Hoffnung, es werde sich schon fügen.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ersten zwei Wochen als Fahrplan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folgende Übersicht ordnet die wichtigsten Schritte grob nach Zeitpunkt – wie schnell es tatsächlich geht, hängt von Visumtyp, Flug und Wohnort ab.</w:t>
      </w:r>
    </w:p>
    <w:tbl>
      <w:tblPr>
        <w:tblW w:w="6480" w:type="dxa"/>
        <w:jc w:val="left"/>
        <w:tblInd w:w="0" w:type="dxa"/>
        <w:tblLayout w:type="fixed"/>
        <w:tblCellMar>
          <w:top w:w="50" w:type="dxa"/>
          <w:left w:w="80" w:type="dxa"/>
          <w:bottom w:w="50" w:type="dxa"/>
          <w:right w:w="80" w:type="dxa"/>
        </w:tblCellMar>
      </w:tblPr>
      <w:tblGrid>
        <w:gridCol w:w="949"/>
        <w:gridCol w:w="4352"/>
        <w:gridCol w:w="1179"/>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Zeitraum</w:t>
            </w:r>
          </w:p>
        </w:tc>
        <w:tc>
          <w:tcPr>
            <w:tcW w:w="435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Aufgabe</w:t>
            </w:r>
          </w:p>
        </w:tc>
        <w:tc>
          <w:tcPr>
            <w:tcW w:w="117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Mehr dazu</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Tag 1–2</w:t>
            </w:r>
          </w:p>
        </w:tc>
        <w:tc>
          <w:tcPr>
            <w:tcW w:w="43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Einreise mit NZTD, Übergangsunterkunft beziehen, SIM aktivieren</w:t>
            </w:r>
          </w:p>
        </w:tc>
        <w:tc>
          <w:tcPr>
            <w:tcW w:w="11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Tag 2–5</w:t>
            </w:r>
          </w:p>
        </w:tc>
        <w:tc>
          <w:tcPr>
            <w:tcW w:w="43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IRD-Nummer über myIR beantragen; Bankkonto eröffnen oder vor Ort verifizieren</w:t>
            </w:r>
          </w:p>
        </w:tc>
        <w:tc>
          <w:tcPr>
            <w:tcW w:w="11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Steuer-ID/Bank</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Tag 3–10</w:t>
            </w:r>
          </w:p>
        </w:tc>
        <w:tc>
          <w:tcPr>
            <w:tcW w:w="43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 ausreichend langem Visum: Anmeldung beim öffentlichen Gesundheitssystem; sonst private Übergangsversicherung prüfen</w:t>
            </w:r>
          </w:p>
        </w:tc>
        <w:tc>
          <w:tcPr>
            <w:tcW w:w="11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Gesundheitssystem</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Woche 1–2</w:t>
            </w:r>
          </w:p>
        </w:tc>
        <w:tc>
          <w:tcPr>
            <w:tcW w:w="43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Wohnungssuche: Portale einrichten, Besichtigungen, Bewerbungsunterlagen vorbereiten</w:t>
            </w:r>
          </w:p>
        </w:tc>
        <w:tc>
          <w:tcPr>
            <w:tcW w:w="11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Woche 2</w:t>
            </w:r>
          </w:p>
        </w:tc>
        <w:tc>
          <w:tcPr>
            <w:tcW w:w="43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Erste Rückfragen zu Lohnsteuerabzug und KiwiSaver-Berechtigung mit dem Arbeitgeber klären</w:t>
            </w:r>
          </w:p>
        </w:tc>
        <w:tc>
          <w:tcPr>
            <w:tcW w:w="11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Steuer-ID/Bank</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Paul Lindner reist mit seinem bereits genehmigten Skilled Migrant Category Resident Visa nach Auckland, zunächst für zwei Wochen in ein möbliertes Apartment mit Wochenpreis gebucht. Am zweiten Tag holt er seine vorab online bestellte eSIM ab, am dritten Tag beantragt er über myIR seine IRD-Nummer – bestätigt zwei Tage später. Da er als Resident-Visum-Inhaber sofortigen Zugang zum öffentlichen Gesundheitssystem hat, meldet er sich noch in derselben Woche an. Die Wohnungssuche beginnt er bewusst erst, nachdem Bankkonto und erster Gehaltsnachweis stehen – eine Reihenfolge, die ihm bei der Bewerbung um eine WG-Wohnung in Ponsonby merklich hilft. (Fiktives Beispiel.)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NZTD bündelt Zoll, Einreise und Biosecurity in einem digitalen Formular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Biosecurity-Kontrolle streng, Deklarationspflicht auch für Kleinigkeiten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IRD-Nummer oft innerhalb weniger Tage bestätigt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Bankkonto bis zur Filial-Identifizierung nur im Einzahlungsmodus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ACC deckt jeden ab der ersten Minute bei Unfällen ab</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Öffentliches Gesundheitssystem erst ab zweijährigem Visum oder Residency</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SIM-Karten und Prepaid-Tarife unkompliziert, ohne Bonitätsprüfung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Wohnungssuche in Auckland und Wellington spürbar kompetitiv</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Fülle die NZTD rechtzeitig vor dem Abflug aus und kläre vorab, welche Bank eine Online-Voreröffnung anbietet. Richte die eSIM ein und buche eine flexible Übergangsunterkunft. Nach der Landung hat die IRD-Nummer Priorität, dicht gefolgt von der Bankkonto-Verifizierung vor Ort und, je nach Visumdauer, der Anmeldung beim Gesundheitssystem oder der Bestätigung deiner privaten Übergangsversicherung. Starte parallel mit der Wohnungssuche, statt sie auf später zu verschieben.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New Zealand Traveller Declaration spätestens vor der Passkontrolle ausgefüllt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Biosecurity-Regeln vor dem Kofferpacken geprüft, nichts Undeklariertes im Gepäck</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Bank-Voreröffnung vor Abflug geprüft, sonst Filialtermin für die erste Woche eingeplant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eSIM oder Prepaid-SIM organisiert, deutsche Nummer als Zweit-SIM behalten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Übergangsunterkunft mit Stornierungsoption für mindestens ein bis zwei Wochen gebucht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IRD-Antrag über myIR direkt nach Ankunft gestellt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 Berechtigung fürs öffentliche Gesundheitssystem anhand der Visumdauer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fehlender Berechtigung: private Übergangsversicherung ab Ankunftstag aktiv</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Bewerbungsunterlagen für die Wohnungssuche zusammengestellt (Gehaltsnachweis, Referenzen, Ausweis)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New Zealand Customs Service — New Zealand Traveller Declaration: </w:t>
      </w:r>
      <w:hyperlink r:id="rId684">
        <w:r>
          <w:rPr>
            <w:rStyle w:val="ListLabel113"/>
            <w:rFonts w:eastAsia="Cambria" w:cs="Cambria"/>
            <w:b w:val="false"/>
            <w:bCs w:val="false"/>
            <w:i w:val="false"/>
            <w:iCs w:val="false"/>
            <w:color w:val="0563C1"/>
            <w:sz w:val="22"/>
            <w:szCs w:val="22"/>
            <w:u w:val="single"/>
          </w:rPr>
          <w:t>travellerdeclaration.govt.nz</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Ministry for Primary Industries — Biosecurity bei der Einreise: </w:t>
      </w:r>
      <w:hyperlink r:id="rId685">
        <w:r>
          <w:rPr>
            <w:rStyle w:val="ListLabel113"/>
            <w:rFonts w:eastAsia="Cambria" w:cs="Cambria"/>
            <w:b w:val="false"/>
            <w:bCs w:val="false"/>
            <w:i w:val="false"/>
            <w:iCs w:val="false"/>
            <w:color w:val="0563C1"/>
            <w:sz w:val="22"/>
            <w:szCs w:val="22"/>
            <w:u w:val="single"/>
          </w:rPr>
          <w:t>mpi.govt.nz</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Inland Revenue Department — IRD-Nummer für Neuankömmlinge: </w:t>
      </w:r>
      <w:hyperlink r:id="rId686">
        <w:r>
          <w:rPr>
            <w:rStyle w:val="ListLabel113"/>
            <w:rFonts w:eastAsia="Cambria" w:cs="Cambria"/>
            <w:b w:val="false"/>
            <w:bCs w:val="false"/>
            <w:i w:val="false"/>
            <w:iCs w:val="false"/>
            <w:color w:val="0563C1"/>
            <w:sz w:val="22"/>
            <w:szCs w:val="22"/>
            <w:u w:val="single"/>
          </w:rPr>
          <w:t>ird.govt.nz</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Immigration New Zealand — Zugang zum Gesundheitssystem: </w:t>
      </w:r>
      <w:hyperlink r:id="rId687">
        <w:r>
          <w:rPr>
            <w:rStyle w:val="ListLabel113"/>
            <w:rFonts w:eastAsia="Cambria" w:cs="Cambria"/>
            <w:b w:val="false"/>
            <w:bCs w:val="false"/>
            <w:i w:val="false"/>
            <w:iCs w:val="false"/>
            <w:color w:val="0563C1"/>
            <w:sz w:val="22"/>
            <w:szCs w:val="22"/>
            <w:u w:val="single"/>
          </w:rPr>
          <w:t>immigration.govt.nz</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Tenancy Services — Kaution und Mietrecht: </w:t>
      </w:r>
      <w:hyperlink r:id="rId688">
        <w:r>
          <w:rPr>
            <w:rStyle w:val="ListLabel113"/>
            <w:rFonts w:eastAsia="Cambria" w:cs="Cambria"/>
            <w:b w:val="false"/>
            <w:bCs w:val="false"/>
            <w:i w:val="false"/>
            <w:iCs w:val="false"/>
            <w:color w:val="0563C1"/>
            <w:sz w:val="22"/>
            <w:szCs w:val="22"/>
            <w:u w:val="single"/>
          </w:rPr>
          <w:t>tenancy.govt.nz</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Deutsche Botschaft Wellington und Honorarkonsulate: </w:t>
      </w:r>
      <w:hyperlink r:id="rId689">
        <w:r>
          <w:rPr>
            <w:rStyle w:val="ListLabel113"/>
            <w:rFonts w:eastAsia="Cambria" w:cs="Cambria"/>
            <w:b w:val="false"/>
            <w:bCs w:val="false"/>
            <w:i w:val="false"/>
            <w:iCs w:val="false"/>
            <w:color w:val="0563C1"/>
            <w:sz w:val="22"/>
            <w:szCs w:val="22"/>
            <w:u w:val="single"/>
          </w:rPr>
          <w:t>wellington.diplo.de</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schnell: die genauen Bedingungen der NZTD, Bankkonditionen für Neuankömmlinge, die Höhe des „No-notification“-Steuersatzes ohne IRD-Nummer sowie die Zwei-Jahres-Schwelle beim öffentlichen Gesundheitssystem. Prüfe vor der Einreise die aktuellen Seiten des New Zealand Customs Service, des Inland Revenue Department und von Immigration New Zealand.</w:t>
            </w:r>
          </w:p>
        </w:tc>
      </w:tr>
    </w:tbl>
    <w:p>
      <w:pPr>
        <w:pStyle w:val="Normal"/>
        <w:spacing w:lineRule="exact" w:line="220" w:before="0" w:after="0"/>
        <w:rPr/>
      </w:pPr>
      <w:r>
        <w:rPr/>
      </w:r>
      <w:r>
        <w:br w:type="page"/>
      </w:r>
    </w:p>
    <w:p>
      <w:pPr>
        <w:pStyle w:val="Heading2"/>
        <w:keepNext w:val="true"/>
        <w:spacing w:before="0" w:after="300"/>
        <w:jc w:val="center"/>
        <w:rPr/>
      </w:pPr>
      <w:bookmarkStart w:id="182" w:name="__RefHeading___Toc56613_3769931028"/>
      <w:bookmarkStart w:id="183" w:name="tnz07"/>
      <w:bookmarkEnd w:id="182"/>
      <w:r>
        <w:rPr>
          <w:rFonts w:eastAsia="Amazon Ember" w:cs="Amazon Ember" w:ascii="Amazon Ember" w:hAnsi="Amazon Ember"/>
          <w:b/>
          <w:bCs/>
          <w:color w:val="0000FF"/>
          <w:sz w:val="36"/>
          <w:szCs w:val="36"/>
        </w:rPr>
        <w:t>Neuseeland: IRD-Nummer, Steuern, Bank und Kredit aufbauen</w:t>
      </w:r>
      <w:bookmarkEnd w:id="183"/>
    </w:p>
    <w:p>
      <w:pPr>
        <w:pStyle w:val="Normal"/>
        <w:keepNext w:val="false"/>
        <w:keepLines w:val="false"/>
        <w:spacing w:lineRule="exact" w:line="288" w:before="0" w:after="140"/>
        <w:jc w:val="left"/>
        <w:rPr/>
      </w:pPr>
      <w:r>
        <w:rPr>
          <w:rFonts w:eastAsia="Cambria" w:cs="Cambria"/>
          <w:b w:val="false"/>
          <w:bCs w:val="false"/>
          <w:i w:val="false"/>
          <w:iCs w:val="false"/>
          <w:sz w:val="22"/>
          <w:szCs w:val="22"/>
        </w:rPr>
        <w:t>Paul Lindner hat sein Bankkonto in Auckland schon aus Frankfurt heraus online beantragt – ein Klick, ein hochgeladener Reisepass, fertig, dachte er. Am ersten Arbeitstag als IT-Berater erklärt ihm die Personalabteilung freundlich, dass ohne eine bestimmte achtstellige Nummer weder sein Gehalt richtig ankommt noch sein neues Konto aus dem „nur Einzahlungen“-Modus herauskommt. Die Nummer heißt IRD-Nummer, sie ist kostenlos, und sie ist – so viel vorweg – die eine Bürokratie-Hürde in Neuseeland, die sich wirklich lohnt, sofort zu nehmen. Dieses Kapitel zeigt, wie du sie beantragst, was das neuseeländische Steuersystem von dir verlangt, wie KiwiSaver funktioniert, wie du ein Bankkonto eröffnest – und wie du dir, ganz ohne mitgebrachte Schufa-Historie, eine neuseeländische Kreditwürdigkeit aufbaust.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Beantrage die </w:t>
            </w:r>
            <w:r>
              <w:rPr>
                <w:rFonts w:eastAsia="Cambria" w:cs="Cambria"/>
                <w:b w:val="false"/>
                <w:bCs w:val="false"/>
                <w:i/>
                <w:iCs/>
                <w:sz w:val="20"/>
                <w:szCs w:val="20"/>
              </w:rPr>
              <w:t>IRD-Nummer</w:t>
            </w:r>
            <w:r>
              <w:rPr>
                <w:rFonts w:eastAsia="Cambria" w:cs="Cambria"/>
                <w:b w:val="false"/>
                <w:bCs w:val="false"/>
                <w:i w:val="false"/>
                <w:iCs w:val="false"/>
                <w:sz w:val="20"/>
                <w:szCs w:val="20"/>
              </w:rPr>
              <w:t xml:space="preserve"> (Inland Revenue Department, die neuseeländische Steuerbehörde) über das „New Arrival to New Zealand“-Verfahren so früh wie möglich – kostenlos, meist in 2 Tagen nach erfolgreicher Visa-Verifizierung.</w:t>
            </w:r>
          </w:p>
          <w:p>
            <w:pPr>
              <w:pStyle w:val="ListParagraph"/>
              <w:numPr>
                <w:ilvl w:val="0"/>
                <w:numId w:val="1"/>
              </w:numPr>
              <w:spacing w:lineRule="exact" w:line="264" w:before="0" w:after="50"/>
              <w:rPr/>
            </w:pPr>
            <w:r>
              <w:rPr>
                <w:rFonts w:eastAsia="Cambria" w:cs="Cambria"/>
                <w:b w:val="false"/>
                <w:bCs w:val="false"/>
                <w:i w:val="false"/>
                <w:iCs w:val="false"/>
                <w:sz w:val="20"/>
                <w:szCs w:val="20"/>
              </w:rPr>
              <w:t>Ohne IRD-Nummer bzw. ohne ausgefülltes Formular IR330 beim Arbeitgeber greift der „No-notification rate“ von 45 % auf dein Gehalt – der höchste PAYE-Satz, den es gibt.</w:t>
            </w:r>
          </w:p>
          <w:p>
            <w:pPr>
              <w:pStyle w:val="ListParagraph"/>
              <w:numPr>
                <w:ilvl w:val="0"/>
                <w:numId w:val="1"/>
              </w:numPr>
              <w:spacing w:lineRule="exact" w:line="264" w:before="0" w:after="50"/>
              <w:rPr/>
            </w:pPr>
            <w:r>
              <w:rPr>
                <w:rFonts w:eastAsia="Cambria" w:cs="Cambria"/>
                <w:b w:val="false"/>
                <w:bCs w:val="false"/>
                <w:i w:val="false"/>
                <w:iCs w:val="false"/>
                <w:sz w:val="20"/>
                <w:szCs w:val="20"/>
              </w:rPr>
              <w:t>Neuseeland besteuert progressiv in fünf Stufen ohne Grundfreibetrag, für 2026/27 (Steuerjahr 1. April bis 31. März) unverändert gegenüber dem Vorjahr.</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Die </w:t>
            </w:r>
            <w:r>
              <w:rPr>
                <w:rFonts w:eastAsia="Cambria" w:cs="Cambria"/>
                <w:b w:val="false"/>
                <w:bCs w:val="false"/>
                <w:i/>
                <w:iCs/>
                <w:sz w:val="20"/>
                <w:szCs w:val="20"/>
              </w:rPr>
              <w:t>GST</w:t>
            </w:r>
            <w:r>
              <w:rPr>
                <w:rFonts w:eastAsia="Cambria" w:cs="Cambria"/>
                <w:b w:val="false"/>
                <w:bCs w:val="false"/>
                <w:i w:val="false"/>
                <w:iCs w:val="false"/>
                <w:sz w:val="20"/>
                <w:szCs w:val="20"/>
              </w:rPr>
              <w:t xml:space="preserve"> (Goods and Services Tax, die neuseeländische Verbrauchsteuer) liegt bei 15 % und steckt – anders als die US-Sales-Tax – bereits im ausgezeichneten Preis.</w:t>
            </w:r>
          </w:p>
          <w:p>
            <w:pPr>
              <w:pStyle w:val="ListParagraph"/>
              <w:numPr>
                <w:ilvl w:val="0"/>
                <w:numId w:val="1"/>
              </w:numPr>
              <w:spacing w:lineRule="exact" w:line="264" w:before="0" w:after="50"/>
              <w:rPr/>
            </w:pPr>
            <w:r>
              <w:rPr>
                <w:rFonts w:eastAsia="Cambria" w:cs="Cambria"/>
                <w:b w:val="false"/>
                <w:bCs w:val="false"/>
                <w:i w:val="false"/>
                <w:iCs w:val="false"/>
                <w:sz w:val="20"/>
                <w:szCs w:val="20"/>
              </w:rPr>
              <w:t>Steuerinländer (183-Tage-Regel) versteuern ihr Weltjahreseinkommen; Neuankömmlinge sind meist 48 Monate lang von der Steuer auf die meisten ausländischen Kapitalerträge befreit.</w:t>
            </w:r>
          </w:p>
          <w:p>
            <w:pPr>
              <w:pStyle w:val="ListParagraph"/>
              <w:numPr>
                <w:ilvl w:val="0"/>
                <w:numId w:val="1"/>
              </w:numPr>
              <w:spacing w:lineRule="exact" w:line="264" w:before="0" w:after="50"/>
              <w:rPr/>
            </w:pPr>
            <w:r>
              <w:rPr>
                <w:rFonts w:eastAsia="Cambria" w:cs="Cambria"/>
                <w:b w:val="false"/>
                <w:bCs w:val="false"/>
                <w:i/>
                <w:iCs/>
                <w:sz w:val="20"/>
                <w:szCs w:val="20"/>
              </w:rPr>
              <w:t>KiwiSaver</w:t>
            </w:r>
            <w:r>
              <w:rPr>
                <w:rFonts w:eastAsia="Cambria" w:cs="Cambria"/>
                <w:b w:val="false"/>
                <w:bCs w:val="false"/>
                <w:i w:val="false"/>
                <w:iCs w:val="false"/>
                <w:sz w:val="20"/>
                <w:szCs w:val="20"/>
              </w:rPr>
              <w:t xml:space="preserve"> (das freiwillige, staatlich geförderte Rentensparsystem) steht nur Personen mit unbefristetem Aufenthaltsrecht offen – ein befristetes Arbeitsvisum reicht dafür in aller Regel nicht.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IRD-Nummer: deine Eintrittskarte ins System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IRD-Nummer ist lebenslang gültig, kostenlos und Voraussetzung für so ziemlich alles, was mit Geld zu tun hat: legale Erwerbstätigkeit zum korrekten Steuersatz, ein voll funktionsfähiges Bankkonto, KiwiSaver-Mitgliedschaft und diverse staatliche Leistungen. Wer frisch mit einem Visum einreist, beantragt sie über das Verfahren „New Arrival to New Zealand“: online, über ein persönliches </w:t>
      </w:r>
      <w:r>
        <w:rPr>
          <w:rFonts w:eastAsia="Cambria" w:cs="Cambria"/>
          <w:b w:val="false"/>
          <w:bCs w:val="false"/>
          <w:i/>
          <w:iCs/>
          <w:sz w:val="22"/>
          <w:szCs w:val="22"/>
        </w:rPr>
        <w:t>myIR</w:t>
      </w:r>
      <w:r>
        <w:rPr>
          <w:rFonts w:eastAsia="Cambria" w:cs="Cambria"/>
          <w:b w:val="false"/>
          <w:bCs w:val="false"/>
          <w:i w:val="false"/>
          <w:iCs w:val="false"/>
          <w:sz w:val="22"/>
          <w:szCs w:val="22"/>
        </w:rPr>
        <w:t>-Konto (das digitale Steuerkonto beim IRD), wobei das System deine Identität automatisch mit den Visadaten von Immigration New Zealand abgleicht. Resident-Visa-Inhaber wie Paul Lindner geben dafür im Wesentlichen Passdaten und ihre INZ-Antragsnummer an; Inhaber von Arbeits- oder Studienvisa ergänzen nach Möglichkeit ihre bisherige ausländische Steuernummer.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Läuft die Verifizierung glatt, kommt die IRD-Nummer meist innerhalb von 2 Tagen per SMS oder E-Mail. Wichtig ist die Frist: Wer kein australisches Passdokument hat (für das eigene, großzügigere Regeln gelten), sollte den Antrag noch vor Ablauf des ersten möglichen Einreisezeitraums seines Visums stellen – sonst greift das reguläre, deutlich langsamere Verfahren „Living in New Zealand“ mit 10 Werktagen Bearbeitung online beziehungsweise 12 Werktagen in Papierform.</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schon vor dem Abflug planen möchte, kann alternativ das Verfahren „Living overseas – IRD number application“ nutzen, solange noch kein neuseeländischer Wohnsitz besteht. Das IRD strebt hier eine Bearbeitung innerhalb von rund 20 Tagen an; der postalische Versand der Bestätigung kann zusätzlich bis zu 20 Tage dauern. Für die meisten Neuankömmlinge mit bereits bewilligtem Visum ist der „New Arrival“-Weg nach der Landung trotzdem der schnellere – die Vorab-Variante lohnt sich vor allem, wenn du schon Monate vor der Einreise Kapitalerträge in Neuseeland erwartest.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Ohne IRD-Nummer und ohne ausgefülltes Formular IR330 (die Steuercode-Erklärung für Arbeitnehmer) ist dein Arbeitgeber gesetzlich verpflichtet, den sogenannten „No-notification rate“ einzubehalten – 45 % deines Bruttolohns, der höchste PAYE-Satz überhaupt, erheblich mehr als selbst der Spitzensteuersatz für sehr hohe Einkommen. Dasselbe gilt für Zinserträge ohne hinterlegte IRD-Nummer bei deiner Bank. Zu viel gezahlte Steuer bekommst du zwar über die Steuererklärung zurück, aber das dauert – in der Zwischenzeit fehlt dir das Geld für Miete und Lebenshaltung. Reiche die IRD-Nummer deshalb bei Arbeitgeber und Bank ein, bevor die erste Gehaltsabrechnung überhaupt läuft, nicht erst danach.</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Einkommensteuer: fünf Stufen, kein Freibetrag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Neuseeland kennt kein Finanzamt, das dir einen Grundfreibetrag schenkt – jeder verdiente Dollar wird ab dem ersten Cent besteuert, nur eben progressiv gestaffelt. Das Steuerjahr läuft, anders als in Deutschland, vom 1. April bis zum 31. März; für 2026/27 (01.04.2026–31.03.2027) gelten dieselben Stufen wie im Vorjahr:</w:t>
      </w:r>
    </w:p>
    <w:tbl>
      <w:tblPr>
        <w:tblW w:w="6480" w:type="dxa"/>
        <w:jc w:val="left"/>
        <w:tblInd w:w="0" w:type="dxa"/>
        <w:tblLayout w:type="fixed"/>
        <w:tblCellMar>
          <w:top w:w="50" w:type="dxa"/>
          <w:left w:w="80" w:type="dxa"/>
          <w:bottom w:w="50" w:type="dxa"/>
          <w:right w:w="80" w:type="dxa"/>
        </w:tblCellMar>
      </w:tblPr>
      <w:tblGrid>
        <w:gridCol w:w="4180"/>
        <w:gridCol w:w="2299"/>
      </w:tblGrid>
      <w:tr>
        <w:trPr>
          <w:tblHeader w:val="true"/>
          <w:cantSplit w:val="true"/>
        </w:trPr>
        <w:tc>
          <w:tcPr>
            <w:tcW w:w="418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Einkommensstufe (NZD)</w:t>
            </w:r>
          </w:p>
        </w:tc>
        <w:tc>
          <w:tcPr>
            <w:tcW w:w="229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Grenzsteuersatz</w:t>
            </w:r>
          </w:p>
        </w:tc>
      </w:tr>
      <w:tr>
        <w:trPr>
          <w:cantSplit w:val="true"/>
        </w:trPr>
        <w:tc>
          <w:tcPr>
            <w:tcW w:w="41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 – 15.600</w:t>
            </w:r>
          </w:p>
        </w:tc>
        <w:tc>
          <w:tcPr>
            <w:tcW w:w="22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10,5 %</w:t>
            </w:r>
          </w:p>
        </w:tc>
      </w:tr>
      <w:tr>
        <w:trPr>
          <w:cantSplit w:val="true"/>
        </w:trPr>
        <w:tc>
          <w:tcPr>
            <w:tcW w:w="41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15.601 – 53.500</w:t>
            </w:r>
          </w:p>
        </w:tc>
        <w:tc>
          <w:tcPr>
            <w:tcW w:w="22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17,5 %</w:t>
            </w:r>
          </w:p>
        </w:tc>
      </w:tr>
      <w:tr>
        <w:trPr>
          <w:cantSplit w:val="true"/>
        </w:trPr>
        <w:tc>
          <w:tcPr>
            <w:tcW w:w="41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53.501 – 78.100</w:t>
            </w:r>
          </w:p>
        </w:tc>
        <w:tc>
          <w:tcPr>
            <w:tcW w:w="22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30 %</w:t>
            </w:r>
          </w:p>
        </w:tc>
      </w:tr>
      <w:tr>
        <w:trPr>
          <w:cantSplit w:val="true"/>
        </w:trPr>
        <w:tc>
          <w:tcPr>
            <w:tcW w:w="41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78.101 – 180.000</w:t>
            </w:r>
          </w:p>
        </w:tc>
        <w:tc>
          <w:tcPr>
            <w:tcW w:w="22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33 %</w:t>
            </w:r>
          </w:p>
        </w:tc>
      </w:tr>
      <w:tr>
        <w:trPr>
          <w:cantSplit w:val="true"/>
        </w:trPr>
        <w:tc>
          <w:tcPr>
            <w:tcW w:w="41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180.001</w:t>
            </w:r>
          </w:p>
        </w:tc>
        <w:tc>
          <w:tcPr>
            <w:tcW w:w="22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39 %</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iCs/>
          <w:sz w:val="22"/>
          <w:szCs w:val="22"/>
        </w:rPr>
        <w:t>PAYE</w:t>
      </w:r>
      <w:r>
        <w:rPr>
          <w:rFonts w:eastAsia="Cambria" w:cs="Cambria"/>
          <w:b w:val="false"/>
          <w:bCs w:val="false"/>
          <w:i w:val="false"/>
          <w:iCs w:val="false"/>
          <w:sz w:val="22"/>
          <w:szCs w:val="22"/>
        </w:rPr>
        <w:t xml:space="preserve"> (Pay As You Earn, der laufende Lohnsteuerabzug) wendet diese Stufen automatisch auf jede Gehaltsabrechnung an; wer ausschließlich als Angestellter arbeitet, kommt in vielen Fällen ganz ohne eigene Steuererklärung aus. Selbstständige, Vermieter oder Personen mit mehreren Einkommensquellen – etwa Paul Lindner, sobald er neben seiner Festanstellung IT-Beratungsprojekte annimmt – müssen dagegen aktiv eine Erklärung abgeben.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Sprung von 17,5 % auf 30 % bei nur 53.500 NZD Jahreseinkommen ist steiler, als viele erwarten, die aus dem deutschen Stufentarif kommen. Rechne bei einer Gehaltsverhandlung lieber einmal zu genau nach, was netto tatsächlich ankommt, als dich von der Bruttozahl blenden zu lassen.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GST: 15 % – aber schon im Preis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w:t>
      </w:r>
      <w:r>
        <w:rPr>
          <w:rFonts w:eastAsia="Cambria" w:cs="Cambria"/>
          <w:b w:val="false"/>
          <w:bCs w:val="false"/>
          <w:i/>
          <w:iCs/>
          <w:sz w:val="22"/>
          <w:szCs w:val="22"/>
        </w:rPr>
        <w:t>Goods and Services Tax</w:t>
      </w:r>
      <w:r>
        <w:rPr>
          <w:rFonts w:eastAsia="Cambria" w:cs="Cambria"/>
          <w:b w:val="false"/>
          <w:bCs w:val="false"/>
          <w:i w:val="false"/>
          <w:iCs w:val="false"/>
          <w:sz w:val="22"/>
          <w:szCs w:val="22"/>
        </w:rPr>
        <w:t xml:space="preserve"> liegt bei einheitlich 15 % und ist, anders als die separat ausgewiesene US-Sales-Tax, bereits in praktisch jedem angezeigten Verkaufspreis enthalten. Was auf dem Preisschild steht, zahlst du an der Kasse – keine Überraschung, kein Kopfrechnen im Supermarktgang. Für 2026/27 ist keine Satzänderung angekündigt.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Relevant wird GST vor allem für Selbstständige und Freiberufler: Wer als Einzelunternehmer in einem rollierenden 12-Monats-Fenster mehr als 60.000 NZD Umsatz erzielt oder das absehbar tun wird, muss sich innerhalb von 21 Tagen nach Überschreiten der Schwelle beim IRD für GST registrieren – unabhängig davon, ob am Ende ein Gewinn übrig bleibt. Unterhalb der Schwelle ist die Registrierung freiwillig, kann sich aber lohnen, weil dann auch auf Geschäftsausgaben gezahlte GST erstattet wird. Wer wie Paul Lindner neben einer Festanstellung freiberufliche IT-Projekte annimmt, sollte die eigenen Rechnungssummen deshalb im Blick behalten, statt von der Schwelle überrascht zu werden – die Nachmeldung selbst ist unkompliziert, die verpasste Frist dagegen nicht.</w:t>
      </w:r>
    </w:p>
    <w:p>
      <w:pPr>
        <w:pStyle w:val="Heading3"/>
        <w:keepNext w:val="true"/>
        <w:spacing w:before="280" w:after="100"/>
        <w:jc w:val="center"/>
        <w:rPr/>
      </w:pPr>
      <w:r>
        <w:rPr>
          <w:rFonts w:eastAsia="Amazon Ember" w:cs="Amazon Ember" w:ascii="Amazon Ember" w:hAnsi="Amazon Ember"/>
          <w:b/>
          <w:bCs/>
          <w:color w:val="0000FF"/>
          <w:sz w:val="36"/>
          <w:szCs w:val="36"/>
        </w:rPr>
        <w:t>Steuerresidenz: die 183-Tage-Regel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Ob du in Neuseeland Steuerinländer bist, entscheidet nicht dein Visum, sondern deine tatsächliche Anwesenheit: Wer innerhalb eines rollierenden 12-Monats-Fensters mehr als 183 Tage in Neuseeland verbringt, gilt rückwirkend ab dem allerersten dieser Tage als Steuerinländer – auch nicht zusammenhängende Tage zählen, An- und Abreisetag jeweils voll. Alternativ zieht das IRD den „Permanent Place of Abode“-Test heran, der einen festen Wohnsitz unabhängig von durchgehender Nutzung prüft. Wie das Prinzip Wohnsitz statt Staatsangehörigkeit sich von den USA unterscheidet und was es für deinen Weg zur Staatsbürgerschaft bedeutet, erklärt das </w:t>
      </w:r>
      <w:hyperlink w:anchor="tnz16">
        <w:r>
          <w:rPr>
            <w:rStyle w:val="ListLabel113"/>
            <w:rFonts w:eastAsia="Cambria" w:cs="Cambria"/>
            <w:b w:val="false"/>
            <w:bCs w:val="false"/>
            <w:i w:val="false"/>
            <w:iCs w:val="false"/>
            <w:color w:val="0563C1"/>
            <w:sz w:val="22"/>
            <w:szCs w:val="22"/>
            <w:u w:val="single"/>
          </w:rPr>
          <w:t>Kapitel zu Staatsbürgerschaft und Steuerresidenz in diesem Teil</w:t>
        </w:r>
      </w:hyperlink>
      <w:r>
        <w:rPr>
          <w:rFonts w:eastAsia="Cambria" w:cs="Cambria"/>
          <w:b w:val="false"/>
          <w:bCs w:val="false"/>
          <w:i w:val="false"/>
          <w:iCs w:val="false"/>
          <w:sz w:val="22"/>
          <w:szCs w:val="22"/>
        </w:rPr>
        <w:t xml:space="preserve"> ausführlicher.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Steuerinländer versteuern ihr </w:t>
      </w:r>
      <w:r>
        <w:rPr>
          <w:rFonts w:eastAsia="Cambria" w:cs="Cambria"/>
          <w:b/>
          <w:bCs/>
          <w:i w:val="false"/>
          <w:iCs w:val="false"/>
          <w:sz w:val="22"/>
          <w:szCs w:val="22"/>
        </w:rPr>
        <w:t>weltweites</w:t>
      </w:r>
      <w:r>
        <w:rPr>
          <w:rFonts w:eastAsia="Cambria" w:cs="Cambria"/>
          <w:b w:val="false"/>
          <w:bCs w:val="false"/>
          <w:i w:val="false"/>
          <w:iCs w:val="false"/>
          <w:sz w:val="22"/>
          <w:szCs w:val="22"/>
        </w:rPr>
        <w:t xml:space="preserve"> Einkommen in Neuseeland; Nicht-Steuerinländer nur das, was tatsächlich aus neuseeländischen Quellen stammt. Für Deutsche mit Mieteinnahmen, Kapitalerträgen oder einer Betriebsrente in Deutschland ist das der entscheidende Punkt – und genau hier hilft die folgende Sonderregel für frisch Zugewanderte.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Steuerresidenz endet übrigens nicht automatisch mit dem Rückflug: Diese fällt erst weg, wenn du keinen festen Wohnsitz mehr in Neuseeland hast </w:t>
      </w:r>
      <w:r>
        <w:rPr>
          <w:rFonts w:eastAsia="Cambria" w:cs="Cambria"/>
          <w:b/>
          <w:bCs/>
          <w:i w:val="false"/>
          <w:iCs w:val="false"/>
          <w:sz w:val="22"/>
          <w:szCs w:val="22"/>
        </w:rPr>
        <w:t>und</w:t>
      </w:r>
      <w:r>
        <w:rPr>
          <w:rFonts w:eastAsia="Cambria" w:cs="Cambria"/>
          <w:b w:val="false"/>
          <w:bCs w:val="false"/>
          <w:i w:val="false"/>
          <w:iCs w:val="false"/>
          <w:sz w:val="22"/>
          <w:szCs w:val="22"/>
        </w:rPr>
        <w:t xml:space="preserve"> dich in einem rollierenden 12-Monats-Fenster an mehr als 325 Tagen außerhalb Neuseelands aufhältst. Wer also nach ein paar Jahren zurück nach Deutschland zieht, aber noch eine neuseeländische Wohnung oder ein Haus behält, bleibt unter Umständen länger steuerpflichtig, als er denkt.</w:t>
      </w:r>
    </w:p>
    <w:p>
      <w:pPr>
        <w:pStyle w:val="Normal"/>
        <w:keepNext w:val="false"/>
        <w:keepLines w:val="false"/>
        <w:spacing w:lineRule="exact" w:line="288" w:before="0" w:after="140"/>
        <w:jc w:val="left"/>
        <w:rPr/>
      </w:pPr>
      <w:r>
        <w:rPr>
          <w:rFonts w:eastAsia="Cambria" w:cs="Cambria"/>
          <w:b/>
          <w:bCs/>
          <w:i w:val="false"/>
          <w:iCs w:val="false"/>
          <w:sz w:val="22"/>
          <w:szCs w:val="22"/>
        </w:rPr>
        <w:t>Transitional-Resident-Befreiung:</w:t>
      </w:r>
      <w:r>
        <w:rPr>
          <w:rFonts w:eastAsia="Cambria" w:cs="Cambria"/>
          <w:b w:val="false"/>
          <w:bCs w:val="false"/>
          <w:i w:val="false"/>
          <w:iCs w:val="false"/>
          <w:sz w:val="22"/>
          <w:szCs w:val="22"/>
        </w:rPr>
        <w:t xml:space="preserve"> Wer in den zehn Jahren vor der Einreise nicht neuseeländischer Steuerinländer war, ist automatisch für 48 Monate ab dem Monat, in dem die Steuerresidenz beginnt, von der Steuer auf die meisten ausländischen Kapital-, Miet- und Beteiligungseinkünfte befreit. </w:t>
      </w:r>
      <w:r>
        <w:rPr>
          <w:rFonts w:eastAsia="Cambria" w:cs="Cambria"/>
          <w:b/>
          <w:bCs/>
          <w:i w:val="false"/>
          <w:iCs w:val="false"/>
          <w:sz w:val="22"/>
          <w:szCs w:val="22"/>
        </w:rPr>
        <w:t>Nicht</w:t>
      </w:r>
      <w:r>
        <w:rPr>
          <w:rFonts w:eastAsia="Cambria" w:cs="Cambria"/>
          <w:b w:val="false"/>
          <w:bCs w:val="false"/>
          <w:i w:val="false"/>
          <w:iCs w:val="false"/>
          <w:sz w:val="22"/>
          <w:szCs w:val="22"/>
        </w:rPr>
        <w:t xml:space="preserve"> befreit ist Erwerbs- oder Dienstleistungseinkommen aus dem Ausland – wer also weiterhin remote für einen deutschen Arbeitgeber tätig ist, versteuert dieses Einkommen ganz regulär in Neuseeland.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Krüger vermietet ihr Reihenhaus bei Rostock weiter, nachdem Sebastian und Petra mit dem AEWV nach Christchurch gezogen sind. In den ersten vier Jahren fällt auf die deutschen Mieteinnahmen dank der Transitional-Resident-Befreiung keine neuseeländische Steuer an – ein Umstand, den ihre Steuerberaterin in Christchurch ausdrücklich lobt, bevor sie im selben Satz darauf hinweist, dass die Befreiung nach 48 Monaten automatisch endet und die Familie sich rechtzeitig auf die dann volle Steuerpflicht einstellen sollte.</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erklärt das System und nennt Richtwerte, ersetzt aber keine individuelle Steuerberatung. Ob du im Einreisejahr rückwirkend als Steuerinländer giltst, wie genau die Transitional-Resident-Befreiung auf deine konkreten ausländischen Einkünfte wirkt und wie das Doppelbesteuerungsabkommen zwischen Deutschland und Neuseeland mit deutscher Rente, Mieteinnahmen oder Kapitalerträgen umgeht, hängt vom Einzelfall ab. Lass das von einer neuseeländischen Steuerberatung prüfen, die sich mit einer deutschen abstimmt oder die deutsche Seite kennt.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KiwiSaver: Altersvorsorge, aber nicht für jeden</w:t>
      </w:r>
    </w:p>
    <w:p>
      <w:pPr>
        <w:pStyle w:val="Normal"/>
        <w:keepNext w:val="false"/>
        <w:keepLines w:val="false"/>
        <w:spacing w:lineRule="exact" w:line="288" w:before="0" w:after="140"/>
        <w:jc w:val="left"/>
        <w:rPr/>
      </w:pPr>
      <w:r>
        <w:rPr>
          <w:rFonts w:eastAsia="Cambria" w:cs="Cambria"/>
          <w:b w:val="false"/>
          <w:bCs w:val="false"/>
          <w:i/>
          <w:iCs/>
          <w:sz w:val="22"/>
          <w:szCs w:val="22"/>
        </w:rPr>
        <w:t>KiwiSaver</w:t>
      </w:r>
      <w:r>
        <w:rPr>
          <w:rFonts w:eastAsia="Cambria" w:cs="Cambria"/>
          <w:b w:val="false"/>
          <w:bCs w:val="false"/>
          <w:i w:val="false"/>
          <w:iCs w:val="false"/>
          <w:sz w:val="22"/>
          <w:szCs w:val="22"/>
        </w:rPr>
        <w:t xml:space="preserve"> ist Neuseelands freiwilliges, staatlich gefördertes Rentensparsystem – und ausgerechnet hier trennt sich der Weg vieler Neuankömmlinge in zwei Klassen. Beitreten können nur Personen zwischen 18 und 65 Jahren, die in Neuseeland wohnen und entweder neuseeländische Staatsangehörige sind oder ein </w:t>
      </w:r>
      <w:r>
        <w:rPr>
          <w:rFonts w:eastAsia="Cambria" w:cs="Cambria"/>
          <w:b/>
          <w:bCs/>
          <w:i w:val="false"/>
          <w:iCs w:val="false"/>
          <w:sz w:val="22"/>
          <w:szCs w:val="22"/>
        </w:rPr>
        <w:t>unbefristetes Aufenthaltsrecht</w:t>
      </w:r>
      <w:r>
        <w:rPr>
          <w:rFonts w:eastAsia="Cambria" w:cs="Cambria"/>
          <w:b w:val="false"/>
          <w:bCs w:val="false"/>
          <w:i w:val="false"/>
          <w:iCs w:val="false"/>
          <w:sz w:val="22"/>
          <w:szCs w:val="22"/>
        </w:rPr>
        <w:t xml:space="preserve"> haben. Ein befristetes Arbeits-, Studien- oder Besuchervisum reicht dafür grundsätzlich nicht.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beiden Hauptfiguren dieses Buchteils bedeutet das zwei völlig unterschiedliche Startpunkte: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Paul Lindner reist mit einem bereits bewilligten Skilled Migrant Category Resident Visa direkt aus Frankfurt an. Da er damit ein unbefristetes Aufenthaltsrecht besitzt, kann er noch in seiner ersten Woche in Auckland KiwiSaver beitreten und wählt einen wachstumsorientierten Fonds – ohne Wartezeit, ohne Zwischenschritt. Familie Krüger dagegen reist mit einem Accredited Employer Work Visa ein: Sebastian und Petra sind damit vorerst schlicht nicht beitrittsberechtigt, so gerne ihr neuer Arbeitgeber in Christchurch sie auch fürs betriebliche Sparen begeistern würde. Erst mit einem eigenen Daueraufenthaltstitel – meist über die Skilled Migrant Category, sobald die Green-List-Beschäftigung die nötige Zeit erreicht hat – öffnet sich KiwiSaver auch für sie.</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berechtigte Mitglieder ist der Arbeitgeberbeitrag verpflichtend, sobald man einmal beigetreten ist: mindestens 3 % bisher, ab dem 1. April 2026 mindestens </w:t>
      </w:r>
      <w:r>
        <w:rPr>
          <w:rFonts w:eastAsia="Cambria" w:cs="Cambria"/>
          <w:b/>
          <w:bCs/>
          <w:i w:val="false"/>
          <w:iCs w:val="false"/>
          <w:sz w:val="22"/>
          <w:szCs w:val="22"/>
        </w:rPr>
        <w:t>3,5 %</w:t>
      </w:r>
      <w:r>
        <w:rPr>
          <w:rFonts w:eastAsia="Cambria" w:cs="Cambria"/>
          <w:b w:val="false"/>
          <w:bCs w:val="false"/>
          <w:i w:val="false"/>
          <w:iCs w:val="false"/>
          <w:sz w:val="22"/>
          <w:szCs w:val="22"/>
        </w:rPr>
        <w:t xml:space="preserve"> des Lohns, mit einer weiteren geplanten Stufe auf 4 % ab dem 1. April 2028. Seit demselben Stichtag gelten Pflichtbeiträge erstmals auch für 16- und 17-Jährige, zuvor erst ab 18 Jahren.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zunächst nur ein befristetes Visum hat, verliert durch die fehlende KiwiSaver-Berechtigung keine automatische Ersparnis – man kann eben noch nicht beitreten. Sobald ein Daueraufenthaltstitel vorliegt, lohnt sich der Beitritt aber meist zügig: Der verpflichtende Arbeitgeberbeitrag ist im Kern geschenktes Geld, das ohne eigene Mitgliedschaft ungenutzt bliebe.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Bankkonto eröffnen: ANZ, ASB, Westpac und BNZ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Neuseelands größte Privatkundenbanken – ANZ, ASB, Westpac und BNZ – bieten alle eine Form der Kontoeröffnung aus dem Ausland an, allerdings mit spürbaren Unterschieden im Detail. ANZ ermöglicht die Voranmeldung bis zu 90 Tage vor der Einreise für die meisten Visakategorien; ASB wirbt mit einer App-basierten Beantragung, bei der die Kontonummer oft innerhalb weniger Tage vorliegt. Bei Westpac und BNZ ist nach mehreren übereinstimmenden Quellen häufiger ein persönlicher Filialbesuch nötig – die genauen Bedingungen ändern sich jedoch öfter, als man sich das für eine Bank wünschen würde, und lohnen einen aktuellen Check direkt auf der jeweiligen Website.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Wichtig für die Erwartungshaltung: Ein aus dem Ausland eröffnetes Konto bleibt bis zur persönlichen Identitätsprüfung in einer Filiale – mit neuseeländischem Adressnachweis – im „Nur-Einzahlung“-Modus. Geld kommt rein, aber nicht wieder raus, keine Kartenzahlung, keine Überweisung. Genau das musste Paul Lindner am ersten Arbeitstag lernen: Sein online eröffnetes Konto konnte zwar sein erstes Gehalt entgegennehmen, für die eigentliche Nutzung brauchte es trotzdem noch einen Filialtermin mit Pass und Adressnachweis.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Zur Filialprüfung bringst du üblicherweise Reisepass, den Nachweis über dein Visum sowie einen frischen Adressnachweis mit – ein Mietvertrag, eine Rechnung oder notfalls eine Buchungsbestätigung der ersten Unterkunft. Erst danach schaltet die Bank Debitkarte und Online-Banking vollständig frei. Im Alltag zahlst du in Neuseeland fast überall mit </w:t>
      </w:r>
      <w:r>
        <w:rPr>
          <w:rFonts w:eastAsia="Cambria" w:cs="Cambria"/>
          <w:b w:val="false"/>
          <w:bCs w:val="false"/>
          <w:i/>
          <w:iCs/>
          <w:sz w:val="22"/>
          <w:szCs w:val="22"/>
        </w:rPr>
        <w:t>EFTPOS</w:t>
      </w:r>
      <w:r>
        <w:rPr>
          <w:rFonts w:eastAsia="Cambria" w:cs="Cambria"/>
          <w:b w:val="false"/>
          <w:bCs w:val="false"/>
          <w:i w:val="false"/>
          <w:iCs w:val="false"/>
          <w:sz w:val="22"/>
          <w:szCs w:val="22"/>
        </w:rPr>
        <w:t xml:space="preserve"> (der landesweit verbreiteten Debitkarten-Zahlung direkt vom Girokonto) – Bargeld ist selbst für kleine Beträge längst zur Ausnahme geworden, was die erste Woche ohne freigeschaltetes Konto besonders unpraktisch macht.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EFTPOS-Konto ohne echte Kreditkarte hilft dir beim Kreditaufbau kaum weiter – reine Debit-Zahlungen vom eigenen Guthaben melden die Auskunfteien in der Regel nicht. Für den Aufbau einer Kredithistorie brauchst du tatsächlich ein Produkt, bei dem du geliehenes Geld pünktlich zurückzahlst, nicht nur dein eigenes ausgibst.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Beantrage IRD-Nummer und Bankkonto parallel, idealerweise schon aus Deutschland. Sobald du die IRD-Nummer bei deiner Bank hinterlegst, entfällt der hohe „No-notification“-Steuerabzug auf Zinserträge – ein Detail, das sich bei einem größeren Startkapital durchaus bemerkbar macht.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Kreditwürdigkeit aufbauen: Centrix, Equifax und illion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Deine makellose Schufa-Akte ist in Neuseeland ungefähr so nützlich wie ein Regenschirm in der Sahara: Drei Kreditauskunfteien – </w:t>
      </w:r>
      <w:r>
        <w:rPr>
          <w:rFonts w:eastAsia="Cambria" w:cs="Cambria"/>
          <w:b w:val="false"/>
          <w:bCs w:val="false"/>
          <w:i/>
          <w:iCs/>
          <w:sz w:val="22"/>
          <w:szCs w:val="22"/>
        </w:rPr>
        <w:t>Centrix</w:t>
      </w:r>
      <w:r>
        <w:rPr>
          <w:rFonts w:eastAsia="Cambria" w:cs="Cambria"/>
          <w:b w:val="false"/>
          <w:bCs w:val="false"/>
          <w:i w:val="false"/>
          <w:iCs w:val="false"/>
          <w:sz w:val="22"/>
          <w:szCs w:val="22"/>
        </w:rPr>
        <w:t xml:space="preserve"> (der einzige neuseeländische Anbieter in lokalem Besitz, mit nach eigenen Angaben rund 95 % aller kreditaktiven Neuseeländer in der Datenbank), </w:t>
      </w:r>
      <w:r>
        <w:rPr>
          <w:rFonts w:eastAsia="Cambria" w:cs="Cambria"/>
          <w:b w:val="false"/>
          <w:bCs w:val="false"/>
          <w:i/>
          <w:iCs/>
          <w:sz w:val="22"/>
          <w:szCs w:val="22"/>
        </w:rPr>
        <w:t>Equifax New Zealand</w:t>
      </w:r>
      <w:r>
        <w:rPr>
          <w:rFonts w:eastAsia="Cambria" w:cs="Cambria"/>
          <w:b w:val="false"/>
          <w:bCs w:val="false"/>
          <w:i w:val="false"/>
          <w:iCs w:val="false"/>
          <w:sz w:val="22"/>
          <w:szCs w:val="22"/>
        </w:rPr>
        <w:t xml:space="preserve"> (Referenzagentur fast aller großen Banken) und </w:t>
      </w:r>
      <w:r>
        <w:rPr>
          <w:rFonts w:eastAsia="Cambria" w:cs="Cambria"/>
          <w:b w:val="false"/>
          <w:bCs w:val="false"/>
          <w:i/>
          <w:iCs/>
          <w:sz w:val="22"/>
          <w:szCs w:val="22"/>
        </w:rPr>
        <w:t>illion</w:t>
      </w:r>
      <w:r>
        <w:rPr>
          <w:rFonts w:eastAsia="Cambria" w:cs="Cambria"/>
          <w:b w:val="false"/>
          <w:bCs w:val="false"/>
          <w:i w:val="false"/>
          <w:iCs w:val="false"/>
          <w:sz w:val="22"/>
          <w:szCs w:val="22"/>
        </w:rPr>
        <w:t xml:space="preserve"> – führen jeweils eigene Scores zwischen 0 und 1.000 (Centrix, Equifax) beziehungsweise 0 und 1.200 (illion). Keine davon kennt dich, deine deutsche Bonität oder deine jahrelange pünktliche Kontoführung zu Hause. Du startest bei null – und null ist in diesem System ausdrücklich kein Makel, sondern schlicht: noch nicht bewertet.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praktische Aufbau läuft über mehrere parallele Wege: ein laufendes Girokonto mit pünktlich bezahlten Rechnungen, eine erste Kreditkarte mit niedrigem Limit, die du monatlich vollständig begleichst, und – eine neuseeländische Besonderheit – Zahlungen, die ohnehin regelmäßig fällig werden. Centrix bezieht inzwischen auch Strom- und Breitbandrechnungen in seine Bewertung ein; wer diese pünktlich zahlt, baut damit schon Historie auf, bevor die erste Kreditkarte überhaupt genehmigt ist. Auch „Buy now, pay later“-Dienste (Ratenkauf-Apps) melden inzwischen an die Auskunfteien – eine verpasste Rate schadet dort also genauso wie bei einer klassischen Kreditkarte.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Kreditwürdigkeit ist in Neuseeland ein eigenständiges System, komplett getrennt von der deutschen Schufa. Niemand importiert deine Geschichte – du beginnst neu, und Strom-, Internet- und Kreditkartenrechnungen zählen von Anfang an mit, wenn du sie pünktlich bezahlst.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Du hast bei allen drei Auskunfteien Anspruch auf einen kostenlosen Kreditreport. Prüfe ihn nach den ersten Monaten in Neuseeland bewusst – so erkennst du Fehler früh und siehst, welche deiner Rechnungen tatsächlich schon als positive Historie zählen.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Stelle nicht mehrere Kreditkartenanträge gleichzeitig, nur um den Aufbau zu beschleunigen. Jede Anfrage hinterlässt eine eigene Spur in der Akte und kann einen gerade erst entstehenden Score kurzfristig eher drücken als stützen.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Steuererklärung: was Angestellte wissen müssen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ausschließlich Lohn oder Gehalt bezieht und dessen PAYE korrekt abgeführt wurde, muss oft überhaupt keine eigene Erklärung abgeben – das IRD gleicht viele Fälle automatisch ab und meldet sich von sich aus, falls eine Nachzahlung oder Erstattung ansteht. Wer zusätzliche Einkünfte hat – Vermietung, Selbstständigkeit, ausländische Kapitalerträge außerhalb der Transitional-Resident-Befreiung –, muss dagegen aktiv über myIR eine Erklärung einreichen. Bewahre dafür von Anfang an Gehaltsabrechnungen, den Jahresabschluss deines Arbeitgebers und Belege für berufsbezogene Ausgaben sorgfältig auf.</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komplexeren Fällen – etwa deutschem Immobilienbesitz, mehreren Einkommensquellen oder Unsicherheit über die eigene Steuerresidenz – lohnt sich ein registrierter Steuerberater (</w:t>
      </w:r>
      <w:r>
        <w:rPr>
          <w:rFonts w:eastAsia="Cambria" w:cs="Cambria"/>
          <w:b w:val="false"/>
          <w:bCs w:val="false"/>
          <w:i/>
          <w:iCs/>
          <w:sz w:val="22"/>
          <w:szCs w:val="22"/>
        </w:rPr>
        <w:t>tax agent</w:t>
      </w:r>
      <w:r>
        <w:rPr>
          <w:rFonts w:eastAsia="Cambria" w:cs="Cambria"/>
          <w:b w:val="false"/>
          <w:bCs w:val="false"/>
          <w:i w:val="false"/>
          <w:iCs w:val="false"/>
          <w:sz w:val="22"/>
          <w:szCs w:val="22"/>
        </w:rPr>
        <w:t>, ein bei IRD registrierter Steuerberatungsdienst). Er kennt nicht nur die aktuellen Fristen in myIR, sondern kann bei komplizierten Fällen auch mit dem IRD über Zahlungsvereinbarungen oder Fristverlängerungen verhandeln – ein Aufwand, der sich gerade im ersten neuseeländischen Steuerjahr auszahlt, wenn ohnehin schon vieles neu ist.</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IRD-Nummer ist kostenlos und meist binnen 2 Tagen bestätigt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Ohne IRD-Nummer bzw. IR330 droht der 45-%-No-notification-Satz</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GST steckt bereits im Preis – keine Überraschung an der Kasse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Grundfreibetrag: jeder Dollar wird ab dem ersten Cent versteuert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Transitional-Resident-Befreiung schont 48 Monate lang viele ausländische Kapitalerträge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Ausländisches Erwerbseinkommen bleibt von der Befreiung ausgenommen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Resident-Visa-Inhaber wie Paul Lindner können KiwiSaver sofort nutzen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Befristete Arbeitsvisa (z. B. AEWV) schließen KiwiSaver zunächst aus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Bankkonto lässt sich oft schon aus Deutschland vorbereiten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Volle Kontofunktion erst nach persönlicher Identitätsprüfung vor Ort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Kostenloser Kreditreport bei allen drei Auskunfteien einsehbar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Start ohne jede neuseeländische Kredithistorie, Schufa zählt nicht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Beantrage die IRD-Nummer über myIR, sobald dein Visum verifizierbar ist, und reiche sie zusammen mit dem Formular IR330 bei deinem Arbeitgeber ein, bevor die erste Gehaltsabrechnung läuft. Eröffne parallel ein Bankkonto bei einer der vier großen Banken, plane aber einen Filialtermin für die vollständige Identitätsprüfung nach der Einreise ein. Kläre deine KiwiSaver-Berechtigung anhand deines Aufenthaltsstatus, und beginne unabhängig davon früh mit dem Aufbau deiner neuseeländischen Kreditwürdigkeit – über pünktliche Rechnungen, eine erste Kreditkarte und einen frühen Blick in deinen kostenlosen Kreditreport.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IRD-Nummer über myIR beantragt („New Arrival to New Zealand“), Visa-Verifizierung abgewartet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Formular IR330 beim Arbeitgeber eingereicht, bevor die erste Gehaltsabrechnung lief</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IRD-Nummer auch bei der Bank hinterlegt, um den hohen Steuerabzug auf Zinsen zu vermeiden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Einkommensteuerstufen 2026/27 und das Steuerjahr (1. April–31. März) im Kopf</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Eigenen Steuerresidenz-Status (183-Tage-Regel)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Transitional-Resident-Befreiung mit Steuerberatung auf deutsche Kapitalerträge/Mieteinnahmen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KiwiSaver-Berechtigung anhand des Aufenthaltsstatus geklärt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Bankkonto bei ANZ, ASB, Westpac oder BNZ vorab online beantragt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Filialtermin für die persönliche Identitätsprüfung nach der Einreise eingeplant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Erste Kreditkarte oder pünktlich gezahlte Rechnungen zum Kreditaufbau genutzt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Kostenlosen Kreditreport bei Centrix, Equifax NZ oder illion nach den ersten Monaten geprüft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hyperlink r:id="rId690">
        <w:r>
          <w:rPr>
            <w:rStyle w:val="ListLabel113"/>
            <w:rFonts w:eastAsia="Cambria" w:cs="Cambria"/>
            <w:b w:val="false"/>
            <w:bCs w:val="false"/>
            <w:i w:val="false"/>
            <w:iCs w:val="false"/>
            <w:color w:val="0563C1"/>
            <w:sz w:val="22"/>
            <w:szCs w:val="22"/>
            <w:u w:val="single"/>
          </w:rPr>
          <w:t>ird.govt.nz</w:t>
        </w:r>
      </w:hyperlink>
      <w:r>
        <w:rPr>
          <w:rFonts w:eastAsia="Cambria" w:cs="Cambria"/>
          <w:b w:val="false"/>
          <w:bCs w:val="false"/>
          <w:i w:val="false"/>
          <w:iCs w:val="false"/>
          <w:sz w:val="22"/>
          <w:szCs w:val="22"/>
        </w:rPr>
        <w:t xml:space="preserve"> – IRD-Nummer, Einkommensteuersätze, GST, Steuerresidenz, KiwiSaver, No-notification-Satz</w:t>
      </w:r>
    </w:p>
    <w:p>
      <w:pPr>
        <w:pStyle w:val="ListParagraph"/>
        <w:numPr>
          <w:ilvl w:val="0"/>
          <w:numId w:val="1"/>
        </w:numPr>
        <w:spacing w:lineRule="exact" w:line="288" w:before="0" w:after="60"/>
        <w:rPr/>
      </w:pPr>
      <w:hyperlink r:id="rId691">
        <w:r>
          <w:rPr>
            <w:rStyle w:val="ListLabel113"/>
            <w:rFonts w:eastAsia="Cambria" w:cs="Cambria"/>
            <w:b w:val="false"/>
            <w:bCs w:val="false"/>
            <w:i w:val="false"/>
            <w:iCs w:val="false"/>
            <w:color w:val="0563C1"/>
            <w:sz w:val="22"/>
            <w:szCs w:val="22"/>
            <w:u w:val="single"/>
          </w:rPr>
          <w:t>immigration.govt.nz</w:t>
        </w:r>
      </w:hyperlink>
      <w:r>
        <w:rPr>
          <w:rFonts w:eastAsia="Cambria" w:cs="Cambria"/>
          <w:b w:val="false"/>
          <w:bCs w:val="false"/>
          <w:i w:val="false"/>
          <w:iCs w:val="false"/>
          <w:sz w:val="22"/>
          <w:szCs w:val="22"/>
        </w:rPr>
        <w:t xml:space="preserve"> – Visa-Kategorien und Aufenthaltsrecht als Grundlage der KiwiSaver-Berechtigung</w:t>
      </w:r>
    </w:p>
    <w:p>
      <w:pPr>
        <w:pStyle w:val="ListParagraph"/>
        <w:numPr>
          <w:ilvl w:val="0"/>
          <w:numId w:val="1"/>
        </w:numPr>
        <w:spacing w:lineRule="exact" w:line="288" w:before="0" w:after="60"/>
        <w:rPr/>
      </w:pPr>
      <w:hyperlink r:id="rId692">
        <w:r>
          <w:rPr>
            <w:rStyle w:val="ListLabel113"/>
            <w:rFonts w:eastAsia="Cambria" w:cs="Cambria"/>
            <w:b w:val="false"/>
            <w:bCs w:val="false"/>
            <w:i w:val="false"/>
            <w:iCs w:val="false"/>
            <w:color w:val="0563C1"/>
            <w:sz w:val="22"/>
            <w:szCs w:val="22"/>
            <w:u w:val="single"/>
          </w:rPr>
          <w:t>centrix.co.nz</w:t>
        </w:r>
      </w:hyperlink>
      <w:r>
        <w:rPr>
          <w:rFonts w:eastAsia="Cambria" w:cs="Cambria"/>
          <w:b w:val="false"/>
          <w:bCs w:val="false"/>
          <w:i w:val="false"/>
          <w:iCs w:val="false"/>
          <w:sz w:val="22"/>
          <w:szCs w:val="22"/>
        </w:rPr>
        <w:t xml:space="preserve"> / </w:t>
      </w:r>
      <w:hyperlink r:id="rId693">
        <w:r>
          <w:rPr>
            <w:rStyle w:val="ListLabel113"/>
            <w:rFonts w:eastAsia="Cambria" w:cs="Cambria"/>
            <w:b w:val="false"/>
            <w:bCs w:val="false"/>
            <w:i w:val="false"/>
            <w:iCs w:val="false"/>
            <w:color w:val="0563C1"/>
            <w:sz w:val="22"/>
            <w:szCs w:val="22"/>
            <w:u w:val="single"/>
          </w:rPr>
          <w:t>equifax.co.nz/nz</w:t>
        </w:r>
      </w:hyperlink>
      <w:r>
        <w:rPr>
          <w:rFonts w:eastAsia="Cambria" w:cs="Cambria"/>
          <w:b w:val="false"/>
          <w:bCs w:val="false"/>
          <w:i w:val="false"/>
          <w:iCs w:val="false"/>
          <w:sz w:val="22"/>
          <w:szCs w:val="22"/>
        </w:rPr>
        <w:t xml:space="preserve"> / </w:t>
      </w:r>
      <w:hyperlink r:id="rId694">
        <w:r>
          <w:rPr>
            <w:rStyle w:val="ListLabel113"/>
            <w:rFonts w:eastAsia="Cambria" w:cs="Cambria"/>
            <w:b w:val="false"/>
            <w:bCs w:val="false"/>
            <w:i w:val="false"/>
            <w:iCs w:val="false"/>
            <w:color w:val="0563C1"/>
            <w:sz w:val="22"/>
            <w:szCs w:val="22"/>
            <w:u w:val="single"/>
          </w:rPr>
          <w:t>illion.co.nz</w:t>
        </w:r>
      </w:hyperlink>
      <w:r>
        <w:rPr>
          <w:rFonts w:eastAsia="Cambria" w:cs="Cambria"/>
          <w:b w:val="false"/>
          <w:bCs w:val="false"/>
          <w:i w:val="false"/>
          <w:iCs w:val="false"/>
          <w:sz w:val="22"/>
          <w:szCs w:val="22"/>
        </w:rPr>
        <w:t xml:space="preserve"> – kostenlose Kreditauskunft und Score-Aufbau</w:t>
      </w:r>
    </w:p>
    <w:p>
      <w:pPr>
        <w:pStyle w:val="ListParagraph"/>
        <w:numPr>
          <w:ilvl w:val="0"/>
          <w:numId w:val="1"/>
        </w:numPr>
        <w:spacing w:lineRule="exact" w:line="288" w:before="0" w:after="60"/>
        <w:rPr/>
      </w:pPr>
      <w:hyperlink r:id="rId695">
        <w:r>
          <w:rPr>
            <w:rStyle w:val="ListLabel113"/>
            <w:rFonts w:eastAsia="Cambria" w:cs="Cambria"/>
            <w:b w:val="false"/>
            <w:bCs w:val="false"/>
            <w:i w:val="false"/>
            <w:iCs w:val="false"/>
            <w:color w:val="0563C1"/>
            <w:sz w:val="22"/>
            <w:szCs w:val="22"/>
            <w:u w:val="single"/>
          </w:rPr>
          <w:t>anz.co.nz</w:t>
        </w:r>
      </w:hyperlink>
      <w:r>
        <w:rPr>
          <w:rFonts w:eastAsia="Cambria" w:cs="Cambria"/>
          <w:b w:val="false"/>
          <w:bCs w:val="false"/>
          <w:i w:val="false"/>
          <w:iCs w:val="false"/>
          <w:sz w:val="22"/>
          <w:szCs w:val="22"/>
        </w:rPr>
        <w:t xml:space="preserve"> / </w:t>
      </w:r>
      <w:hyperlink r:id="rId696">
        <w:r>
          <w:rPr>
            <w:rStyle w:val="ListLabel113"/>
            <w:rFonts w:eastAsia="Cambria" w:cs="Cambria"/>
            <w:b w:val="false"/>
            <w:bCs w:val="false"/>
            <w:i w:val="false"/>
            <w:iCs w:val="false"/>
            <w:color w:val="0563C1"/>
            <w:sz w:val="22"/>
            <w:szCs w:val="22"/>
            <w:u w:val="single"/>
          </w:rPr>
          <w:t>asb.co.nz</w:t>
        </w:r>
      </w:hyperlink>
      <w:r>
        <w:rPr>
          <w:rFonts w:eastAsia="Cambria" w:cs="Cambria"/>
          <w:b w:val="false"/>
          <w:bCs w:val="false"/>
          <w:i w:val="false"/>
          <w:iCs w:val="false"/>
          <w:sz w:val="22"/>
          <w:szCs w:val="22"/>
        </w:rPr>
        <w:t xml:space="preserve"> / </w:t>
      </w:r>
      <w:hyperlink r:id="rId697">
        <w:r>
          <w:rPr>
            <w:rStyle w:val="ListLabel113"/>
            <w:rFonts w:eastAsia="Cambria" w:cs="Cambria"/>
            <w:b w:val="false"/>
            <w:bCs w:val="false"/>
            <w:i w:val="false"/>
            <w:iCs w:val="false"/>
            <w:color w:val="0563C1"/>
            <w:sz w:val="22"/>
            <w:szCs w:val="22"/>
            <w:u w:val="single"/>
          </w:rPr>
          <w:t>westpac.co.nz</w:t>
        </w:r>
      </w:hyperlink>
      <w:r>
        <w:rPr>
          <w:rFonts w:eastAsia="Cambria" w:cs="Cambria"/>
          <w:b w:val="false"/>
          <w:bCs w:val="false"/>
          <w:i w:val="false"/>
          <w:iCs w:val="false"/>
          <w:sz w:val="22"/>
          <w:szCs w:val="22"/>
        </w:rPr>
        <w:t xml:space="preserve"> / </w:t>
      </w:r>
      <w:hyperlink r:id="rId698">
        <w:r>
          <w:rPr>
            <w:rStyle w:val="ListLabel113"/>
            <w:rFonts w:eastAsia="Cambria" w:cs="Cambria"/>
            <w:b w:val="false"/>
            <w:bCs w:val="false"/>
            <w:i w:val="false"/>
            <w:iCs w:val="false"/>
            <w:color w:val="0563C1"/>
            <w:sz w:val="22"/>
            <w:szCs w:val="22"/>
            <w:u w:val="single"/>
          </w:rPr>
          <w:t>bnz.co.nz</w:t>
        </w:r>
      </w:hyperlink>
      <w:r>
        <w:rPr>
          <w:rFonts w:eastAsia="Cambria" w:cs="Cambria"/>
          <w:b w:val="false"/>
          <w:bCs w:val="false"/>
          <w:i w:val="false"/>
          <w:iCs w:val="false"/>
          <w:sz w:val="22"/>
          <w:szCs w:val="22"/>
        </w:rPr>
        <w:t xml:space="preserve"> – Kontoeröffnung für Neuankömmlinge</w:t>
      </w:r>
    </w:p>
    <w:p>
      <w:pPr>
        <w:pStyle w:val="ListParagraph"/>
        <w:numPr>
          <w:ilvl w:val="0"/>
          <w:numId w:val="1"/>
        </w:numPr>
        <w:spacing w:lineRule="exact" w:line="288" w:before="0" w:after="60"/>
        <w:rPr/>
      </w:pPr>
      <w:hyperlink r:id="rId699">
        <w:r>
          <w:rPr>
            <w:rStyle w:val="ListLabel113"/>
            <w:rFonts w:eastAsia="Cambria" w:cs="Cambria"/>
            <w:b w:val="false"/>
            <w:bCs w:val="false"/>
            <w:i w:val="false"/>
            <w:iCs w:val="false"/>
            <w:color w:val="0563C1"/>
            <w:sz w:val="22"/>
            <w:szCs w:val="22"/>
            <w:u w:val="single"/>
          </w:rPr>
          <w:t>govt.nz</w:t>
        </w:r>
      </w:hyperlink>
      <w:r>
        <w:rPr>
          <w:rFonts w:eastAsia="Cambria" w:cs="Cambria"/>
          <w:b w:val="false"/>
          <w:bCs w:val="false"/>
          <w:i w:val="false"/>
          <w:iCs w:val="false"/>
          <w:sz w:val="22"/>
          <w:szCs w:val="22"/>
        </w:rPr>
        <w:t xml:space="preserve"> – unabhängige Verbraucherinformation zu Kreditreports</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schnell: die genaue Rechtsgrundlage und Detailregeln der Transitional-Resident-Befreiung, jährliche Anpassungen der Einkommensteuerstufen, die nächste KiwiSaver-Stufe (4 % ab 01.04.2028) sowie Kontokonditionen und Kreditscoring-Modelle der genannten Anbieter. Prüfe vor jeder Entscheidung die aktuellen Werte auf ird.govt.nz und den Websites deiner gewählten Bank oder Auskunftei.</w:t>
            </w:r>
          </w:p>
        </w:tc>
      </w:tr>
    </w:tbl>
    <w:p>
      <w:pPr>
        <w:pStyle w:val="Normal"/>
        <w:spacing w:lineRule="exact" w:line="220" w:before="0" w:after="0"/>
        <w:rPr/>
      </w:pPr>
      <w:r>
        <w:rPr/>
      </w:r>
      <w:r>
        <w:br w:type="page"/>
      </w:r>
    </w:p>
    <w:p>
      <w:pPr>
        <w:pStyle w:val="Heading2"/>
        <w:keepNext w:val="true"/>
        <w:spacing w:before="0" w:after="300"/>
        <w:jc w:val="center"/>
        <w:rPr/>
      </w:pPr>
      <w:bookmarkStart w:id="184" w:name="__RefHeading___Toc56615_3769931028"/>
      <w:bookmarkStart w:id="185" w:name="tnz08"/>
      <w:bookmarkEnd w:id="184"/>
      <w:r>
        <w:rPr>
          <w:rFonts w:eastAsia="Amazon Ember" w:cs="Amazon Ember" w:ascii="Amazon Ember" w:hAnsi="Amazon Ember"/>
          <w:b/>
          <w:bCs/>
          <w:color w:val="0000FF"/>
          <w:sz w:val="36"/>
          <w:szCs w:val="36"/>
        </w:rPr>
        <w:t>Neuseeland: Das Gesundheitssystem</w:t>
      </w:r>
      <w:bookmarkEnd w:id="185"/>
    </w:p>
    <w:p>
      <w:pPr>
        <w:pStyle w:val="Normal"/>
        <w:keepNext w:val="false"/>
        <w:keepLines w:val="false"/>
        <w:spacing w:lineRule="exact" w:line="288" w:before="0" w:after="140"/>
        <w:jc w:val="left"/>
        <w:rPr/>
      </w:pPr>
      <w:r>
        <w:rPr>
          <w:rFonts w:eastAsia="Cambria" w:cs="Cambria"/>
          <w:b w:val="false"/>
          <w:bCs w:val="false"/>
          <w:i w:val="false"/>
          <w:iCs w:val="false"/>
          <w:sz w:val="22"/>
          <w:szCs w:val="22"/>
        </w:rPr>
        <w:t>Sebastian und Petra Krüger hatten sich in Rostock vorsichtshalber auf eine lange Durststrecke ohne Versicherungsschutz eingestellt – so, wie es Bekannte aus Kanada und Australien geschildert hatten, die jeweils Wartefristen oder fehlende Abkommen mit Deutschland beklagten. Beim ersten Termin bei einer Hausarztpraxis in Christchurch stellt sich heraus, dass diese Sorge unbegründet war: Mit ihrem Accredited Employer Work Visa für eine Tätigkeit auf der Green List sind sie ab dem ersten Tag im öffentlichen System versichert, ganz ohne Wartezeit. Der Haken liegt nur woanders, nämlich in einer Zahl, die auf den ersten Blick simpel wirkt und trotzdem regelmäßig übersehen wird. Dieses Kapitel erklärt, wer in Neuseeland Zugang zur öffentlichen Gesundheitsversorgung hat, wie du die Übergangszeit privat absicherst – und wie das neuseeländische Unfallversicherungssystem ACC funktioniert, das in dieser Form in Deutschland kein Vorbild hat.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Zugang zur öffentlichen Gesundheitsversorgung hängt nicht von deiner Staatsangehörigkeit ab, sondern von der Laufzeit deines Visums: Ab </w:t>
            </w:r>
            <w:r>
              <w:rPr>
                <w:rFonts w:eastAsia="Cambria" w:cs="Cambria"/>
                <w:b/>
                <w:bCs/>
                <w:i w:val="false"/>
                <w:iCs w:val="false"/>
                <w:sz w:val="20"/>
                <w:szCs w:val="20"/>
              </w:rPr>
              <w:t>2 Jahren oder länger</w:t>
            </w:r>
            <w:r>
              <w:rPr>
                <w:rFonts w:eastAsia="Cambria" w:cs="Cambria"/>
                <w:b w:val="false"/>
                <w:bCs w:val="false"/>
                <w:i w:val="false"/>
                <w:iCs w:val="false"/>
                <w:sz w:val="20"/>
                <w:szCs w:val="20"/>
              </w:rPr>
              <w:t xml:space="preserve"> giltst du ab dem ersten Tag als berechtigt.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Kürzere Visa – Working Holiday, die meisten Studienvisa, ein AEWV unter 2 Jahren – geben </w:t>
            </w:r>
            <w:r>
              <w:rPr>
                <w:rFonts w:eastAsia="Cambria" w:cs="Cambria"/>
                <w:b/>
                <w:bCs/>
                <w:i w:val="false"/>
                <w:iCs w:val="false"/>
                <w:sz w:val="20"/>
                <w:szCs w:val="20"/>
              </w:rPr>
              <w:t>keinen</w:t>
            </w:r>
            <w:r>
              <w:rPr>
                <w:rFonts w:eastAsia="Cambria" w:cs="Cambria"/>
                <w:b w:val="false"/>
                <w:bCs w:val="false"/>
                <w:i w:val="false"/>
                <w:iCs w:val="false"/>
                <w:sz w:val="20"/>
                <w:szCs w:val="20"/>
              </w:rPr>
              <w:t xml:space="preserve"> automatischen Zugang; du brauchst eine private Übergangsversicherung.</w:t>
            </w:r>
          </w:p>
          <w:p>
            <w:pPr>
              <w:pStyle w:val="ListParagraph"/>
              <w:numPr>
                <w:ilvl w:val="0"/>
                <w:numId w:val="1"/>
              </w:numPr>
              <w:spacing w:lineRule="exact" w:line="264" w:before="0" w:after="50"/>
              <w:rPr/>
            </w:pPr>
            <w:r>
              <w:rPr>
                <w:rFonts w:eastAsia="Cambria" w:cs="Cambria"/>
                <w:b w:val="false"/>
                <w:bCs w:val="false"/>
                <w:i w:val="false"/>
                <w:iCs w:val="false"/>
                <w:sz w:val="20"/>
                <w:szCs w:val="20"/>
              </w:rPr>
              <w:t>Anbieter wie Southern Cross und nib bieten entsprechende Policen; grobe Richtwerte liegen bei 50 bis 120 NZD im Monat, je nach Deckungsumfang, plus Wartezeiten für nicht-akute Behandlungen.</w:t>
            </w:r>
          </w:p>
          <w:p>
            <w:pPr>
              <w:pStyle w:val="ListParagraph"/>
              <w:numPr>
                <w:ilvl w:val="0"/>
                <w:numId w:val="1"/>
              </w:numPr>
              <w:spacing w:lineRule="exact" w:line="264" w:before="0" w:after="50"/>
              <w:rPr/>
            </w:pPr>
            <w:r>
              <w:rPr>
                <w:rFonts w:eastAsia="Cambria" w:cs="Cambria"/>
                <w:b w:val="false"/>
                <w:bCs w:val="false"/>
                <w:i/>
                <w:iCs/>
                <w:sz w:val="20"/>
                <w:szCs w:val="20"/>
              </w:rPr>
              <w:t>ACC</w:t>
            </w:r>
            <w:r>
              <w:rPr>
                <w:rFonts w:eastAsia="Cambria" w:cs="Cambria"/>
                <w:b w:val="false"/>
                <w:bCs w:val="false"/>
                <w:i w:val="false"/>
                <w:iCs w:val="false"/>
                <w:sz w:val="20"/>
                <w:szCs w:val="20"/>
              </w:rPr>
              <w:t xml:space="preserve"> (Accident Compensation Corporation, die staatliche Unfallversicherungsanstalt) deckt Unfallverletzungen für </w:t>
            </w:r>
            <w:r>
              <w:rPr>
                <w:rFonts w:eastAsia="Cambria" w:cs="Cambria"/>
                <w:b/>
                <w:bCs/>
                <w:i w:val="false"/>
                <w:iCs w:val="false"/>
                <w:sz w:val="20"/>
                <w:szCs w:val="20"/>
              </w:rPr>
              <w:t>jeden</w:t>
            </w:r>
            <w:r>
              <w:rPr>
                <w:rFonts w:eastAsia="Cambria" w:cs="Cambria"/>
                <w:b w:val="false"/>
                <w:bCs w:val="false"/>
                <w:i w:val="false"/>
                <w:iCs w:val="false"/>
                <w:sz w:val="20"/>
                <w:szCs w:val="20"/>
              </w:rPr>
              <w:t xml:space="preserve"> in Neuseeland ab – unabhängig vom Aufenthaltsstatus, sogar für Touristen.</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Im Gegenzug für die ACC-Deckung gibt es grundsätzlich </w:t>
            </w:r>
            <w:r>
              <w:rPr>
                <w:rFonts w:eastAsia="Cambria" w:cs="Cambria"/>
                <w:b/>
                <w:bCs/>
                <w:i w:val="false"/>
                <w:iCs w:val="false"/>
                <w:sz w:val="20"/>
                <w:szCs w:val="20"/>
              </w:rPr>
              <w:t>kein Klagerecht</w:t>
            </w:r>
            <w:r>
              <w:rPr>
                <w:rFonts w:eastAsia="Cambria" w:cs="Cambria"/>
                <w:b w:val="false"/>
                <w:bCs w:val="false"/>
                <w:i w:val="false"/>
                <w:iCs w:val="false"/>
                <w:sz w:val="20"/>
                <w:szCs w:val="20"/>
              </w:rPr>
              <w:t xml:space="preserve"> auf Schadensersatz bei Personenschäden – ein Systemunterschied, der viele Deutsche überrascht.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Finanziert wird ACC unter anderem über die </w:t>
            </w:r>
            <w:r>
              <w:rPr>
                <w:rFonts w:eastAsia="Cambria" w:cs="Cambria"/>
                <w:b w:val="false"/>
                <w:bCs w:val="false"/>
                <w:i/>
                <w:iCs/>
                <w:sz w:val="20"/>
                <w:szCs w:val="20"/>
              </w:rPr>
              <w:t>Earner’s Levy</w:t>
            </w:r>
            <w:r>
              <w:rPr>
                <w:rFonts w:eastAsia="Cambria" w:cs="Cambria"/>
                <w:b w:val="false"/>
                <w:bCs w:val="false"/>
                <w:i w:val="false"/>
                <w:iCs w:val="false"/>
                <w:sz w:val="20"/>
                <w:szCs w:val="20"/>
              </w:rPr>
              <w:t xml:space="preserve"> (Arbeitnehmerbeitrag), ab dem 1. April 2026 </w:t>
            </w:r>
            <w:r>
              <w:rPr>
                <w:rFonts w:eastAsia="Cambria" w:cs="Cambria"/>
                <w:b/>
                <w:bCs/>
                <w:i w:val="false"/>
                <w:iCs w:val="false"/>
                <w:sz w:val="20"/>
                <w:szCs w:val="20"/>
              </w:rPr>
              <w:t>1,75 %</w:t>
            </w:r>
            <w:r>
              <w:rPr>
                <w:rFonts w:eastAsia="Cambria" w:cs="Cambria"/>
                <w:b w:val="false"/>
                <w:bCs w:val="false"/>
                <w:i w:val="false"/>
                <w:iCs w:val="false"/>
                <w:sz w:val="20"/>
                <w:szCs w:val="20"/>
              </w:rPr>
              <w:t xml:space="preserve"> deines Einkommens, gedeckelt bei 156.641 NZD im Jahr.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Zwei-Jahres-Test statt eines Abkommens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aus Deutschland kommt, denkt beim Wort „öffentliches Gesundheitssystem“ schnell an etwas, das einfach da ist, sobald man gemeldet und krankenversichert ist. Neuseeland tickt anders, und die entscheidende Stellschraube ist nicht deine Herkunft, sondern die Laufzeit deines Visums. Wer ein Visum für 2 Jahre oder länger hat – gerechnet ab dem ersten Tag in Neuseeland, wobei bereits vor Ort verbrachte Zeit mitzählt –, ist ab diesem ersten Tag für subventionierte öffentliche Gesundheitsleistungen berechtigt. Wer darunterliegt, ist es in aller Regel nicht.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Viele Neuankömmlinge übertragen unbewusst das Muster europäischer Sozialversicherungsabkommen oder gehen davon aus, ein Land mit „NHS-artigem“ Ruf behandle automatisch jeden, der lange genug bleibt. Neuseeland kennt aber kein Gegenseitigkeitsabkommen mit Deutschland und auch keine automatische Wartefrist nach Einreisedatum wie in manchen kanadischen Provinzen. Es zählt einzig und allein die bewilligte Visumlaufzeit zum Zeitpunkt der Einreise – ein Kriterium, das sich leicht selbst nachrechnen lässt, bevor man sich auf Erzählungen von Bekannten verlässt.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Frage nicht „Wie lange bin ich schon hier?“, sondern „Wie lange gilt mein Visum insgesamt?“. Für den Zugang zum öffentlichen System zählt die bewilligte Gesamtlaufzeit, nicht deine tatsächliche Aufenthaltsdauer bis zu einem bestimmten Stichtag.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Wer sofort abgesichert ist – und wer nicht</w:t>
      </w:r>
    </w:p>
    <w:tbl>
      <w:tblPr>
        <w:tblW w:w="6480" w:type="dxa"/>
        <w:jc w:val="left"/>
        <w:tblInd w:w="0" w:type="dxa"/>
        <w:tblLayout w:type="fixed"/>
        <w:tblCellMar>
          <w:top w:w="50" w:type="dxa"/>
          <w:left w:w="80" w:type="dxa"/>
          <w:bottom w:w="50" w:type="dxa"/>
          <w:right w:w="80" w:type="dxa"/>
        </w:tblCellMar>
      </w:tblPr>
      <w:tblGrid>
        <w:gridCol w:w="2221"/>
        <w:gridCol w:w="995"/>
        <w:gridCol w:w="3264"/>
      </w:tblGrid>
      <w:tr>
        <w:trPr>
          <w:tblHeader w:val="true"/>
          <w:cantSplit w:val="true"/>
        </w:trPr>
        <w:tc>
          <w:tcPr>
            <w:tcW w:w="222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Status</w:t>
            </w:r>
          </w:p>
        </w:tc>
        <w:tc>
          <w:tcPr>
            <w:tcW w:w="99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Öffentlicher Zugang</w:t>
            </w:r>
          </w:p>
        </w:tc>
        <w:tc>
          <w:tcPr>
            <w:tcW w:w="326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Was du brauchst</w:t>
            </w:r>
          </w:p>
        </w:tc>
      </w:tr>
      <w:tr>
        <w:trPr>
          <w:cantSplit w:val="true"/>
        </w:trPr>
        <w:tc>
          <w:tcPr>
            <w:tcW w:w="22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Resident Visa (z. B. Skilled Migrant Category)</w:t>
            </w:r>
          </w:p>
        </w:tc>
        <w:tc>
          <w:tcPr>
            <w:tcW w:w="9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ab Ankunft</w:t>
            </w:r>
          </w:p>
        </w:tc>
        <w:tc>
          <w:tcPr>
            <w:tcW w:w="32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Nachweis bei der Praxis/Klinik</w:t>
            </w:r>
          </w:p>
        </w:tc>
      </w:tr>
      <w:tr>
        <w:trPr>
          <w:cantSplit w:val="true"/>
        </w:trPr>
        <w:tc>
          <w:tcPr>
            <w:tcW w:w="22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AEWV mit 2 Jahren Laufzeit oder mehr</w:t>
            </w:r>
          </w:p>
        </w:tc>
        <w:tc>
          <w:tcPr>
            <w:tcW w:w="9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 ab dem ersten Tag</w:t>
            </w:r>
          </w:p>
        </w:tc>
        <w:tc>
          <w:tcPr>
            <w:tcW w:w="32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Visumsnachweis, ggf. bereits in NZ verbrachte Zeit anrechnen lassen</w:t>
            </w:r>
          </w:p>
        </w:tc>
      </w:tr>
      <w:tr>
        <w:trPr>
          <w:cantSplit w:val="true"/>
        </w:trPr>
        <w:tc>
          <w:tcPr>
            <w:tcW w:w="22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AEWV unter 2 Jahren</w:t>
            </w:r>
          </w:p>
        </w:tc>
        <w:tc>
          <w:tcPr>
            <w:tcW w:w="9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w:t>
            </w:r>
          </w:p>
        </w:tc>
        <w:tc>
          <w:tcPr>
            <w:tcW w:w="32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Private Übergangsversicherung</w:t>
            </w:r>
          </w:p>
        </w:tc>
      </w:tr>
      <w:tr>
        <w:trPr>
          <w:cantSplit w:val="true"/>
        </w:trPr>
        <w:tc>
          <w:tcPr>
            <w:tcW w:w="22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Working Holiday Visa</w:t>
            </w:r>
          </w:p>
        </w:tc>
        <w:tc>
          <w:tcPr>
            <w:tcW w:w="9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w:t>
            </w:r>
          </w:p>
        </w:tc>
        <w:tc>
          <w:tcPr>
            <w:tcW w:w="32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Vollständige private Krankenversicherung, oft ohnehin Visumsvoraussetzung</w:t>
            </w:r>
          </w:p>
        </w:tc>
      </w:tr>
      <w:tr>
        <w:trPr>
          <w:cantSplit w:val="true"/>
        </w:trPr>
        <w:tc>
          <w:tcPr>
            <w:tcW w:w="22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Fee Paying Student Visa</w:t>
            </w:r>
          </w:p>
        </w:tc>
        <w:tc>
          <w:tcPr>
            <w:tcW w:w="9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w:t>
            </w:r>
          </w:p>
        </w:tc>
        <w:tc>
          <w:tcPr>
            <w:tcW w:w="32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Private Krankenversicherung für die Studiendauer</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Krüger reist mit einem Accredited Employer Work Visa für Sebastians Tätigkeit als Agraringenieur ein – ein Green-List-Beruf, für den Arbeitgeber in der Praxis meist eine mehrjährige Laufzeit beantragen. Da ihr Visum von Anfang an auf eine Laufzeit von deutlich über 2 Jahren ausgestellt ist, sind Sebastian, Petra sowie Lotta und Finn ab dem Tag der Einreise berechtigt, das öffentliche Gesundheitssystem zu nutzen. Bei der ersten Anmeldung in einer Hausarztpraxis in Christchurch reicht der Visumsnachweis aus der INZ-Bewilligung, um das zu belegen – kein separates Formular, keine Wartefrist, kein Kleingedrucktes. Petra, von Beruf Tierärztin, kommentiert trocken, dass ausgerechnet die Bürokratie hier einmal schneller war als ihre eigenen Erwartungen.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Nachweispflicht gilt bei jedem Arztbesuch: Ohne belegten Zugang zum öffentlichen System rechnet die Praxis privat ab, auch wenn du eigentlich berechtigt gewesen wärst, es nur noch nicht nachgewiesen hast. Kläre deinen Status deshalb am besten schon beim ersten Termin, nicht erst, wenn die Rechnung kommt.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Detail lohnt sich für alle, die zunächst mit einem kürzeren Visum eingereist sind und später verlängern oder wechseln: Für die Zwei-Jahres-Schwelle zählt nicht nur die Laufzeit des aktuellen Visums allein, sondern die bereits in Neuseeland verbrachte Zeit plus die verbleibende Visumdauer zusammengerechnet. Wer beispielsweise anderthalb Jahre mit einem kürzeren AEWV gearbeitet hat und danach ein neues Visum mit mindestens einem weiteren halben Jahr Laufzeit erhält, kann die Schwelle so rechnerisch doch noch erreichen, ohne dass der Zugang komplett neu beginnt. Lass dir diese Rechnung im Zweifel direkt von Immigration New Zealand oder deiner Hausarztpraxis bestätigen, statt sie selbst zu schätzen.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Verlass dich bei dieser Berechnung nicht auf eigene Näherungen. Schon wenige fehlende Wochen können darüber entscheiden, ob eine Behandlung öffentlich abgerechnet wird oder du die volle private Rechnung trägst – im Zweifel lohnt sich ein kurzer Anruf beim Praxisteam oder bei Immigration New Zealand, bevor ein größerer Eingriff ansteht.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Private Zusatzversicherung für die Übergangszeit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unter der Zwei-Jahres-Schwelle bleibt, braucht durchgehend eine private Krankenversicherung – bei einem Working-Holiday-Visum ist eine umfassende Police ohnehin meist Voraussetzung für die Visumerteilung selbst (mehr dazu im </w:t>
      </w:r>
      <w:hyperlink w:anchor="tnz05">
        <w:r>
          <w:rPr>
            <w:rStyle w:val="ListLabel113"/>
            <w:rFonts w:eastAsia="Cambria" w:cs="Cambria"/>
            <w:b w:val="false"/>
            <w:bCs w:val="false"/>
            <w:i w:val="false"/>
            <w:iCs w:val="false"/>
            <w:color w:val="0563C1"/>
            <w:sz w:val="22"/>
            <w:szCs w:val="22"/>
            <w:u w:val="single"/>
          </w:rPr>
          <w:t>Kapitel zu Antrag, Botschaft und Kosten in diesem Teil</w:t>
        </w:r>
      </w:hyperlink>
      <w:r>
        <w:rPr>
          <w:rFonts w:eastAsia="Cambria" w:cs="Cambria"/>
          <w:b w:val="false"/>
          <w:bCs w:val="false"/>
          <w:i w:val="false"/>
          <w:iCs w:val="false"/>
          <w:sz w:val="22"/>
          <w:szCs w:val="22"/>
        </w:rPr>
        <w:t>). Die beiden bekanntesten Anbieter sind Southern Cross, nach mehreren Quellen der mit Abstand größte neuseeländische Krankenversicherer, und nib als zweitgrößter Anbieter. Die Produktpalette reicht von schlanken Operationspolicen bis zu umfassenden Paketen inklusive Hausarzt und Zahnarzt.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Als grobe Richtwerte für eine gesunde Einzelperson kursieren in Vergleichsportalen und bei mehreren unabhängig recherchierten Anbietern: rund 50 bis 80 NZD im Monat für eine Basis-Operationspolice, 80 bis 120 NZD für einen umfassenderen Krankenhausplan mit rund 500 NZD Selbstbehalt, und 150 bis 250 NZD für ein Rundum-Paket mit Hausarzt- und Zahnarztleistungen. Diese Zahlen schwanken je nach Alter, Anbieter und Deckungsumfang spürbar und sollten vor Vertragsabschluss über einen aktuellen Tarifrechner der Versicherer selbst bestätigt werden – Gesundheitsprämien sind in Neuseeland in den vergangenen Jahren merklich gestiegen.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Für nicht-akute Behandlungen gelten bei privaten Policen typischerweise Wartezeiten von 2 bis 6 Monaten, bei Vorerkrankungen sind Ausschlüsse von 3 bis 5 Jahren keine Seltenheit. Vergleiche vor dem Abschluss im Detail, was ab wann tatsächlich gedeckt ist – ein Vertrag, der erst nach deinem geplanten Eingriff greift, hilft dir wenig.</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Schließe die private Übergangsversicherung nach Möglichkeit schon aus Deutschland ab, mit Vertragsbeginn zum Ankunftstag. So entsteht keine Lücke zwischen Abflug und dem frühestmöglichen Vertragsbeginn vor Ort, und du musst dich in der turbulenten ersten Woche nicht auch noch um diesen Papierkram kümmern.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wer die Zwei-Jahres-Schwelle erreicht, ist mit dem öffentlichen System allein nicht vollständig abgesichert: Zahnbehandlung für Erwachsene, viele Sehhilfen und planbare, nicht dringende Operationen mit langer Warteliste bleiben typische Lücken. Größere Arbeitgeber bieten deshalb nicht selten eine betriebliche Krankenzusatzversicherung als Teil des Gehaltspakets an, oft über dieselben Anbieter wie Southern Cross oder nib, nur zu Gruppenkonditionen. Frage im Bewerbungsgespräch gezielt danach, bevor du selbst einen zusätzlichen privaten Vertrag abschließt – doppelte Deckung kostet doppelt, ohne doppelten Nutzen zu bringen.</w:t>
      </w:r>
    </w:p>
    <w:p>
      <w:pPr>
        <w:pStyle w:val="Heading3"/>
        <w:keepNext w:val="true"/>
        <w:spacing w:before="280" w:after="100"/>
        <w:jc w:val="center"/>
        <w:rPr/>
      </w:pPr>
      <w:r>
        <w:rPr>
          <w:rFonts w:eastAsia="Amazon Ember" w:cs="Amazon Ember" w:ascii="Amazon Ember" w:hAnsi="Amazon Ember"/>
          <w:b/>
          <w:bCs/>
          <w:color w:val="0000FF"/>
          <w:sz w:val="36"/>
          <w:szCs w:val="36"/>
        </w:rPr>
        <w:t>ACC: die Unfallversicherung, die für alle gilt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Hier wird es für deutsche Leser ungewohnt: </w:t>
      </w:r>
      <w:r>
        <w:rPr>
          <w:rFonts w:eastAsia="Cambria" w:cs="Cambria"/>
          <w:b w:val="false"/>
          <w:bCs w:val="false"/>
          <w:i/>
          <w:iCs/>
          <w:sz w:val="22"/>
          <w:szCs w:val="22"/>
        </w:rPr>
        <w:t>ACC</w:t>
      </w:r>
      <w:r>
        <w:rPr>
          <w:rFonts w:eastAsia="Cambria" w:cs="Cambria"/>
          <w:b w:val="false"/>
          <w:bCs w:val="false"/>
          <w:i w:val="false"/>
          <w:iCs w:val="false"/>
          <w:sz w:val="22"/>
          <w:szCs w:val="22"/>
        </w:rPr>
        <w:t xml:space="preserve"> ist Neuseelands alleiniger, staatlicher, verpflichtender Unfallversicherer – und er deckt buchstäblich jeden, der sich in Neuseeland aufhält, egal ob Staatsbürger, Resident, befristeter Visuminhaber, Working-Holiday-Reisender, Kind, Rentner oder Tourist auf Durchreise. Wer sich bei einer Wanderung den Knöchel verstaucht, beim Radfahren stürzt oder bei der Arbeit verletzt wird, bekommt die notwendige Behandlung über ACC finanziert – unabhängig davon, wer den Unfall verschuldet hat.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Genau dieses No-Fault-Prinzip ist die Kehrseite der Medaille: Im Gegenzug für die verschuldensunabhängige Deckung ist eine zivilrechtliche Klage auf Schadensersatz bei Personenschäden in Neuseeland grundsätzlich ausgeschlossen. Es gibt enge Ausnahmen, etwa „exemplary damages“ bei besonders vorwerfbarem Verhalten, aber der große Regelfall – „ich verklage den Unfallverursacher auf Schmerzensgeld“ – existiert in dieser Form schlicht nicht.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ACC ersetzt private Haftpflicht- und Unfallklagen bei Personenschäden vollständig. Was in Deutschland selbstverständlich über eine private Haftpflichtversicherung oder eine Klage läuft, läuft in Neuseeland ausschließlich über ACC – dafür meist unbürokratischer und ohne jahrelangen Rechtsstreit, aber eben auch ohne die Möglichkeit, auf zusätzlichen Schadensersatz zu klagen.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Paul Lindner stürzt mit dem Fahrrad auf dem Weg zur Arbeit in Auckland, als ein Kurierfahrer unachtsam eine Autotür öffnet. Die Behandlung der Platzwunde und des geprellten Handgelenks in der Notaufnahme übernimmt ACC vollständig, unabhängig davon, dass der Kurierfahrer den Unfall eindeutig verursacht hat. Ein erster Impuls, den Fahrer oder dessen Arbeitgeber auf Schmerzensgeld zu verklagen, verläuft im Sand, sobald ihm ein Arbeitskollege erklärt, dass ausgerechnet das in Neuseeland so nicht vorgesehen ist. Paul gewöhnt sich schneller an dieses System, als er erwartet hatte – vor allem, weil die Rechnung der Notaufnahme trotzdem bei null blieb.</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Finanziert wird ACC über mehrere Abgaben, von denen für Arbeitnehmer vor allem die </w:t>
      </w:r>
      <w:r>
        <w:rPr>
          <w:rFonts w:eastAsia="Cambria" w:cs="Cambria"/>
          <w:b w:val="false"/>
          <w:bCs w:val="false"/>
          <w:i/>
          <w:iCs/>
          <w:sz w:val="22"/>
          <w:szCs w:val="22"/>
        </w:rPr>
        <w:t>Earner’s Levy</w:t>
      </w:r>
      <w:r>
        <w:rPr>
          <w:rFonts w:eastAsia="Cambria" w:cs="Cambria"/>
          <w:b w:val="false"/>
          <w:bCs w:val="false"/>
          <w:i w:val="false"/>
          <w:iCs w:val="false"/>
          <w:sz w:val="22"/>
          <w:szCs w:val="22"/>
        </w:rPr>
        <w:t xml:space="preserve"> (der Arbeitnehmerbeitrag zur Unfallversicherung) zählt. Sie beträgt ab dem 1. April 2026 </w:t>
      </w:r>
      <w:r>
        <w:rPr>
          <w:rFonts w:eastAsia="Cambria" w:cs="Cambria"/>
          <w:b/>
          <w:bCs/>
          <w:i w:val="false"/>
          <w:iCs w:val="false"/>
          <w:sz w:val="22"/>
          <w:szCs w:val="22"/>
        </w:rPr>
        <w:t>1,75 %</w:t>
      </w:r>
      <w:r>
        <w:rPr>
          <w:rFonts w:eastAsia="Cambria" w:cs="Cambria"/>
          <w:b w:val="false"/>
          <w:bCs w:val="false"/>
          <w:i w:val="false"/>
          <w:iCs w:val="false"/>
          <w:sz w:val="22"/>
          <w:szCs w:val="22"/>
        </w:rPr>
        <w:t xml:space="preserve"> deines beitragspflichtigen Einkommens (zuvor 1,67 %), automatisch über die Lohnabrechnung einbehalten, gedeckelt bei einem Jahreseinkommen von 156.641 NZD (zuvor 152.790 NZD). Weitere Abgaben – etwa eine Work Levy für Arbeitgeber oder eine Levy auf Kfz-Zulassungen – kommen hinzu, sind für den einzelnen Arbeitnehmer aber nicht unmittelbar auf der eigenen Gehaltsabrechnung sichtbar.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ACC deckt Unfälle und Verletzungen, nicht aber gewöhnliche Krankheiten. Eine Grippe, eine chronische Erkrankung oder eine notwendige Operation ohne Unfallursache läuft weiterhin über das öffentliche Gesundheitssystem oder deine private Krankenversicherung – ACC ist eine wichtige Ergänzung, aber kein Ersatz für Krankenversicherungsschutz.</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der Praxis musst du einen ACC-Antrag selten selbst aufsetzen: Die behandelnde Hausarztpraxis, Notaufnahme oder Physiotherapie meldet eine Unfallverletzung in aller Regel direkt bei ACC an, sobald du den Unfallhergang schilderst. Für dich bleibt vor allem, den Hergang möglichst genau zu beschreiben und, falls Arbeitsunfähigkeit entsteht, den entsprechenden Nachweis für die Lohnfortzahlung über ACC einzureichen. Wer sich unsicher ist, ob ein Vorfall als Unfall im Sinne von ACC zählt, fragt am besten direkt bei der Behandlungsstelle nach, statt selbst zu spekulieren.</w:t>
      </w:r>
    </w:p>
    <w:p>
      <w:pPr>
        <w:pStyle w:val="Heading3"/>
        <w:keepNext w:val="true"/>
        <w:spacing w:before="280" w:after="100"/>
        <w:jc w:val="center"/>
        <w:rPr/>
      </w:pPr>
      <w:r>
        <w:rPr>
          <w:rFonts w:eastAsia="Amazon Ember" w:cs="Amazon Ember" w:ascii="Amazon Ember" w:hAnsi="Amazon Ember"/>
          <w:b/>
          <w:bCs/>
          <w:color w:val="0000FF"/>
          <w:sz w:val="36"/>
          <w:szCs w:val="36"/>
        </w:rPr>
        <w:t>Alltag beim Arzt: Hausarzt, Notaufnahme, Notruf</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mit öffentlichem Zugang ist ein Arztbesuch in Neuseeland nicht automatisch kostenlos. Ein Hausarzt (</w:t>
      </w:r>
      <w:r>
        <w:rPr>
          <w:rFonts w:eastAsia="Cambria" w:cs="Cambria"/>
          <w:b w:val="false"/>
          <w:bCs w:val="false"/>
          <w:i/>
          <w:iCs/>
          <w:sz w:val="22"/>
          <w:szCs w:val="22"/>
        </w:rPr>
        <w:t>General Practitioner</w:t>
      </w:r>
      <w:r>
        <w:rPr>
          <w:rFonts w:eastAsia="Cambria" w:cs="Cambria"/>
          <w:b w:val="false"/>
          <w:bCs w:val="false"/>
          <w:i w:val="false"/>
          <w:iCs w:val="false"/>
          <w:sz w:val="22"/>
          <w:szCs w:val="22"/>
        </w:rPr>
        <w:t xml:space="preserve">, GP) ist meist über eine </w:t>
      </w:r>
      <w:r>
        <w:rPr>
          <w:rFonts w:eastAsia="Cambria" w:cs="Cambria"/>
          <w:b w:val="false"/>
          <w:bCs w:val="false"/>
          <w:i/>
          <w:iCs/>
          <w:sz w:val="22"/>
          <w:szCs w:val="22"/>
        </w:rPr>
        <w:t>Primary Health Organisation</w:t>
      </w:r>
      <w:r>
        <w:rPr>
          <w:rFonts w:eastAsia="Cambria" w:cs="Cambria"/>
          <w:b w:val="false"/>
          <w:bCs w:val="false"/>
          <w:i w:val="false"/>
          <w:iCs w:val="false"/>
          <w:sz w:val="22"/>
          <w:szCs w:val="22"/>
        </w:rPr>
        <w:t xml:space="preserve"> (PHO, ein regionaler Verbund von Hausarztpraxen, der die staatliche Förderung verwaltet) organisiert; die Praxisgebühr pro Termin wird durch die staatliche Förderung gesenkt, fällt aber in den meisten Fällen nicht komplett weg. Wie hoch die Zuzahlung tatsächlich ausfällt, hängt von der einzelnen Praxis, deinem Alter und gegebenenfalls einer </w:t>
      </w:r>
      <w:r>
        <w:rPr>
          <w:rFonts w:eastAsia="Cambria" w:cs="Cambria"/>
          <w:b w:val="false"/>
          <w:bCs w:val="false"/>
          <w:i/>
          <w:iCs/>
          <w:sz w:val="22"/>
          <w:szCs w:val="22"/>
        </w:rPr>
        <w:t>Community Services Card</w:t>
      </w:r>
      <w:r>
        <w:rPr>
          <w:rFonts w:eastAsia="Cambria" w:cs="Cambria"/>
          <w:b w:val="false"/>
          <w:bCs w:val="false"/>
          <w:i w:val="false"/>
          <w:iCs w:val="false"/>
          <w:sz w:val="22"/>
          <w:szCs w:val="22"/>
        </w:rPr>
        <w:t xml:space="preserve"> (einer Ermäßigungskarte für Menschen mit niedrigem Einkommen) ab – verlässliche, bundesweit einheitliche Zahlen gibt es dafür nicht, frage am besten direkt bei der Praxis nach der aktuellen Gebühr.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Anmeldung bei einer Hausarztpraxis läuft über ein einfaches Enrolment-Formular der Praxis selbst; du brauchst dafür in der Regel einen Adressnachweis und den Beleg deiner Berechtigung zum öffentlichen System. Anders als beim deutschen Kassenarztsystem bist du danach nicht strikt an diese eine Praxis gebunden, ein Wechsel ist möglich, sollte aber nicht leichtfertig alle paar Monate erfolgen, weil manche Praxen bei Neuanmeldungen wartelisten und ein häufiger Wechsel die eigene Behandlungshistorie zersplittert.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Öffentliche Krankenhäuser behandeln bei echten Notfällen jeden, unabhängig vom Versicherungsstatus; wer nicht öffentlich berechtigt oder privat versichert ist, bekommt die Rechnung im Nachgang gestellt. Für planbare, nicht dringende Eingriffe existieren wie in vielen öffentlichen Systemen Wartelisten, deren Länge stark nach Region und Fachrichtung schwankt und sich laufend ändert.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echte Notfälle gilt landesweit der Notruf </w:t>
      </w:r>
      <w:r>
        <w:rPr>
          <w:rFonts w:eastAsia="Cambria" w:cs="Cambria"/>
          <w:b/>
          <w:bCs/>
          <w:i w:val="false"/>
          <w:iCs w:val="false"/>
          <w:sz w:val="22"/>
          <w:szCs w:val="22"/>
        </w:rPr>
        <w:t>111</w:t>
      </w:r>
      <w:r>
        <w:rPr>
          <w:rFonts w:eastAsia="Cambria" w:cs="Cambria"/>
          <w:b w:val="false"/>
          <w:bCs w:val="false"/>
          <w:i w:val="false"/>
          <w:iCs w:val="false"/>
          <w:sz w:val="22"/>
          <w:szCs w:val="22"/>
        </w:rPr>
        <w:t>, der Feuerwehr, Polizei und Rettungsdienst gleichermaßen erreicht. Für dringende, aber nicht lebensbedrohliche Fragen bieten manche Regionen zusätzlich eine telefonische Gesundheitsberatung an – erkundige dich nach der Ankunft, welches Angebot in deiner Region existiert.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Melde dich bei einer Hausarztpraxis an, sobald deine Berechtigung zum öffentlichen System feststeht, statt erst beim ersten Bedarfsfall danach zu suchen. Wartelisten für neue Patienten gibt es auch in Neuseeland, und ein bereits angemeldeter Patient kommt im Zweifel schneller dran als jemand, der ganz neu anfragt.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Vergleich: GKV und das neuseeländische System</w:t>
      </w:r>
    </w:p>
    <w:tbl>
      <w:tblPr>
        <w:tblW w:w="6480" w:type="dxa"/>
        <w:jc w:val="left"/>
        <w:tblInd w:w="0" w:type="dxa"/>
        <w:tblLayout w:type="fixed"/>
        <w:tblCellMar>
          <w:top w:w="50" w:type="dxa"/>
          <w:left w:w="80" w:type="dxa"/>
          <w:bottom w:w="50" w:type="dxa"/>
          <w:right w:w="80" w:type="dxa"/>
        </w:tblCellMar>
      </w:tblPr>
      <w:tblGrid>
        <w:gridCol w:w="1080"/>
        <w:gridCol w:w="2699"/>
        <w:gridCol w:w="2701"/>
      </w:tblGrid>
      <w:tr>
        <w:trPr>
          <w:tblHeader w:val="true"/>
          <w:cantSplit w:val="true"/>
        </w:trPr>
        <w:tc>
          <w:tcPr>
            <w:tcW w:w="108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Kriterium</w:t>
            </w:r>
          </w:p>
        </w:tc>
        <w:tc>
          <w:tcPr>
            <w:tcW w:w="269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GKV (Deutschland)</w:t>
            </w:r>
          </w:p>
        </w:tc>
        <w:tc>
          <w:tcPr>
            <w:tcW w:w="270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Neuseeland</w:t>
            </w:r>
          </w:p>
        </w:tc>
      </w:tr>
      <w:tr>
        <w:trPr>
          <w:cantSplit w:val="true"/>
        </w:trPr>
        <w:tc>
          <w:tcPr>
            <w:tcW w:w="10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Zugangsvoraussetzung</w:t>
            </w:r>
          </w:p>
        </w:tc>
        <w:tc>
          <w:tcPr>
            <w:tcW w:w="26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Wohnsitz/Beschäftigung, praktisch ab Tag eins</w:t>
            </w:r>
          </w:p>
        </w:tc>
        <w:tc>
          <w:tcPr>
            <w:tcW w:w="27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Visumlaufzeit von 2 Jahren oder mehr</w:t>
            </w:r>
          </w:p>
        </w:tc>
      </w:tr>
      <w:tr>
        <w:trPr>
          <w:cantSplit w:val="true"/>
        </w:trPr>
        <w:tc>
          <w:tcPr>
            <w:tcW w:w="10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Finanzierung</w:t>
            </w:r>
          </w:p>
        </w:tc>
        <w:tc>
          <w:tcPr>
            <w:tcW w:w="26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Beitrag vom Bruttolohn, je zur Hälfte Arbeitnehmer/Arbeitgeber</w:t>
            </w:r>
          </w:p>
        </w:tc>
        <w:tc>
          <w:tcPr>
            <w:tcW w:w="27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Allgemeine Steuermittel; ACC ergänzend über eigene Levies</w:t>
            </w:r>
          </w:p>
        </w:tc>
      </w:tr>
      <w:tr>
        <w:trPr>
          <w:cantSplit w:val="true"/>
        </w:trPr>
        <w:tc>
          <w:tcPr>
            <w:tcW w:w="10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Unfallschutz</w:t>
            </w:r>
          </w:p>
        </w:tc>
        <w:tc>
          <w:tcPr>
            <w:tcW w:w="26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Gesetzliche Unfallversicherung nur für Arbeitsunfälle, sonst private Haftpflicht/Klage</w:t>
            </w:r>
          </w:p>
        </w:tc>
        <w:tc>
          <w:tcPr>
            <w:tcW w:w="27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ACC deckt so gut wie jeden Unfall, jede Person, dafür kein Klagerecht</w:t>
            </w:r>
          </w:p>
        </w:tc>
      </w:tr>
      <w:tr>
        <w:trPr>
          <w:cantSplit w:val="true"/>
        </w:trPr>
        <w:tc>
          <w:tcPr>
            <w:tcW w:w="10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Zuzahlungen beim Hausarzt</w:t>
            </w:r>
          </w:p>
        </w:tc>
        <w:tc>
          <w:tcPr>
            <w:tcW w:w="26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Meist keine bei Kassenpatienten</w:t>
            </w:r>
          </w:p>
        </w:tc>
        <w:tc>
          <w:tcPr>
            <w:tcW w:w="27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Praxisgebühr trotz Förderung häufig üblich</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Unterlagen aus Deutschland mitbringen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Bring Impfpass, Vorsorgeheft und wichtige Arztbriefe möglichst mit englischer Übersetzung mit – eine neue Hausarztpraxis in Christchurch oder Auckland kennt weder deine Vorerkrankungen noch deinen Impfstatus. Bei Dauermedikation lohnt sich außerdem ein Vorrat für die ersten Wochen sowie ein englischsprachiger Nachweis über Wirkstoff und Dosierung, da ein deutsches Rezept in neuseeländischen Apotheken nicht eingelöst werden kann.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Kläre schon in Deutschland mit deiner gesetzlichen oder privaten Krankenversicherung, ob und wie lange eine bestehende Auslandskrankenversicherung bei einer dauerhaften Wohnsitzverlegung nach Neuseeland noch greift. Das kann die private Übergangsversicherung vor Ort überflüssig machen oder zumindest die Kosten in den ersten Wochen senken.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2 Jahren Visumlaufzeit: öffentlicher Zugang ab Tag eins, ohne Wartefrist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Unter 2 Jahren Visumlaufzeit: kein automatischer Zugang, private Police Pflicht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ACC deckt Unfälle für buchstäblich jeden in Neuseeland</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Klagerecht auf Schadensersatz bei Personenschäden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Private Übergangsversicherung lässt sich schon aus Deutschland abschließen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Wartezeiten und Vorerkrankungsausschlüsse bei privaten Policen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Notaufnahmen behandeln unabhängig vom Versicherungsstatus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Praxisgebühren beim Hausarzt trotz Förderung häufig üblich</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Prüfe vor dem Abflug, wie lang dein bewilligtes Visum tatsächlich läuft, und rechne nach, ob du die Zwei-Jahres-Schwelle erreichst. Schließe bei Bedarf schon aus Deutschland eine private Übergangsversicherung mit Beginn zum Ankunftstag ab. Melde dich bei öffentlichem Zugang zügig bei einer Hausarztpraxis an, und kläre unabhängig davon deinen ACC-Schutz – er gilt ohnehin automatisch, du musst nur wissen, was er abdeckt und was nicht.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Laufzeit des eigenen Visums geprüft: 2 Jahre oder mehr für automatischen öffentlichen Zugang?</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unter 2 Jahren: private Übergangsversicherung mit Beginn zum Ankunftstag abgeschlossen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Aktuelle Tarife bei Southern Cross oder nib direkt verglichen, nicht nur Richtwerte übernommen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Visumsnachweis für den ersten Arztbesuch bereitgelegt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öffentlichem Zugang: bei einer Hausarztpraxis (PHO) angemeldet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ACC-Grundprinzip verstanden: Unfälle ja, gewöhnliche Krankheit nein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Notruf 111 und nächstgelegene Notaufnahme notiert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Impfpass, Vorsorgeheft und relevante Arztbriefe in englischer Übersetzung eingepackt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Dauermedikation: Vorrat und englischsprachiger Wirkstoffnachweis eingepackt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hyperlink r:id="rId700">
        <w:r>
          <w:rPr>
            <w:rStyle w:val="ListLabel113"/>
            <w:rFonts w:eastAsia="Cambria" w:cs="Cambria"/>
            <w:b w:val="false"/>
            <w:bCs w:val="false"/>
            <w:i w:val="false"/>
            <w:iCs w:val="false"/>
            <w:color w:val="0563C1"/>
            <w:sz w:val="22"/>
            <w:szCs w:val="22"/>
            <w:u w:val="single"/>
          </w:rPr>
          <w:t>immigration.govt.nz</w:t>
        </w:r>
      </w:hyperlink>
      <w:r>
        <w:rPr>
          <w:rFonts w:eastAsia="Cambria" w:cs="Cambria"/>
          <w:b w:val="false"/>
          <w:bCs w:val="false"/>
          <w:i w:val="false"/>
          <w:iCs w:val="false"/>
          <w:sz w:val="22"/>
          <w:szCs w:val="22"/>
        </w:rPr>
        <w:t xml:space="preserve"> – Zugangsvoraussetzungen zur öffentlichen Gesundheitsversorgung nach Visumtyp</w:t>
      </w:r>
    </w:p>
    <w:p>
      <w:pPr>
        <w:pStyle w:val="ListParagraph"/>
        <w:numPr>
          <w:ilvl w:val="0"/>
          <w:numId w:val="1"/>
        </w:numPr>
        <w:spacing w:lineRule="exact" w:line="288" w:before="0" w:after="60"/>
        <w:rPr/>
      </w:pPr>
      <w:hyperlink r:id="rId701">
        <w:r>
          <w:rPr>
            <w:rStyle w:val="ListLabel113"/>
            <w:rFonts w:eastAsia="Cambria" w:cs="Cambria"/>
            <w:b w:val="false"/>
            <w:bCs w:val="false"/>
            <w:i w:val="false"/>
            <w:iCs w:val="false"/>
            <w:color w:val="0563C1"/>
            <w:sz w:val="22"/>
            <w:szCs w:val="22"/>
            <w:u w:val="single"/>
          </w:rPr>
          <w:t>health.govt.nz</w:t>
        </w:r>
      </w:hyperlink>
      <w:r>
        <w:rPr>
          <w:rFonts w:eastAsia="Cambria" w:cs="Cambria"/>
          <w:b w:val="false"/>
          <w:bCs w:val="false"/>
          <w:i w:val="false"/>
          <w:iCs w:val="false"/>
          <w:sz w:val="22"/>
          <w:szCs w:val="22"/>
        </w:rPr>
        <w:t xml:space="preserve"> – Ministry of Health, Aufbau des öffentlichen Gesundheitssystems</w:t>
      </w:r>
    </w:p>
    <w:p>
      <w:pPr>
        <w:pStyle w:val="ListParagraph"/>
        <w:numPr>
          <w:ilvl w:val="0"/>
          <w:numId w:val="1"/>
        </w:numPr>
        <w:spacing w:lineRule="exact" w:line="288" w:before="0" w:after="60"/>
        <w:rPr/>
      </w:pPr>
      <w:hyperlink r:id="rId702">
        <w:r>
          <w:rPr>
            <w:rStyle w:val="ListLabel113"/>
            <w:rFonts w:eastAsia="Cambria" w:cs="Cambria"/>
            <w:b w:val="false"/>
            <w:bCs w:val="false"/>
            <w:i w:val="false"/>
            <w:iCs w:val="false"/>
            <w:color w:val="0563C1"/>
            <w:sz w:val="22"/>
            <w:szCs w:val="22"/>
            <w:u w:val="single"/>
          </w:rPr>
          <w:t>acc.co.nz</w:t>
        </w:r>
      </w:hyperlink>
      <w:r>
        <w:rPr>
          <w:rFonts w:eastAsia="Cambria" w:cs="Cambria"/>
          <w:b w:val="false"/>
          <w:bCs w:val="false"/>
          <w:i w:val="false"/>
          <w:iCs w:val="false"/>
          <w:sz w:val="22"/>
          <w:szCs w:val="22"/>
        </w:rPr>
        <w:t xml:space="preserve"> – ACC-Deckung, Earner’s Levy, Leistungen im Unfallfall</w:t>
      </w:r>
    </w:p>
    <w:p>
      <w:pPr>
        <w:pStyle w:val="ListParagraph"/>
        <w:numPr>
          <w:ilvl w:val="0"/>
          <w:numId w:val="1"/>
        </w:numPr>
        <w:spacing w:lineRule="exact" w:line="288" w:before="0" w:after="60"/>
        <w:rPr/>
      </w:pPr>
      <w:hyperlink r:id="rId703">
        <w:r>
          <w:rPr>
            <w:rStyle w:val="ListLabel113"/>
            <w:rFonts w:eastAsia="Cambria" w:cs="Cambria"/>
            <w:b w:val="false"/>
            <w:bCs w:val="false"/>
            <w:i w:val="false"/>
            <w:iCs w:val="false"/>
            <w:color w:val="0563C1"/>
            <w:sz w:val="22"/>
            <w:szCs w:val="22"/>
            <w:u w:val="single"/>
          </w:rPr>
          <w:t>southerncross.co.nz</w:t>
        </w:r>
      </w:hyperlink>
      <w:r>
        <w:rPr>
          <w:rFonts w:eastAsia="Cambria" w:cs="Cambria"/>
          <w:b w:val="false"/>
          <w:bCs w:val="false"/>
          <w:i w:val="false"/>
          <w:iCs w:val="false"/>
          <w:sz w:val="22"/>
          <w:szCs w:val="22"/>
        </w:rPr>
        <w:t xml:space="preserve"> / </w:t>
      </w:r>
      <w:hyperlink r:id="rId704">
        <w:r>
          <w:rPr>
            <w:rStyle w:val="ListLabel113"/>
            <w:rFonts w:eastAsia="Cambria" w:cs="Cambria"/>
            <w:b w:val="false"/>
            <w:bCs w:val="false"/>
            <w:i w:val="false"/>
            <w:iCs w:val="false"/>
            <w:color w:val="0563C1"/>
            <w:sz w:val="22"/>
            <w:szCs w:val="22"/>
            <w:u w:val="single"/>
          </w:rPr>
          <w:t>nib.co.nz</w:t>
        </w:r>
      </w:hyperlink>
      <w:r>
        <w:rPr>
          <w:rFonts w:eastAsia="Cambria" w:cs="Cambria"/>
          <w:b w:val="false"/>
          <w:bCs w:val="false"/>
          <w:i w:val="false"/>
          <w:iCs w:val="false"/>
          <w:sz w:val="22"/>
          <w:szCs w:val="22"/>
        </w:rPr>
        <w:t xml:space="preserve"> – private Krankenversicherungstarife für Neuankömmlinge</w:t>
      </w:r>
    </w:p>
    <w:p>
      <w:pPr>
        <w:pStyle w:val="ListParagraph"/>
        <w:numPr>
          <w:ilvl w:val="0"/>
          <w:numId w:val="1"/>
        </w:numPr>
        <w:spacing w:lineRule="exact" w:line="288" w:before="0" w:after="60"/>
        <w:rPr/>
      </w:pPr>
      <w:hyperlink r:id="rId705">
        <w:r>
          <w:rPr>
            <w:rStyle w:val="ListLabel113"/>
            <w:rFonts w:eastAsia="Cambria" w:cs="Cambria"/>
            <w:b w:val="false"/>
            <w:bCs w:val="false"/>
            <w:i w:val="false"/>
            <w:iCs w:val="false"/>
            <w:color w:val="0563C1"/>
            <w:sz w:val="22"/>
            <w:szCs w:val="22"/>
            <w:u w:val="single"/>
          </w:rPr>
          <w:t>healthpoint.co.nz</w:t>
        </w:r>
      </w:hyperlink>
      <w:r>
        <w:rPr>
          <w:rFonts w:eastAsia="Cambria" w:cs="Cambria"/>
          <w:b w:val="false"/>
          <w:bCs w:val="false"/>
          <w:i w:val="false"/>
          <w:iCs w:val="false"/>
          <w:sz w:val="22"/>
          <w:szCs w:val="22"/>
        </w:rPr>
        <w:t xml:space="preserve"> – Verzeichnis von Hausarztpraxen und Gesundheitsdiensten nach Region</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schnell: die genaue Handhabung der Zwei-Jahres-Schwelle in Grenzfällen, ACC-Levy-Sätze und -Deckelung (jährlich zum 1. April angepasst), Prämien und Wartezeiten privater Versicherer sowie Praxisgebühren einzelner Hausarztpraxen. Prüfe vor jeder Entscheidung die aktuellen Werte auf immigration.govt.nz, acc.co.nz und bei deinem gewählten Versicherer.</w:t>
            </w:r>
          </w:p>
        </w:tc>
      </w:tr>
    </w:tbl>
    <w:p>
      <w:pPr>
        <w:pStyle w:val="Normal"/>
        <w:spacing w:lineRule="exact" w:line="220" w:before="0" w:after="0"/>
        <w:rPr/>
      </w:pPr>
      <w:r>
        <w:rPr/>
      </w:r>
      <w:r>
        <w:br w:type="page"/>
      </w:r>
    </w:p>
    <w:p>
      <w:pPr>
        <w:pStyle w:val="Heading2"/>
        <w:keepNext w:val="true"/>
        <w:spacing w:before="0" w:after="300"/>
        <w:jc w:val="center"/>
        <w:rPr/>
      </w:pPr>
      <w:bookmarkStart w:id="186" w:name="__RefHeading___Toc56617_3769931028"/>
      <w:bookmarkStart w:id="187" w:name="tnz09"/>
      <w:bookmarkEnd w:id="186"/>
      <w:r>
        <w:rPr>
          <w:rFonts w:eastAsia="Amazon Ember" w:cs="Amazon Ember" w:ascii="Amazon Ember" w:hAnsi="Amazon Ember"/>
          <w:b/>
          <w:bCs/>
          <w:color w:val="0000FF"/>
          <w:sz w:val="36"/>
          <w:szCs w:val="36"/>
        </w:rPr>
        <w:t>Neuseeland: Wohnen und die besten Orte zum Leben</w:t>
      </w:r>
      <w:bookmarkEnd w:id="187"/>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Wellington genügt mitunter ein kräftiger Windstoß, damit im Flur eines frisch besichtigten Reihenhauses die losen Teppichfliesen leise klappern – der Makler nennt das nicht Baumangel, sondern schlicht „typisch Wellington“. Wer aus Deutschland kommt, wo ein Haus im Idealfall vor allem eines sein soll – solide und für die Ewigkeit gebaut –, gewöhnt sich hier an eine andere Kategorie: Häuser, die mit Erdstößen, Sturmböen und gelegentlichem Vulkanstaub rechnen, nicht nur mit Regen. Beim Wohnort in Neuseeland entscheiden am Ende nicht nur Job und Budget, sondern auch, wie gelassen du einer wackelnden Teppichfliese – oder einer echten Bodenwelle – gegenüberstehst.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Der Mietmarkt läuft über Online-Portale wie Trade Me Property; die Kaution (</w:t>
            </w:r>
            <w:r>
              <w:rPr>
                <w:rFonts w:eastAsia="Cambria" w:cs="Cambria"/>
                <w:b w:val="false"/>
                <w:bCs w:val="false"/>
                <w:i/>
                <w:iCs/>
                <w:sz w:val="20"/>
                <w:szCs w:val="20"/>
              </w:rPr>
              <w:t>Bond</w:t>
            </w:r>
            <w:r>
              <w:rPr>
                <w:rFonts w:eastAsia="Cambria" w:cs="Cambria"/>
                <w:b w:val="false"/>
                <w:bCs w:val="false"/>
                <w:i w:val="false"/>
                <w:iCs w:val="false"/>
                <w:sz w:val="20"/>
                <w:szCs w:val="20"/>
              </w:rPr>
              <w:t>) ist gesetzlich auf höchstens vier Wochenmieten gedeckelt und wird treuhänderisch bei der staatlichen Stelle Tenancy Services hinterlegt, nicht beim Vermieter.</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Ausländer dürfen nach dem </w:t>
            </w:r>
            <w:r>
              <w:rPr>
                <w:rFonts w:eastAsia="Cambria" w:cs="Cambria"/>
                <w:b w:val="false"/>
                <w:bCs w:val="false"/>
                <w:i/>
                <w:iCs/>
                <w:sz w:val="20"/>
                <w:szCs w:val="20"/>
              </w:rPr>
              <w:t>Overseas Investment Act</w:t>
            </w:r>
            <w:r>
              <w:rPr>
                <w:rFonts w:eastAsia="Cambria" w:cs="Cambria"/>
                <w:b w:val="false"/>
                <w:bCs w:val="false"/>
                <w:i w:val="false"/>
                <w:iCs w:val="false"/>
                <w:sz w:val="20"/>
                <w:szCs w:val="20"/>
              </w:rPr>
              <w:t xml:space="preserve"> 2005 grundsätzlich keine bestehende Wohnimmobilie kaufen; die Ausnahme greift erst, wenn du als „</w:t>
            </w:r>
            <w:r>
              <w:rPr>
                <w:rFonts w:eastAsia="Cambria" w:cs="Cambria"/>
                <w:b w:val="false"/>
                <w:bCs w:val="false"/>
                <w:i/>
                <w:iCs/>
                <w:sz w:val="20"/>
                <w:szCs w:val="20"/>
              </w:rPr>
              <w:t>ordinarily resident</w:t>
            </w:r>
            <w:r>
              <w:rPr>
                <w:rFonts w:eastAsia="Cambria" w:cs="Cambria"/>
                <w:b w:val="false"/>
                <w:bCs w:val="false"/>
                <w:i w:val="false"/>
                <w:iCs w:val="false"/>
                <w:sz w:val="20"/>
                <w:szCs w:val="20"/>
              </w:rPr>
              <w:t>“ (gewöhnlich ansässig) giltst – vier Kriterien, die alle gleichzeitig erfüllt sein müssen.</w:t>
            </w:r>
          </w:p>
          <w:p>
            <w:pPr>
              <w:pStyle w:val="ListParagraph"/>
              <w:numPr>
                <w:ilvl w:val="0"/>
                <w:numId w:val="1"/>
              </w:numPr>
              <w:spacing w:lineRule="exact" w:line="264" w:before="0" w:after="50"/>
              <w:rPr/>
            </w:pPr>
            <w:r>
              <w:rPr>
                <w:rFonts w:eastAsia="Cambria" w:cs="Cambria"/>
                <w:b w:val="false"/>
                <w:bCs w:val="false"/>
                <w:i w:val="false"/>
                <w:iCs w:val="false"/>
                <w:sz w:val="20"/>
                <w:szCs w:val="20"/>
              </w:rPr>
              <w:t>Australische und singapurische Staatsangehörige sind von dieser Regel ausgenommen; für Deutsche gilt keine Erleichterung.</w:t>
            </w:r>
          </w:p>
          <w:p>
            <w:pPr>
              <w:pStyle w:val="ListParagraph"/>
              <w:numPr>
                <w:ilvl w:val="0"/>
                <w:numId w:val="1"/>
              </w:numPr>
              <w:spacing w:lineRule="exact" w:line="264" w:before="0" w:after="50"/>
              <w:rPr/>
            </w:pPr>
            <w:r>
              <w:rPr>
                <w:rFonts w:eastAsia="Cambria" w:cs="Cambria"/>
                <w:b w:val="false"/>
                <w:bCs w:val="false"/>
                <w:i w:val="false"/>
                <w:iCs w:val="false"/>
                <w:sz w:val="20"/>
                <w:szCs w:val="20"/>
              </w:rPr>
              <w:t>Auckland ist am teuersten und bietet den breitesten Jobmarkt, Christchurch ist spürbar günstiger und wirbt aktiv um Fachkräfte, Wellington liegt preislich dazwischen, Queenstown/Otago ist trotz kleiner Einwohnerzahl ein eigener teurer Sonderfall.</w:t>
            </w:r>
          </w:p>
          <w:p>
            <w:pPr>
              <w:pStyle w:val="ListParagraph"/>
              <w:numPr>
                <w:ilvl w:val="0"/>
                <w:numId w:val="1"/>
              </w:numPr>
              <w:spacing w:lineRule="exact" w:line="264" w:before="0" w:after="50"/>
              <w:rPr/>
            </w:pPr>
            <w:r>
              <w:rPr>
                <w:rFonts w:eastAsia="Cambria" w:cs="Cambria"/>
                <w:b w:val="false"/>
                <w:bCs w:val="false"/>
                <w:i w:val="false"/>
                <w:iCs w:val="false"/>
                <w:sz w:val="20"/>
                <w:szCs w:val="20"/>
              </w:rPr>
              <w:t>Jede Region trägt ihr eigenes Naturgefahren-Risiko – Erdbeben, Überschwemmung, Vulkan oder Lawine –, das in Versicherungsprämie und Kaufentscheidung einfließt, nicht nur in die Wetter-App.</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Mieten: Bond, Tenancy Services und der Alltag der Besichtigung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Wohnungssuche läuft praktisch vollständig online, allen voran über das Portal Trade Me Property – funktional vergleichbar mit deutschen Immobilienportalen, nur mit deutlich mehr Fotos vom Garten. Besichtigungen (</w:t>
      </w:r>
      <w:r>
        <w:rPr>
          <w:rFonts w:eastAsia="Cambria" w:cs="Cambria"/>
          <w:b w:val="false"/>
          <w:bCs w:val="false"/>
          <w:i/>
          <w:iCs/>
          <w:sz w:val="22"/>
          <w:szCs w:val="22"/>
        </w:rPr>
        <w:t>Open Homes</w:t>
      </w:r>
      <w:r>
        <w:rPr>
          <w:rFonts w:eastAsia="Cambria" w:cs="Cambria"/>
          <w:b w:val="false"/>
          <w:bCs w:val="false"/>
          <w:i w:val="false"/>
          <w:iCs w:val="false"/>
          <w:sz w:val="22"/>
          <w:szCs w:val="22"/>
        </w:rPr>
        <w:t xml:space="preserve">) laufen meist offen, oft samstags im Halbstundentakt: Ein Dutzend Interessenten zieht in Straßenschuhen durch dieselbe Wohnung, während der </w:t>
      </w:r>
      <w:r>
        <w:rPr>
          <w:rFonts w:eastAsia="Cambria" w:cs="Cambria"/>
          <w:b w:val="false"/>
          <w:bCs w:val="false"/>
          <w:i/>
          <w:iCs/>
          <w:sz w:val="22"/>
          <w:szCs w:val="22"/>
        </w:rPr>
        <w:t>Property Manager</w:t>
      </w:r>
      <w:r>
        <w:rPr>
          <w:rFonts w:eastAsia="Cambria" w:cs="Cambria"/>
          <w:b w:val="false"/>
          <w:bCs w:val="false"/>
          <w:i w:val="false"/>
          <w:iCs w:val="false"/>
          <w:sz w:val="22"/>
          <w:szCs w:val="22"/>
        </w:rPr>
        <w:t xml:space="preserve"> (die Hausverwaltung, die für den Eigentümer vermietet) beiläufig Namen auf einer Liste abhakt. Wer die Wohnung will, bewirbt sich meist noch am selben Tag online, mit Einkommensnachweis und Referenzen früherer Vermieter.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der Kaution (</w:t>
      </w:r>
      <w:r>
        <w:rPr>
          <w:rFonts w:eastAsia="Cambria" w:cs="Cambria"/>
          <w:b w:val="false"/>
          <w:bCs w:val="false"/>
          <w:i/>
          <w:iCs/>
          <w:sz w:val="22"/>
          <w:szCs w:val="22"/>
        </w:rPr>
        <w:t>Bond</w:t>
      </w:r>
      <w:r>
        <w:rPr>
          <w:rFonts w:eastAsia="Cambria" w:cs="Cambria"/>
          <w:b w:val="false"/>
          <w:bCs w:val="false"/>
          <w:i w:val="false"/>
          <w:iCs w:val="false"/>
          <w:sz w:val="22"/>
          <w:szCs w:val="22"/>
        </w:rPr>
        <w:t>, vergleichbar mit der deutschen Mietkaution) hast du es als Neuankömmling leichter, als du vielleicht erwartest: Die Kaution ist gesetzlich auf höchstens vier Wochenmieten gedeckelt – merklich weniger als die in Deutschland üblichen zwei bis drei Monatsmieten. Zusätzlich darf der Vermieter höchstens zwei Wochen Miete im Voraus verlangen. Die Besonderheit gegenüber Deutschland: Die Kaution geht nicht an den Vermieter, sondern wird treuhänderisch bei Tenancy Services hinterlegt, einer Stelle des neuseeländischen Ministeriums für Wirtschaft, Innovation und Beschäftigung (</w:t>
      </w:r>
      <w:r>
        <w:rPr>
          <w:rFonts w:eastAsia="Cambria" w:cs="Cambria"/>
          <w:b w:val="false"/>
          <w:bCs w:val="false"/>
          <w:i/>
          <w:iCs/>
          <w:sz w:val="22"/>
          <w:szCs w:val="22"/>
        </w:rPr>
        <w:t>Ministry of Business, Innovation and Employment</w:t>
      </w:r>
      <w:r>
        <w:rPr>
          <w:rFonts w:eastAsia="Cambria" w:cs="Cambria"/>
          <w:b w:val="false"/>
          <w:bCs w:val="false"/>
          <w:i w:val="false"/>
          <w:iCs w:val="false"/>
          <w:sz w:val="22"/>
          <w:szCs w:val="22"/>
        </w:rPr>
        <w:t>, MBIE). Ein Streit über die Rückzahlung – üblicherweise fünf bis zehn Werktage nach Mietende – landet damit vor einer Behörde, nicht in einer stillen Absprache zwischen den Parteien. Seit dem 12. Dezember 2018 sind zusätzliche Vermittlungsgebühren (</w:t>
      </w:r>
      <w:r>
        <w:rPr>
          <w:rFonts w:eastAsia="Cambria" w:cs="Cambria"/>
          <w:b w:val="false"/>
          <w:bCs w:val="false"/>
          <w:i/>
          <w:iCs/>
          <w:sz w:val="22"/>
          <w:szCs w:val="22"/>
        </w:rPr>
        <w:t>Letting Fees</w:t>
      </w:r>
      <w:r>
        <w:rPr>
          <w:rFonts w:eastAsia="Cambria" w:cs="Cambria"/>
          <w:b w:val="false"/>
          <w:bCs w:val="false"/>
          <w:i w:val="false"/>
          <w:iCs w:val="false"/>
          <w:sz w:val="22"/>
          <w:szCs w:val="22"/>
        </w:rPr>
        <w:t>) an den Mieter verboten; ab dem 29. Juni 2026 soll die gesamte Kautionsabwicklung zudem über ein neues, durchgängig digitales System namens „Bond Hub“ laufen.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In Auckland und Wellington ist der Wettbewerb um gute Mietwohnungen hoch – bereite Einkommensnachweis, Arbeitsvertrag und Referenzen vor, bevor die erste Besichtigung überhaupt beginnt. Wer erst nach der Zusage anfängt, Unterlagen zusammenzusuchen, hat die Wohnung meist schon verloren.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Christchurch ist unter den drei großen Städten die günstigste Option – rund 1.800 NZD Lebenshaltungskosten pro Person und Monat, nahe am Landesdurchschnitt, während allein ein Einzimmerapartment im Zentrum Aucklands 2.170 bis 2.820 NZD monatlich kostet. Wellington liegt bei der Miete rund 20 bis 25 % unter Auckland und gilt unter Auswanderern als bestes Verhältnis von Lebensqualität zu Kosten. Wer beim Jobmarkt flexibel ist, sollte diesen Unterschied ernsthaft in die Rechnung einbeziehen, statt automatisch auf Auckland zu setzen.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Familie Krüger (fiktives Beispiel) kommt mit dem </w:t>
            </w:r>
            <w:r>
              <w:rPr>
                <w:rFonts w:eastAsia="Cambria" w:cs="Cambria"/>
                <w:b w:val="false"/>
                <w:bCs w:val="false"/>
                <w:i/>
                <w:iCs/>
                <w:sz w:val="20"/>
                <w:szCs w:val="20"/>
              </w:rPr>
              <w:t>Accredited Employer Work Visa</w:t>
            </w:r>
            <w:r>
              <w:rPr>
                <w:rFonts w:eastAsia="Cambria" w:cs="Cambria"/>
                <w:b w:val="false"/>
                <w:bCs w:val="false"/>
                <w:i w:val="false"/>
                <w:iCs w:val="false"/>
                <w:sz w:val="20"/>
                <w:szCs w:val="20"/>
              </w:rPr>
              <w:t xml:space="preserve"> (AEWV) nach Christchurch, weil Sebastians Beruf als Agraringenieur auf der </w:t>
            </w:r>
            <w:r>
              <w:rPr>
                <w:rFonts w:eastAsia="Cambria" w:cs="Cambria"/>
                <w:b w:val="false"/>
                <w:bCs w:val="false"/>
                <w:i/>
                <w:iCs/>
                <w:sz w:val="20"/>
                <w:szCs w:val="20"/>
              </w:rPr>
              <w:t>Green List</w:t>
            </w:r>
            <w:r>
              <w:rPr>
                <w:rFonts w:eastAsia="Cambria" w:cs="Cambria"/>
                <w:b w:val="false"/>
                <w:bCs w:val="false"/>
                <w:i w:val="false"/>
                <w:iCs w:val="false"/>
                <w:sz w:val="20"/>
                <w:szCs w:val="20"/>
              </w:rPr>
              <w:t xml:space="preserve"> (Mangelberufeliste mit erleichtertem Weg zur Residenz) steht. Für die ersten Monate mieten Sebastian und Petra ein Haus in einem Vorort mit nachgewiesen erdbebenverstärktem Fundament – eine Frage, die sie in Deutschland bei einer Besichtigung nie hätten stellen müssen, hier aber routinemäßig stellen, während der Makler geduldig das Baujahr und die letzte Nachrüstung erklärt. Die Kaution von vier Wochenmieten überweisen sie nicht an die Vermieterin, sondern über das Online-Formular direkt an Tenancy Services. Für Lotta (12) und Finn (8) ist die Schulplatzsuche der eigentliche Zeitdruck, für die Eltern die Frage, wie robust das Haus im Ernstfall auf einen weiteren Erdstoß reagiert.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Kaufen: Der Foreign-Buyer-Test „ordinarily resident“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Immobilienkauf selbst läuft ähnlich unkompliziert wie in Deutschland ab – kein Notartermin, sondern ein auf Immobilienrecht spezialisierter Anwalt (</w:t>
      </w:r>
      <w:r>
        <w:rPr>
          <w:rFonts w:eastAsia="Cambria" w:cs="Cambria"/>
          <w:b w:val="false"/>
          <w:bCs w:val="false"/>
          <w:i/>
          <w:iCs/>
          <w:sz w:val="22"/>
          <w:szCs w:val="22"/>
        </w:rPr>
        <w:t>Solicitor</w:t>
      </w:r>
      <w:r>
        <w:rPr>
          <w:rFonts w:eastAsia="Cambria" w:cs="Cambria"/>
          <w:b w:val="false"/>
          <w:bCs w:val="false"/>
          <w:i w:val="false"/>
          <w:iCs w:val="false"/>
          <w:sz w:val="22"/>
          <w:szCs w:val="22"/>
        </w:rPr>
        <w:t>) prüft Vertrag und Grundbuch. Bevor du aber überhaupt ein Gebot abgeben kannst, entscheidet eine ganz andere Frage: Giltst du nach neuseeländischem Recht als „</w:t>
      </w:r>
      <w:r>
        <w:rPr>
          <w:rFonts w:eastAsia="Cambria" w:cs="Cambria"/>
          <w:b w:val="false"/>
          <w:bCs w:val="false"/>
          <w:i/>
          <w:iCs/>
          <w:sz w:val="22"/>
          <w:szCs w:val="22"/>
        </w:rPr>
        <w:t>Overseas Person</w:t>
      </w:r>
      <w:r>
        <w:rPr>
          <w:rFonts w:eastAsia="Cambria" w:cs="Cambria"/>
          <w:b w:val="false"/>
          <w:bCs w:val="false"/>
          <w:i w:val="false"/>
          <w:iCs w:val="false"/>
          <w:sz w:val="22"/>
          <w:szCs w:val="22"/>
        </w:rPr>
        <w:t>“ oder nicht?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w:t>
      </w:r>
      <w:r>
        <w:rPr>
          <w:rFonts w:eastAsia="Cambria" w:cs="Cambria"/>
          <w:b w:val="false"/>
          <w:bCs w:val="false"/>
          <w:i/>
          <w:iCs/>
          <w:sz w:val="22"/>
          <w:szCs w:val="22"/>
        </w:rPr>
        <w:t>Overseas Investment Act</w:t>
      </w:r>
      <w:r>
        <w:rPr>
          <w:rFonts w:eastAsia="Cambria" w:cs="Cambria"/>
          <w:b w:val="false"/>
          <w:bCs w:val="false"/>
          <w:i w:val="false"/>
          <w:iCs w:val="false"/>
          <w:sz w:val="22"/>
          <w:szCs w:val="22"/>
        </w:rPr>
        <w:t xml:space="preserve"> 2005 regelt es so: Wer als „Overseas Person“ eingestuft wird, darf grundsätzlich keine bestehende Wohnimmobilie (</w:t>
      </w:r>
      <w:r>
        <w:rPr>
          <w:rFonts w:eastAsia="Cambria" w:cs="Cambria"/>
          <w:b w:val="false"/>
          <w:bCs w:val="false"/>
          <w:i/>
          <w:iCs/>
          <w:sz w:val="22"/>
          <w:szCs w:val="22"/>
        </w:rPr>
        <w:t>Established Dwelling</w:t>
      </w:r>
      <w:r>
        <w:rPr>
          <w:rFonts w:eastAsia="Cambria" w:cs="Cambria"/>
          <w:b w:val="false"/>
          <w:bCs w:val="false"/>
          <w:i w:val="false"/>
          <w:iCs w:val="false"/>
          <w:sz w:val="22"/>
          <w:szCs w:val="22"/>
        </w:rPr>
        <w:t>) in Neuseeland kaufen. Die Ausnahme greift erst, wenn du als „</w:t>
      </w:r>
      <w:r>
        <w:rPr>
          <w:rFonts w:eastAsia="Cambria" w:cs="Cambria"/>
          <w:b w:val="false"/>
          <w:bCs w:val="false"/>
          <w:i/>
          <w:iCs/>
          <w:sz w:val="22"/>
          <w:szCs w:val="22"/>
        </w:rPr>
        <w:t>ordinarily resident</w:t>
      </w:r>
      <w:r>
        <w:rPr>
          <w:rFonts w:eastAsia="Cambria" w:cs="Cambria"/>
          <w:b w:val="false"/>
          <w:bCs w:val="false"/>
          <w:i w:val="false"/>
          <w:iCs w:val="false"/>
          <w:sz w:val="22"/>
          <w:szCs w:val="22"/>
        </w:rPr>
        <w:t xml:space="preserve">“ giltst – und dafür müssen laut der zuständigen Behörde </w:t>
      </w:r>
      <w:r>
        <w:rPr>
          <w:rFonts w:eastAsia="Cambria" w:cs="Cambria"/>
          <w:b w:val="false"/>
          <w:bCs w:val="false"/>
          <w:i/>
          <w:iCs/>
          <w:sz w:val="22"/>
          <w:szCs w:val="22"/>
        </w:rPr>
        <w:t>Land Information New Zealand</w:t>
      </w:r>
      <w:r>
        <w:rPr>
          <w:rFonts w:eastAsia="Cambria" w:cs="Cambria"/>
          <w:b w:val="false"/>
          <w:bCs w:val="false"/>
          <w:i w:val="false"/>
          <w:iCs w:val="false"/>
          <w:sz w:val="22"/>
          <w:szCs w:val="22"/>
        </w:rPr>
        <w:t xml:space="preserve"> (LINZ) vier Kriterien gleichzeitig erfüllt sein: ein </w:t>
      </w:r>
      <w:r>
        <w:rPr>
          <w:rFonts w:eastAsia="Cambria" w:cs="Cambria"/>
          <w:b w:val="false"/>
          <w:bCs w:val="false"/>
          <w:i/>
          <w:iCs/>
          <w:sz w:val="22"/>
          <w:szCs w:val="22"/>
        </w:rPr>
        <w:t>Resident Class Visa</w:t>
      </w:r>
      <w:r>
        <w:rPr>
          <w:rFonts w:eastAsia="Cambria" w:cs="Cambria"/>
          <w:b w:val="false"/>
          <w:bCs w:val="false"/>
          <w:i w:val="false"/>
          <w:iCs w:val="false"/>
          <w:sz w:val="22"/>
          <w:szCs w:val="22"/>
        </w:rPr>
        <w:t xml:space="preserve">, mindestens zwölf Monate tatsächlicher Aufenthalt in Neuseeland, mindestens 183 Tage physische Anwesenheit in den letzten zwölf Monaten, und neuseeländische Steuerresidenz (die genauen Kriterien dafür erklärt das </w:t>
      </w:r>
      <w:hyperlink w:anchor="tnz07">
        <w:r>
          <w:rPr>
            <w:rStyle w:val="ListLabel113"/>
            <w:rFonts w:eastAsia="Cambria" w:cs="Cambria"/>
            <w:b w:val="false"/>
            <w:bCs w:val="false"/>
            <w:i w:val="false"/>
            <w:iCs w:val="false"/>
            <w:color w:val="0563C1"/>
            <w:sz w:val="22"/>
            <w:szCs w:val="22"/>
            <w:u w:val="single"/>
          </w:rPr>
          <w:t>Kapitel zu Steuer-ID, Bank und Kredit in diesem Teil</w:t>
        </w:r>
      </w:hyperlink>
      <w:r>
        <w:rPr>
          <w:rFonts w:eastAsia="Cambria" w:cs="Cambria"/>
          <w:b w:val="false"/>
          <w:bCs w:val="false"/>
          <w:i w:val="false"/>
          <w:iCs w:val="false"/>
          <w:sz w:val="22"/>
          <w:szCs w:val="22"/>
        </w:rPr>
        <w:t xml:space="preserve"> ausführlicher). Fehlt auch nur eines dieser vier Kriterien, bleibst du „Overseas Person“ – unabhängig davon, wie viel Kapital du mitbringst oder wie lange du schon in Neuseeland arbeitest.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Eine kleine Ausnahme von der Ausnahme gibt es: Australische und singapurische Staatsangehörige sind aufgrund bilateraler Freihandelsabkommen ganz von der Regel befreit, unabhängig vom „ordinarily resident“-Status. Für deutsche Staatsangehörige gilt diese Erleichterung nicht. Seit dem 6. März 2026 gibt es zusätzlich eine neue Ausnahme für eine kleine, sehr spezifische Gruppe: Inhaber der Investor-Visa Active Investor Plus, Investor 1 oder Investor 2 dürfen ein Wohnhaus über 5 Mio. NZD kaufen oder bauen, auch ohne „ordinarily resident“ zu sein. Für den typischen Fachkräfte-Einwanderer wie Familie Krüger oder Paul Lindner ist das ohne Bedeutung.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Familie Krüger bedeutet das etwas anderes als für Paul Lindner: Mit dem AEWV halten Sebastian und Petra zunächst gar kein Resident Class Visa – die vier „ordinarily resident“-Kriterien beginnen für sie erst zu laufen, wenn der Übergang zur Residenz über die Green List oder die Skilled Migrant Category gelungen ist. Bis dahin bleibt für die Familie ohnehin nur die Miete eine realistische Option, unabhängig davon, wie lange sie schon in Neuseeland leben oder arbeiten. Auch bei der Finanzierung selbst lohnt sich Geduld: Ohne neuseeländische Kredithistorie prüfen Banken Einkommen und Bonität in der Regel strenger, und nicht jedes Institut finanziert Käufer ohne längere lokale Kontobeziehung. Frage frühzeitig bei mehreren Banken oder einem Hypothekenmakler nach den konkreten Bedingungen für deine Situation, bevor du überhaupt ein Gebot in Erwägung ziehst.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Resident-Visum allein reicht nicht. Erst die Kombination aus Visum, Aufenthaltsdauer, physischer Anwesenheit und Steuerresidenz entscheidet, ob das Kaufverbot für dich gilt – nicht dein Pass, nicht dein Kontostand, und auch nicht allein die Tatsache, dass du bereits in Neuseeland arbeitest.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Ein Verstoß gegen den </w:t>
            </w:r>
            <w:r>
              <w:rPr>
                <w:rFonts w:eastAsia="Cambria" w:cs="Cambria"/>
                <w:b w:val="false"/>
                <w:bCs w:val="false"/>
                <w:i/>
                <w:iCs/>
                <w:sz w:val="20"/>
                <w:szCs w:val="20"/>
              </w:rPr>
              <w:t>Overseas Investment Act</w:t>
            </w:r>
            <w:r>
              <w:rPr>
                <w:rFonts w:eastAsia="Cambria" w:cs="Cambria"/>
                <w:b w:val="false"/>
                <w:bCs w:val="false"/>
                <w:i w:val="false"/>
                <w:iCs w:val="false"/>
                <w:sz w:val="20"/>
                <w:szCs w:val="20"/>
              </w:rPr>
              <w:t xml:space="preserve"> ist kein Kavaliersdelikt und wird von der zuständigen </w:t>
            </w:r>
            <w:r>
              <w:rPr>
                <w:rFonts w:eastAsia="Cambria" w:cs="Cambria"/>
                <w:b w:val="false"/>
                <w:bCs w:val="false"/>
                <w:i/>
                <w:iCs/>
                <w:sz w:val="20"/>
                <w:szCs w:val="20"/>
              </w:rPr>
              <w:t>Overseas Investment Office</w:t>
            </w:r>
            <w:r>
              <w:rPr>
                <w:rFonts w:eastAsia="Cambria" w:cs="Cambria"/>
                <w:b w:val="false"/>
                <w:bCs w:val="false"/>
                <w:i w:val="false"/>
                <w:iCs w:val="false"/>
                <w:sz w:val="20"/>
                <w:szCs w:val="20"/>
              </w:rPr>
              <w:t xml:space="preserve"> verfolgt. Kläre deinen „ordinarily resident“-Status vor jedem Gebot mit einem darauf spezialisierten Solicitor – nicht erst, wenn ein Verkäufer dein Angebot schon angenommen hat.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Paul Lindner (fiktives Beispiel) zieht mit einem </w:t>
            </w:r>
            <w:r>
              <w:rPr>
                <w:rFonts w:eastAsia="Cambria" w:cs="Cambria"/>
                <w:b w:val="false"/>
                <w:bCs w:val="false"/>
                <w:i/>
                <w:iCs/>
                <w:sz w:val="20"/>
                <w:szCs w:val="20"/>
              </w:rPr>
              <w:t>Skilled Migrant Category Resident Visa</w:t>
            </w:r>
            <w:r>
              <w:rPr>
                <w:rFonts w:eastAsia="Cambria" w:cs="Cambria"/>
                <w:b w:val="false"/>
                <w:bCs w:val="false"/>
                <w:i w:val="false"/>
                <w:iCs w:val="false"/>
                <w:sz w:val="20"/>
                <w:szCs w:val="20"/>
              </w:rPr>
              <w:t xml:space="preserve"> direkt aus Deutschland nach Auckland – ein Resident Class Visa hält er damit vom ersten Tag an. Als er nach zehn Monaten eine Eigentumswohnung im Stadtteil Kingsland besichtigen will und dem Makler bereits gedanklich die Möbel einräumt, erklärt dieser ihm höflich, dass ihm noch zwei der vier „ordinarily resident“-Kriterien fehlen: Die vollen zwölf Monate tatsächlichen Aufenthalts sind noch nicht erreicht, und seine Steuerresidenz muss erst noch offiziell bestätigt werden. Paul mietet deshalb weitere anderthalb Jahre in derselben Straße weiter, bevor er den Kauf ernsthaft angeht – nicht, weil ihm das Geld fehlt, sondern weil ihm das Gesetz schlicht noch keine Erlaubnis gibt.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besten Orte zum Leben: Klima, Naturgefahren, Kosten, Jobmarkt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Erdbeben seien vor allem ein Wellington-Thema, weil die Stadt direkt auf einer bekannten Verwerfung sitzt. Tatsächlich zeigte die Erdbebenserie in Christchurch 2010/2011, dass auch vermeintlich ruhige Regionen betroffen sein können – die Verwerfung unter der Canterbury-Ebene war vor der ersten Erschütterung nicht einmal bekannt. Wo du am Ende landest, sollte deshalb nicht davon abhängen, ob eine Stadt „bekannt“ für eine bestimmte Naturgefahr ist, sondern von einem realistischen Blick auf Klima, Naturgefahren-Profil, Kosten und Jobmarkt gemeinsam. Rechne über Miete oder Kaufpreis hinaus auch mit den üblichen Fixkosten für Auto, Strom und Kinderbetreuung; sie gehören ebenso in deine Budgetrechnung. Landesweit lag der Kaufpreis-Median im August 2026 bei 750.000 NZD, ein Rückgang von 1,3 % gegenüber dem Vorjahr; Ende 2025 wuchsen die Preise in Auckland noch um 6,0 %, in Wellington nur um 1,4 % – ein Hinweis darauf, wie unterschiedlich sich die Regionen selbst innerhalb eines Jahres entwickeln. Zur groben, bundesweiten Einordnung, die sich zwischen den Regionen kaum unterscheidet: Pflegekräfte verdienen zum Einstieg rund 60.000 bis 65.000 NZD, mit fünf Jahren Erfahrung 75.000 bis 85.000 NZD, als </w:t>
      </w:r>
      <w:r>
        <w:rPr>
          <w:rFonts w:eastAsia="Cambria" w:cs="Cambria"/>
          <w:b w:val="false"/>
          <w:bCs w:val="false"/>
          <w:i/>
          <w:iCs/>
          <w:sz w:val="22"/>
          <w:szCs w:val="22"/>
        </w:rPr>
        <w:t>Nurse Practitioner</w:t>
      </w:r>
      <w:r>
        <w:rPr>
          <w:rFonts w:eastAsia="Cambria" w:cs="Cambria"/>
          <w:b w:val="false"/>
          <w:bCs w:val="false"/>
          <w:i w:val="false"/>
          <w:iCs w:val="false"/>
          <w:sz w:val="22"/>
          <w:szCs w:val="22"/>
        </w:rPr>
        <w:t xml:space="preserve"> (Pflegekraft mit erweiterten klinischen Befugnissen) 95.000 bis 135.000 NZD.</w:t>
      </w:r>
    </w:p>
    <w:p>
      <w:pPr>
        <w:pStyle w:val="Normal"/>
        <w:keepNext w:val="false"/>
        <w:keepLines w:val="false"/>
        <w:spacing w:lineRule="exact" w:line="288" w:before="0" w:after="140"/>
        <w:jc w:val="left"/>
        <w:rPr/>
      </w:pPr>
      <w:r>
        <w:rPr>
          <w:rFonts w:eastAsia="Cambria" w:cs="Cambria"/>
          <w:b/>
          <w:bCs/>
          <w:i w:val="false"/>
          <w:iCs w:val="false"/>
          <w:sz w:val="22"/>
          <w:szCs w:val="22"/>
        </w:rPr>
        <w:t>Auckland</w:t>
      </w:r>
      <w:r>
        <w:rPr>
          <w:rFonts w:eastAsia="Cambria" w:cs="Cambria"/>
          <w:b w:val="false"/>
          <w:bCs w:val="false"/>
          <w:i w:val="false"/>
          <w:iCs w:val="false"/>
          <w:sz w:val="22"/>
          <w:szCs w:val="22"/>
        </w:rPr>
        <w:t xml:space="preserve"> liegt subtropisch-feucht auf einer schmalen Landenge zwischen zwei warmen Ozeanen: rund 132 Regentage im Jahr bei 1.119 bis 1.167 Millimetern Jahresniederschlag, dazu eine Anfälligkeit für kurze, extreme Starkregenereignisse. Was Deutsche besonders überrascht: Die „Auckland Anniversary Weekend“-Flut vom 27. Januar 2023 war laut dem Wetterforschungsinstitut NIWA ein statistisches Ereignis, wie es im Schnitt nur alle 200 Jahre vorkommt – an einem einzigen Tag fiel eine ganze durchschnittliche Sommer-Niederschlagsmenge, mit einem Sachschaden von rund 2,2 Mrd. NZD und vier Todesopfern. Hinzu kommt ein Vulkanrisiko, das im Alltag kaum auffällt: Auckland liegt auf einem aktiven Vulkanfeld mit 53 Einzelvulkanen; der letzte Ausbruch (Rangitoto) liegt rund 600 Jahre zurück, Geologen schätzen die jährliche Ausbruchswahrscheinlichkeit auf etwa 1:1.000. Beim Wohnen ist Auckland die teuerste der vier Regionen: Miete rund 635 NZD pro Woche, Kaufmedian 950.000 NZD, ein Einzimmerapartment im Zentrum kostet 2.170 bis 2.820 NZD im Monat. Der Jobmarkt ist dafür der breiteste des Landes – Finanz- und Versicherungsdienstleistungen sowie Informationsmedien und Telekommunikation zählen zu den produktivsten Branchen der Stadt, 12 % der Beschäftigten arbeiten in wissenschaftlich-technischen Dienstleistungen, und die Innenstadt erreicht landesweit die höchste Arbeitsproduktivität. Softwareentwickler verdienen bundesweit im Schnitt 78.955 NZD im Jahr, Berufseinsteiger mit unter einem Jahr Erfahrung rund 56.018 NZD; erfahrene Senior-Ingenieure in etablierten Firmen in Auckland oder Wellington kommen auf 140.000 bis 170.000 NZD, in Spezialrollen auf 180.000 bis 220.000 NZD. Für die deutsche Community sorgt ein Honorarkonsul (HSBC Tower, Quay Street); eine eigene deutsche Auslandsschule gibt es nicht, nur eine deutsche Spielgruppe, das Goethe-Institut ist von Wellington aus zuständig.</w:t>
      </w:r>
    </w:p>
    <w:p>
      <w:pPr>
        <w:pStyle w:val="Normal"/>
        <w:keepNext w:val="false"/>
        <w:keepLines w:val="false"/>
        <w:spacing w:lineRule="exact" w:line="288" w:before="0" w:after="140"/>
        <w:jc w:val="left"/>
        <w:rPr/>
      </w:pPr>
      <w:r>
        <w:rPr>
          <w:rFonts w:eastAsia="Cambria" w:cs="Cambria"/>
          <w:b/>
          <w:bCs/>
          <w:i w:val="false"/>
          <w:iCs w:val="false"/>
          <w:sz w:val="22"/>
          <w:szCs w:val="22"/>
        </w:rPr>
        <w:t>Wellington</w:t>
      </w:r>
      <w:r>
        <w:rPr>
          <w:rFonts w:eastAsia="Cambria" w:cs="Cambria"/>
          <w:b w:val="false"/>
          <w:bCs w:val="false"/>
          <w:i w:val="false"/>
          <w:iCs w:val="false"/>
          <w:sz w:val="22"/>
          <w:szCs w:val="22"/>
        </w:rPr>
        <w:t xml:space="preserve"> ist mild-gemäßigt und maritim geprägt, mit vergleichsweise geringen Temperaturschwankungen – dafür aber ein Wetterphänomen, das kaum ein Neuankömmling erwartet: Wellington gilt als windigste Hauptstadt der Welt, mit im Schnitt über 26 km/h Durchschnittswindgeschwindigkeit und an rund 160 Tagen im Jahr Böen ab 63 km/h, verursacht durch den Trichtereffekt der Cook Strait zwischen Nord- und Südinsel. Sommer sind mild (19 bis 24 °C, nur selten über 30 °C), Winter (Juni bis August) nass und unbeständig. Das eigentliche Naturgefahren-Risiko liegt aber unter der Erde: Wellington sitzt direkt auf der Kollisionszone zweier tektonischer Platten, die Wellington-Verwerfung (170 Kilometer lang, Stärke bis Mw 8, Wiederkehrintervall 500 bis 1.120 Jahre) gilt als eine der größten Naturgefahren des Landes, dazu kommen die Ohariu-Verwerfung und die vorgelagerte Hikurangi-Subduktionszone – Neuseelands größte und aktivste Verwerfung mit Erdbeben- und Tsunamirisiko. Beim Wohnen ist Wellington rund 20 bis 25 % günstiger als Auckland: Miete rund 600 NZD pro Woche, ein stadtspezifischer Kaufpreis ist nicht gesondert ermittelt, das Jahreswachstum lag Ende 2025 bei nur 1,4 %. Der Jobmarkt wird vom öffentlichen Dienst geprägt – 2026 unter Spardruck mit Einstellungsstopps –, daneben wächst eine Tech- und Startup-Szene mit Schwerpunkt auf Governance- und „Responsible AI“-Rahmenwerken, die Anfang 2026 deutliche Erholungssignale zeigte, auch wenn erfahrene Fachkräfte gleichzeitig ins Ausland abwandern und den lokalen Talentpool verengen. Wellington ist Sitz der deutschen Botschaft, hat ein Goethe-Institut sowie die German School Wellington (Newtown, Ergänzungsschule) und eine deutsche Spielgruppe.</w:t>
      </w:r>
    </w:p>
    <w:p>
      <w:pPr>
        <w:pStyle w:val="Normal"/>
        <w:keepNext w:val="false"/>
        <w:keepLines w:val="false"/>
        <w:spacing w:lineRule="exact" w:line="288" w:before="0" w:after="140"/>
        <w:jc w:val="left"/>
        <w:rPr/>
      </w:pPr>
      <w:r>
        <w:rPr>
          <w:rFonts w:eastAsia="Cambria" w:cs="Cambria"/>
          <w:b/>
          <w:bCs/>
          <w:i w:val="false"/>
          <w:iCs w:val="false"/>
          <w:sz w:val="22"/>
          <w:szCs w:val="22"/>
        </w:rPr>
        <w:t>Christchurch</w:t>
      </w:r>
      <w:r>
        <w:rPr>
          <w:rFonts w:eastAsia="Cambria" w:cs="Cambria"/>
          <w:b w:val="false"/>
          <w:bCs w:val="false"/>
          <w:i w:val="false"/>
          <w:iCs w:val="false"/>
          <w:sz w:val="22"/>
          <w:szCs w:val="22"/>
        </w:rPr>
        <w:t xml:space="preserve"> ist kühl-gemäßigt, mit deutlicheren jahreszeitlichen Unterschieden als in Auckland oder Wellington. Das Naturgefahren-Profil ist durch die Erdbebenserie von 2010/2011 geprägt: Das Beben vom 4. September 2010 (Stärke 7,1) und vor allem das vom 22. Februar 2011 (Stärke 6,3, nur 4 Kilometer Tiefe) gelten inflationsbereinigt mit rund 54,8 Mrd. NZD Schaden als teuerste Naturkatastrophe der neuseeländischen Geschichte – 185 Todesopfer, 10.000 Häuser mussten wiederaufgebaut, 3.500 abgerissen werden. Vor 2010 war die Verwerfung unter der Canterbury-Ebene den Geologen nicht einmal bekannt – ein Warnsignal, dass auch scheinbar ruhige Regionen Neuseelands Erdbebenrisiko tragen. Beim Wohnen ist Christchurch die günstigste der drei großen Städte: Miete rund 660 NZD pro Woche für 3- bis 4-Zimmer-Häuser (ein anderer Wohnungszuschnitt als bei den Auckland- und Wellington-Werten, daher nur bedingt vergleichbar), Kaufmedian 735.000 NZD; die Lebenshaltungskosten liegen mit rund 1.800 NZD pro Monat und Person nahe am Landesdurchschnitt, ein Einzimmerapartment im Zentrum kostet 1.300 bis 1.950 NZD im Monat. Der Jobmarkt lebt vom Nachwirken des Wiederaufbaus: Ingenieurwesen, Bauwirtschaft und Fertigung sind Kernstärken, zunehmend auch Agrartechnologie und luftfahrtnahe Industrie; die Kampagne „Christchurch is Hiring“ wirbt branchenübergreifend, und Prognosen rechnen mit zusätzlich rund 70.000 benötigten Arbeitskräften in den nächsten 15 Jahren, allein um das derzeitige Wirtschaftswachstum bei alternder Bevölkerung zu halten. Ingenieure verdienen bundesweit im Schnitt 92.035 NZD im Jahr, Cloud- und Infrastruktur-Ingenieure als IT-nahe Spezialrolle 95.000 bis 140.000 NZD. Vor Ort vertritt ein Honorarkonsul die deutschen Interessen; ein eigenes Goethe-Institut oder eine deutsche Schule sind vor Ort nicht bekannt.</w:t>
      </w:r>
    </w:p>
    <w:p>
      <w:pPr>
        <w:pStyle w:val="Normal"/>
        <w:keepNext w:val="false"/>
        <w:keepLines w:val="false"/>
        <w:spacing w:lineRule="exact" w:line="288" w:before="0" w:after="140"/>
        <w:jc w:val="left"/>
        <w:rPr/>
      </w:pPr>
      <w:r>
        <w:rPr>
          <w:rFonts w:eastAsia="Cambria" w:cs="Cambria"/>
          <w:b/>
          <w:bCs/>
          <w:i w:val="false"/>
          <w:iCs w:val="false"/>
          <w:sz w:val="22"/>
          <w:szCs w:val="22"/>
        </w:rPr>
        <w:t>Queenstown und die Region Otago</w:t>
      </w:r>
      <w:r>
        <w:rPr>
          <w:rFonts w:eastAsia="Cambria" w:cs="Cambria"/>
          <w:b w:val="false"/>
          <w:bCs w:val="false"/>
          <w:i w:val="false"/>
          <w:iCs w:val="false"/>
          <w:sz w:val="22"/>
          <w:szCs w:val="22"/>
        </w:rPr>
        <w:t xml:space="preserve"> liegen alpin-kontinental im ausgeprägten Regenschatten der Southern Alps: Während die Westseite der Alpen 6.000 bis 10.000 Millimeter Niederschlag im Jahr abbekommt, fallen in Queenstown selbst nur rund 860 Millimeter. Was Deutsche überrascht, sind die für neuseeländische Verhältnisse extremen Temperaturspannen – Wintertiefstwerte bis −10 °C, Sommerhöchstwerte über 33 °C, beides selten, aber möglich. Naturgefahren sind hier eher alpin als tektonisch: Das Mountain Safety Council warnt bei starkem Schneefall regelmäßig vor natürlich und menschlich ausgelösten Lawinen in den Southern Alps, dazu kommt ein moderates Hochwasserrisiko – 1999 etwa überflutete ein Hochwasser die Innenstadt von Queenstown und die Straßeninfrastruktur, Schaden rund 50 Mio. NZD. Eigene REINZ- oder MBIE-Werte für die Stadt selbst gibt es nicht; die weitere Region Otago verzeichnete beim Kaufpreis zuletzt mit 755.000 NZD (+13,2 %) den stärksten Anstieg im ganzen Land, die Wochenmiete liegt lokal bei 730 NZD und mehr – die höchste der vier Regionen. Der Jobmarkt ist stark saisongeprägt und vom Tourismus abhängig: Skigebiete wie The Remarkables, Cardrona und Coronet Peak im Winter, Wander- und Wassersporttourismus im Sommer, dazu ein Wechselspiel mit der Obsternte im nahen Central Otago; zunehmend diversifiziert sich die Region auch in Tech-Startups, Filmproduktion und eine wachsende Weinindustrie. Konsularisch ist hier das Honorarkonsulat Christchurch beziehungsweise die Botschaft Wellington zuständig; eine eigene deutsche Institution vor Ort ist nicht bekannt.</w:t>
      </w:r>
    </w:p>
    <w:tbl>
      <w:tblPr>
        <w:tblW w:w="6480" w:type="dxa"/>
        <w:jc w:val="left"/>
        <w:tblInd w:w="0" w:type="dxa"/>
        <w:tblLayout w:type="fixed"/>
        <w:tblCellMar>
          <w:top w:w="50" w:type="dxa"/>
          <w:left w:w="80" w:type="dxa"/>
          <w:bottom w:w="50" w:type="dxa"/>
          <w:right w:w="80" w:type="dxa"/>
        </w:tblCellMar>
      </w:tblPr>
      <w:tblGrid>
        <w:gridCol w:w="949"/>
        <w:gridCol w:w="1860"/>
        <w:gridCol w:w="1511"/>
        <w:gridCol w:w="2159"/>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Ort</w:t>
            </w:r>
          </w:p>
        </w:tc>
        <w:tc>
          <w:tcPr>
            <w:tcW w:w="18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Klima und Naturgefahr</w:t>
            </w:r>
          </w:p>
        </w:tc>
        <w:tc>
          <w:tcPr>
            <w:tcW w:w="151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Kosten (Miete NZD/Woche · Kaufmedian)</w:t>
            </w:r>
          </w:p>
        </w:tc>
        <w:tc>
          <w:tcPr>
            <w:tcW w:w="215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Jobmarkt-Stärke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Auckland</w:t>
            </w:r>
          </w:p>
        </w:tc>
        <w:tc>
          <w:tcPr>
            <w:tcW w:w="18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subtropisch-feucht, Starkregen- und Vulkanrisiko</w:t>
            </w:r>
          </w:p>
        </w:tc>
        <w:tc>
          <w:tcPr>
            <w:tcW w:w="15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635 · 950.000</w:t>
            </w:r>
          </w:p>
        </w:tc>
        <w:tc>
          <w:tcPr>
            <w:tcW w:w="21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Finanzen, Medien/Telekom, breiter Dienstleistungsmarkt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Wellington</w:t>
            </w:r>
          </w:p>
        </w:tc>
        <w:tc>
          <w:tcPr>
            <w:tcW w:w="18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windig, mild-maritim, Erdbebenrisiko</w:t>
            </w:r>
          </w:p>
        </w:tc>
        <w:tc>
          <w:tcPr>
            <w:tcW w:w="15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600 · n. e.</w:t>
            </w:r>
          </w:p>
        </w:tc>
        <w:tc>
          <w:tcPr>
            <w:tcW w:w="21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Regierung/Verwaltung, Tech/Governance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Christchurch</w:t>
            </w:r>
          </w:p>
        </w:tc>
        <w:tc>
          <w:tcPr>
            <w:tcW w:w="18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kühl-gemäßigt, Erdbebenrisiko (2010/11)</w:t>
            </w:r>
          </w:p>
        </w:tc>
        <w:tc>
          <w:tcPr>
            <w:tcW w:w="15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660 (3–4-Zi-Haus) · 735.000</w:t>
            </w:r>
          </w:p>
        </w:tc>
        <w:tc>
          <w:tcPr>
            <w:tcW w:w="21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Ingenieurwesen, Bau, Agritech</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Queenstown/Otago</w:t>
            </w:r>
          </w:p>
        </w:tc>
        <w:tc>
          <w:tcPr>
            <w:tcW w:w="18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alpin, Regenschatten, Lawinenrisiko</w:t>
            </w:r>
          </w:p>
        </w:tc>
        <w:tc>
          <w:tcPr>
            <w:tcW w:w="151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730+ · 755.000 (Region Otago)</w:t>
            </w:r>
          </w:p>
        </w:tc>
        <w:tc>
          <w:tcPr>
            <w:tcW w:w="215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Tourismus, zunehmend Tech/Wein</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Naturgefahren sind in Neuseeland kein Randthema, sondern ein Versicherungsposten. Die staatliche </w:t>
            </w:r>
            <w:r>
              <w:rPr>
                <w:rFonts w:eastAsia="Cambria" w:cs="Cambria"/>
                <w:b w:val="false"/>
                <w:bCs w:val="false"/>
                <w:i/>
                <w:iCs/>
                <w:sz w:val="20"/>
                <w:szCs w:val="20"/>
              </w:rPr>
              <w:t>Natural Hazards Commission Toka Tū Ake</w:t>
            </w:r>
            <w:r>
              <w:rPr>
                <w:rFonts w:eastAsia="Cambria" w:cs="Cambria"/>
                <w:b w:val="false"/>
                <w:bCs w:val="false"/>
                <w:i w:val="false"/>
                <w:iCs w:val="false"/>
                <w:sz w:val="20"/>
                <w:szCs w:val="20"/>
              </w:rPr>
              <w:t xml:space="preserve"> (früher EQC) übernimmt bei einem anerkannten Erdbebenschaden am Wohnhaus die ersten 300.000 NZD – vorausgesetzt, eine private Wohngebäudeversicherung mit Feuerschutz besteht bereits. Das staatliche System ergänzt die private Versicherung, ersetzt sie aber nicht. Die Umlage dafür ist über die Hausversicherung gedeckelt bei 480 NZD zzgl. Mehrwertsteuer pro Jahr. Hol dir vor jedem Kauf ein konkretes Angebot für genau dieses Grundstück ein, nicht erst danach.</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Neben Miete oder Kaufpreis unterscheiden sich die vier Regionen bei Auto, Kinderbetreuung und alltäglichen Lebenshaltungskosten spürbar weniger stark als beim Wohnen selbst. Wer aus einer deutschen Großstadt ohne eigenes Auto kommt, sollte trotzdem außerhalb der jeweiligen Innenstadt in praktisch allen vier Regionen ein eigenes Fahrzeug einplanen – Details zu Führerschein-Umtausch, Autokauf und Kfz-Versicherung erklärt das </w:t>
      </w:r>
      <w:hyperlink w:anchor="tnz10">
        <w:r>
          <w:rPr>
            <w:rStyle w:val="ListLabel113"/>
            <w:rFonts w:eastAsia="Cambria" w:cs="Cambria"/>
            <w:b w:val="false"/>
            <w:bCs w:val="false"/>
            <w:i w:val="false"/>
            <w:iCs w:val="false"/>
            <w:color w:val="0563C1"/>
            <w:sz w:val="22"/>
            <w:szCs w:val="22"/>
            <w:u w:val="single"/>
          </w:rPr>
          <w:t>Kapitel zu Führerschein, Auto und Verkehrsregeln in diesem Teil</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Kaution gesetzlich auf vier Wochenmieten gedeckelt, treuhänderisch bei Tenancy Services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Auckland und Wellington mit hohem Wettbewerb um gute Mietwohnungen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Vermittlungsgebühren für Mieter seit 2018 verboten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Bestandsimmobilien-Kauf für die meisten Einwanderer erst nach Erfüllung aller vier „ordinarily resident“-Kriterien möglich</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Christchurch bietet klar günstigeren Wohnraum und aktive Fachkräfte-Werbung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Erdbeben-, Überschwemmungs- und Vulkanrisiko unterscheiden sich stark von Region zu Region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Staatliche Toka-Tū-Ake-Deckung ergänzt die private Erdbebenversicherung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Deckung von 300.000 NZD ersetzt keine ausreichende private Wohngebäudeversicherung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Australische und singapurische Staatsangehörige haben eine Sonderregel beim Hauskauf</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Für Deutsche gilt keine der Ausnahmeregeln vom Kaufverbot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Jede Region hat ein gut dokumentiertes Naturgefahren-Profil, das sich recherchieren lässt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Queenstown/Otago ohne eigene isolierte Miet- oder Kaufstatistik, nur über die Gesamtregion abschätzbar</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Vergleiche vor der Zusage nicht nur das Gehalt, sondern die Kombination aus Miet- oder Kaufniveau, Jobmarkt im eigenen Berufsfeld und Naturgefahren-Profil der Zielregion. Kläre früh, ob und wann du die vier „ordinarily resident“-Kriterien erfüllst – das entscheidet, ob und wann ein Hauskauf überhaupt infrage kommt, unabhängig vom verfügbaren Kapital. Miete zunächst, auch wenn dich ein Kauf reizt: Du lernst Viertel, Schule und Erdbebensicherheit des Hauses aus eigener Erfahrung kennen, statt dich unter Zeitdruck auf eine Entscheidung einzulassen, die dir das Gesetz ohnehin noch nicht erlaubt. Sprich außerdem frühzeitig mit einem Versicherungsmakler über die Kombination aus privater Wohngebäudeversicherung und der staatlichen Toka-Tū-Ake-Deckung – gerade in Wellington und Christchurch ist das keine Formsache, sondern ein Posten, der die monatliche Kalkulation spürbar verändern kann.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„Ordinarily resident“-Status geprüft: Visum, 12 Monate Aufenthalt, 183-Tage-Regel und Steuerresidenz alle vier erfüllt?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Unterlagen für Mietbewerbungen vorbereitet: Einkommensnachweis, Arbeitsvertrag, Referenzen früherer Vermieter</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Kautionshöhe (max. vier Wochenmieten) und Hinterlegung bei Tenancy Services verstanden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Miet- und Kaufpreise mehrerer Regionen im eigenen Berufsfeld verglichen, nicht nur Auckland</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Naturgefahren-Profil der Zielregion recherchiert (Erdbeben, Überschwemmung, Vulkan, Lawine)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Private Wohngebäudeversicherung mit Feuerschutz und Toka-Tū-Ake-Deckung abgeglichen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Kaufabsicht: auf Immobilienrecht spezialisierten Solicitor kontaktiert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Entschieden, mindestens die ersten ein bis zwei Jahre zu mieten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Tenancy Services — Kaution, Mietrecht, Bond Hub (</w:t>
      </w:r>
      <w:hyperlink r:id="rId706">
        <w:r>
          <w:rPr>
            <w:rStyle w:val="ListLabel113"/>
            <w:rFonts w:eastAsia="Cambria" w:cs="Cambria"/>
            <w:b w:val="false"/>
            <w:bCs w:val="false"/>
            <w:i w:val="false"/>
            <w:iCs w:val="false"/>
            <w:color w:val="0563C1"/>
            <w:sz w:val="22"/>
            <w:szCs w:val="22"/>
            <w:u w:val="single"/>
          </w:rPr>
          <w:t>tenancy.govt.nz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Land Information New Zealand (LINZ) — Overseas Investment Act, „ordinarily resident“-Kriterien (</w:t>
      </w:r>
      <w:hyperlink r:id="rId707">
        <w:r>
          <w:rPr>
            <w:rStyle w:val="ListLabel113"/>
            <w:rFonts w:eastAsia="Cambria" w:cs="Cambria"/>
            <w:b w:val="false"/>
            <w:bCs w:val="false"/>
            <w:i w:val="false"/>
            <w:iCs w:val="false"/>
            <w:color w:val="0563C1"/>
            <w:sz w:val="22"/>
            <w:szCs w:val="22"/>
            <w:u w:val="single"/>
          </w:rPr>
          <w:t>linz.govt.nz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REINZ — monatliche Kaufpreisberichte (</w:t>
      </w:r>
      <w:hyperlink r:id="rId708">
        <w:r>
          <w:rPr>
            <w:rStyle w:val="ListLabel113"/>
            <w:rFonts w:eastAsia="Cambria" w:cs="Cambria"/>
            <w:b w:val="false"/>
            <w:bCs w:val="false"/>
            <w:i w:val="false"/>
            <w:iCs w:val="false"/>
            <w:color w:val="0563C1"/>
            <w:sz w:val="22"/>
            <w:szCs w:val="22"/>
            <w:u w:val="single"/>
          </w:rPr>
          <w:t>reinz.co.nz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Natural Hazards Commission Toka Tū Ake — Erdbebenversicherung (</w:t>
      </w:r>
      <w:hyperlink r:id="rId709">
        <w:r>
          <w:rPr>
            <w:rStyle w:val="ListLabel113"/>
            <w:rFonts w:eastAsia="Cambria" w:cs="Cambria"/>
            <w:b w:val="false"/>
            <w:bCs w:val="false"/>
            <w:i w:val="false"/>
            <w:iCs w:val="false"/>
            <w:color w:val="0563C1"/>
            <w:sz w:val="22"/>
            <w:szCs w:val="22"/>
            <w:u w:val="single"/>
          </w:rPr>
          <w:t>naturalhazards.govt.nz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Deutsche Botschaft Wellington und Honorarkonsulate — Vertretungen vor Ort (</w:t>
      </w:r>
      <w:hyperlink r:id="rId710">
        <w:r>
          <w:rPr>
            <w:rStyle w:val="ListLabel113"/>
            <w:rFonts w:eastAsia="Cambria" w:cs="Cambria"/>
            <w:b w:val="false"/>
            <w:bCs w:val="false"/>
            <w:i w:val="false"/>
            <w:iCs w:val="false"/>
            <w:color w:val="0563C1"/>
            <w:sz w:val="22"/>
            <w:szCs w:val="22"/>
            <w:u w:val="single"/>
          </w:rPr>
          <w:t>wellington.diplo.de</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(Schreibdatum 23. September 2026). Miet- und Kaufpreise ändern sich monatlich merklich, ebenso die Kriterien und Ausnahmen des Overseas Investment Act und die Umlagehöhe der Natural Hazards Commission. Prüfe vor jeder Entscheidung die offiziellen Seiten und aktuelle Marktberichte.</w:t>
            </w:r>
          </w:p>
        </w:tc>
      </w:tr>
    </w:tbl>
    <w:p>
      <w:pPr>
        <w:pStyle w:val="Normal"/>
        <w:spacing w:lineRule="exact" w:line="220" w:before="0" w:after="0"/>
        <w:rPr/>
      </w:pPr>
      <w:r>
        <w:rPr/>
      </w:r>
      <w:r>
        <w:br w:type="page"/>
      </w:r>
    </w:p>
    <w:p>
      <w:pPr>
        <w:pStyle w:val="Heading2"/>
        <w:keepNext w:val="true"/>
        <w:spacing w:before="0" w:after="300"/>
        <w:jc w:val="center"/>
        <w:rPr/>
      </w:pPr>
      <w:bookmarkStart w:id="188" w:name="__RefHeading___Toc56619_3769931028"/>
      <w:bookmarkStart w:id="189" w:name="tnz10"/>
      <w:bookmarkEnd w:id="188"/>
      <w:r>
        <w:rPr>
          <w:rFonts w:eastAsia="Amazon Ember" w:cs="Amazon Ember" w:ascii="Amazon Ember" w:hAnsi="Amazon Ember"/>
          <w:b/>
          <w:bCs/>
          <w:color w:val="0000FF"/>
          <w:sz w:val="36"/>
          <w:szCs w:val="36"/>
        </w:rPr>
        <w:t>Neuseeland: Führerschein, Auto und Verkehrsregeln</w:t>
      </w:r>
      <w:bookmarkEnd w:id="189"/>
    </w:p>
    <w:p>
      <w:pPr>
        <w:pStyle w:val="Normal"/>
        <w:keepNext w:val="false"/>
        <w:keepLines w:val="false"/>
        <w:spacing w:lineRule="exact" w:line="288" w:before="0" w:after="140"/>
        <w:jc w:val="left"/>
        <w:rPr/>
      </w:pPr>
      <w:r>
        <w:rPr>
          <w:rFonts w:eastAsia="Cambria" w:cs="Cambria"/>
          <w:b w:val="false"/>
          <w:bCs w:val="false"/>
          <w:i w:val="false"/>
          <w:iCs w:val="false"/>
          <w:sz w:val="22"/>
          <w:szCs w:val="22"/>
        </w:rPr>
        <w:t>Du stehst am Mietwagenschalter des Flughafens Auckland und brauchst einen Moment, um zu begreifen, warum der Wagen, den man dir gerade zeigt, so seltsam wirkt: Das Lenkrad sitzt rechts. Zehn Minuten später, in deinem ersten Kreisverkehr im neuen Land, fährst du im Uhrzeigersinn, findest den Blinkerhebel auf der falschen Seite des Lenkrads und aktivierst stattdessen zweimal den Scheibenwischer – bei strahlendem Sonnenschein. Der Wagen nimmt es gelassen hin, ganz so, wie es sich für ein Land gehört, in dem „she’ll be right“ (etwa: „wird schon irgendwie“) eine ernstgemeinte Lebenshaltung ist. Wer nach Neuseeland auswandert, muss nicht nur einen neuen Führerschein besorgen, sondern buchstäblich neu fahren lernen – und genau darum geht es in diesem Kapitel.</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Deutschland zählt zu den </w:t>
            </w:r>
            <w:r>
              <w:rPr>
                <w:rFonts w:eastAsia="Cambria" w:cs="Cambria"/>
                <w:b w:val="false"/>
                <w:bCs w:val="false"/>
                <w:i/>
                <w:iCs/>
                <w:sz w:val="20"/>
                <w:szCs w:val="20"/>
              </w:rPr>
              <w:t>exempt countries</w:t>
            </w:r>
            <w:r>
              <w:rPr>
                <w:rFonts w:eastAsia="Cambria" w:cs="Cambria"/>
                <w:b w:val="false"/>
                <w:bCs w:val="false"/>
                <w:i w:val="false"/>
                <w:iCs w:val="false"/>
                <w:sz w:val="20"/>
                <w:szCs w:val="20"/>
              </w:rPr>
              <w:t xml:space="preserve"> (den von der Prüfungspflicht befreiten Ländern): Mit einem seit mindestens 2 Jahren gültigen vollen Pkw-Führerschein tauschst du ihn ohne Theorie- oder Praxisprüfung um.</w:t>
            </w:r>
          </w:p>
          <w:p>
            <w:pPr>
              <w:pStyle w:val="ListParagraph"/>
              <w:numPr>
                <w:ilvl w:val="0"/>
                <w:numId w:val="1"/>
              </w:numPr>
              <w:spacing w:lineRule="exact" w:line="264" w:before="0" w:after="50"/>
              <w:rPr/>
            </w:pPr>
            <w:r>
              <w:rPr>
                <w:rFonts w:eastAsia="Cambria" w:cs="Cambria"/>
                <w:b w:val="false"/>
                <w:bCs w:val="false"/>
                <w:i w:val="false"/>
                <w:iCs w:val="false"/>
                <w:sz w:val="20"/>
                <w:szCs w:val="20"/>
              </w:rPr>
              <w:t>Ohne Umtausch darfst du aktuell (Stand September 2026) bis zu 18 Monate ab deiner letzten Einreise mit dem deutschen Führerschein fahren – eine befristete Verlängerung der ursprünglichen 12-Monats-Frist, die absehbar wieder zurückgenommen wird.</w:t>
            </w:r>
          </w:p>
          <w:p>
            <w:pPr>
              <w:pStyle w:val="ListParagraph"/>
              <w:numPr>
                <w:ilvl w:val="0"/>
                <w:numId w:val="1"/>
              </w:numPr>
              <w:spacing w:lineRule="exact" w:line="264" w:before="0" w:after="50"/>
              <w:rPr/>
            </w:pPr>
            <w:r>
              <w:rPr>
                <w:rFonts w:eastAsia="Cambria" w:cs="Cambria"/>
                <w:b w:val="false"/>
                <w:bCs w:val="false"/>
                <w:i w:val="false"/>
                <w:iCs w:val="false"/>
                <w:sz w:val="20"/>
                <w:szCs w:val="20"/>
              </w:rPr>
              <w:t>Der wichtigste Punkt überhaupt: Neuseeland fährt auf der linken Straßenseite, wie Australien und Großbritannien. Das betrifft Kreisverkehre, Blinkerhebel und vor allem deinen Blick an der Kreuzung.</w:t>
            </w:r>
          </w:p>
          <w:p>
            <w:pPr>
              <w:pStyle w:val="ListParagraph"/>
              <w:numPr>
                <w:ilvl w:val="0"/>
                <w:numId w:val="1"/>
              </w:numPr>
              <w:spacing w:lineRule="exact" w:line="264" w:before="0" w:after="50"/>
              <w:rPr/>
            </w:pPr>
            <w:r>
              <w:rPr>
                <w:rFonts w:eastAsia="Cambria" w:cs="Cambria"/>
                <w:b w:val="false"/>
                <w:bCs w:val="false"/>
                <w:i w:val="false"/>
                <w:iCs w:val="false"/>
                <w:sz w:val="20"/>
                <w:szCs w:val="20"/>
              </w:rPr>
              <w:t>Seit der „Give-Way“-Reform vom 25. März 2012 hat abbiegender Verkehr nicht mehr automatisch Vorrang; die Regeln ähneln seither stärker den deutschen.</w:t>
            </w:r>
          </w:p>
          <w:p>
            <w:pPr>
              <w:pStyle w:val="ListParagraph"/>
              <w:numPr>
                <w:ilvl w:val="0"/>
                <w:numId w:val="1"/>
              </w:numPr>
              <w:spacing w:lineRule="exact" w:line="264" w:before="0" w:after="50"/>
              <w:rPr/>
            </w:pPr>
            <w:r>
              <w:rPr>
                <w:rFonts w:eastAsia="Cambria" w:cs="Cambria"/>
                <w:b w:val="false"/>
                <w:bCs w:val="false"/>
                <w:i w:val="false"/>
                <w:iCs w:val="false"/>
                <w:sz w:val="20"/>
                <w:szCs w:val="20"/>
              </w:rPr>
              <w:t>Viele Straßen sind unbefestigt, viele Brücken einspurig – beides mit eigenen Vorfahrtsregeln.</w:t>
            </w:r>
          </w:p>
          <w:p>
            <w:pPr>
              <w:pStyle w:val="ListParagraph"/>
              <w:numPr>
                <w:ilvl w:val="0"/>
                <w:numId w:val="1"/>
              </w:numPr>
              <w:spacing w:lineRule="exact" w:line="264" w:before="0" w:after="50"/>
              <w:rPr/>
            </w:pPr>
            <w:r>
              <w:rPr>
                <w:rFonts w:eastAsia="Cambria" w:cs="Cambria"/>
                <w:b w:val="false"/>
                <w:bCs w:val="false"/>
                <w:i w:val="false"/>
                <w:iCs w:val="false"/>
                <w:sz w:val="20"/>
                <w:szCs w:val="20"/>
              </w:rPr>
              <w:t>Alkoholgrenze: 0,05 % für Fahrer ab 20 Jahren, 0,00 % darunter. Handy am Steuer ist grundsätzlich verboten, auch freihändig für Fahranfänger.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Führerschein-Umtausch: Deutschland als „exempt country“</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neuseeländische Verkehrsbehörde NZTA (</w:t>
      </w:r>
      <w:r>
        <w:rPr>
          <w:rFonts w:eastAsia="Cambria" w:cs="Cambria"/>
          <w:b w:val="false"/>
          <w:bCs w:val="false"/>
          <w:i/>
          <w:iCs/>
          <w:sz w:val="22"/>
          <w:szCs w:val="22"/>
        </w:rPr>
        <w:t>New Zealand Transport Agency Waka Kotahi</w:t>
      </w:r>
      <w:r>
        <w:rPr>
          <w:rFonts w:eastAsia="Cambria" w:cs="Cambria"/>
          <w:b w:val="false"/>
          <w:bCs w:val="false"/>
          <w:i w:val="false"/>
          <w:iCs w:val="false"/>
          <w:sz w:val="22"/>
          <w:szCs w:val="22"/>
        </w:rPr>
        <w:t xml:space="preserve">) führt eine Liste von Ländern, deren Führerscheine sie als gleichwertig anerkennt – die </w:t>
      </w:r>
      <w:r>
        <w:rPr>
          <w:rFonts w:eastAsia="Cambria" w:cs="Cambria"/>
          <w:b w:val="false"/>
          <w:bCs w:val="false"/>
          <w:i/>
          <w:iCs/>
          <w:sz w:val="22"/>
          <w:szCs w:val="22"/>
        </w:rPr>
        <w:t>exempt countries</w:t>
      </w:r>
      <w:r>
        <w:rPr>
          <w:rFonts w:eastAsia="Cambria" w:cs="Cambria"/>
          <w:b w:val="false"/>
          <w:bCs w:val="false"/>
          <w:i w:val="false"/>
          <w:iCs w:val="false"/>
          <w:sz w:val="22"/>
          <w:szCs w:val="22"/>
        </w:rPr>
        <w:t xml:space="preserve">. Deutschland gehört dazu, ebenso Österreich, die Schweiz, Frankreich, die Niederlande, Japan, Kanada, Australien, die USA, Südkorea und rund ein Dutzend weitere Staaten. Wer seinen vollen Pkw-Führerschein seit mindestens 2 Jahren besitzt, kann ihn bei einer autorisierten Umtauschstelle – unter anderem ausgewählten Standorten der </w:t>
      </w:r>
      <w:r>
        <w:rPr>
          <w:rFonts w:eastAsia="Cambria" w:cs="Cambria"/>
          <w:b w:val="false"/>
          <w:bCs w:val="false"/>
          <w:i/>
          <w:iCs/>
          <w:sz w:val="22"/>
          <w:szCs w:val="22"/>
        </w:rPr>
        <w:t>Automobile Association</w:t>
      </w:r>
      <w:r>
        <w:rPr>
          <w:rFonts w:eastAsia="Cambria" w:cs="Cambria"/>
          <w:b w:val="false"/>
          <w:bCs w:val="false"/>
          <w:i w:val="false"/>
          <w:iCs w:val="false"/>
          <w:sz w:val="22"/>
          <w:szCs w:val="22"/>
        </w:rPr>
        <w:t xml:space="preserve"> (AA) – ohne Wissens- oder Fahrprüfung in einen neuseeländischen Führerschein umtauschen.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Wichtig ist der Nachweis: Das Ausstellungsdatum deines deutschen Führerscheins muss eindeutig belegen, dass er älter als 2 Jahre ist. Steht das nicht klar auf der Karte, brauchst du entweder eine Zusatzbescheinigung der ausstellenden deutschen Behörde oder musst die praktische Prüfung doch ablegen. Vorzulegen sind der physische Original-Führerschein sowie eine von der NZTA anerkannte englische Übersetzung; besorge diese am besten schon in Deutschland, nicht erst nach der Landung, wenn ohnehin ein Dutzend andere Behördengänge auf dich warten.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Kläre die englische Übersetzung deines Führerscheins und, falls nötig, eine Bescheinigung des Ausstellungsdatums bereits vor dem Abflug mit deiner deutschen Führerscheinstelle. Das erspart dir in Neuseeland einen zusätzlichen Behördengang und mögliche Wartezeit.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den Umtausch nicht sofort erledigt, darf laut aktueller NZTA-Regel bis zu 18 Monate ab der letzten Einreise mit dem deutschen Führerschein weiterfahren. Diese 18 Monate sind allerdings eine befristete Verlängerung der ursprünglich geltenden 12-Monats-Frist und sollen nach einer Übergangszeit von rund 2 Jahren wieder auf 12 Monate zurückgehen – eine Sekundärquelle nennt konkret den 1. November 2026 als Rückkehr-Termin, was an der NZTA-Originalseite nicht bestätigt ist. Für Motorrad- und Lkw-Führerscheine gilt unabhängig davon weiterhin die 12-Monats-Frist.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Verlasse dich nicht auf eine feste Zahl von Monaten, ohne sie kurz vor deiner Reise auf nzta.govt.nz gegenzuprüfen. Übergangsregeln wie diese ändern sich in Neuseeland öfter, als man in Deutschland erwarten würde – und „das war letztes Jahr noch anders“ ist ein Satz, den du hier öfter hörst, als dir lieb ist.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Zur Gebührenhöhe des Umtauschs lässt sich derzeit nichts Verlässliches sagen: Die NZTA verweist auf eine dynamische Gebührenseite, die sich erfahrungsgemäß von Jahr zu Jahr ändert. Rechne mit einem überschaubaren, aber nicht ganz zu vernachlässigenden Betrag und prüfe die aktuelle Höhe direkt bei der Umtauschstelle.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Ablauf selbst ist überschaubar:</w:t>
      </w:r>
    </w:p>
    <w:p>
      <w:pPr>
        <w:pStyle w:val="ListParagraph"/>
        <w:numPr>
          <w:ilvl w:val="0"/>
          <w:numId w:val="243"/>
        </w:numPr>
        <w:spacing w:lineRule="exact" w:line="288" w:before="0" w:after="60"/>
        <w:rPr/>
      </w:pPr>
      <w:r>
        <w:rPr>
          <w:rFonts w:eastAsia="Cambria" w:cs="Cambria"/>
          <w:b/>
          <w:bCs/>
          <w:i w:val="false"/>
          <w:iCs w:val="false"/>
          <w:sz w:val="22"/>
          <w:szCs w:val="22"/>
        </w:rPr>
        <w:t>Termin oder Vor-Ort-Besuch</w:t>
      </w:r>
      <w:r>
        <w:rPr>
          <w:rFonts w:eastAsia="Cambria" w:cs="Cambria"/>
          <w:b w:val="false"/>
          <w:bCs w:val="false"/>
          <w:i w:val="false"/>
          <w:iCs w:val="false"/>
          <w:sz w:val="22"/>
          <w:szCs w:val="22"/>
        </w:rPr>
        <w:t xml:space="preserve"> bei einer autorisierten </w:t>
      </w:r>
      <w:r>
        <w:rPr>
          <w:rFonts w:eastAsia="Cambria" w:cs="Cambria"/>
          <w:b w:val="false"/>
          <w:bCs w:val="false"/>
          <w:i/>
          <w:iCs/>
          <w:sz w:val="22"/>
          <w:szCs w:val="22"/>
        </w:rPr>
        <w:t>Overseas Licence Conversion</w:t>
      </w:r>
      <w:r>
        <w:rPr>
          <w:rFonts w:eastAsia="Cambria" w:cs="Cambria"/>
          <w:b w:val="false"/>
          <w:bCs w:val="false"/>
          <w:i w:val="false"/>
          <w:iCs w:val="false"/>
          <w:sz w:val="22"/>
          <w:szCs w:val="22"/>
        </w:rPr>
        <w:t>-Stelle, etwa einem AA-Driver-Licensing-Standort, vereinbaren.</w:t>
      </w:r>
    </w:p>
    <w:p>
      <w:pPr>
        <w:pStyle w:val="ListParagraph"/>
        <w:numPr>
          <w:ilvl w:val="0"/>
          <w:numId w:val="244"/>
        </w:numPr>
        <w:spacing w:lineRule="exact" w:line="288" w:before="0" w:after="60"/>
        <w:rPr/>
      </w:pPr>
      <w:r>
        <w:rPr>
          <w:rFonts w:eastAsia="Cambria" w:cs="Cambria"/>
          <w:b/>
          <w:bCs/>
          <w:i w:val="false"/>
          <w:iCs w:val="false"/>
          <w:sz w:val="22"/>
          <w:szCs w:val="22"/>
        </w:rPr>
        <w:t>Unterlagen zusammenstellen:</w:t>
      </w:r>
      <w:r>
        <w:rPr>
          <w:rFonts w:eastAsia="Cambria" w:cs="Cambria"/>
          <w:b w:val="false"/>
          <w:bCs w:val="false"/>
          <w:i w:val="false"/>
          <w:iCs w:val="false"/>
          <w:sz w:val="22"/>
          <w:szCs w:val="22"/>
        </w:rPr>
        <w:t xml:space="preserve"> Original-Führerschein, die englische Übersetzung, ein amtlicher Nachweis deiner neuseeländischen Adresse und ein gültiger Identitätsnachweis (Reisepass).</w:t>
      </w:r>
    </w:p>
    <w:p>
      <w:pPr>
        <w:pStyle w:val="ListParagraph"/>
        <w:numPr>
          <w:ilvl w:val="0"/>
          <w:numId w:val="245"/>
        </w:numPr>
        <w:spacing w:lineRule="exact" w:line="288" w:before="0" w:after="60"/>
        <w:rPr/>
      </w:pPr>
      <w:r>
        <w:rPr>
          <w:rFonts w:eastAsia="Cambria" w:cs="Cambria"/>
          <w:b/>
          <w:bCs/>
          <w:i w:val="false"/>
          <w:iCs w:val="false"/>
          <w:sz w:val="22"/>
          <w:szCs w:val="22"/>
        </w:rPr>
        <w:t>Sehtest</w:t>
      </w:r>
      <w:r>
        <w:rPr>
          <w:rFonts w:eastAsia="Cambria" w:cs="Cambria"/>
          <w:b w:val="false"/>
          <w:bCs w:val="false"/>
          <w:i w:val="false"/>
          <w:iCs w:val="false"/>
          <w:sz w:val="22"/>
          <w:szCs w:val="22"/>
        </w:rPr>
        <w:t xml:space="preserve"> vor Ort ablegen – auch als „exempt country“-Umtauscher kommst du daran nicht vorbei.</w:t>
      </w:r>
    </w:p>
    <w:p>
      <w:pPr>
        <w:pStyle w:val="ListParagraph"/>
        <w:numPr>
          <w:ilvl w:val="0"/>
          <w:numId w:val="246"/>
        </w:numPr>
        <w:spacing w:lineRule="exact" w:line="288" w:before="0" w:after="60"/>
        <w:rPr/>
      </w:pPr>
      <w:r>
        <w:rPr>
          <w:rFonts w:eastAsia="Cambria" w:cs="Cambria"/>
          <w:b/>
          <w:bCs/>
          <w:i w:val="false"/>
          <w:iCs w:val="false"/>
          <w:sz w:val="22"/>
          <w:szCs w:val="22"/>
        </w:rPr>
        <w:t>Foto und Unterschrift</w:t>
      </w:r>
      <w:r>
        <w:rPr>
          <w:rFonts w:eastAsia="Cambria" w:cs="Cambria"/>
          <w:b w:val="false"/>
          <w:bCs w:val="false"/>
          <w:i w:val="false"/>
          <w:iCs w:val="false"/>
          <w:sz w:val="22"/>
          <w:szCs w:val="22"/>
        </w:rPr>
        <w:t xml:space="preserve"> für die neue Karte erfassen lassen.</w:t>
      </w:r>
    </w:p>
    <w:p>
      <w:pPr>
        <w:pStyle w:val="ListParagraph"/>
        <w:numPr>
          <w:ilvl w:val="0"/>
          <w:numId w:val="247"/>
        </w:numPr>
        <w:spacing w:lineRule="exact" w:line="288" w:before="0" w:after="60"/>
        <w:rPr/>
      </w:pPr>
      <w:r>
        <w:rPr>
          <w:rFonts w:eastAsia="Cambria" w:cs="Cambria"/>
          <w:b/>
          <w:bCs/>
          <w:i w:val="false"/>
          <w:iCs w:val="false"/>
          <w:sz w:val="22"/>
          <w:szCs w:val="22"/>
        </w:rPr>
        <w:t>Neuen Führerschein abwarten:</w:t>
      </w:r>
      <w:r>
        <w:rPr>
          <w:rFonts w:eastAsia="Cambria" w:cs="Cambria"/>
          <w:b w:val="false"/>
          <w:bCs w:val="false"/>
          <w:i w:val="false"/>
          <w:iCs w:val="false"/>
          <w:sz w:val="22"/>
          <w:szCs w:val="22"/>
        </w:rPr>
        <w:t xml:space="preserve"> Er wird dir zugeschickt, eine vorläufige Bestätigung dient in der Zwischenzeit als Nachweis.</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der Praxis lässt sich der Termin oft ohne Voranmeldung an einem regulären Werktag erledigen, allerdings mit gut einer Stunde Wartezeit. Zeigt der deutsche Führerschein das Ausstellungsdatum klar erkennbar, entfällt die Zusatzbescheinigung; den Sehtest bestehst du in aller Regel ohne Vorbereitung. Die neue Karte kommt anschließend meist innerhalb weniger Wochen per Post – spürbar zügiger, als man es von einer Behörde erwarten würde, und fast schon Grund genug, kurz misstrauisch zu werden, ob man nicht doch etwas übersehen hat.</w:t>
      </w:r>
    </w:p>
    <w:p>
      <w:pPr>
        <w:pStyle w:val="Heading3"/>
        <w:keepNext w:val="true"/>
        <w:spacing w:before="280" w:after="100"/>
        <w:jc w:val="center"/>
        <w:rPr/>
      </w:pPr>
      <w:r>
        <w:rPr>
          <w:rFonts w:eastAsia="Amazon Ember" w:cs="Amazon Ember" w:ascii="Amazon Ember" w:hAnsi="Amazon Ember"/>
          <w:b/>
          <w:bCs/>
          <w:color w:val="0000FF"/>
          <w:sz w:val="36"/>
          <w:szCs w:val="36"/>
        </w:rPr>
        <w:t>Linksverkehr: die größte Umstellung überhaupt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Neuseeland fährt, wie Australien, auf der linken Straßenseite mit rechtsgesteuerten Fahrzeugen – ein Erbe der britischen Kolonialzeit, das sich hartnäckiger hält als so manche andere britische Gewohnheit. Für dich als deutschen Neuankömmling ist das die mit Abstand größte Umstellung im gesamten Auswanderungsprozess, größer als jede Formalität rund um Visum oder Bankkonto: Hier ändert sich nicht nur eine Regel, sondern der motorische Reflex von Jahrzehnten.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Konkret bedeutet das:</w:t>
      </w:r>
    </w:p>
    <w:p>
      <w:pPr>
        <w:pStyle w:val="ListParagraph"/>
        <w:numPr>
          <w:ilvl w:val="0"/>
          <w:numId w:val="1"/>
        </w:numPr>
        <w:spacing w:lineRule="exact" w:line="288" w:before="0" w:after="60"/>
        <w:rPr/>
      </w:pPr>
      <w:r>
        <w:rPr>
          <w:rFonts w:eastAsia="Cambria" w:cs="Cambria"/>
          <w:b w:val="false"/>
          <w:bCs w:val="false"/>
          <w:i w:val="false"/>
          <w:iCs w:val="false"/>
          <w:sz w:val="22"/>
          <w:szCs w:val="22"/>
        </w:rPr>
        <w:t>Kreisverkehre durchfährst du im Uhrzeigersinn statt gegen ihn.</w:t>
      </w:r>
    </w:p>
    <w:p>
      <w:pPr>
        <w:pStyle w:val="ListParagraph"/>
        <w:numPr>
          <w:ilvl w:val="0"/>
          <w:numId w:val="1"/>
        </w:numPr>
        <w:spacing w:lineRule="exact" w:line="288" w:before="0" w:after="60"/>
        <w:rPr/>
      </w:pPr>
      <w:r>
        <w:rPr>
          <w:rFonts w:eastAsia="Cambria" w:cs="Cambria"/>
          <w:b w:val="false"/>
          <w:bCs w:val="false"/>
          <w:i w:val="false"/>
          <w:iCs w:val="false"/>
          <w:sz w:val="22"/>
          <w:szCs w:val="22"/>
        </w:rPr>
        <w:t>Blinker- und Scheibenwischerhebel sitzen bei vielen Fahrzeugen vertauscht, weil die Fahrerposition gespiegelt ist – der erste Griff nach dem Blinker aktiviert erfahrungsgemäß erst einmal den Wischer.</w:t>
      </w:r>
    </w:p>
    <w:p>
      <w:pPr>
        <w:pStyle w:val="ListParagraph"/>
        <w:numPr>
          <w:ilvl w:val="0"/>
          <w:numId w:val="1"/>
        </w:numPr>
        <w:spacing w:lineRule="exact" w:line="288" w:before="0" w:after="60"/>
        <w:rPr/>
      </w:pPr>
      <w:r>
        <w:rPr>
          <w:rFonts w:eastAsia="Cambria" w:cs="Cambria"/>
          <w:b w:val="false"/>
          <w:bCs w:val="false"/>
          <w:i w:val="false"/>
          <w:iCs w:val="false"/>
          <w:sz w:val="22"/>
          <w:szCs w:val="22"/>
        </w:rPr>
        <w:t>An Kreuzungen und beim Linksabbiegen musst du dich aktiv daran gewöhnen, zuerst nach rechts zu schauen; der Gegenverkehr kommt aus der für dich „falschen“ Richtung.</w:t>
      </w:r>
    </w:p>
    <w:p>
      <w:pPr>
        <w:pStyle w:val="ListParagraph"/>
        <w:numPr>
          <w:ilvl w:val="0"/>
          <w:numId w:val="1"/>
        </w:numPr>
        <w:spacing w:lineRule="exact" w:line="288" w:before="0" w:after="60"/>
        <w:rPr/>
      </w:pPr>
      <w:r>
        <w:rPr>
          <w:rFonts w:eastAsia="Cambria" w:cs="Cambria"/>
          <w:b w:val="false"/>
          <w:bCs w:val="false"/>
          <w:i w:val="false"/>
          <w:iCs w:val="false"/>
          <w:sz w:val="22"/>
          <w:szCs w:val="22"/>
        </w:rPr>
        <w:t>Auf mehrspurigen Straßen hältst du dich grundsätzlich möglichst weit links und überholst rechts.</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NZTA weist ausdrücklich darauf hin, dass es sehr leicht sei, beim Abbiegen den Blick nach rechts zu vergessen oder in einem unaufmerksamen Moment wieder auf die von zu Hause gewohnte rechte Fahrbahnseite zu geraten. Das ist keine Frage der Fahrerfahrung, sondern der Gewöhnung: Wer 20 oder 30 Jahre rechts gefahren ist, überschreibt diesen Reflex nicht in einer Woche.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Blick nach rechts vor jedem Linksabbiegen ist keine Formsache, sondern die wichtigste neue Bewegung, die du dir in Neuseeland antrainieren musst. Übe sie bewusst, bis sie automatisch wird – am besten zuerst auf ruhigen Straßen, nicht im Feierabendverkehr von Auckland.</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Erschwerend kommt hinzu, dass viele neuseeländische Überlandstraßen schmal, kurvig und bergig sind – ein Kontrast zu den vergleichsweise breiten und übersichtlichen deutschen Bundesstraßen. Ein Bericht der Verkehrsbehörde zählte in einem Jahr mindestens 558 Unfälle mit Todes- oder Verletzungsfolge unter Beteiligung überseeischer Fahrer, wobei kurvige Landstraßen in Kombination mit dem ungewohnten Linksverkehr als wiederkehrender Risikofaktor genannt werden (Details dazu weiter unten). Plane auf unbekannten Strecken mehr Zeit ein, als es die reine Kilometerzahl vermuten lässt, und meide nach langen Flugreisen möglichst die ersten Fahrten in der Dämmerung.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Krüger (fiktiv) holt ihren gebraucht gekauften Kombi am zweiten Wochenende in Christchurch ab. Auf der Rückfahrt sitzt Tochter Lotta, 12, hinten und ruft bei jeder Kreuzung „Papa, links bleiben!“ – halb Warnung, halb Spiel. Sebastian gewöhnt sich schneller an die Fahrbahnseite als erwartet, tappt aber zwei Wochen lang zuverlässig in dieselbe Falle: Der Blinker links gedacht, der Scheibenwischer rechts betätigt. Petra nennt es liebevoll das „Krüger’sche Scheibenwischer-Ballett“ und filmt es für die Großeltern in Rostock.</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„Give-Way“-Reform vom 25. März 2012</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Manche ältere Reiseführer und langjährige Bewohner erklären dir noch die alte neuseeländische Sonderregel, nach der rechtsabbiegender Verkehr unter bestimmten Bedingungen Vorrang vor entgegenkommendem linksabbiegendem Verkehr hatte. Tatsächlich gilt diese rund 35 Jahre alte Regel seit dem 25. März 2012, 5 Uhr morgens, nicht mehr. Die NZTA hat sie damals aus Sicherheitsgründen und zur Angleichung an internationale Standards durch zwei neue Grundsätze ersetzt:</w:t>
      </w:r>
    </w:p>
    <w:p>
      <w:pPr>
        <w:pStyle w:val="ListParagraph"/>
        <w:numPr>
          <w:ilvl w:val="0"/>
          <w:numId w:val="248"/>
        </w:numPr>
        <w:spacing w:lineRule="exact" w:line="288" w:before="0" w:after="60"/>
        <w:rPr/>
      </w:pPr>
      <w:r>
        <w:rPr>
          <w:rFonts w:eastAsia="Cambria" w:cs="Cambria"/>
          <w:b w:val="false"/>
          <w:bCs w:val="false"/>
          <w:i w:val="false"/>
          <w:iCs w:val="false"/>
          <w:sz w:val="22"/>
          <w:szCs w:val="22"/>
        </w:rPr>
        <w:t>Rechtsabbiegender Verkehr muss seitdem entgegenkommendem linksabbiegendem Verkehr Vorfahrt gewähren – an Kreuzungen, T-Kreuzungen und Einfahrten ohne Ampel- oder Schilderregelung.</w:t>
      </w:r>
    </w:p>
    <w:p>
      <w:pPr>
        <w:pStyle w:val="ListParagraph"/>
        <w:numPr>
          <w:ilvl w:val="0"/>
          <w:numId w:val="249"/>
        </w:numPr>
        <w:spacing w:lineRule="exact" w:line="288" w:before="0" w:after="60"/>
        <w:rPr/>
      </w:pPr>
      <w:r>
        <w:rPr>
          <w:rFonts w:eastAsia="Cambria" w:cs="Cambria"/>
          <w:b w:val="false"/>
          <w:bCs w:val="false"/>
          <w:i w:val="false"/>
          <w:iCs w:val="false"/>
          <w:sz w:val="22"/>
          <w:szCs w:val="22"/>
        </w:rPr>
        <w:t>An unkontrollierten T-Kreuzungen muss der Verkehr von der endenden Straße (dem „Fuß“ des T) dem durchgehenden Verkehr auf der Straße am „Balken“ des T Vorfahrt gewähren.</w:t>
      </w:r>
    </w:p>
    <w:p>
      <w:pPr>
        <w:pStyle w:val="Normal"/>
        <w:spacing w:lineRule="exact" w:line="1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dich als deutschen Neuankömmling ist das eine gute Nachricht: Die heutige Regel ähnelt im Kern dem in Deutschland vertrauten Prinzip, dass durchgehender Verkehr Vorrang vor Abbiegern und Einmündenden hat. Die historische Sonderregel vor 2012 kannst du getrost vergessen – außer, ein älterer Nachbar erklärt sie dir mit unerschütterlicher Überzeugung als aktuell gültig. Widersprich höflich, aber bestimmt.</w:t>
      </w:r>
    </w:p>
    <w:p>
      <w:pPr>
        <w:pStyle w:val="Heading3"/>
        <w:keepNext w:val="true"/>
        <w:spacing w:before="280" w:after="100"/>
        <w:jc w:val="center"/>
        <w:rPr/>
      </w:pPr>
      <w:r>
        <w:rPr>
          <w:rFonts w:eastAsia="Amazon Ember" w:cs="Amazon Ember" w:ascii="Amazon Ember" w:hAnsi="Amazon Ember"/>
          <w:b/>
          <w:bCs/>
          <w:color w:val="0000FF"/>
          <w:sz w:val="36"/>
          <w:szCs w:val="36"/>
        </w:rPr>
        <w:t>Tempolimits: Kilometer statt Meilen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Neuseeland misst Geschwindigkeit, anders als du es vielleicht aus manchen Reiseberichten über die USA kennst, durchgehend in km/h – hier gibt es also keine Umrechnung zu üben. Außerorts, auf der sogenannten </w:t>
      </w:r>
      <w:r>
        <w:rPr>
          <w:rFonts w:eastAsia="Cambria" w:cs="Cambria"/>
          <w:b w:val="false"/>
          <w:bCs w:val="false"/>
          <w:i/>
          <w:iCs/>
          <w:sz w:val="22"/>
          <w:szCs w:val="22"/>
        </w:rPr>
        <w:t>Open Road</w:t>
      </w:r>
      <w:r>
        <w:rPr>
          <w:rFonts w:eastAsia="Cambria" w:cs="Cambria"/>
          <w:b w:val="false"/>
          <w:bCs w:val="false"/>
          <w:i w:val="false"/>
          <w:iCs w:val="false"/>
          <w:sz w:val="22"/>
          <w:szCs w:val="22"/>
        </w:rPr>
        <w:t>, gilt als Standard 100 km/h, auf einzelnen Motorway-Abschnitten bis zu 110 km/h für Pkw und Motorräder ohne Anhänger. Innerorts liegt das Standardtempo bei 50 km/h.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Seit einer neuen Regel („Setting of Speed Limits 2024“, unterzeichnet am 28. September 2024) gilt zusätzlich: Alle lokalen Straßen vor Schulen müssen bis zum 1. Juli 2026 ein variables 30-km/h-Limit erhalten, meist auf die Bring- und Abholzeiten begrenzt. Städtische Wohnstraßen bleiben bei 50 km/h, urbane Verbindungsstraßen („Connector Roads“) liegen zwischen 50 und 80 km/h, städtische Motorways zwischen 80 und 100 km/h. Ein allgemeines, unbeschildertes Tempolimit wie die deutsche Landstraßen-Regel von 100 km/h gibt es nicht – die Beschilderung entscheidet, und du solltest sie an jeder neuen Strecke bewusst wahrnehmen, statt dich auf ein Gefühl für „typisch neuseeländisches Tempo“ zu verlassen.</w:t>
      </w:r>
    </w:p>
    <w:p>
      <w:pPr>
        <w:pStyle w:val="Heading3"/>
        <w:keepNext w:val="true"/>
        <w:spacing w:before="280" w:after="100"/>
        <w:jc w:val="center"/>
        <w:rPr/>
      </w:pPr>
      <w:r>
        <w:rPr>
          <w:rFonts w:eastAsia="Amazon Ember" w:cs="Amazon Ember" w:ascii="Amazon Ember" w:hAnsi="Amazon Ember"/>
          <w:b/>
          <w:bCs/>
          <w:color w:val="0000FF"/>
          <w:sz w:val="36"/>
          <w:szCs w:val="36"/>
        </w:rPr>
        <w:t>Unbefestigte Straßen und Ein-Spur-Brücken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Wer sich Neuseeland als durchgängig asphaltiertes Straßennetz nach deutschem Vorbild vorstellt, irrt gründlich. Tatsächlich sind rund 39 % des lokalen Straßennetzes unbefestigt oder aus Schotter (etwa 31.400 km); in ländlichen Regionen wie Central Otago liegt der Anteil bei bis zu 74 %. Viele Mietwagenverträge schließen unbefestigte Straßen ausdrücklich von der Versicherung aus – lies das Kleingedruckte, bevor du für einen Ausflug auf der Südinsel den vermeintlich kürzesten Weg über eine Schotterpiste wählst.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Ebenso alltäglich sind einspurige Brücken (</w:t>
      </w:r>
      <w:r>
        <w:rPr>
          <w:rFonts w:eastAsia="Cambria" w:cs="Cambria"/>
          <w:b w:val="false"/>
          <w:bCs w:val="false"/>
          <w:i/>
          <w:iCs/>
          <w:sz w:val="22"/>
          <w:szCs w:val="22"/>
        </w:rPr>
        <w:t>One-Lane Bridges</w:t>
      </w:r>
      <w:r>
        <w:rPr>
          <w:rFonts w:eastAsia="Cambria" w:cs="Cambria"/>
          <w:b w:val="false"/>
          <w:bCs w:val="false"/>
          <w:i w:val="false"/>
          <w:iCs w:val="false"/>
          <w:sz w:val="22"/>
          <w:szCs w:val="22"/>
        </w:rPr>
        <w:t>), auf denen sich der Verkehr aus beiden Richtungen eine einzige Fahrspur teilt. Die Beschilderung ist eindeutig, sobald du sie einmal gelernt hast: Ein gelbes Warndreieck kündigt die Brücke an; ein rundes Schild mit rotem Rand bedeutet, dass du Vorfahrt gewähren musst; ein weißer Pfeil auf blauem Rechteck zeigt dir deine eigene Vorfahrt an. Eine Regel gilt dabei unabhängig von der Beschilderung immer: Fahrzeuge, die die Brücke bereits befahren, haben in jedem Fall Vorrang – du fährst erst auf, wenn die Brücke wieder frei ist.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Unbefestigte Straßen verlangen einen anderen Fahrstil als Asphalt: längere Bremswege, vorsichtigeres Lenken in Kurven, mehr Abstand zum Vordermann wegen aufgewirbelter Steine. Wer im Mietwagen unterwegs ist, sollte vor der Abfahrt in den Versicherungsbedingungen nachlesen, ob Schotterstraßen ausgeschlossen sind – ein Steinschlagschaden auf einer nicht versicherten Piste geht sonst komplett zu deinen Lasten.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Paul Lindner (fiktiv) fährt an einem Wochenende von Auckland aus zu einer Wanderung im Landesinneren und steht plötzlich vor einer einspurigen Brücke mit rundem, rot umrandetem Schild. Er hält an, obwohl kein Gegenverkehr zu sehen ist, wartet einen Moment zu lange und wird von einem geduldigen Ortsansässigen mit knappem Winken durchgewunken – die neuseeländische Version von „jetzt fahr doch endlich“. Auf dem Rückweg nimmt er testweise eine Schotterstraße, merkt nach 200 Metern, wie das Heck des Mietwagens leicht ausbricht, und kehrt vorsichtiger um, als er gekommen ist.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Alkohol und Handy am Steuer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Seit dem 1. Dezember 2014 gilt für Fahrer ab 20 Jahren eine Blutalkoholgrenze von 0,05 % (entsprechend 250 μg Alkohol pro Liter Atemluft) – gesenkt von vorher 0,08 %. Das entspricht in etwa dem deutschen Grenzwert von 0,5 Promille, du bewegst dich hier also auf vertrautem Terrain. Für Fahrer unter 20 Jahren gilt dagegen unabhängig vom Führerscheintyp die Nullgrenze: Schon ein Getränk kann zur Anklage führen. Entscheidend ist damit – anders als in Deutschland, wo die Probezeit über den Nullwert entscheidet – allein das Lebensalter, nicht die Art des Führerscheins.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Beim Telefon ist die Regel strenger, als mancher erwartet: Verboten ist jedes Halten oder Bedienen des Mobiltelefons während der Fahrt, einschließlich Telefonieren, Schreiben, Scrollen oder Festhalten zur Navigation. Ein Verstoß kostet 150 NZD Bußgeld und 20 Demeritpunkte; wer innerhalb von 2 Jahren 100 Punkte sammelt, riskiert eine dreimonatige Führerscheinsperre. Lern- und </w:t>
      </w:r>
      <w:r>
        <w:rPr>
          <w:rFonts w:eastAsia="Cambria" w:cs="Cambria"/>
          <w:b w:val="false"/>
          <w:bCs w:val="false"/>
          <w:i/>
          <w:iCs/>
          <w:sz w:val="22"/>
          <w:szCs w:val="22"/>
        </w:rPr>
        <w:t>Restricted</w:t>
      </w:r>
      <w:r>
        <w:rPr>
          <w:rFonts w:eastAsia="Cambria" w:cs="Cambria"/>
          <w:b w:val="false"/>
          <w:bCs w:val="false"/>
          <w:i w:val="false"/>
          <w:iCs w:val="false"/>
          <w:sz w:val="22"/>
          <w:szCs w:val="22"/>
        </w:rPr>
        <w:t>-Fahrer (die neuseeländischen Zwischenstufen des Führerscheins) dürfen das Telefon während der Fahrt überhaupt nicht nutzen, auch nicht freihändig über eine Halterung.</w:t>
      </w:r>
    </w:p>
    <w:p>
      <w:pPr>
        <w:pStyle w:val="Heading3"/>
        <w:keepNext w:val="true"/>
        <w:spacing w:before="280" w:after="100"/>
        <w:jc w:val="center"/>
        <w:rPr/>
      </w:pPr>
      <w:r>
        <w:rPr>
          <w:rFonts w:eastAsia="Amazon Ember" w:cs="Amazon Ember" w:ascii="Amazon Ember" w:hAnsi="Amazon Ember"/>
          <w:b/>
          <w:bCs/>
          <w:color w:val="0000FF"/>
          <w:sz w:val="36"/>
          <w:szCs w:val="36"/>
        </w:rPr>
        <w:t>Autokauf und Kfz-Versicherung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Gebrauchtwagen findest du in Neuseeland vor allem über Online-Plattformen wie Trade Me (das neuseeländische Pendant zu Ebay Kleinanzeigen) und Autotrader sowie über Händlerketten wie Turners. Vor dem Kauf lohnt sich eine unabhängige Fahrzeuginspektion, etwa über die AA, dazu ein Fahrzeughistorien-Check. Jedes von einem Händler verkaufte Fahrzeug braucht ein gültiges </w:t>
      </w:r>
      <w:r>
        <w:rPr>
          <w:rFonts w:eastAsia="Cambria" w:cs="Cambria"/>
          <w:b w:val="false"/>
          <w:bCs w:val="false"/>
          <w:i/>
          <w:iCs/>
          <w:sz w:val="22"/>
          <w:szCs w:val="22"/>
        </w:rPr>
        <w:t>Warrant of Fitness</w:t>
      </w:r>
      <w:r>
        <w:rPr>
          <w:rFonts w:eastAsia="Cambria" w:cs="Cambria"/>
          <w:b w:val="false"/>
          <w:bCs w:val="false"/>
          <w:i w:val="false"/>
          <w:iCs w:val="false"/>
          <w:sz w:val="22"/>
          <w:szCs w:val="22"/>
        </w:rPr>
        <w:t xml:space="preserve"> (WoF, das neuseeländische Pendant zum TÜV), das bei Verkauf höchstens 1 Monat alt sein darf. Bei Privatkäufen gilt dagegen „buyer beware“ – anders als beim Händlerkauf gibt es keine gesetzlichen Verbraucherschutzrechte. Nach dem Kauf müssen Käufer und Verkäufer den Eigentümerwechsel unmittelbar online bei der NZTA melden; das erledigst du in wenigen Minuten am Rechner, nicht auf einem Amt mit Wartenummer.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der Versicherung lohnt sich ein bewusster Vergleich: Eine durchschnittliche Vollkaskoprämie kostete 2026 rund 1.311 NZD im Jahr (109 NZD im Monat) – ein Anstieg von 56 % seit 2022. Reine Teilkasko- oder Haftpflichtdeckung (</w:t>
      </w:r>
      <w:r>
        <w:rPr>
          <w:rFonts w:eastAsia="Cambria" w:cs="Cambria"/>
          <w:b w:val="false"/>
          <w:bCs w:val="false"/>
          <w:i/>
          <w:iCs/>
          <w:sz w:val="22"/>
          <w:szCs w:val="22"/>
        </w:rPr>
        <w:t>Third Party</w:t>
      </w:r>
      <w:r>
        <w:rPr>
          <w:rFonts w:eastAsia="Cambria" w:cs="Cambria"/>
          <w:b w:val="false"/>
          <w:bCs w:val="false"/>
          <w:i w:val="false"/>
          <w:iCs w:val="false"/>
          <w:sz w:val="22"/>
          <w:szCs w:val="22"/>
        </w:rPr>
        <w:t>) ist mit rund 200 bis 475 NZD im Jahr deutlich günstiger; laut Vergleichsportalen senkt der Wechsel von Vollkasko auf Teilkasko die Prämie um 40 bis 60 %.</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Prüfe vor Vertragsabschluss ehrlich, ob du bei einem älteren Gebrauchtwagen wirklich eine Vollkaskodeckung brauchst. Bei Fahrzeugen mit geringem Zeitwert gleicht die Ersparnis bei der Teilkasko einen Totalschaden oft schneller aus, als es die höhere Prämie je könnte.</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sich beim Privatkauf unsicher fühlt, sollte die fehlenden Verbraucherschutzrechte nicht unterschätzen: Anders als beim Händler mit WoF-Pflicht kaufst du privat im Wortsinn „wie besehen“. Eine unabhängige Inspektion vor der Zahlung kostet einen überschaubaren Betrag und deckt Rahmenschäden, verdeckten Rost oder eine bevorstehende WoF-Verweigerung zuverlässiger auf als ein Blick unter die Motorhaube auf dem Parkplatz. Bargeld oder eine sofortige Überweisung gegen Übergabe des Fahrzeugbriefs sind üblich; ein schriftlicher Kaufvertrag mit Kilometerstand, Preis und Datum schützt beide Seiten, auch wenn er in Neuseeland nicht zwingend vorgeschrieben ist.</w:t>
      </w:r>
    </w:p>
    <w:p>
      <w:pPr>
        <w:pStyle w:val="Heading3"/>
        <w:keepNext w:val="true"/>
        <w:spacing w:before="280" w:after="100"/>
        <w:jc w:val="center"/>
        <w:rPr/>
      </w:pPr>
      <w:r>
        <w:rPr>
          <w:rFonts w:eastAsia="Amazon Ember" w:cs="Amazon Ember" w:ascii="Amazon Ember" w:hAnsi="Amazon Ember"/>
          <w:b/>
          <w:bCs/>
          <w:color w:val="0000FF"/>
          <w:sz w:val="36"/>
          <w:szCs w:val="36"/>
        </w:rPr>
        <w:t>Geschwindigkeitskameras und die Sache mit den Neuankömmlingen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Seit dem 1. Juli 2025 liegt die Verantwortung für das gesamte „Safety Camera“-Netz nicht mehr bei der Polizei, sondern bei der NZTA; aktuell sind es rund 65 feste und 34 mobile Kameras, mit geplantem Ausbau auf rund 200 Kameras bis 2027. Mobile Einheiten arbeiten unmarkiert und landesweit, ganz bewusst als generalpräventive Maßnahme nach dem Motto „könnte jederzeit, überall sein“.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Zur Ehrenrettung deutscher Neuankömmlinge sei gesagt: Ein Bericht zählte in einem Jahr mindestens 558 Unfälle mit Todes- oder Verletzungsfolge unter Beteiligung überseeischer Fahrer (dazu zählen Touristen ebenso wie neue Einwohner und internationale Studierende), in rund 75 % davon wurde der überseeische Fahrer als Unfallverursacher eingestuft. Betrachtet man aber alle Unfälle mit Personenschaden im Land, verursachten Fahrer mit ausländischer Lizenz insgesamt nur rund 6,2 % davon – neuseeländische Fahrer selbst sind an mehr Unfällen beteiligt als Besucher. Die kursierende Meldung, wonach 97 % internationaler Fahrer einen informellen Theorietest-Quiz nicht bestanden hätten, ist eine einzelne Medienmeldung, keine amtliche Statistik – unterhaltsam, aber kein Grund zur Panik.</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Deutschland ist „exempt country“: Umtausch ohne Prüfung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Übergangsfristen (12 oder 18 Monate) ändern sich und sind unklar terminiert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neue Give-Way-Regel ähnelt der deutschen Vorfahrtslogik</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Linksverkehr ist die größte motorische Umstellung des ganzen Umzugs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Landschaftlich reizvolle Nebenstraßen und Ein-Spur-Brücken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Unbefestigte Straßen sind oft von der Mietwagenversicherung ausgeschlossen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Alkoholgrenze (0,05 %) entspricht etwa der deutschen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Kfz-Versicherung ist seit 2022 deutlich teurer geworden (plus 56 %)</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Eigentümerwechsel läuft unbürokratisch online über die NZTA</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Handyverbot am Steuer wird mit Kamerapräsenz konsequent verfolgt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ListParagraph"/>
        <w:numPr>
          <w:ilvl w:val="0"/>
          <w:numId w:val="250"/>
        </w:numPr>
        <w:spacing w:lineRule="exact" w:line="288" w:before="0" w:after="60"/>
        <w:rPr/>
      </w:pPr>
      <w:r>
        <w:rPr>
          <w:rFonts w:eastAsia="Cambria" w:cs="Cambria"/>
          <w:b w:val="false"/>
          <w:bCs w:val="false"/>
          <w:i w:val="false"/>
          <w:iCs w:val="false"/>
          <w:sz w:val="22"/>
          <w:szCs w:val="22"/>
        </w:rPr>
        <w:t>Vor dem Abflug: englische Übersetzung des Führerscheins und Nachweis des Ausstellungsdatums klären.</w:t>
      </w:r>
    </w:p>
    <w:p>
      <w:pPr>
        <w:pStyle w:val="ListParagraph"/>
        <w:numPr>
          <w:ilvl w:val="0"/>
          <w:numId w:val="251"/>
        </w:numPr>
        <w:spacing w:lineRule="exact" w:line="288" w:before="0" w:after="60"/>
        <w:rPr/>
      </w:pPr>
      <w:r>
        <w:rPr>
          <w:rFonts w:eastAsia="Cambria" w:cs="Cambria"/>
          <w:b w:val="false"/>
          <w:bCs w:val="false"/>
          <w:i w:val="false"/>
          <w:iCs w:val="false"/>
          <w:sz w:val="22"/>
          <w:szCs w:val="22"/>
        </w:rPr>
        <w:t>In den ersten Wochen: Umtauschtermin bei einer autorisierten Stelle (z. B. AA) buchen, bevor die Übergangsfrist näher rückt.</w:t>
      </w:r>
    </w:p>
    <w:p>
      <w:pPr>
        <w:pStyle w:val="ListParagraph"/>
        <w:numPr>
          <w:ilvl w:val="0"/>
          <w:numId w:val="252"/>
        </w:numPr>
        <w:spacing w:lineRule="exact" w:line="288" w:before="0" w:after="60"/>
        <w:rPr/>
      </w:pPr>
      <w:r>
        <w:rPr>
          <w:rFonts w:eastAsia="Cambria" w:cs="Cambria"/>
          <w:b w:val="false"/>
          <w:bCs w:val="false"/>
          <w:i w:val="false"/>
          <w:iCs w:val="false"/>
          <w:sz w:val="22"/>
          <w:szCs w:val="22"/>
        </w:rPr>
        <w:t>Vor dem Autokauf: WoF und Fahrzeughistorie prüfen, mehrere Versicherungsangebote (Voll- und Teilkasko) vergleichen.</w:t>
      </w:r>
    </w:p>
    <w:p>
      <w:pPr>
        <w:pStyle w:val="ListParagraph"/>
        <w:numPr>
          <w:ilvl w:val="0"/>
          <w:numId w:val="253"/>
        </w:numPr>
        <w:spacing w:lineRule="exact" w:line="288" w:before="0" w:after="60"/>
        <w:rPr/>
      </w:pPr>
      <w:r>
        <w:rPr>
          <w:rFonts w:eastAsia="Cambria" w:cs="Cambria"/>
          <w:b w:val="false"/>
          <w:bCs w:val="false"/>
          <w:i w:val="false"/>
          <w:iCs w:val="false"/>
          <w:sz w:val="22"/>
          <w:szCs w:val="22"/>
        </w:rPr>
        <w:t>Ab dem ersten Fahrversuch: bewusst den Blick nach rechts beim Abbiegen üben, am besten zuerst auf ruhigen Straßen.</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Englische Übersetzung des deutschen Führerscheins besorgt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Ausstellungsdatum (älter als 2 Jahre) eindeutig nachweisbar</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Aktuelle Übergangsfrist (12 oder 18 Monate) bei der NZTA gegengeprüft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Termin für den Umtausch bei einer autorisierten Stelle (z. B. AA) gebucht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Mietwagen- oder Kfz-Versicherung auf Ausschluss unbefestigter Straßen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Fahrzeughistorie und WoF vor dem Autokauf kontrolliert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Mindestens zwei Versicherungsangebote (Voll- und Teilkasko) verglichen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Eigentümerwechsel nach dem Kauf sofort online bei der NZTA gemeldet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Ein-Spur-Brücken-Beschilderung (Warndreieck, Vorfahrt-, eigenes Vorfahrtsschild) verinnerlicht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Bewusst geübt: erst nach rechts schauen, dann links abbiegen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NZ Transport Agency Waka Kotahi (NZTA) — Führerschein-Umtausch, Verkehrsregeln, Geschwindigkeitskameras (</w:t>
      </w:r>
      <w:hyperlink r:id="rId711">
        <w:r>
          <w:rPr>
            <w:rStyle w:val="ListLabel113"/>
            <w:rFonts w:eastAsia="Cambria" w:cs="Cambria"/>
            <w:b w:val="false"/>
            <w:bCs w:val="false"/>
            <w:i w:val="false"/>
            <w:iCs w:val="false"/>
            <w:color w:val="0563C1"/>
            <w:sz w:val="22"/>
            <w:szCs w:val="22"/>
            <w:u w:val="single"/>
          </w:rPr>
          <w:t>nzta.govt.nz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Automobile Association (AA) — Fahrzeugkauf, -prüfung und Umtauschstellen (</w:t>
      </w:r>
      <w:hyperlink r:id="rId712">
        <w:r>
          <w:rPr>
            <w:rStyle w:val="ListLabel113"/>
            <w:rFonts w:eastAsia="Cambria" w:cs="Cambria"/>
            <w:b w:val="false"/>
            <w:bCs w:val="false"/>
            <w:i w:val="false"/>
            <w:iCs w:val="false"/>
            <w:color w:val="0563C1"/>
            <w:sz w:val="22"/>
            <w:szCs w:val="22"/>
            <w:u w:val="single"/>
          </w:rPr>
          <w:t>aa.co.nz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Ministry of Transport — Alkoholgrenzwerte und Verkehrssicherheit (</w:t>
      </w:r>
      <w:hyperlink r:id="rId713">
        <w:r>
          <w:rPr>
            <w:rStyle w:val="ListLabel113"/>
            <w:rFonts w:eastAsia="Cambria" w:cs="Cambria"/>
            <w:b w:val="false"/>
            <w:bCs w:val="false"/>
            <w:i w:val="false"/>
            <w:iCs w:val="false"/>
            <w:color w:val="0563C1"/>
            <w:sz w:val="22"/>
            <w:szCs w:val="22"/>
            <w:u w:val="single"/>
          </w:rPr>
          <w:t>transport.govt.nz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Consumer Protection, MBIE — Rechte beim Fahrzeugkauf (</w:t>
      </w:r>
      <w:hyperlink r:id="rId714">
        <w:r>
          <w:rPr>
            <w:rStyle w:val="ListLabel113"/>
            <w:rFonts w:eastAsia="Cambria" w:cs="Cambria"/>
            <w:b w:val="false"/>
            <w:bCs w:val="false"/>
            <w:i w:val="false"/>
            <w:iCs w:val="false"/>
            <w:color w:val="0563C1"/>
            <w:sz w:val="22"/>
            <w:szCs w:val="22"/>
            <w:u w:val="single"/>
          </w:rPr>
          <w:t>consumerprotection.govt.nz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New Zealand Police — Verkehrsregeln, Bußgelder, Demeritpunkte (</w:t>
      </w:r>
      <w:hyperlink r:id="rId715">
        <w:r>
          <w:rPr>
            <w:rStyle w:val="ListLabel113"/>
            <w:rFonts w:eastAsia="Cambria" w:cs="Cambria"/>
            <w:b w:val="false"/>
            <w:bCs w:val="false"/>
            <w:i w:val="false"/>
            <w:iCs w:val="false"/>
            <w:color w:val="0563C1"/>
            <w:sz w:val="22"/>
            <w:szCs w:val="22"/>
            <w:u w:val="single"/>
          </w:rPr>
          <w:t>police.govt.nz</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Schnell ändern sich: die Übergangsfrist für das Fahren mit ausländischem Führerschein (aktuell 18 Monate, Rückkehr zu 12 Monaten angekündigt), Umtauschgebühren, Versicherungsprämien und die Zahl der Geschwindigkeitskameras. Prüfe vor der Abreise die aktuellen Angaben auf nzta.govt.nz.</w:t>
            </w:r>
          </w:p>
        </w:tc>
      </w:tr>
    </w:tbl>
    <w:p>
      <w:pPr>
        <w:pStyle w:val="Normal"/>
        <w:spacing w:lineRule="exact" w:line="220" w:before="0" w:after="0"/>
        <w:rPr/>
      </w:pPr>
      <w:r>
        <w:rPr/>
      </w:r>
      <w:r>
        <w:br w:type="page"/>
      </w:r>
    </w:p>
    <w:p>
      <w:pPr>
        <w:pStyle w:val="Heading2"/>
        <w:keepNext w:val="true"/>
        <w:spacing w:before="0" w:after="300"/>
        <w:jc w:val="center"/>
        <w:rPr/>
      </w:pPr>
      <w:bookmarkStart w:id="190" w:name="__RefHeading___Toc56621_3769931028"/>
      <w:bookmarkStart w:id="191" w:name="tnz11"/>
      <w:bookmarkEnd w:id="190"/>
      <w:r>
        <w:rPr>
          <w:rFonts w:eastAsia="Amazon Ember" w:cs="Amazon Ember" w:ascii="Amazon Ember" w:hAnsi="Amazon Ember"/>
          <w:b/>
          <w:bCs/>
          <w:color w:val="0000FF"/>
          <w:sz w:val="36"/>
          <w:szCs w:val="36"/>
        </w:rPr>
        <w:t>Neuseeland: Alltagskultur und Umgangsformen</w:t>
      </w:r>
      <w:bookmarkEnd w:id="191"/>
    </w:p>
    <w:p>
      <w:pPr>
        <w:pStyle w:val="Normal"/>
        <w:keepNext w:val="false"/>
        <w:keepLines w:val="false"/>
        <w:spacing w:lineRule="exact" w:line="288" w:before="0" w:after="140"/>
        <w:jc w:val="left"/>
        <w:rPr/>
      </w:pPr>
      <w:r>
        <w:rPr>
          <w:rFonts w:eastAsia="Cambria" w:cs="Cambria"/>
          <w:b w:val="false"/>
          <w:bCs w:val="false"/>
          <w:i w:val="false"/>
          <w:iCs w:val="false"/>
          <w:sz w:val="22"/>
          <w:szCs w:val="22"/>
        </w:rPr>
        <w:t>Am ersten Arbeitstag begrüßt dich die Geschäftsführerin mit einem lockeren „Kia ora – nice to meet you“ und spricht dich vom ersten Satz an mit deinem Vornamen an: keine Krawatte, kein förmlicher Nachname. Du suchst instinktiv nach der unsichtbaren Hierarchie im Raum – und findest sie erst, als dir auffällt, dass die Chefin bei Besprechungen genauso am Konferenztisch sitzt wie alle anderen und ihren Kaffee selbst holt. Willkommen in einem der informellsten Länder der westlichen Welt.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Neuseeland gilt als eine der informellsten westlichen Gesellschaften: Vornamen sind Standard, auch beim Chef, Kleidung im Beruf ist lockerer als in Deutschland.</w:t>
            </w:r>
          </w:p>
          <w:p>
            <w:pPr>
              <w:pStyle w:val="ListParagraph"/>
              <w:numPr>
                <w:ilvl w:val="0"/>
                <w:numId w:val="1"/>
              </w:numPr>
              <w:spacing w:lineRule="exact" w:line="264" w:before="0" w:after="50"/>
              <w:rPr/>
            </w:pPr>
            <w:r>
              <w:rPr>
                <w:rFonts w:eastAsia="Cambria" w:cs="Cambria"/>
                <w:b w:val="false"/>
                <w:bCs w:val="false"/>
                <w:i w:val="false"/>
                <w:iCs w:val="false"/>
                <w:sz w:val="20"/>
                <w:szCs w:val="20"/>
              </w:rPr>
              <w:t>Der Kommunikationsstil ist konfliktvermeidender und indirekter als die deutsche Direktheit – Kritik kommt selten geradeheraus.</w:t>
            </w:r>
          </w:p>
          <w:p>
            <w:pPr>
              <w:pStyle w:val="ListParagraph"/>
              <w:numPr>
                <w:ilvl w:val="0"/>
                <w:numId w:val="1"/>
              </w:numPr>
              <w:spacing w:lineRule="exact" w:line="264" w:before="0" w:after="50"/>
              <w:rPr/>
            </w:pPr>
            <w:r>
              <w:rPr>
                <w:rFonts w:eastAsia="Cambria" w:cs="Cambria"/>
                <w:b w:val="false"/>
                <w:bCs w:val="false"/>
                <w:i w:val="false"/>
                <w:iCs w:val="false"/>
                <w:sz w:val="20"/>
                <w:szCs w:val="20"/>
              </w:rPr>
              <w:t>Te Ao Māori (die Māori-Weltsicht) prägt zunehmend den Alltag: Begrüßungen auf Te Reo Māori, Willkommenszeremonien im Job, respektvoller Umgang mit Māori-Bräuchen.</w:t>
            </w:r>
          </w:p>
          <w:p>
            <w:pPr>
              <w:pStyle w:val="ListParagraph"/>
              <w:numPr>
                <w:ilvl w:val="0"/>
                <w:numId w:val="1"/>
              </w:numPr>
              <w:spacing w:lineRule="exact" w:line="264" w:before="0" w:after="50"/>
              <w:rPr/>
            </w:pPr>
            <w:r>
              <w:rPr>
                <w:rFonts w:eastAsia="Cambria" w:cs="Cambria"/>
                <w:b w:val="false"/>
                <w:bCs w:val="false"/>
                <w:i w:val="false"/>
                <w:iCs w:val="false"/>
                <w:sz w:val="20"/>
                <w:szCs w:val="20"/>
              </w:rPr>
              <w:t>„</w:t>
            </w:r>
            <w:r>
              <w:rPr>
                <w:rFonts w:eastAsia="Cambria" w:cs="Cambria"/>
                <w:b w:val="false"/>
                <w:bCs w:val="false"/>
                <w:i w:val="false"/>
                <w:iCs w:val="false"/>
                <w:sz w:val="20"/>
                <w:szCs w:val="20"/>
              </w:rPr>
              <w:t>No worries“ und „she’ll be right“ stehen für eine entspannte Grundhaltung gegenüber Terminen und kleinen Pannen – das ist aber nicht mit Unzuverlässigkeit zu verwechseln.</w:t>
            </w:r>
          </w:p>
          <w:p>
            <w:pPr>
              <w:pStyle w:val="ListParagraph"/>
              <w:numPr>
                <w:ilvl w:val="0"/>
                <w:numId w:val="1"/>
              </w:numPr>
              <w:spacing w:lineRule="exact" w:line="264" w:before="0" w:after="50"/>
              <w:rPr/>
            </w:pPr>
            <w:r>
              <w:rPr>
                <w:rFonts w:eastAsia="Cambria" w:cs="Cambria"/>
                <w:b w:val="false"/>
                <w:bCs w:val="false"/>
                <w:i w:val="false"/>
                <w:iCs w:val="false"/>
                <w:sz w:val="20"/>
                <w:szCs w:val="20"/>
              </w:rPr>
              <w:t>Die geografische Isolation (nächster großer Nachbar Australien, rund 2.000 km entfernt) prägt Mentalität, Reiseplanung und den Kontakt zur Familie in Deutschland.</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Informalität: Vornamen, lockere Kleidung, flache Hierarchien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Neuseeland gehört zu den informellsten westlichen Gesellschaften überhaupt. Die Anrede mit Vornamen ist Standard – vom Postboten bis zur Geschäftsführerin, in E-Mails ebenso wie im persönlichen Gespräch. Wer aus Deutschland eine über Jahre eingeübte förmliche Anrede mit Nachname und Titel mitbringt, muss diesen Reflex bewusst ablegen: Ein steifer Gruß mit Nachname und Höflichkeitsform wirkt in Neuseeland eher hölzern als respektvoll. Auch die Kleidung im Berufsleben ist tendenziell lockerer als in deutschen Büros; eine feste Anzugpflicht gibt es außerhalb von Anwaltskanzleien und Banken kaum. Das gilt ebenso für den Umgangston in Besprechungen: Hierarchien existieren zweifellos, zeigen sich aber seltener in äußeren Signalen wie Sitzordnung oder Titeln als in Deutschland.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zum ersten Mal von der eigenen Führungskraft locker beim Vornamen angesprochen wird und instinktiv nach der passenden, etwas steiferen Antwort sucht, kann sich entspannen: Hier ist Nähe keine Unhöflichkeit, sondern die Grundeinstellung, mit der das Land in den Tag startet. Viele Neuseeländerinnen und Neuseeländer haben zudem selbst eine Zeit lang im Ausland gelebt – oft als mehrmonatige bis mehrjährige </w:t>
      </w:r>
      <w:r>
        <w:rPr>
          <w:rFonts w:eastAsia="Cambria" w:cs="Cambria"/>
          <w:b w:val="false"/>
          <w:bCs w:val="false"/>
          <w:i/>
          <w:iCs/>
          <w:sz w:val="22"/>
          <w:szCs w:val="22"/>
        </w:rPr>
        <w:t>Overseas Experience</w:t>
      </w:r>
      <w:r>
        <w:rPr>
          <w:rFonts w:eastAsia="Cambria" w:cs="Cambria"/>
          <w:b w:val="false"/>
          <w:bCs w:val="false"/>
          <w:i w:val="false"/>
          <w:iCs w:val="false"/>
          <w:sz w:val="22"/>
          <w:szCs w:val="22"/>
        </w:rPr>
        <w:t xml:space="preserve"> (OE, ein Auslandsjahr als fester Bestandteil vieler Lebensläufe), meist in Europa oder Großbritannien. Das schafft auf beiden Seiten Verständnis fürs Auswandern und macht dich als Neuankömmling schneller zum Gesprächspartner als zum Exoten.</w:t>
      </w:r>
    </w:p>
    <w:p>
      <w:pPr>
        <w:pStyle w:val="Heading3"/>
        <w:keepNext w:val="true"/>
        <w:spacing w:before="280" w:after="100"/>
        <w:jc w:val="center"/>
        <w:rPr/>
      </w:pPr>
      <w:r>
        <w:rPr>
          <w:rFonts w:eastAsia="Amazon Ember" w:cs="Amazon Ember" w:ascii="Amazon Ember" w:hAnsi="Amazon Ember"/>
          <w:b/>
          <w:bCs/>
          <w:color w:val="0000FF"/>
          <w:sz w:val="36"/>
          <w:szCs w:val="36"/>
        </w:rPr>
        <w:t>Begrüßung und Small Talk im Alltag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neuseeländische Standardfrage im Vorbeigehen lautet „How’s it going?“ oder schlicht „Good day“ – eine Begrüßung, keine echte Frage nach deinem Befinden. Erwartet wird eine kurze, positive Antwort wie „yeah, good, you?“, nicht die ausführliche Bestandsaufnahme, die in Deutschland auf ein ehrlich gemeintes „Wie geht’s?“ folgen kann. Im Supermarkt, an der Bushaltestelle oder beim Warten an der Kasse ist ein kurzes Gespräch über Wetter, Wochenende oder den Garten üblich und endet nach zwei, drei Sätzen von selbst.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Kiwi-Slang begegnet dir dabei ständig: </w:t>
      </w:r>
      <w:r>
        <w:rPr>
          <w:rFonts w:eastAsia="Cambria" w:cs="Cambria"/>
          <w:b w:val="false"/>
          <w:bCs w:val="false"/>
          <w:i/>
          <w:iCs/>
          <w:sz w:val="22"/>
          <w:szCs w:val="22"/>
        </w:rPr>
        <w:t>Sweet as</w:t>
      </w:r>
      <w:r>
        <w:rPr>
          <w:rFonts w:eastAsia="Cambria" w:cs="Cambria"/>
          <w:b w:val="false"/>
          <w:bCs w:val="false"/>
          <w:i w:val="false"/>
          <w:iCs w:val="false"/>
          <w:sz w:val="22"/>
          <w:szCs w:val="22"/>
        </w:rPr>
        <w:t xml:space="preserve"> und </w:t>
      </w:r>
      <w:r>
        <w:rPr>
          <w:rFonts w:eastAsia="Cambria" w:cs="Cambria"/>
          <w:b w:val="false"/>
          <w:bCs w:val="false"/>
          <w:i/>
          <w:iCs/>
          <w:sz w:val="22"/>
          <w:szCs w:val="22"/>
        </w:rPr>
        <w:t>good as gold</w:t>
      </w:r>
      <w:r>
        <w:rPr>
          <w:rFonts w:eastAsia="Cambria" w:cs="Cambria"/>
          <w:b w:val="false"/>
          <w:bCs w:val="false"/>
          <w:i w:val="false"/>
          <w:iCs w:val="false"/>
          <w:sz w:val="22"/>
          <w:szCs w:val="22"/>
        </w:rPr>
        <w:t xml:space="preserve"> bedeuten einfach „gut“ oder „in Ordnung“, </w:t>
      </w:r>
      <w:r>
        <w:rPr>
          <w:rFonts w:eastAsia="Cambria" w:cs="Cambria"/>
          <w:b w:val="false"/>
          <w:bCs w:val="false"/>
          <w:i/>
          <w:iCs/>
          <w:sz w:val="22"/>
          <w:szCs w:val="22"/>
        </w:rPr>
        <w:t>choice</w:t>
      </w:r>
      <w:r>
        <w:rPr>
          <w:rFonts w:eastAsia="Cambria" w:cs="Cambria"/>
          <w:b w:val="false"/>
          <w:bCs w:val="false"/>
          <w:i w:val="false"/>
          <w:iCs w:val="false"/>
          <w:sz w:val="22"/>
          <w:szCs w:val="22"/>
        </w:rPr>
        <w:t xml:space="preserve"> ist eine Bestätigung im Sinne von „klasse“, und ein knappes </w:t>
      </w:r>
      <w:r>
        <w:rPr>
          <w:rFonts w:eastAsia="Cambria" w:cs="Cambria"/>
          <w:b w:val="false"/>
          <w:bCs w:val="false"/>
          <w:i/>
          <w:iCs/>
          <w:sz w:val="22"/>
          <w:szCs w:val="22"/>
        </w:rPr>
        <w:t>ta</w:t>
      </w:r>
      <w:r>
        <w:rPr>
          <w:rFonts w:eastAsia="Cambria" w:cs="Cambria"/>
          <w:b w:val="false"/>
          <w:bCs w:val="false"/>
          <w:i w:val="false"/>
          <w:iCs w:val="false"/>
          <w:sz w:val="22"/>
          <w:szCs w:val="22"/>
        </w:rPr>
        <w:t xml:space="preserve"> ersetzt oft ein ausführlicheres „thank you“. Diese Ausdrücke wirken für deutsche Ohren zunächst wie Satzfragmente – als hätte jemand mitten im Gedanken aufgehört zu sprechen –, sind aber vollständige, verstandene Aussagen. Wer aus Deutschland eine präzise, vollständige Antwort gewohnt ist, muss sich daran gewöhnen, dass ein knappes „sweet as“ bereits das Ende des Gesprächs markiert, nicht, weil dein Gegenüber unhöflich wäre, sondern weil hier gilt: Je weniger Worte für ein zufriedenes Ergebnis nötig sind, desto besser.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Nachbarn grüßen im Vorbeigehen, auch ohne dass man sich näher kennt; ein kurzes Winken oder Nicken reicht. Spontane Besuche sind seltener als ihr Ruf – auch in Neuseeland kündigt man sich meist kurz per Nachricht an, bevor man vorbeikommt.</w:t>
      </w:r>
    </w:p>
    <w:p>
      <w:pPr>
        <w:pStyle w:val="Heading3"/>
        <w:keepNext w:val="true"/>
        <w:spacing w:before="280" w:after="100"/>
        <w:jc w:val="center"/>
        <w:rPr/>
      </w:pPr>
      <w:r>
        <w:rPr>
          <w:rFonts w:eastAsia="Amazon Ember" w:cs="Amazon Ember" w:ascii="Amazon Ember" w:hAnsi="Amazon Ember"/>
          <w:b/>
          <w:bCs/>
          <w:color w:val="0000FF"/>
          <w:sz w:val="36"/>
          <w:szCs w:val="36"/>
        </w:rPr>
        <w:t>Kommunikationsstil: Understatement statt Konfrontation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Neuseeländische Kommunikation gilt im internationalen Vergleich als deutlich konfliktvermeidender und indirekter als die als sehr direkt wahrgenommene deutsche Art. Wo ein deutscher Kollege sagen würde: „Das funktioniert so nicht“, hörst du in Neuseeland eher ein zurückhaltendes „yeah, nah“ (wörtlich „ja, nein“ – gemeint ist meist ein höfliches Nein) oder ein knappes „interesting approach“. Verbreiteter Irrtum: Viele deutsche Neuankömmlinge lesen diese Zurückhaltung als Unverbindlichkeit oder sogar als Zustimmung. Tatsächlich ist sie oft die höflichste Form der Ablehnung, die das Land kennt – wer genau hinhört und im Zweifel nachfragt, verpasst selten eine eigentlich klare Botschaft.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einfaches „no worries“ auf eine Bitte hin heißt fast immer Zustimmung, ein zögerliches „we’ll see“ dagegen häufig ein sanftes Nein. Verlasse dich im Zweifel nicht auf die wörtliche Übersetzung, sondern auf den Tonfall – und frage notfalls direkt nach, ob etwas als Zusage zu verstehen ist.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Kalibriere deinen eigenen Ton bewusst: Deutsche Direktheit kann in neuseeländischen Teams schnell als schroff wahrgenommen werden, umgekehrt wird neuseeländische Zurückhaltung von Deutschen leicht als fehlende Meinung missverstanden. Eine Frage statt einer Feststellung öffnet meist mehr Türen als ein klares „das ist falsch“. Auch in formellen Mitarbeitergesprächen bleibt dieses Muster bestehen: Kritik wird meist in ein „have we thought about …“ oder ein „it might be worth considering …“ verpackt, selten in einen direkten Satz mit Verbesserungsbedarf. Wer aus einem deutschen Jahresgespräch eine klare Note oder Zielverfehlung erwartet, muss lernen, zwischen den freundlichen Formulierungen den eigentlichen Handlungsbedarf herauszuhören – im Zweifel hilft eine direkte, aber höfliche Nachfrage mehr als eine abwartende Interpretation. Mehr zu Feedback und Umgangsformen im Job findest du im </w:t>
      </w:r>
      <w:hyperlink w:anchor="tnz14">
        <w:r>
          <w:rPr>
            <w:rStyle w:val="ListLabel113"/>
            <w:rFonts w:eastAsia="Cambria" w:cs="Cambria"/>
            <w:b w:val="false"/>
            <w:bCs w:val="false"/>
            <w:i w:val="false"/>
            <w:iCs w:val="false"/>
            <w:color w:val="0563C1"/>
            <w:sz w:val="22"/>
            <w:szCs w:val="22"/>
            <w:u w:val="single"/>
          </w:rPr>
          <w:t>Kapitel zur Arbeitswelt in diesem Teil</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Te Ao Māori im Alltag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Neuseeland versteht sich zunehmend als bikulturelles Land auf Grundlage des Vertrags von Waitangi (1840), des Gründungsdokuments zwischen der britischen Krone und Māori-Stammesführern. Für deinen Alltag bedeutet das konkret: Begrüßungsfloskeln aus dem </w:t>
      </w:r>
      <w:r>
        <w:rPr>
          <w:rFonts w:eastAsia="Cambria" w:cs="Cambria"/>
          <w:b w:val="false"/>
          <w:bCs w:val="false"/>
          <w:i/>
          <w:iCs/>
          <w:sz w:val="22"/>
          <w:szCs w:val="22"/>
        </w:rPr>
        <w:t>Te Reo Māori</w:t>
      </w:r>
      <w:r>
        <w:rPr>
          <w:rFonts w:eastAsia="Cambria" w:cs="Cambria"/>
          <w:b w:val="false"/>
          <w:bCs w:val="false"/>
          <w:i w:val="false"/>
          <w:iCs w:val="false"/>
          <w:sz w:val="22"/>
          <w:szCs w:val="22"/>
        </w:rPr>
        <w:t xml:space="preserve"> (der Māori-Sprache) sind allgegenwärtig. </w:t>
      </w:r>
      <w:r>
        <w:rPr>
          <w:rFonts w:eastAsia="Cambria" w:cs="Cambria"/>
          <w:b w:val="false"/>
          <w:bCs w:val="false"/>
          <w:i/>
          <w:iCs/>
          <w:sz w:val="22"/>
          <w:szCs w:val="22"/>
        </w:rPr>
        <w:t>Kia ora</w:t>
      </w:r>
      <w:r>
        <w:rPr>
          <w:rFonts w:eastAsia="Cambria" w:cs="Cambria"/>
          <w:b w:val="false"/>
          <w:bCs w:val="false"/>
          <w:i w:val="false"/>
          <w:iCs w:val="false"/>
          <w:sz w:val="22"/>
          <w:szCs w:val="22"/>
        </w:rPr>
        <w:t xml:space="preserve"> (etwa „sei gesund“ oder schlicht „hallo“) hörst du im Supermarkt genauso wie in offiziellen E-Mails; </w:t>
      </w:r>
      <w:r>
        <w:rPr>
          <w:rFonts w:eastAsia="Cambria" w:cs="Cambria"/>
          <w:b w:val="false"/>
          <w:bCs w:val="false"/>
          <w:i/>
          <w:iCs/>
          <w:sz w:val="22"/>
          <w:szCs w:val="22"/>
        </w:rPr>
        <w:t>Ngā mihi</w:t>
      </w:r>
      <w:r>
        <w:rPr>
          <w:rFonts w:eastAsia="Cambria" w:cs="Cambria"/>
          <w:b w:val="false"/>
          <w:bCs w:val="false"/>
          <w:i w:val="false"/>
          <w:iCs w:val="false"/>
          <w:sz w:val="22"/>
          <w:szCs w:val="22"/>
        </w:rPr>
        <w:t xml:space="preserve"> oder </w:t>
      </w:r>
      <w:r>
        <w:rPr>
          <w:rFonts w:eastAsia="Cambria" w:cs="Cambria"/>
          <w:b w:val="false"/>
          <w:bCs w:val="false"/>
          <w:i/>
          <w:iCs/>
          <w:sz w:val="22"/>
          <w:szCs w:val="22"/>
        </w:rPr>
        <w:t>Ngā mihi nui</w:t>
      </w:r>
      <w:r>
        <w:rPr>
          <w:rFonts w:eastAsia="Cambria" w:cs="Cambria"/>
          <w:b w:val="false"/>
          <w:bCs w:val="false"/>
          <w:i w:val="false"/>
          <w:iCs w:val="false"/>
          <w:sz w:val="22"/>
          <w:szCs w:val="22"/>
        </w:rPr>
        <w:t xml:space="preserve"> (Dank, Grüße) ist eine gängige Grußformel am Ende einer geschäftlichen Nachricht.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In vielen Organisationen – zuerst Behörden, zunehmend auch Unternehmen – wirst du als neue Mitarbeiterin oder neuer Mitarbeiter mit einem </w:t>
      </w:r>
      <w:r>
        <w:rPr>
          <w:rFonts w:eastAsia="Cambria" w:cs="Cambria"/>
          <w:b w:val="false"/>
          <w:bCs w:val="false"/>
          <w:i/>
          <w:iCs/>
          <w:sz w:val="22"/>
          <w:szCs w:val="22"/>
        </w:rPr>
        <w:t>Pōwhiri</w:t>
      </w:r>
      <w:r>
        <w:rPr>
          <w:rFonts w:eastAsia="Cambria" w:cs="Cambria"/>
          <w:b w:val="false"/>
          <w:bCs w:val="false"/>
          <w:i w:val="false"/>
          <w:iCs w:val="false"/>
          <w:sz w:val="22"/>
          <w:szCs w:val="22"/>
        </w:rPr>
        <w:t xml:space="preserve"> oder dem etwas kürzeren </w:t>
      </w:r>
      <w:r>
        <w:rPr>
          <w:rFonts w:eastAsia="Cambria" w:cs="Cambria"/>
          <w:b w:val="false"/>
          <w:bCs w:val="false"/>
          <w:i/>
          <w:iCs/>
          <w:sz w:val="22"/>
          <w:szCs w:val="22"/>
        </w:rPr>
        <w:t>Mihi Whakatau</w:t>
      </w:r>
      <w:r>
        <w:rPr>
          <w:rFonts w:eastAsia="Cambria" w:cs="Cambria"/>
          <w:b w:val="false"/>
          <w:bCs w:val="false"/>
          <w:i w:val="false"/>
          <w:iCs w:val="false"/>
          <w:sz w:val="22"/>
          <w:szCs w:val="22"/>
        </w:rPr>
        <w:t xml:space="preserve"> willkommen geheißen: einer Zeremonie mit Reden (</w:t>
      </w:r>
      <w:r>
        <w:rPr>
          <w:rFonts w:eastAsia="Cambria" w:cs="Cambria"/>
          <w:b w:val="false"/>
          <w:bCs w:val="false"/>
          <w:i/>
          <w:iCs/>
          <w:sz w:val="22"/>
          <w:szCs w:val="22"/>
        </w:rPr>
        <w:t>Kōrero</w:t>
      </w:r>
      <w:r>
        <w:rPr>
          <w:rFonts w:eastAsia="Cambria" w:cs="Cambria"/>
          <w:b w:val="false"/>
          <w:bCs w:val="false"/>
          <w:i w:val="false"/>
          <w:iCs w:val="false"/>
          <w:sz w:val="22"/>
          <w:szCs w:val="22"/>
        </w:rPr>
        <w:t>), Gesang (</w:t>
      </w:r>
      <w:r>
        <w:rPr>
          <w:rFonts w:eastAsia="Cambria" w:cs="Cambria"/>
          <w:b w:val="false"/>
          <w:bCs w:val="false"/>
          <w:i/>
          <w:iCs/>
          <w:sz w:val="22"/>
          <w:szCs w:val="22"/>
        </w:rPr>
        <w:t>Waiata</w:t>
      </w:r>
      <w:r>
        <w:rPr>
          <w:rFonts w:eastAsia="Cambria" w:cs="Cambria"/>
          <w:b w:val="false"/>
          <w:bCs w:val="false"/>
          <w:i w:val="false"/>
          <w:iCs w:val="false"/>
          <w:sz w:val="22"/>
          <w:szCs w:val="22"/>
        </w:rPr>
        <w:t>) und einem kurzen einleitenden Ritual (</w:t>
      </w:r>
      <w:r>
        <w:rPr>
          <w:rFonts w:eastAsia="Cambria" w:cs="Cambria"/>
          <w:b w:val="false"/>
          <w:bCs w:val="false"/>
          <w:i/>
          <w:iCs/>
          <w:sz w:val="22"/>
          <w:szCs w:val="22"/>
        </w:rPr>
        <w:t>Karakia</w:t>
      </w:r>
      <w:r>
        <w:rPr>
          <w:rFonts w:eastAsia="Cambria" w:cs="Cambria"/>
          <w:b w:val="false"/>
          <w:bCs w:val="false"/>
          <w:i w:val="false"/>
          <w:iCs w:val="false"/>
          <w:sz w:val="22"/>
          <w:szCs w:val="22"/>
        </w:rPr>
        <w:t>), das oft nicht länger als eine halbe Minute dauert. Auch viele Besprechungen werden mit einer Karakia eröffnet oder beendet – ein kurzer, meist ruhiger Moment, den du respektvoll mitträgst, auch wenn du die Worte nicht verstehst.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Besuchst du eine </w:t>
      </w:r>
      <w:r>
        <w:rPr>
          <w:rFonts w:eastAsia="Cambria" w:cs="Cambria"/>
          <w:b w:val="false"/>
          <w:bCs w:val="false"/>
          <w:i/>
          <w:iCs/>
          <w:sz w:val="22"/>
          <w:szCs w:val="22"/>
        </w:rPr>
        <w:t>Marae</w:t>
      </w:r>
      <w:r>
        <w:rPr>
          <w:rFonts w:eastAsia="Cambria" w:cs="Cambria"/>
          <w:b w:val="false"/>
          <w:bCs w:val="false"/>
          <w:i w:val="false"/>
          <w:iCs w:val="false"/>
          <w:sz w:val="22"/>
          <w:szCs w:val="22"/>
        </w:rPr>
        <w:t xml:space="preserve"> (den traditionellen Versammlungsort eines Māori-Stammes mit Versammlungshaus, dem </w:t>
      </w:r>
      <w:r>
        <w:rPr>
          <w:rFonts w:eastAsia="Cambria" w:cs="Cambria"/>
          <w:b w:val="false"/>
          <w:bCs w:val="false"/>
          <w:i/>
          <w:iCs/>
          <w:sz w:val="22"/>
          <w:szCs w:val="22"/>
        </w:rPr>
        <w:t>Wharenui</w:t>
      </w:r>
      <w:r>
        <w:rPr>
          <w:rFonts w:eastAsia="Cambria" w:cs="Cambria"/>
          <w:b w:val="false"/>
          <w:bCs w:val="false"/>
          <w:i w:val="false"/>
          <w:iCs w:val="false"/>
          <w:sz w:val="22"/>
          <w:szCs w:val="22"/>
        </w:rPr>
        <w:t>), gelten eigene Umgangsformen: Schuhe bleiben meist vor dem Versammlungshaus, du wartest auf die formelle Begrüßung, bevor du eintrittst, und isst in der Regel nicht im Wharenui selbst. Wie der Ablauf im Einzelfall genau aussieht, erklärt dir meist jemand vom gastgebenden Stamm vor Ort – frag lieber einmal zu viel, als etwas falsch zu machen. Der Grundton ist überall derselbe: Respekt vor dem Ritual zählt mehr als perfekte Aussprache.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Auch außerhalb von Zeremonien begegnet dir Te Ao Māori im Berufsalltag: Projekte, Rollen und ganze Behörden tragen zunehmend Māori-Namen neben oder statt der englischen Bezeichnung, und viele Besprechungen eröffnen mit einem kurzen </w:t>
      </w:r>
      <w:r>
        <w:rPr>
          <w:rFonts w:eastAsia="Cambria" w:cs="Cambria"/>
          <w:b w:val="false"/>
          <w:bCs w:val="false"/>
          <w:i/>
          <w:iCs/>
          <w:sz w:val="22"/>
          <w:szCs w:val="22"/>
        </w:rPr>
        <w:t>Whakataukī</w:t>
      </w:r>
      <w:r>
        <w:rPr>
          <w:rFonts w:eastAsia="Cambria" w:cs="Cambria"/>
          <w:b w:val="false"/>
          <w:bCs w:val="false"/>
          <w:i w:val="false"/>
          <w:iCs w:val="false"/>
          <w:sz w:val="22"/>
          <w:szCs w:val="22"/>
        </w:rPr>
        <w:t xml:space="preserve"> (einem traditionellen Sprichwort), das den Ton für das Treffen setzt. Von dir wird dabei keine eigene Übersetzung oder gar ein eigener Redebeitrag auf Te Reo Māori erwartet – aufmerksames Zuhören und die grundsätzliche Bereitschaft, sich auf diese Ebene der Organisation einzulassen, genügen.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Du musst kein Māori sprechen, um dich richtig zu verhalten. Es reicht, Begrüßungen wie „Kia ora“ zu übernehmen, Zeremonien aufmerksam mitzutragen und bei Unsicherheit einfach zu fragen, statt zu improvisieren.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Petra Krüger (fiktiv), Tierärztin, betreut in Canterbury auch einen Hof, der einer Māori-Genossenschaft (</w:t>
            </w:r>
            <w:r>
              <w:rPr>
                <w:rFonts w:eastAsia="Cambria" w:cs="Cambria"/>
                <w:b w:val="false"/>
                <w:bCs w:val="false"/>
                <w:i/>
                <w:iCs/>
                <w:sz w:val="20"/>
                <w:szCs w:val="20"/>
              </w:rPr>
              <w:t>Trust</w:t>
            </w:r>
            <w:r>
              <w:rPr>
                <w:rFonts w:eastAsia="Cambria" w:cs="Cambria"/>
                <w:b w:val="false"/>
                <w:bCs w:val="false"/>
                <w:i w:val="false"/>
                <w:iCs w:val="false"/>
                <w:sz w:val="20"/>
                <w:szCs w:val="20"/>
              </w:rPr>
              <w:t>) gehört. Zum Antrittsbesuch wird sie mit einem kurzen Mihi Whakatau begrüßt, bevor überhaupt über Impfpläne für die Herde gesprochen wird. Anfangs findet sie das ungewohnt förmlich für einen reinen Arbeitstermin; nach ein paar Monaten merkt sie, dass ausgerechnet dieser kurze, respektvolle Auftakt die spätere Zusammenarbeit leichter macht als jede direkte Sachfrage zum Einstieg.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t>
      </w:r>
      <w:r>
        <w:rPr>
          <w:rFonts w:eastAsia="Amazon Ember" w:cs="Amazon Ember" w:ascii="Amazon Ember" w:hAnsi="Amazon Ember"/>
          <w:b/>
          <w:bCs/>
          <w:color w:val="0000FF"/>
          <w:sz w:val="36"/>
          <w:szCs w:val="36"/>
        </w:rPr>
        <w:t>No worries“-Lässigkeit und Termine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entspannte Grundhaltung, für die Neuseeland ähnlich wie Australien bekannt ist, zeigt sich am deutlichsten im Umgang mit kleinen Pannen und Terminen. </w:t>
      </w:r>
      <w:r>
        <w:rPr>
          <w:rFonts w:eastAsia="Cambria" w:cs="Cambria"/>
          <w:b w:val="false"/>
          <w:bCs w:val="false"/>
          <w:i/>
          <w:iCs/>
          <w:sz w:val="22"/>
          <w:szCs w:val="22"/>
        </w:rPr>
        <w:t>No worries</w:t>
      </w:r>
      <w:r>
        <w:rPr>
          <w:rFonts w:eastAsia="Cambria" w:cs="Cambria"/>
          <w:b w:val="false"/>
          <w:bCs w:val="false"/>
          <w:i w:val="false"/>
          <w:iCs w:val="false"/>
          <w:sz w:val="22"/>
          <w:szCs w:val="22"/>
        </w:rPr>
        <w:t xml:space="preserve"> ist die Standardantwort auf fast alles – eine verpasste Verabredung, ein verschütteter Kaffee, eine Verspätung von 10 Minuten. Wo ein deutscher Kollege eine Entschuldigung mit Begründung erwartet, reicht in Neuseeland oft ein knappes „sorry, running a bit late“ ohne weitere Erklärung, gefolgt von einem ebenso knappen „no worries“ als Antwort.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heißt nicht, dass Verlässlichkeit keine Rolle spielt: Bei Terminen im Beruf, bei Handwerkern und Behörden wird pünktlich erwartet, was besprochen ist, genau wie in Deutschland. Der Unterschied liegt im Ton. Wo eine Verspätung in Deutschland eine ausführliche Rechtfertigung nach sich zieht, wird sie in Neuseeland eher mit einem Schulterzucken quittiert. Für Deutsche, die diese Gelassenheit zunächst als Sorglosigkeit oder Nachlässigkeit deuten, lohnt sich der zweite Blick: Unter der lässigen Oberfläche bleibt die eigentliche Verabredung meist bindend. Wer aus Deutschland eine minutengenaue Fahrplan-Mentalität mitbringt, lernt hier schnell, dass „about ten minutes“ auch fünfzehn oder fünfundzwanzig bedeuten kann, ohne dass irgendjemand darin ein Problem sieht.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So entspannt der Ton im Alltag ist – bei Fristen der Einwanderungsbehörde, der Steuerbehörde </w:t>
            </w:r>
            <w:r>
              <w:rPr>
                <w:rFonts w:eastAsia="Cambria" w:cs="Cambria"/>
                <w:b w:val="false"/>
                <w:bCs w:val="false"/>
                <w:i/>
                <w:iCs/>
                <w:sz w:val="20"/>
                <w:szCs w:val="20"/>
              </w:rPr>
              <w:t>Inland Revenue</w:t>
            </w:r>
            <w:r>
              <w:rPr>
                <w:rFonts w:eastAsia="Cambria" w:cs="Cambria"/>
                <w:b w:val="false"/>
                <w:bCs w:val="false"/>
                <w:i w:val="false"/>
                <w:iCs w:val="false"/>
                <w:sz w:val="20"/>
                <w:szCs w:val="20"/>
              </w:rPr>
              <w:t xml:space="preserve"> (IRD) oder im Mietvertrag zählt Pünktlichkeit wie in Deutschland. Verwechsle die lässige Sprache nicht mit lässigen Konsequenzen: Ein verspätetes Formular bleibt ein verspätetes Formular, so freundlich die Rückmeldung dazu auch klingen mag.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Arbeitsleben, Pausenkultur und Wochenende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Auch im Berufsalltag zeigt sich die entspanntere Grundhaltung, ohne dass die Arbeit dadurch weniger ernst genommen wird. Die informelle Kaffee- oder Teepause zwischendurch trägt vielerorts noch den traditionellen Namen </w:t>
      </w:r>
      <w:r>
        <w:rPr>
          <w:rFonts w:eastAsia="Cambria" w:cs="Cambria"/>
          <w:b w:val="false"/>
          <w:bCs w:val="false"/>
          <w:i/>
          <w:iCs/>
          <w:sz w:val="22"/>
          <w:szCs w:val="22"/>
        </w:rPr>
        <w:t>Smoko</w:t>
      </w:r>
      <w:r>
        <w:rPr>
          <w:rFonts w:eastAsia="Cambria" w:cs="Cambria"/>
          <w:b w:val="false"/>
          <w:bCs w:val="false"/>
          <w:i w:val="false"/>
          <w:iCs w:val="false"/>
          <w:sz w:val="22"/>
          <w:szCs w:val="22"/>
        </w:rPr>
        <w:t xml:space="preserve"> (ursprünglich die Raucherpause, heute meist eine kurze gemeinsame Pause ohne Zigarette) und ist ein fester, akzeptierter Bestandteil des Arbeitstages, gerade in handwerklichen und landwirtschaftlichen Berufen. Nach Feierabend sind spontane </w:t>
      </w:r>
      <w:r>
        <w:rPr>
          <w:rFonts w:eastAsia="Cambria" w:cs="Cambria"/>
          <w:b w:val="false"/>
          <w:bCs w:val="false"/>
          <w:i/>
          <w:iCs/>
          <w:sz w:val="22"/>
          <w:szCs w:val="22"/>
        </w:rPr>
        <w:t>Friday Drinks</w:t>
      </w:r>
      <w:r>
        <w:rPr>
          <w:rFonts w:eastAsia="Cambria" w:cs="Cambria"/>
          <w:b w:val="false"/>
          <w:bCs w:val="false"/>
          <w:i w:val="false"/>
          <w:iCs w:val="false"/>
          <w:sz w:val="22"/>
          <w:szCs w:val="22"/>
        </w:rPr>
        <w:t xml:space="preserve"> mit dem Team verbreitet – ein informelles Getränk zum Wochenausklang, oft direkt im Büro oder in der nächsten Bar, ohne festes Protokoll oder Ansprache.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Wochenende selbst gehört in weiten Teilen des Landes der Natur: Wandern (</w:t>
      </w:r>
      <w:r>
        <w:rPr>
          <w:rFonts w:eastAsia="Cambria" w:cs="Cambria"/>
          <w:b w:val="false"/>
          <w:bCs w:val="false"/>
          <w:i/>
          <w:iCs/>
          <w:sz w:val="22"/>
          <w:szCs w:val="22"/>
        </w:rPr>
        <w:t>Tramping</w:t>
      </w:r>
      <w:r>
        <w:rPr>
          <w:rFonts w:eastAsia="Cambria" w:cs="Cambria"/>
          <w:b w:val="false"/>
          <w:bCs w:val="false"/>
          <w:i w:val="false"/>
          <w:iCs w:val="false"/>
          <w:sz w:val="22"/>
          <w:szCs w:val="22"/>
        </w:rPr>
        <w:t>), Strand, Garten und ein gemeinsames Grillen (</w:t>
      </w:r>
      <w:r>
        <w:rPr>
          <w:rFonts w:eastAsia="Cambria" w:cs="Cambria"/>
          <w:b w:val="false"/>
          <w:bCs w:val="false"/>
          <w:i/>
          <w:iCs/>
          <w:sz w:val="22"/>
          <w:szCs w:val="22"/>
        </w:rPr>
        <w:t>Barbecue</w:t>
      </w:r>
      <w:r>
        <w:rPr>
          <w:rFonts w:eastAsia="Cambria" w:cs="Cambria"/>
          <w:b w:val="false"/>
          <w:bCs w:val="false"/>
          <w:i w:val="false"/>
          <w:iCs w:val="false"/>
          <w:sz w:val="22"/>
          <w:szCs w:val="22"/>
        </w:rPr>
        <w:t xml:space="preserve">, kurz </w:t>
      </w:r>
      <w:r>
        <w:rPr>
          <w:rFonts w:eastAsia="Cambria" w:cs="Cambria"/>
          <w:b w:val="false"/>
          <w:bCs w:val="false"/>
          <w:i/>
          <w:iCs/>
          <w:sz w:val="22"/>
          <w:szCs w:val="22"/>
        </w:rPr>
        <w:t>BBQ</w:t>
      </w:r>
      <w:r>
        <w:rPr>
          <w:rFonts w:eastAsia="Cambria" w:cs="Cambria"/>
          <w:b w:val="false"/>
          <w:bCs w:val="false"/>
          <w:i w:val="false"/>
          <w:iCs w:val="false"/>
          <w:sz w:val="22"/>
          <w:szCs w:val="22"/>
        </w:rPr>
        <w:t xml:space="preserve">) prägen den Ton stärker als Museum oder Café-Kultur. Wer aus Deutschland eine strikte Trennung zwischen Berufs- und Privatleben gewohnt ist, erlebt beides in Neuseeland enger verflochten: Kolleginnen und Kollegen werden schneller zu Freizeitbekanntschaften, gemeinsame Wochenendausflüge sind ein üblicher Gesprächseinstieg am Montagmorgen. Das erleichtert den ersten Kontakt erheblich – mehr zum Aufbau echter Freundschaften darüber hinaus liest du im </w:t>
      </w:r>
      <w:hyperlink w:anchor="tnz12">
        <w:r>
          <w:rPr>
            <w:rStyle w:val="ListLabel113"/>
            <w:rFonts w:eastAsia="Cambria" w:cs="Cambria"/>
            <w:b w:val="false"/>
            <w:bCs w:val="false"/>
            <w:i w:val="false"/>
            <w:iCs w:val="false"/>
            <w:color w:val="0563C1"/>
            <w:sz w:val="22"/>
            <w:szCs w:val="22"/>
            <w:u w:val="single"/>
          </w:rPr>
          <w:t>Kapitel zu Freundschaften und Kulturschock in diesem Teil</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Geografische Isolation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Faktor, der die neuseeländische Mentalität stärker prägt, als es auf den ersten Blick scheint, ist die schiere Entfernung zur übrigen Welt. Australien, der nächste größere Nachbar, liegt rund 2.000 km entfernt; jeder andere Kontinent ist noch weiter weg. Ein Flug nach Deutschland dauert, je nach Route und Zwischenstopp, gut und gerne einen ganzen Tag; die Zeitverschiebung beträgt je nach Jahreszeit und Sommerzeit-Überschneidung etwa 10 bis 12 Stunden.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deinen Alltag bedeutet das: Ein spontanes Wochenende bei den Eltern in Deutschland ist keine Option mehr, sondern eine Reise, die Wochen im Voraus geplant und mit einem erheblichen Reisebudget verbunden ist. Videotelefonate mit Deutschland verlangen wegen der Zeitverschiebung Kompromisse – wenn es in Christchurch früher Abend ist, schläft die Familie in Deutschland noch, oder umgekehrt. Diese Isolation erklärt auch einen Teil der neuseeländischen Mentalität: eine gewisse Selbstgenügsamkeit, ein starkes Interesse an Natur und Freizeit direkt vor der Haustür und eine Portion Gelassenheit gegenüber Nachrichten aus der übrigen Welt, die ohnehin erst mit Verzögerung ankommen.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Buche Flüge nach Deutschland so früh wie möglich und lege, wenn der Zeitplan es zulässt, einen längeren Zwischenstopp ein statt eines reinen Umsteigezwischenstopps – etwa in Singapur, Dubai oder Hongkong. Das unterbricht die lange Reise wenigstens einmal angenehm, statt sie in einem einzigen Flugmarathon durchzustehen.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Krüger (fiktiv) richtet nach dem Umzug nach Christchurch einen festen Videotelefonie-Termin mit den Großeltern in Rostock ein: sonntags neuseeländische Frühstückszeit, deutscher Samstagabend. Anfangs vermisst Sohn Finn, 8, vor allem den direkten Vergleich mit Freunden von zu Hause; nach ein paar Monaten erzählt er lieber von den Schafen auf dem Nachbargrundstück als von der Zeitverschiebung. Sebastian und Petra gewöhnen sich daran, dass ein schneller Rat vom Hausarzt in Deutschland künftig einen Tag Wartezeit bedeutet – nicht wegen der Entfernung an sich, sondern wegen der Uhrzeit dazwischen.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Neuseeländer an Deutschen schätzen und was irritiert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folgenden Punkte sind Tendenzen aus Erfahrungsberichten, keine Messwerte, und gelten nicht für jede Person.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Häufig geschätzt wird deutsche Zuverlässigkeit, Pünktlichkeit im Beruf und handwerkliche Gründlichkeit; Neuseeländer fragen oft neugierig nach dem deutschen Bildungssystem, nach Bahn und Wanderwegen in Europa. Auch der deutsche Umgang mit Regeln und Prozessen gilt vielen als vorbildlich strukturiert – eine Eigenschaft, die im entspannten neuseeländischen Alltag durchaus mit Respekt beobachtet wird, solange sie nicht zur Besserwisserei wird.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Häufig irritiert dagegen eine zu direkte, unverpackte Kritik, die schnell als unhöflich gilt, sowie das Bedürfnis, Regeln oder Abläufe sofort und lautstark zu hinterfragen, statt erst einmal abzuwarten, wie sich die Dinge von selbst fügen. Auch ein zu ernster Umgang mit kleinen Pannen – ein verpasster Bus, ein falsch bestelltes Gericht – wirkt auf Neuseeländer schnell überzogen; Humor über die eigene Verwirrung kommt fast immer besser an als eine Beschwerde.</w:t>
      </w:r>
    </w:p>
    <w:tbl>
      <w:tblPr>
        <w:tblW w:w="6480" w:type="dxa"/>
        <w:jc w:val="left"/>
        <w:tblInd w:w="0" w:type="dxa"/>
        <w:tblLayout w:type="fixed"/>
        <w:tblCellMar>
          <w:top w:w="50" w:type="dxa"/>
          <w:left w:w="80" w:type="dxa"/>
          <w:bottom w:w="50" w:type="dxa"/>
          <w:right w:w="80" w:type="dxa"/>
        </w:tblCellMar>
      </w:tblPr>
      <w:tblGrid>
        <w:gridCol w:w="949"/>
        <w:gridCol w:w="1600"/>
        <w:gridCol w:w="1990"/>
        <w:gridCol w:w="1940"/>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Situation</w:t>
            </w:r>
          </w:p>
        </w:tc>
        <w:tc>
          <w:tcPr>
            <w:tcW w:w="160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In Deutschland</w:t>
            </w:r>
          </w:p>
        </w:tc>
        <w:tc>
          <w:tcPr>
            <w:tcW w:w="199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In Neuseeland</w:t>
            </w:r>
          </w:p>
        </w:tc>
        <w:tc>
          <w:tcPr>
            <w:tcW w:w="19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Tipp</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Anrede im Beruf</w:t>
            </w:r>
          </w:p>
        </w:tc>
        <w:tc>
          <w:tcPr>
            <w:tcW w:w="16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Nachname, oft mit Titel</w:t>
            </w:r>
          </w:p>
        </w:tc>
        <w:tc>
          <w:tcPr>
            <w:tcW w:w="19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Vorname, auch beim Chef</w:t>
            </w:r>
          </w:p>
        </w:tc>
        <w:tc>
          <w:tcPr>
            <w:tcW w:w="1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Vorname anbieten, Titel meiden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Kritik äußern</w:t>
            </w:r>
          </w:p>
        </w:tc>
        <w:tc>
          <w:tcPr>
            <w:tcW w:w="16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Direkt und sachlich</w:t>
            </w:r>
          </w:p>
        </w:tc>
        <w:tc>
          <w:tcPr>
            <w:tcW w:w="19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Indirekt, oft als Frage verpackt</w:t>
            </w:r>
          </w:p>
        </w:tc>
        <w:tc>
          <w:tcPr>
            <w:tcW w:w="1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Erst Anerkennung, dann vorsichtig fragen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Verspätung</w:t>
            </w:r>
          </w:p>
        </w:tc>
        <w:tc>
          <w:tcPr>
            <w:tcW w:w="16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Entschuldigung mit Grund erwartet</w:t>
            </w:r>
          </w:p>
        </w:tc>
        <w:tc>
          <w:tcPr>
            <w:tcW w:w="19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Kurzes „sorry“, „no worries“ reicht</w:t>
            </w:r>
          </w:p>
        </w:tc>
        <w:tc>
          <w:tcPr>
            <w:tcW w:w="1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Nicht überrechtfertigen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Meeting-Eröffnung</w:t>
            </w:r>
          </w:p>
        </w:tc>
        <w:tc>
          <w:tcPr>
            <w:tcW w:w="16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Sachlicher Einstieg</w:t>
            </w:r>
          </w:p>
        </w:tc>
        <w:tc>
          <w:tcPr>
            <w:tcW w:w="199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Oft Karakia oder kurze Māori-Begrüßung</w:t>
            </w:r>
          </w:p>
        </w:tc>
        <w:tc>
          <w:tcPr>
            <w:tcW w:w="1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Aufmerksam mittragen, nicht kommentieren</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Vergleiche mit Deutschland kommen gut an, wenn sie neugierig klingen, und schlecht, wenn sie wie ein Urteil wirken. In einem Land, das sich selbst mit einer gewissen Selbstironie betrachtet, ist ein „bei uns machen wir das anders, warum eigentlich hier so?“ meist willkommener als jeder Vergleichs-Vortrag.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Neuseeländisches Englisch vor der Abreise trainieren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Schulenglisch ist meist britisch geprägt; der neuseeländische Alltagston mit seiner eigenen Sprechmelodie und Māori-Lehnwörtern (siehe oben) klingt trotzdem anfangs ungewohnt. Bücher mit einfacher, dialoggetriebener Prosa bauen Wortschatz am schnellsten auf: Stephen King, John Grisham oder Lee Child eignen sich unabhängig vom Zielland. Die „Accent Expert“-Reihe von WIRED auf YouTube (Dialektcoach Erik Singer) erklärt anschaulich, woran du neuseeländisches von australischem und amerikanischem Englisch unterscheidest – für ungeübte Ohren klingen die beiden Südhalbkugel-Akzente zunächst ähnlich, Kiwis selbst hören den Unterschied sofort.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den Originalton eignen sich zwei neuseeländische Filme besonders gut: „What We Do in the Shadows“ (Taika-Waititi-Klassiker, auf Amazon Prime Video Deutschland mit deutscher und englischer Tonspur) und „Hunt for the Wilderpeople“ (ebenfalls Waititi, bei Netflix oder Amazon oft im Angebot). Prüfe die aktuelle Verfügbarkeit auf JustWatch.de, da sich Streaming-Kataloge laufend ändern. Stelle Untertitel wenn möglich auf Englisch, nicht auf Deutsch, und schau dir eine dir bekannte Serie noch einmal im Original an – die bekannte Handlung senkt die Einstiegshürde. Wer lieber strukturiert lernt: ARD und ZDF bieten in ihren Mediatheken kostenlose Englischkurse, weniger unterhaltsam, aber solide.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Kinder gilt eine andere, altersabhängige Auswahl – dazu mehr im </w:t>
      </w:r>
      <w:hyperlink w:anchor="tnz13">
        <w:r>
          <w:rPr>
            <w:rStyle w:val="ListLabel113"/>
            <w:rFonts w:eastAsia="Cambria" w:cs="Cambria"/>
            <w:b w:val="false"/>
            <w:bCs w:val="false"/>
            <w:i w:val="false"/>
            <w:iCs w:val="false"/>
            <w:color w:val="0563C1"/>
            <w:sz w:val="22"/>
            <w:szCs w:val="22"/>
            <w:u w:val="single"/>
          </w:rPr>
          <w:t>Kapitel zu Kindern, Schule und Sprache in diesem Teil</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2860"/>
        <w:gridCol w:w="3619"/>
      </w:tblGrid>
      <w:tr>
        <w:trPr>
          <w:tblHeader w:val="true"/>
          <w:cantSplit w:val="true"/>
        </w:trPr>
        <w:tc>
          <w:tcPr>
            <w:tcW w:w="28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61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28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Schnelle, unkomplizierte Kontakte im Alltag</w:t>
            </w:r>
          </w:p>
        </w:tc>
        <w:tc>
          <w:tcPr>
            <w:tcW w:w="3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Echte Nähe braucht trotzdem Zeit (siehe das </w:t>
            </w:r>
            <w:hyperlink w:anchor="tnz12">
              <w:r>
                <w:rPr>
                  <w:rStyle w:val="ListLabel117"/>
                  <w:rFonts w:eastAsia="Cambria" w:cs="Cambria"/>
                  <w:b w:val="false"/>
                  <w:bCs w:val="false"/>
                  <w:i w:val="false"/>
                  <w:iCs w:val="false"/>
                  <w:color w:val="0563C1"/>
                  <w:sz w:val="18"/>
                  <w:szCs w:val="18"/>
                  <w:u w:val="single"/>
                </w:rPr>
                <w:t>Kapitel zu Freundschaften in diesem Teil</w:t>
              </w:r>
            </w:hyperlink>
            <w:r>
              <w:rPr>
                <w:rFonts w:eastAsia="Cambria" w:cs="Cambria"/>
                <w:b w:val="false"/>
                <w:bCs w:val="false"/>
                <w:i w:val="false"/>
                <w:iCs w:val="false"/>
                <w:sz w:val="18"/>
                <w:szCs w:val="18"/>
              </w:rPr>
              <w:t>)</w:t>
            </w:r>
          </w:p>
        </w:tc>
      </w:tr>
      <w:tr>
        <w:trPr>
          <w:cantSplit w:val="true"/>
        </w:trPr>
        <w:tc>
          <w:tcPr>
            <w:tcW w:w="28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Wenig Hierarchie-Theater im Job</w:t>
            </w:r>
          </w:p>
        </w:tc>
        <w:tc>
          <w:tcPr>
            <w:tcW w:w="3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Kritik richtig zu deuten braucht Übung</w:t>
            </w:r>
          </w:p>
        </w:tc>
      </w:tr>
      <w:tr>
        <w:trPr>
          <w:cantSplit w:val="true"/>
        </w:trPr>
        <w:tc>
          <w:tcPr>
            <w:tcW w:w="28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Bikulturelle Rituale schaffen Zugehörigkeit</w:t>
            </w:r>
          </w:p>
        </w:tc>
        <w:tc>
          <w:tcPr>
            <w:tcW w:w="3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Wer Te Ao Māori ignoriert, wirkt schnell respektlos</w:t>
            </w:r>
          </w:p>
        </w:tc>
      </w:tr>
      <w:tr>
        <w:trPr>
          <w:cantSplit w:val="true"/>
        </w:trPr>
        <w:tc>
          <w:tcPr>
            <w:tcW w:w="28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Entspannter Umgang mit kleinen Pannen</w:t>
            </w:r>
          </w:p>
        </w:tc>
        <w:tc>
          <w:tcPr>
            <w:tcW w:w="3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Gelassenheit kann bei echten Problemen wie Trägheit wirken</w:t>
            </w:r>
          </w:p>
        </w:tc>
      </w:tr>
      <w:tr>
        <w:trPr>
          <w:cantSplit w:val="true"/>
        </w:trPr>
        <w:tc>
          <w:tcPr>
            <w:tcW w:w="28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Beeindruckende Natur direkt vor der Haustür</w:t>
            </w:r>
          </w:p>
        </w:tc>
        <w:tc>
          <w:tcPr>
            <w:tcW w:w="3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Geografische Isolation erschwert spontane Deutschlandbesuche</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Beobachte in den ersten Wochen bewusst, wie Kolleginnen und Nachbarn Kritik formulieren, wie Meetings eröffnet werden und wie selbstverständlich Vornamen fallen. Übernimm das Muster, statt es zu bewerten, und plane den Kontakt nach Deutschland von Anfang an mit fester Zeitverschiebung statt mit Spontaneität.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Vornamen-Anrede im neuen Job und unter Nachbarn von Anfang an übernommen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Grundbegriffe auf Te Reo Māori (Kia ora, Ngā mihi) eingeübt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Verhalten bei Pōwhiri oder Karakia im Job vorab erfragt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 Kritik bewusst indirekter formuliert, mit Frage statt Feststellung</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Zurückhaltende Antworten („yeah, nah“, „we’ll see“) richtig eingeordnet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Festen Videotelefonie-Termin mit der Familie in Deutschland unter Berücksichtigung der Zeitverschiebung eingerichtet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Reisebudget und Vorlaufzeit für Deutschlandbesuche realistisch eingeplant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Marae-Besuchen vorab nach den geltenden Umgangsformen gefragt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Te Puni Kōkiri (Ministerium für Māori-Entwicklung) — Te Ao Māori im Alltag und am Arbeitsplatz (</w:t>
      </w:r>
      <w:hyperlink r:id="rId716">
        <w:r>
          <w:rPr>
            <w:rStyle w:val="ListLabel113"/>
            <w:rFonts w:eastAsia="Cambria" w:cs="Cambria"/>
            <w:b w:val="false"/>
            <w:bCs w:val="false"/>
            <w:i w:val="false"/>
            <w:iCs w:val="false"/>
            <w:color w:val="0563C1"/>
            <w:sz w:val="22"/>
            <w:szCs w:val="22"/>
            <w:u w:val="single"/>
          </w:rPr>
          <w:t>tpk.govt.nz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New Zealand Now, Immigration New Zealand — Einleben und Alltagskultur (</w:t>
      </w:r>
      <w:hyperlink r:id="rId717">
        <w:r>
          <w:rPr>
            <w:rStyle w:val="ListLabel113"/>
            <w:rFonts w:eastAsia="Cambria" w:cs="Cambria"/>
            <w:b w:val="false"/>
            <w:bCs w:val="false"/>
            <w:i w:val="false"/>
            <w:iCs w:val="false"/>
            <w:color w:val="0563C1"/>
            <w:sz w:val="22"/>
            <w:szCs w:val="22"/>
            <w:u w:val="single"/>
          </w:rPr>
          <w:t>newzealand.govt.nz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Ministry for Culture and Heritage — Vertrag von Waitangi, Te Reo Māori (</w:t>
      </w:r>
      <w:hyperlink r:id="rId718">
        <w:r>
          <w:rPr>
            <w:rStyle w:val="ListLabel113"/>
            <w:rFonts w:eastAsia="Cambria" w:cs="Cambria"/>
            <w:b w:val="false"/>
            <w:bCs w:val="false"/>
            <w:i w:val="false"/>
            <w:iCs w:val="false"/>
            <w:color w:val="0563C1"/>
            <w:sz w:val="22"/>
            <w:szCs w:val="22"/>
            <w:u w:val="single"/>
          </w:rPr>
          <w:t>mch.govt.nz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Stats NZ — Bevölkerung, Herkunft und Lebensverhältnisse (</w:t>
      </w:r>
      <w:hyperlink r:id="rId719">
        <w:r>
          <w:rPr>
            <w:rStyle w:val="ListLabel113"/>
            <w:rFonts w:eastAsia="Cambria" w:cs="Cambria"/>
            <w:b w:val="false"/>
            <w:bCs w:val="false"/>
            <w:i w:val="false"/>
            <w:iCs w:val="false"/>
            <w:color w:val="0563C1"/>
            <w:sz w:val="22"/>
            <w:szCs w:val="22"/>
            <w:u w:val="single"/>
          </w:rPr>
          <w:t>stats.govt.nz</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langsamer als Zahlen und Fristen, sind aber Tendenzen und keine Messwerte: Wahrnehmungen zu Kommunikationsstil und Umgangsformen schwanken je nach Region, Branche und Generation. Prüfe im Zweifel, etwa vor einem Pōwhiri, direkt bei den Beteiligten vor Ort nach.</w:t>
            </w:r>
          </w:p>
        </w:tc>
      </w:tr>
    </w:tbl>
    <w:p>
      <w:pPr>
        <w:pStyle w:val="Normal"/>
        <w:spacing w:lineRule="exact" w:line="220" w:before="0" w:after="0"/>
        <w:rPr/>
      </w:pPr>
      <w:r>
        <w:rPr/>
      </w:r>
      <w:r>
        <w:br w:type="page"/>
      </w:r>
    </w:p>
    <w:p>
      <w:pPr>
        <w:pStyle w:val="Heading2"/>
        <w:keepNext w:val="true"/>
        <w:spacing w:before="0" w:after="300"/>
        <w:jc w:val="center"/>
        <w:rPr/>
      </w:pPr>
      <w:bookmarkStart w:id="192" w:name="__RefHeading___Toc56623_3769931028"/>
      <w:bookmarkStart w:id="193" w:name="tnz12"/>
      <w:bookmarkEnd w:id="192"/>
      <w:r>
        <w:rPr>
          <w:rFonts w:eastAsia="Amazon Ember" w:cs="Amazon Ember" w:ascii="Amazon Ember" w:hAnsi="Amazon Ember"/>
          <w:b/>
          <w:bCs/>
          <w:color w:val="0000FF"/>
          <w:sz w:val="36"/>
          <w:szCs w:val="36"/>
        </w:rPr>
        <w:t>Neuseeland: Freunde finden und der Kulturschock der Distanz</w:t>
      </w:r>
      <w:bookmarkEnd w:id="193"/>
    </w:p>
    <w:p>
      <w:pPr>
        <w:pStyle w:val="Normal"/>
        <w:keepNext w:val="false"/>
        <w:keepLines w:val="false"/>
        <w:spacing w:lineRule="exact" w:line="288" w:before="0" w:after="140"/>
        <w:jc w:val="left"/>
        <w:rPr/>
      </w:pPr>
      <w:r>
        <w:rPr>
          <w:rFonts w:eastAsia="Cambria" w:cs="Cambria"/>
          <w:b w:val="false"/>
          <w:bCs w:val="false"/>
          <w:i w:val="false"/>
          <w:iCs w:val="false"/>
          <w:sz w:val="22"/>
          <w:szCs w:val="22"/>
        </w:rPr>
        <w:t>„</w:t>
      </w:r>
      <w:r>
        <w:rPr>
          <w:rFonts w:eastAsia="Cambria" w:cs="Cambria"/>
          <w:b w:val="false"/>
          <w:bCs w:val="false"/>
          <w:i w:val="false"/>
          <w:iCs w:val="false"/>
          <w:sz w:val="22"/>
          <w:szCs w:val="22"/>
        </w:rPr>
        <w:t>Kia ora, how’s it going?“ ruft die Nachbarin über den niedrigen Gartenzaun, während sie in Jandals (den hier allgegenwärtigen Flip-Flops) zum Briefkasten schlurft. Eine ausführliche Antwort erwartet sie nicht – „Kia ora“ (der Māori-Gruß, mittlerweile fester Bestandteil des neuseeländischen Alltagsenglisch für „Hallo“) plus ein knappes „Good, thanks“ reicht vollkommen. Komplizierter wird es abends, wenn du im Kopf nachrechnest, wie spät es gerade bei den Eltern in Deutschland ist, und merkst: Neuseeland ist nicht einfach „noch etwas weiter weg als Australien“, sondern, nüchtern betrachtet, ziemlich am anderen Ende der Welt – und genau das prägt Freundschaften und Heimweh hier auf eine Weise, die kein anderes Ziel dieses Buches in dieser Deutlichkeit kennt.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Neuseeländische Freundlichkeit ist echt, aber zurückhaltend: Kiwis öffnen die Tür bereitwillig, laden seltener spontan ins Wohnzimmer ein, als es sich im ersten Moment anfühlt.</w:t>
            </w:r>
          </w:p>
          <w:p>
            <w:pPr>
              <w:pStyle w:val="ListParagraph"/>
              <w:numPr>
                <w:ilvl w:val="0"/>
                <w:numId w:val="1"/>
              </w:numPr>
              <w:spacing w:lineRule="exact" w:line="264" w:before="0" w:after="50"/>
              <w:rPr/>
            </w:pPr>
            <w:r>
              <w:rPr>
                <w:rFonts w:eastAsia="Cambria" w:cs="Cambria"/>
                <w:b w:val="false"/>
                <w:bCs w:val="false"/>
                <w:i w:val="false"/>
                <w:iCs w:val="false"/>
                <w:sz w:val="20"/>
                <w:szCs w:val="20"/>
              </w:rPr>
              <w:t>Sportvereine (vor allem Rugby und Netball), Krabbelgruppen, Freiwilligenarbeit bei Feuerwehr oder Nachbarschaftswache und der Kontakt über die eigenen Kinder sind die verlässlichsten Wege zu festen Bekanntschaften.</w:t>
            </w:r>
          </w:p>
          <w:p>
            <w:pPr>
              <w:pStyle w:val="ListParagraph"/>
              <w:numPr>
                <w:ilvl w:val="0"/>
                <w:numId w:val="1"/>
              </w:numPr>
              <w:spacing w:lineRule="exact" w:line="264" w:before="0" w:after="50"/>
              <w:rPr/>
            </w:pPr>
            <w:r>
              <w:rPr>
                <w:rFonts w:eastAsia="Cambria" w:cs="Cambria"/>
                <w:b w:val="false"/>
                <w:bCs w:val="false"/>
                <w:i w:val="false"/>
                <w:iCs w:val="false"/>
                <w:sz w:val="20"/>
                <w:szCs w:val="20"/>
              </w:rPr>
              <w:t>Die deutsche Infrastruktur konzentriert sich auf Wellington; Auckland hat wenig, Christchurch fast nichts – abseits davon bist du überwiegend auf dich gestellt.</w:t>
            </w:r>
          </w:p>
          <w:p>
            <w:pPr>
              <w:pStyle w:val="ListParagraph"/>
              <w:numPr>
                <w:ilvl w:val="0"/>
                <w:numId w:val="1"/>
              </w:numPr>
              <w:spacing w:lineRule="exact" w:line="264" w:before="0" w:after="50"/>
              <w:rPr/>
            </w:pPr>
            <w:r>
              <w:rPr>
                <w:rFonts w:eastAsia="Cambria" w:cs="Cambria"/>
                <w:b w:val="false"/>
                <w:bCs w:val="false"/>
                <w:i w:val="false"/>
                <w:iCs w:val="false"/>
                <w:sz w:val="20"/>
                <w:szCs w:val="20"/>
              </w:rPr>
              <w:t>Neuseeland liegt für deutsche Verhältnisse extrem weit weg: keine Direktflüge, meist 24 bis 27 Stunden Reisezeit, 10 bis 12 Stunden Zeitverschiebung – eine Distanz, die noch über der Australiens liegt.</w:t>
            </w:r>
          </w:p>
          <w:p>
            <w:pPr>
              <w:pStyle w:val="ListParagraph"/>
              <w:numPr>
                <w:ilvl w:val="0"/>
                <w:numId w:val="1"/>
              </w:numPr>
              <w:spacing w:lineRule="exact" w:line="264" w:before="0" w:after="50"/>
              <w:rPr/>
            </w:pPr>
            <w:r>
              <w:rPr>
                <w:rFonts w:eastAsia="Cambria" w:cs="Cambria"/>
                <w:b w:val="false"/>
                <w:bCs w:val="false"/>
                <w:i w:val="false"/>
                <w:iCs w:val="false"/>
                <w:sz w:val="20"/>
                <w:szCs w:val="20"/>
              </w:rPr>
              <w:t>Die kritischsten Monate sind meist der dritte bis sechste, verschärft durch ein Weihnachtsfest am Strand statt am Tannenbaum.</w:t>
            </w:r>
          </w:p>
          <w:p>
            <w:pPr>
              <w:pStyle w:val="ListParagraph"/>
              <w:numPr>
                <w:ilvl w:val="0"/>
                <w:numId w:val="1"/>
              </w:numPr>
              <w:spacing w:lineRule="exact" w:line="264" w:before="0" w:after="50"/>
              <w:rPr/>
            </w:pPr>
            <w:r>
              <w:rPr>
                <w:rFonts w:eastAsia="Cambria" w:cs="Cambria"/>
                <w:b w:val="false"/>
                <w:bCs w:val="false"/>
                <w:i w:val="false"/>
                <w:iCs w:val="false"/>
                <w:sz w:val="20"/>
                <w:szCs w:val="20"/>
              </w:rPr>
              <w:t>Bei anhaltender Erschöpfung oder Einsamkeit gibt es rund um die Uhr erreichbare, kostenlose Hilfe.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Kiwi-Freundlichkeit: höflich, zurückhaltend, gründlich unaufgeregt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Neuseeland gilt als eine der informellsten westlichen Gesellschaften überhaupt: Vornamen-Anrede ist Standard, auch gegenüber Vorgesetzten, und wer im Bewerbungsgespräch versehentlich „Mr. Schmidt“ sagt, erntet eher ein überraschtes Lächeln als Respekt. Diese Lockerheit täuscht allerdings leicht über etwas anderes hinweg: Neuseeländische Kommunikation gilt im internationalen Vergleich als vergleichsweise konfliktvermeidend und indirekt – ein deutlicher Unterschied zur als sehr direkt wahrgenommenen deutschen Gesprächskultur. Kritik wird selten offen ausgesprochen, Ablehnung selten klar formuliert; „yeah, maybe“ bedeutet in vielen Zusammenhängen ein höfliches Nein, kein vages Vielleicht.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Viele stellen sich Neuseeländer als eine Art ruhigere Kopie der Australier vor – gleiche Sprache, gleiche Nachbarschaft, also auch gleicher Umgangston. Tatsächlich fällt die neuseeländische Zurückhaltung im Alltag spürbar stärker aus als die robustere, direktere australische Art, und wer diesen Unterschied übersieht, missversteht schnell höfliches Desinteresse als tiefere Ablehnung – oder umgekehrt beiläufige Freundlichkeit als festen Freundschaftsantrag. Die Realität liegt dazwischen: freundlich, aber gründlich unaufgeregt.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Typisch für diese Grundhaltung ist die Redewendung „she’ll be right“ (sinngemäß „wird schon werden“), die auf beinahe jedes Problem angewendet wird, vom verspäteten Bus bis zur undichten Wasserleitung. Verwandt damit ist die sogenannte </w:t>
      </w:r>
      <w:r>
        <w:rPr>
          <w:rFonts w:eastAsia="Cambria" w:cs="Cambria"/>
          <w:b w:val="false"/>
          <w:bCs w:val="false"/>
          <w:i/>
          <w:iCs/>
          <w:sz w:val="22"/>
          <w:szCs w:val="22"/>
        </w:rPr>
        <w:t>No.-8-wire</w:t>
      </w:r>
      <w:r>
        <w:rPr>
          <w:rFonts w:eastAsia="Cambria" w:cs="Cambria"/>
          <w:b w:val="false"/>
          <w:bCs w:val="false"/>
          <w:i w:val="false"/>
          <w:iCs w:val="false"/>
          <w:sz w:val="22"/>
          <w:szCs w:val="22"/>
        </w:rPr>
        <w:t>-Mentalität (benannt nach dem Standard-Zaundraht, mit dem findige Farmer früher praktisch alles reparierten) – ein tief verwurzelter Stolz auf pragmatische Selbsthilfe statt auf teure Lösungen von außen. Wer als deutsche Fachkraft mit dem Ruf „gründlich und plangetreu“ anreist, erlebt diesen Improvisationsgeist gelegentlich als chaotisch; in Wahrheit funktioniert er meist erstaunlich gut, nur eben anders, als es das deutsche Organisationstalent erwartet.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Ein entspanntes „Kia ora“ oder „How’s it going?“ ist ein Türöffner, keine Einladung ins Wohnzimmer. Nimm die erste Freundlichkeit dankbar an, erwarte die eigentliche Freundschaft aber erst nach mehreren Wiederholungen desselben Kontakts.</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Eine zusätzliche, spezifisch neuseeländische Ebene bildet </w:t>
      </w:r>
      <w:r>
        <w:rPr>
          <w:rFonts w:eastAsia="Cambria" w:cs="Cambria"/>
          <w:b w:val="false"/>
          <w:bCs w:val="false"/>
          <w:i/>
          <w:iCs/>
          <w:sz w:val="22"/>
          <w:szCs w:val="22"/>
        </w:rPr>
        <w:t>Te Ao Māori</w:t>
      </w:r>
      <w:r>
        <w:rPr>
          <w:rFonts w:eastAsia="Cambria" w:cs="Cambria"/>
          <w:b w:val="false"/>
          <w:bCs w:val="false"/>
          <w:i w:val="false"/>
          <w:iCs w:val="false"/>
          <w:sz w:val="22"/>
          <w:szCs w:val="22"/>
        </w:rPr>
        <w:t xml:space="preserve"> (die Māori-Weltsicht), die im Alltag präsenter ist, als viele Neuankömmlinge erwarten. Neue Mitarbeitende werden in manchen Organisationen mit einem </w:t>
      </w:r>
      <w:r>
        <w:rPr>
          <w:rFonts w:eastAsia="Cambria" w:cs="Cambria"/>
          <w:b w:val="false"/>
          <w:bCs w:val="false"/>
          <w:i/>
          <w:iCs/>
          <w:sz w:val="22"/>
          <w:szCs w:val="22"/>
        </w:rPr>
        <w:t>Mihi Whakatau</w:t>
      </w:r>
      <w:r>
        <w:rPr>
          <w:rFonts w:eastAsia="Cambria" w:cs="Cambria"/>
          <w:b w:val="false"/>
          <w:bCs w:val="false"/>
          <w:i w:val="false"/>
          <w:iCs w:val="false"/>
          <w:sz w:val="22"/>
          <w:szCs w:val="22"/>
        </w:rPr>
        <w:t xml:space="preserve"> oder einer formelleren </w:t>
      </w:r>
      <w:r>
        <w:rPr>
          <w:rFonts w:eastAsia="Cambria" w:cs="Cambria"/>
          <w:b w:val="false"/>
          <w:bCs w:val="false"/>
          <w:i/>
          <w:iCs/>
          <w:sz w:val="22"/>
          <w:szCs w:val="22"/>
        </w:rPr>
        <w:t>Pōwhiri</w:t>
      </w:r>
      <w:r>
        <w:rPr>
          <w:rFonts w:eastAsia="Cambria" w:cs="Cambria"/>
          <w:b w:val="false"/>
          <w:bCs w:val="false"/>
          <w:i w:val="false"/>
          <w:iCs w:val="false"/>
          <w:sz w:val="22"/>
          <w:szCs w:val="22"/>
        </w:rPr>
        <w:t xml:space="preserve"> (Willkommenszeremonie mit Reden, Liedern und einem kurzen einleitenden Ritual, der </w:t>
      </w:r>
      <w:r>
        <w:rPr>
          <w:rFonts w:eastAsia="Cambria" w:cs="Cambria"/>
          <w:b w:val="false"/>
          <w:bCs w:val="false"/>
          <w:i/>
          <w:iCs/>
          <w:sz w:val="22"/>
          <w:szCs w:val="22"/>
        </w:rPr>
        <w:t>Karakia</w:t>
      </w:r>
      <w:r>
        <w:rPr>
          <w:rFonts w:eastAsia="Cambria" w:cs="Cambria"/>
          <w:b w:val="false"/>
          <w:bCs w:val="false"/>
          <w:i w:val="false"/>
          <w:iCs w:val="false"/>
          <w:sz w:val="22"/>
          <w:szCs w:val="22"/>
        </w:rPr>
        <w:t>) begrüßt; Meetings beginnen und enden in vielen Behörden und zunehmend auch Unternehmen mit einer kurzen Karakia. Wer diesen Ritualen mit echtem Respekt statt mit Verlegenheit begegnet, gewinnt dabei überraschend oft die ersten Sympathiepunkte im neuen Job – ein Baustein für spätere Freundschaften, der in keinem anderen Land dieses Buches eine vergleichbare Rolle spielt.</w:t>
      </w:r>
    </w:p>
    <w:p>
      <w:pPr>
        <w:pStyle w:val="Heading3"/>
        <w:keepNext w:val="true"/>
        <w:spacing w:before="280" w:after="100"/>
        <w:jc w:val="center"/>
        <w:rPr/>
      </w:pPr>
      <w:r>
        <w:rPr>
          <w:rFonts w:eastAsia="Amazon Ember" w:cs="Amazon Ember" w:ascii="Amazon Ember" w:hAnsi="Amazon Ember"/>
          <w:b/>
          <w:bCs/>
          <w:color w:val="0000FF"/>
          <w:sz w:val="36"/>
          <w:szCs w:val="36"/>
        </w:rPr>
        <w:t>Wo du Anschluss findest: Sport, Vereine, Nachbarschaft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Rugby ist mehr als Sport – die </w:t>
      </w:r>
      <w:r>
        <w:rPr>
          <w:rFonts w:eastAsia="Cambria" w:cs="Cambria"/>
          <w:b w:val="false"/>
          <w:bCs w:val="false"/>
          <w:i/>
          <w:iCs/>
          <w:sz w:val="22"/>
          <w:szCs w:val="22"/>
        </w:rPr>
        <w:t>All Blacks</w:t>
      </w:r>
      <w:r>
        <w:rPr>
          <w:rFonts w:eastAsia="Cambria" w:cs="Cambria"/>
          <w:b w:val="false"/>
          <w:bCs w:val="false"/>
          <w:i w:val="false"/>
          <w:iCs w:val="false"/>
          <w:sz w:val="22"/>
          <w:szCs w:val="22"/>
        </w:rPr>
        <w:t xml:space="preserve"> sind identitätsstiftend, und ein örtlicher Rugbyclub ist fast überall im Land ein sicherer sozialer Ankerpunkt, auch für Zugezogene ohne jede Ballerfahrung. Fast ebenso präsent ist </w:t>
      </w:r>
      <w:r>
        <w:rPr>
          <w:rFonts w:eastAsia="Cambria" w:cs="Cambria"/>
          <w:b w:val="false"/>
          <w:bCs w:val="false"/>
          <w:i/>
          <w:iCs/>
          <w:sz w:val="22"/>
          <w:szCs w:val="22"/>
        </w:rPr>
        <w:t>Netball</w:t>
      </w:r>
      <w:r>
        <w:rPr>
          <w:rFonts w:eastAsia="Cambria" w:cs="Cambria"/>
          <w:b w:val="false"/>
          <w:bCs w:val="false"/>
          <w:i w:val="false"/>
          <w:iCs w:val="false"/>
          <w:sz w:val="22"/>
          <w:szCs w:val="22"/>
        </w:rPr>
        <w:t xml:space="preserve">, in Neuseeland überwiegend, wenn auch nicht ausschließlich, von Frauen und Mädchen gespielt und mit eigenen Ligen bis in kleinste Orte organisiert. Wer weniger Kontaktsport sucht, findet in </w:t>
      </w:r>
      <w:r>
        <w:rPr>
          <w:rFonts w:eastAsia="Cambria" w:cs="Cambria"/>
          <w:b w:val="false"/>
          <w:bCs w:val="false"/>
          <w:i/>
          <w:iCs/>
          <w:sz w:val="22"/>
          <w:szCs w:val="22"/>
        </w:rPr>
        <w:t>Touch</w:t>
      </w:r>
      <w:r>
        <w:rPr>
          <w:rFonts w:eastAsia="Cambria" w:cs="Cambria"/>
          <w:b w:val="false"/>
          <w:bCs w:val="false"/>
          <w:i w:val="false"/>
          <w:iCs w:val="false"/>
          <w:sz w:val="22"/>
          <w:szCs w:val="22"/>
        </w:rPr>
        <w:t xml:space="preserve"> (einer kontaktfreien Variante des Rugby, gemischtgeschlechtlich, oft nach Feierabend auf dem nächsten Sportplatz gespielt) einen besonders leicht zugänglichen Einstieg: Die Regeln lernt man in einer Trainingseinheit, das Bier danach gehört meist automatisch dazu. Cricket dominiert die Sommermonate, </w:t>
      </w:r>
      <w:r>
        <w:rPr>
          <w:rFonts w:eastAsia="Cambria" w:cs="Cambria"/>
          <w:b w:val="false"/>
          <w:bCs w:val="false"/>
          <w:i/>
          <w:iCs/>
          <w:sz w:val="22"/>
          <w:szCs w:val="22"/>
        </w:rPr>
        <w:t>Tramping</w:t>
      </w:r>
      <w:r>
        <w:rPr>
          <w:rFonts w:eastAsia="Cambria" w:cs="Cambria"/>
          <w:b w:val="false"/>
          <w:bCs w:val="false"/>
          <w:i w:val="false"/>
          <w:iCs w:val="false"/>
          <w:sz w:val="22"/>
          <w:szCs w:val="22"/>
        </w:rPr>
        <w:t xml:space="preserve"> (Wandern über mehrere Tage, meist mit Hüttenübernachtung – ein eigenes neuseeländisches Wort, keine wörtliche Übersetzung von „trampen“) hat landesweit organisierte Clubs mit regelmäßigen Gruppentouren.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Familien mit kleinen Kindern ist </w:t>
      </w:r>
      <w:r>
        <w:rPr>
          <w:rFonts w:eastAsia="Cambria" w:cs="Cambria"/>
          <w:b w:val="false"/>
          <w:bCs w:val="false"/>
          <w:i/>
          <w:iCs/>
          <w:sz w:val="22"/>
          <w:szCs w:val="22"/>
        </w:rPr>
        <w:t>Plunket</w:t>
      </w:r>
      <w:r>
        <w:rPr>
          <w:rFonts w:eastAsia="Cambria" w:cs="Cambria"/>
          <w:b w:val="false"/>
          <w:bCs w:val="false"/>
          <w:i w:val="false"/>
          <w:iCs w:val="false"/>
          <w:sz w:val="22"/>
          <w:szCs w:val="22"/>
        </w:rPr>
        <w:t xml:space="preserve"> (eine landesweite gemeinnützige Organisation für frühkindliche Gesundheit und Familienbegleitung) oft der schnellste Weg zu anderen Eltern: Kostenlose Krabbelgruppen und Gesundheitschecks bringen regelmäßig dieselben Gesichter zusammen, lange bevor die Kinder in die Schule kommen. Eine zweite, sehr neuseeländische Tür ist die Freiwilligenarbeit: Fire and Emergency New Zealand (die nationale Feuerwehrorganisation) betreibt außerhalb der großen Städte überwiegend freiwillige Brigaden, die dringend Mitglieder suchen; </w:t>
      </w:r>
      <w:r>
        <w:rPr>
          <w:rFonts w:eastAsia="Cambria" w:cs="Cambria"/>
          <w:b w:val="false"/>
          <w:bCs w:val="false"/>
          <w:i/>
          <w:iCs/>
          <w:sz w:val="22"/>
          <w:szCs w:val="22"/>
        </w:rPr>
        <w:t>Neighbourhood Support</w:t>
      </w:r>
      <w:r>
        <w:rPr>
          <w:rFonts w:eastAsia="Cambria" w:cs="Cambria"/>
          <w:b w:val="false"/>
          <w:bCs w:val="false"/>
          <w:i w:val="false"/>
          <w:iCs w:val="false"/>
          <w:sz w:val="22"/>
          <w:szCs w:val="22"/>
        </w:rPr>
        <w:t xml:space="preserve"> (ein landesweites Netzwerk aus Nachbarschaftsgruppen zur gegenseitigen Wachsamkeit und Hilfe bei Notfällen) organisiert in vielen Straßenzügen feste Treffen. Wer sich für eine dieser Gruppen entscheidet, lernt Nachbarn kennen, die im Ernstfall ohnehin zusammenhalten müssen – eine Bekanntschaft, die oft tragfähiger ist als eine, die nur am Gartenzaun begann.</w:t>
      </w:r>
    </w:p>
    <w:tbl>
      <w:tblPr>
        <w:tblW w:w="6480" w:type="dxa"/>
        <w:jc w:val="left"/>
        <w:tblInd w:w="0" w:type="dxa"/>
        <w:tblLayout w:type="fixed"/>
        <w:tblCellMar>
          <w:top w:w="50" w:type="dxa"/>
          <w:left w:w="80" w:type="dxa"/>
          <w:bottom w:w="50" w:type="dxa"/>
          <w:right w:w="80" w:type="dxa"/>
        </w:tblCellMar>
      </w:tblPr>
      <w:tblGrid>
        <w:gridCol w:w="3044"/>
        <w:gridCol w:w="3435"/>
      </w:tblGrid>
      <w:tr>
        <w:trPr>
          <w:tblHeader w:val="true"/>
          <w:cantSplit w:val="true"/>
        </w:trPr>
        <w:tc>
          <w:tcPr>
            <w:tcW w:w="304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Weg zum Kontakt</w:t>
            </w:r>
          </w:p>
        </w:tc>
        <w:tc>
          <w:tcPr>
            <w:tcW w:w="343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Besonders geeignet für</w:t>
            </w:r>
          </w:p>
        </w:tc>
      </w:tr>
      <w:tr>
        <w:trPr>
          <w:cantSplit w:val="true"/>
        </w:trPr>
        <w:tc>
          <w:tcPr>
            <w:tcW w:w="30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Rugbyclub, Netball, Touch, Cricket</w:t>
            </w:r>
          </w:p>
        </w:tc>
        <w:tc>
          <w:tcPr>
            <w:tcW w:w="34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breite Altersgruppen, auch ohne Vorerfahrung</w:t>
            </w:r>
          </w:p>
        </w:tc>
      </w:tr>
      <w:tr>
        <w:trPr>
          <w:cantSplit w:val="true"/>
        </w:trPr>
        <w:tc>
          <w:tcPr>
            <w:tcW w:w="30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Plunket-Krabbelgruppe</w:t>
            </w:r>
          </w:p>
        </w:tc>
        <w:tc>
          <w:tcPr>
            <w:tcW w:w="34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Eltern mit Kleinkindern</w:t>
            </w:r>
          </w:p>
        </w:tc>
      </w:tr>
      <w:tr>
        <w:trPr>
          <w:cantSplit w:val="true"/>
        </w:trPr>
        <w:tc>
          <w:tcPr>
            <w:tcW w:w="30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Freiwillige Feuerwehr, Neighbourhood Support</w:t>
            </w:r>
          </w:p>
        </w:tc>
        <w:tc>
          <w:tcPr>
            <w:tcW w:w="34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wer schnell feste Nachbarschaftskontakte sucht</w:t>
            </w:r>
          </w:p>
        </w:tc>
      </w:tr>
      <w:tr>
        <w:trPr>
          <w:cantSplit w:val="true"/>
        </w:trPr>
        <w:tc>
          <w:tcPr>
            <w:tcW w:w="30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Tramping-Club, Rotary, Toastmasters</w:t>
            </w:r>
          </w:p>
        </w:tc>
        <w:tc>
          <w:tcPr>
            <w:tcW w:w="34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Erwachsene ohne Kinder oder festen Verein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Auch der Alltag selbst bietet Gelegenheiten: Ein „bring a plate“ (wörtlich „bring einen Teller mit“) bei Schulfesten oder Nachbarschaftsfeiern erwartet ein mitgebrachtes Gericht zum Teilen, ähnlich dem deutschen Buffet-Prinzip, nur ohne Absprache, wer was mitbringt. Ganz ähnlich funktioniert die </w:t>
      </w:r>
      <w:r>
        <w:rPr>
          <w:rFonts w:eastAsia="Cambria" w:cs="Cambria"/>
          <w:b w:val="false"/>
          <w:bCs w:val="false"/>
          <w:i/>
          <w:iCs/>
          <w:sz w:val="22"/>
          <w:szCs w:val="22"/>
        </w:rPr>
        <w:t>Working Bee</w:t>
      </w:r>
      <w:r>
        <w:rPr>
          <w:rFonts w:eastAsia="Cambria" w:cs="Cambria"/>
          <w:b w:val="false"/>
          <w:bCs w:val="false"/>
          <w:i w:val="false"/>
          <w:iCs w:val="false"/>
          <w:sz w:val="22"/>
          <w:szCs w:val="22"/>
        </w:rPr>
        <w:t xml:space="preserve"> (ein gemeinsamer Arbeitseinsatz, meist samstagvormittags, etwa um den Schulgarten herzurichten oder den Marae-Vorplatz zu pflegen): Wer zwei Stunden Streichen oder Unkrautjäten investiert, bekommt danach meist Tee, Kekse und – wichtiger noch – ein halbes Dutzend neuer Gesichter, die man beim nächsten Schulfest schon wiedererkennt. Rotary, Lions und Toastmasters bieten in praktisch jeder mittelgroßen Stadt ein Netzwerk für Erwachsene ohne Kinder oder Vereinsanbindung; in Städten mit dünner deutscher Infrastruktur wie Christchurch lohnt zusätzlich ein Blick auf </w:t>
      </w:r>
      <w:r>
        <w:rPr>
          <w:rFonts w:eastAsia="Cambria" w:cs="Cambria"/>
          <w:b w:val="false"/>
          <w:bCs w:val="false"/>
          <w:i/>
          <w:iCs/>
          <w:sz w:val="22"/>
          <w:szCs w:val="22"/>
        </w:rPr>
        <w:t>InterNations</w:t>
      </w:r>
      <w:r>
        <w:rPr>
          <w:rFonts w:eastAsia="Cambria" w:cs="Cambria"/>
          <w:b w:val="false"/>
          <w:bCs w:val="false"/>
          <w:i w:val="false"/>
          <w:iCs w:val="false"/>
          <w:sz w:val="22"/>
          <w:szCs w:val="22"/>
        </w:rPr>
        <w:t>, ein Netzwerk für Zugewanderte aller Nationen mit lokalen Stammtischen.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Wer beruflich in Kontakt mit Māori-Institutionen kommt oder in der Nähe eines </w:t>
      </w:r>
      <w:r>
        <w:rPr>
          <w:rFonts w:eastAsia="Cambria" w:cs="Cambria"/>
          <w:b w:val="false"/>
          <w:bCs w:val="false"/>
          <w:i/>
          <w:iCs/>
          <w:sz w:val="22"/>
          <w:szCs w:val="22"/>
        </w:rPr>
        <w:t>Marae</w:t>
      </w:r>
      <w:r>
        <w:rPr>
          <w:rFonts w:eastAsia="Cambria" w:cs="Cambria"/>
          <w:b w:val="false"/>
          <w:bCs w:val="false"/>
          <w:i w:val="false"/>
          <w:iCs w:val="false"/>
          <w:sz w:val="22"/>
          <w:szCs w:val="22"/>
        </w:rPr>
        <w:t xml:space="preserve"> (dem zentralen Versammlungsort einer Māori-Gemeinschaft, mit eigenem Versammlungshaus und eigenen Verhaltensregeln) wohnt, findet dort gelegentlich zusätzliche Gelegenheit zu echtem Austausch – vorausgesetzt, man kommt als aufmerksamer Gast, nicht als Tourist mit Kamera. Eine offene Einladung zu einem Gemeinschaftsanlass ehrlich anzunehmen, statt sie aus Unsicherheit abzulehnen, öffnet hier oft mehr Türen, als es die reine Sprachbarriere vermuten lässt.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Paul Lindner (fiktiv), 31, IT-Berater aus Frankfurt, alleinstehend, zieht direkt mit einem SMC-Visum nach Auckland. In den ersten Wochen fällt ihm auf, wie freundlich, aber unverbindlich die Gespräche mit Kollegen bleiben – „We should grab a coffee sometime“ verläuft mehrfach im Sand. Über eine Meetup-Gruppe findet er einen wöchentlichen Touch-Abend in seinem Stadtteil; nach der dritten Teilnahme kennt er die Namen der halben Mannschaft, nach zwei Monaten trifft er sich mit dreien davon regelmäßig auch abseits des Sportplatzes. Aus der vagen Kaffee-Einladung ist inzwischen ein fester Freitagabend-Termin geworden – nur eben nicht über Kaffee, sondern über den Sportplatz entstanden.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deutsche Community: Botschaft, Goethe-Institut, Landsleute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Der direkte Draht zur alten Heimat ist in Neuseeland dünner organisiert als in den anderen Zielländern dieses Buches. Die deutsche Botschaft sitzt in Wellington und ist konsularisch für ganz Neuseeland sowie mehrere Pazifikstaaten zuständig; Honorarkonsuln gibt es zusätzlich in Auckland und Christchurch, die jedoch überwiegend formale Amtsgeschäfte übernehmen, kein Vereinsleben. Das einzige Goethe-Institut des Landes sitzt ebenfalls in Wellington und deckt von dort aus Sprachkurse und kulturelle Veranstaltungen für das ganze Land ab – wer in Auckland oder Christchurch lebt, nimmt entweder online teil oder reist gelegentlich an.</w:t>
      </w:r>
    </w:p>
    <w:tbl>
      <w:tblPr>
        <w:tblW w:w="6480" w:type="dxa"/>
        <w:jc w:val="left"/>
        <w:tblInd w:w="0" w:type="dxa"/>
        <w:tblLayout w:type="fixed"/>
        <w:tblCellMar>
          <w:top w:w="50" w:type="dxa"/>
          <w:left w:w="80" w:type="dxa"/>
          <w:bottom w:w="50" w:type="dxa"/>
          <w:right w:w="80" w:type="dxa"/>
        </w:tblCellMar>
      </w:tblPr>
      <w:tblGrid>
        <w:gridCol w:w="949"/>
        <w:gridCol w:w="1228"/>
        <w:gridCol w:w="1622"/>
        <w:gridCol w:w="2680"/>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Stadt</w:t>
            </w:r>
          </w:p>
        </w:tc>
        <w:tc>
          <w:tcPr>
            <w:tcW w:w="122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Konsularische Vertretung</w:t>
            </w:r>
          </w:p>
        </w:tc>
        <w:tc>
          <w:tcPr>
            <w:tcW w:w="162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Goethe-Institut</w:t>
            </w:r>
          </w:p>
        </w:tc>
        <w:tc>
          <w:tcPr>
            <w:tcW w:w="268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Deutsche Angebote vor Ort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Wellington</w:t>
            </w:r>
          </w:p>
        </w:tc>
        <w:tc>
          <w:tcPr>
            <w:tcW w:w="12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Botschaft</w:t>
            </w:r>
          </w:p>
        </w:tc>
        <w:tc>
          <w:tcPr>
            <w:tcW w:w="16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w:t>
            </w:r>
          </w:p>
        </w:tc>
        <w:tc>
          <w:tcPr>
            <w:tcW w:w="26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German School Wellington (Ergänzungsschule), deutsche Spielgruppe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Auckland</w:t>
            </w:r>
          </w:p>
        </w:tc>
        <w:tc>
          <w:tcPr>
            <w:tcW w:w="12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Honorarkonsul</w:t>
            </w:r>
          </w:p>
        </w:tc>
        <w:tc>
          <w:tcPr>
            <w:tcW w:w="16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 (Zuständigkeit Wellington)</w:t>
            </w:r>
          </w:p>
        </w:tc>
        <w:tc>
          <w:tcPr>
            <w:tcW w:w="26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Spielgruppe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Christchurch</w:t>
            </w:r>
          </w:p>
        </w:tc>
        <w:tc>
          <w:tcPr>
            <w:tcW w:w="12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Honorarkonsul</w:t>
            </w:r>
          </w:p>
        </w:tc>
        <w:tc>
          <w:tcPr>
            <w:tcW w:w="16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nein (Zuständigkeit Wellington)</w:t>
            </w:r>
          </w:p>
        </w:tc>
        <w:tc>
          <w:tcPr>
            <w:tcW w:w="26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identifiziert</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Suche schon vor dem Umzug nach „Germans in“ plus Zielstadt bei Facebook und Meetup. Gerade dort, wo es keine offizielle deutsche Infrastruktur gibt – wie in Christchurch –, sind diese informellen Gruppen oft die einzige Quelle für Erfahrungswerte zu Ärzten, Kitas und Behördenwegen aus erster Hand.</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Kehrseite dieser dünnen Infrastruktur ist zugleich ein kleiner Vorteil: Wer in Neuseeland lebt, landet fast zwangsläufig schneller im englischsprachigen Alltag, weil eine bequeme deutsche Blase schlicht seltener zur Verfügung steht als etwa in Sydney oder Melbourne. Das beschleunigt die Sprachgewöhnung, verschärft aber in den ersten Monaten auch das Gefühl, ganz auf sich gestellt zu sein – ein Punkt, der im Abschnitt zur Distanz weiter unten noch wichtig wird.</w:t>
      </w:r>
    </w:p>
    <w:p>
      <w:pPr>
        <w:pStyle w:val="Heading3"/>
        <w:keepNext w:val="true"/>
        <w:spacing w:before="280" w:after="100"/>
        <w:jc w:val="center"/>
        <w:rPr/>
      </w:pPr>
      <w:r>
        <w:rPr>
          <w:rFonts w:eastAsia="Amazon Ember" w:cs="Amazon Ember" w:ascii="Amazon Ember" w:hAnsi="Amazon Ember"/>
          <w:b/>
          <w:bCs/>
          <w:color w:val="0000FF"/>
          <w:sz w:val="36"/>
          <w:szCs w:val="36"/>
        </w:rPr>
        <w:t>Wenn ein Partner neu anfängt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Auf den meisten neuseeländischen Arbeits- und Daueraufenthaltsvisa dürfen mitreisende Partnerinnen und Partner von Anfang an arbeiten, was zumindest den rechtlichen Druck aus der Situation nimmt. Trotzdem trifft der Neustart häufig eine Person deutlich stärker: Während die Hauptantragstellerin oder der Hauptantragsteller über den neuen Arbeitgeber sofort Kollegen und Tagesstruktur hat, muss der Partner eigene Kontakte, oft eine eigene Berufszulassung und ein komplett neues Netzwerk von null aufbauen. Bei reglementierten Berufen – etwa in der Tiermedizin oder Pflege – kann die Anerkennung der Qualifikation durch die zuständige neuseeländische Stelle mehrere Monate dauern, bevor die eigentliche Stellensuche überhaupt beginnt.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Warte mit dem eigenen Netzwerkaufbau nicht, bis die Berufszulassung durch ist. Ein fester Wochentermin – ob Plunket-Gruppe, Sportverein oder Ehrenamt – wirkt in dieser Wartezeit doppelt: gegen die Einsamkeit und als Vorbereitung auf den späteren Berufseinstieg.</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Kulturschock der Distanz: 18.200 Kilometer ohne Abkürzung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Was Neuseeland von jedem anderen Ziel dieses Buches unterscheidet, ist das schiere Ausmaß der Entfernung. Frankfurt und Auckland trennen rund 18.200 Kilometer Luftlinie, und einen Direktflug gibt es nicht: Über Drehkreuze wie Singapur, Dubai, Doha oder Hongkong dauert die Reise inklusive Umstieg realistisch 24 bis 27 Stunden – ein spontaner „Sprung übers Wochenende nach Hause“ ist damit, nüchtern betrachtet, keine ernsthafte Option, sondern eher ein mehrtägiges Jetlag-Projekt. Dazu kommt eine Zeitverschiebung, die übers Jahr zwischen rund 10 und 12 Stunden schwankt: Deutschland und Neuseeland haben gegenläufige Sommerzeiten, sodass der Unterschied im europäischen Sommer bei etwa 10 Stunden liegt und im europäischen Winter auf bis zu 12 Stunden anwächst. Während in Köln das Frühstücksei noch dampft, geht in Auckland oder Christchurch bereits das Licht aus.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Diese Distanz verändert den Charakter des Heimwehs spürbar. In näher gelegenen Zielländern bleibt ein Wochenendbesuch zumindest theoretisch denkbar, selbst wenn ihn kaum jemand tatsächlich bucht; in Neuseeland fällt diese gedankliche Rückfahrkarte praktisch ganz weg, noch konsequenter als in Australien. Wer in der Kulturschock-Talsohle – meist zwischen dem dritten und sechsten Monat – spontan ein Last-Minute-Ticket kauft, zahlt für einen Flug, der wegen Jetlag und Kürze kaum erholsam ist, oft ein Vielfaches des Normalpreises.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Buche Heimatbesuche über Weihnachten oder andere große Feiertage Monate im Voraus, nicht im akuten Tief. Wer erst im November für Weihnachten sucht, findet entweder nichts oder zahlt den Aufpreis für die eigene Verzweiflung gleich mit.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der umgekehrte Fall verdient Vorbereitung: Wird zu Hause jemand plötzlich pflegebedürftig oder passiert ein familiärer Notfall, bedeutet die Distanz meist mindestens anderthalb Reisetage, bevor du überhaupt ankommst. Eine Vorsorgevollmacht für eine Person vor Ort in Deutschland und ein grober Plan, wer im Ernstfall organisiert, gehören deshalb früh auf die Liste – nicht erst, wenn nachts um drei das Telefon klingelt.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Entfernung selbst lässt sich nicht wegorganisieren, wohl aber ihre Folgen: feste Rituale statt spontaner Nähe, geplante statt improvisierte Heimreisen, eine Vollmacht statt eines hastigen Anrufs im Notfall.</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Gegen das Gefühl der Ferne helfen kleine, verlässliche Rituale mehr als gute Vorsätze: ein fester Videoanruf zur gleichen Wochenzeit, trotz der Rechnerei mit der Zeitverschiebung; eine gemeinsame Chat-Gruppe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danach zwei Monate ausfällt.</w:t>
      </w:r>
    </w:p>
    <w:p>
      <w:pPr>
        <w:pStyle w:val="Heading3"/>
        <w:keepNext w:val="true"/>
        <w:spacing w:before="280" w:after="100"/>
        <w:jc w:val="center"/>
        <w:rPr/>
      </w:pPr>
      <w:r>
        <w:rPr>
          <w:rFonts w:eastAsia="Amazon Ember" w:cs="Amazon Ember" w:ascii="Amazon Ember" w:hAnsi="Amazon Ember"/>
          <w:b/>
          <w:bCs/>
          <w:color w:val="0000FF"/>
          <w:sz w:val="36"/>
          <w:szCs w:val="36"/>
        </w:rPr>
        <w:t>Wenn Heimweh bleibt: Phasen, verkehrte Jahreszeiten, Hilfe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Heimweh folgt auch in Neuseeland einem einigermaßen vorhersehbaren Muster: Einer Anfangseuphorie folgt meist zwischen dem dritten und sechsten Monat eine Talsohle aus Erschöpfung und Zweifeln, bevor sich der Alltag ab etwa einem halben bis einem Jahr normalisiert. Verschärft wird diese Phase durch die verkehrte Jahreszeit: Weihnachten fällt auf der Südhalbkugel mitten in den Hochsommer, mit Strand und Grillfleisch statt Schnee und Glühwein. Für die einen ein hübsches Kuriosum, für andere – gerade im ersten Jahr – ein zusätzlicher Stich, wenn Fotos vom verschneiten Weihnachtsmarkt zu Hause auf dem Handy aufploppen, während man selbst in kurzen Hosen am Grill steht.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Krüger (fiktiv) verbringt ihr erstes Weihnachten in Christchurch bei 28 Grad am Strand von Sumner statt verschneit bei den Großeltern in Rostock. Sebastian und Petra hatten sich fest vorgenommen, „das doch eigentlich schön zu finden“ – und sind trotzdem beide überrascht, wie sehr ihnen am Heiligabend die vertrauten Rituale fehlen. Statt das Gefühl wegzudrücken, verabreden sie kurzerhand ein eigenes Ritual: Punsch (notfalls warm serviert, trotz Hitze) am Nachmittag, ein Videoanruf mit den Großeltern zur für beide Seiten machbaren Uhrzeit, und am zweiten Feiertag ein Ausflug mit zwei befreundeten Familien vom Rugbyclub der Kinder. Kein Ersatz für Rostock, aber ein eigenes, funktionierendes Weihnachten.</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allein und ohne festen Arbeitgeber im Rücken kommt, erlebt eine andere Form der Isolation als Familien: kein Kollegium, kein Schulnetzwerk, oft ein wechselnder Kreis aus anderen internationalen Neuankömmlingen. Familien mit Kindern finden über Schule und Sportverein meist schneller Struktur, tragen aber die Verantwortung für den emotionalen Zustand aller Mitreisenden gemeinsam.</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Bei anhaltender Erschöpfung, Schlafproblemen oder dem Gefühl, nicht mehr allein zurechtzukommen, ist professionelle Hilfe kein Zeichen des Scheiterns. </w:t>
            </w:r>
            <w:r>
              <w:rPr>
                <w:rFonts w:eastAsia="Cambria" w:cs="Cambria"/>
                <w:b w:val="false"/>
                <w:bCs w:val="false"/>
                <w:i/>
                <w:iCs/>
                <w:sz w:val="20"/>
                <w:szCs w:val="20"/>
              </w:rPr>
              <w:t>1737</w:t>
            </w:r>
            <w:r>
              <w:rPr>
                <w:rFonts w:eastAsia="Cambria" w:cs="Cambria"/>
                <w:b w:val="false"/>
                <w:bCs w:val="false"/>
                <w:i w:val="false"/>
                <w:iCs w:val="false"/>
                <w:sz w:val="20"/>
                <w:szCs w:val="20"/>
              </w:rPr>
              <w:t xml:space="preserve"> (Anruf oder SMS, kostenlos, rund um die Uhr, mit geschulten Beraterinnen und Beratern) und Lifeline Aotearoa sind niedrigschwellig erreichbar, auf Englisch; für ein Gespräch auf Deutsch hilft die Nachfrage in den oben genannten Facebook- und Meetup-Gruppen. Bei akuter Gefahr wählst du 111, den neuseeländischen Notruf.</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Sportvereine, Plunket-Gruppen und Nachbarschaftswache sind offene, niedrigschwellige Türen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Schneller Kontakt heißt nicht automatisch tiefe Freundschaft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Dünne deutsche Infrastruktur beschleunigt die eigene Sprach- und Alltagsintegration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Wenig Rückhalt aus einer organisierten deutschen Community, besonders außerhalb Wellingtons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Entspannte, informelle Umgangsformen erleichtern erste Kontakte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Indirekte Kommunikation macht Ablehnung oder echte Not schwer erkennbar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Videotelefonie hält Kontakt trotz der Distanz aufrecht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Direktflüge, 24 bis 27 Stunden Reisezeit, hohe Preise bei Last-Minute-Buchungen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Professionelle Hilfe ist rund um die Uhr kostenlos erreichbar</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Größte Zeitverschiebung aller vier Zielländer erschwert spontane Nähe im Ernstfall</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Wähle vor dem Umzug einen Sportverein, eine Plunket-Gruppe oder ein Ehrenamt in deiner Zielstadt aus, tritt den passenden Online-Gruppen bei und plane feste Rituale mit der Familie zu Hause trotz Zeitverschiebung ein. Bereite dich darauf vor, dass Heimatbesuche in Neuseeland geplant statt spontan sind, und kläre die wichtigsten Notfallfragen, bevor du sie brauchst.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 dem Umzug einen Sportclub, eine Plunket-Gruppe oder ein Ehrenamt (Feuerwehr, Neighbourhood Support) der Zielstadt recherchiert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Facebook- und Meetup-Gruppen „Germans in [Stadt]“ gesucht und beigetreten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Zuständigkeiten von Botschaft Wellington, Honorarkonsul und Goethe-Institut notiert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Festen Wochentermin für Kontakt nach Deutschland trotz Zeitverschiebung vereinbart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Heimatbesuch zu Weihnachten oder größeren Feiertagen früh gebucht, nicht im akuten Tief</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Vorsorgevollmacht für eine Person in Deutschland geklärt, bevor ein Notfall eintritt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1737 und den Notruf 111 gespeichert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Ein eigenes Weihnachtsritual für die Südhalbkugel überlegt, statt das erste Fest zu improvisieren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Deutsche Botschaft Wellington — Zuständigkeiten, Kontakt, Honorarkonsuln (</w:t>
      </w:r>
      <w:hyperlink r:id="rId720">
        <w:r>
          <w:rPr>
            <w:rStyle w:val="ListLabel113"/>
            <w:rFonts w:eastAsia="Cambria" w:cs="Cambria"/>
            <w:b w:val="false"/>
            <w:bCs w:val="false"/>
            <w:i w:val="false"/>
            <w:iCs w:val="false"/>
            <w:color w:val="0563C1"/>
            <w:sz w:val="22"/>
            <w:szCs w:val="22"/>
            <w:u w:val="single"/>
          </w:rPr>
          <w:t>wellington.diplo.de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Goethe-Institut Neuseeland — Standort Wellington, Sprachkurse (</w:t>
      </w:r>
      <w:hyperlink r:id="rId721">
        <w:r>
          <w:rPr>
            <w:rStyle w:val="ListLabel113"/>
            <w:rFonts w:eastAsia="Cambria" w:cs="Cambria"/>
            <w:b w:val="false"/>
            <w:bCs w:val="false"/>
            <w:i w:val="false"/>
            <w:iCs w:val="false"/>
            <w:color w:val="0563C1"/>
            <w:sz w:val="22"/>
            <w:szCs w:val="22"/>
            <w:u w:val="single"/>
          </w:rPr>
          <w:t>goethe.de/ins/nz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1737 Need to Talk — kostenlose Beratung rund um die Uhr (</w:t>
      </w:r>
      <w:hyperlink r:id="rId722">
        <w:r>
          <w:rPr>
            <w:rStyle w:val="ListLabel113"/>
            <w:rFonts w:eastAsia="Cambria" w:cs="Cambria"/>
            <w:b w:val="false"/>
            <w:bCs w:val="false"/>
            <w:i w:val="false"/>
            <w:iCs w:val="false"/>
            <w:color w:val="0563C1"/>
            <w:sz w:val="22"/>
            <w:szCs w:val="22"/>
            <w:u w:val="single"/>
          </w:rPr>
          <w:t>1737.org.nz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Lifeline Aotearoa — Krisenhilfe (</w:t>
      </w:r>
      <w:hyperlink r:id="rId723">
        <w:r>
          <w:rPr>
            <w:rStyle w:val="ListLabel113"/>
            <w:rFonts w:eastAsia="Cambria" w:cs="Cambria"/>
            <w:b w:val="false"/>
            <w:bCs w:val="false"/>
            <w:i w:val="false"/>
            <w:iCs w:val="false"/>
            <w:color w:val="0563C1"/>
            <w:sz w:val="22"/>
            <w:szCs w:val="22"/>
            <w:u w:val="single"/>
          </w:rPr>
          <w:t>lifeline.org.nz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Plunket — Krabbelgruppen und Familienangebote (</w:t>
      </w:r>
      <w:hyperlink r:id="rId724">
        <w:r>
          <w:rPr>
            <w:rStyle w:val="ListLabel113"/>
            <w:rFonts w:eastAsia="Cambria" w:cs="Cambria"/>
            <w:b w:val="false"/>
            <w:bCs w:val="false"/>
            <w:i w:val="false"/>
            <w:iCs w:val="false"/>
            <w:color w:val="0563C1"/>
            <w:sz w:val="22"/>
            <w:szCs w:val="22"/>
            <w:u w:val="single"/>
          </w:rPr>
          <w:t>plunket.org.nz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Fire and Emergency New Zealand — freiwillige Mitarbeit (</w:t>
      </w:r>
      <w:hyperlink r:id="rId725">
        <w:r>
          <w:rPr>
            <w:rStyle w:val="ListLabel113"/>
            <w:rFonts w:eastAsia="Cambria" w:cs="Cambria"/>
            <w:b w:val="false"/>
            <w:bCs w:val="false"/>
            <w:i w:val="false"/>
            <w:iCs w:val="false"/>
            <w:color w:val="0563C1"/>
            <w:sz w:val="22"/>
            <w:szCs w:val="22"/>
            <w:u w:val="single"/>
          </w:rPr>
          <w:t>fireandemergency.nz</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Zuständigkeiten von Konsulat und Goethe-Institut, Flugverbindungen und -preise sowie Kontaktdaten von Hilfsangeboten. Prüfe vor jeder Entscheidung die aktuellen Angaben der genannten Stellen.</w:t>
            </w:r>
          </w:p>
        </w:tc>
      </w:tr>
    </w:tbl>
    <w:p>
      <w:pPr>
        <w:pStyle w:val="Normal"/>
        <w:spacing w:lineRule="exact" w:line="220" w:before="0" w:after="0"/>
        <w:rPr/>
      </w:pPr>
      <w:r>
        <w:rPr/>
      </w:r>
      <w:r>
        <w:br w:type="page"/>
      </w:r>
    </w:p>
    <w:p>
      <w:pPr>
        <w:pStyle w:val="Heading2"/>
        <w:keepNext w:val="true"/>
        <w:spacing w:before="0" w:after="300"/>
        <w:jc w:val="center"/>
        <w:rPr/>
      </w:pPr>
      <w:bookmarkStart w:id="194" w:name="__RefHeading___Toc56625_3769931028"/>
      <w:bookmarkStart w:id="195" w:name="tnz13"/>
      <w:bookmarkEnd w:id="194"/>
      <w:r>
        <w:rPr>
          <w:rFonts w:eastAsia="Amazon Ember" w:cs="Amazon Ember" w:ascii="Amazon Ember" w:hAnsi="Amazon Ember"/>
          <w:b/>
          <w:bCs/>
          <w:color w:val="0000FF"/>
          <w:sz w:val="36"/>
          <w:szCs w:val="36"/>
        </w:rPr>
        <w:t>Neuseeland: Kinder, Schule und Spracheingewöhnung</w:t>
      </w:r>
      <w:bookmarkEnd w:id="195"/>
    </w:p>
    <w:p>
      <w:pPr>
        <w:pStyle w:val="Normal"/>
        <w:keepNext w:val="false"/>
        <w:keepLines w:val="false"/>
        <w:spacing w:lineRule="exact" w:line="288" w:before="0" w:after="140"/>
        <w:jc w:val="left"/>
        <w:rPr/>
      </w:pPr>
      <w:r>
        <w:rPr>
          <w:rFonts w:eastAsia="Cambria" w:cs="Cambria"/>
          <w:b w:val="false"/>
          <w:bCs w:val="false"/>
          <w:i w:val="false"/>
          <w:iCs w:val="false"/>
          <w:sz w:val="22"/>
          <w:szCs w:val="22"/>
        </w:rPr>
        <w:t>Während Finn (8, fiktiv, Familie Krüger) in Rostock mitten im zweiten Schulhalbjahr steckte, beginnt sein erstes neuseeländisches Schuljahr Ende Januar – bei sommerlichen Temperaturen, mit Sonnenhut statt Mütze im Ranzen und einem Klassenzimmer, das gerade erst zum ersten Mal zusammenfindet. Für Eltern ist das mehr als eine Kuriosität am Rande: Der Zeitpunkt des Umzugs entscheidet spürbar mit, wie glatt der Schulwechsel gelingt – und wer diesen Rhythmus nicht kennt, plant leicht am falschen Fenster vorbei.</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Neuseelands Schuljahr läuft von Ende Januar/Anfang Februar bis Mitte Dezember, in vier </w:t>
            </w:r>
            <w:r>
              <w:rPr>
                <w:rFonts w:eastAsia="Cambria" w:cs="Cambria"/>
                <w:b w:val="false"/>
                <w:bCs w:val="false"/>
                <w:i/>
                <w:iCs/>
                <w:sz w:val="20"/>
                <w:szCs w:val="20"/>
              </w:rPr>
              <w:t>Terms</w:t>
            </w:r>
            <w:r>
              <w:rPr>
                <w:rFonts w:eastAsia="Cambria" w:cs="Cambria"/>
                <w:b w:val="false"/>
                <w:bCs w:val="false"/>
                <w:i w:val="false"/>
                <w:iCs w:val="false"/>
                <w:sz w:val="20"/>
                <w:szCs w:val="20"/>
              </w:rPr>
              <w:t xml:space="preserve"> (Schulblöcken) mit kurzen Ferien dazwischen – ein zentraler Unterschied zum deutschen Rhythmus, den du bei der Umzugsplanung nutzen solltest.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Primary School dauert meist Year 1 bis Year 8 (teils mit eigener </w:t>
            </w:r>
            <w:r>
              <w:rPr>
                <w:rFonts w:eastAsia="Cambria" w:cs="Cambria"/>
                <w:b w:val="false"/>
                <w:bCs w:val="false"/>
                <w:i/>
                <w:iCs/>
                <w:sz w:val="20"/>
                <w:szCs w:val="20"/>
              </w:rPr>
              <w:t>Intermediate School</w:t>
            </w:r>
            <w:r>
              <w:rPr>
                <w:rFonts w:eastAsia="Cambria" w:cs="Cambria"/>
                <w:b w:val="false"/>
                <w:bCs w:val="false"/>
                <w:i w:val="false"/>
                <w:iCs w:val="false"/>
                <w:sz w:val="20"/>
                <w:szCs w:val="20"/>
              </w:rPr>
              <w:t xml:space="preserve"> für Year 7/8), Secondary School Year 9 bis Year 13; anders als in Deutschland zählen alle Jahrgänge bundesweit einheitlich durch.</w:t>
            </w:r>
          </w:p>
          <w:p>
            <w:pPr>
              <w:pStyle w:val="ListParagraph"/>
              <w:numPr>
                <w:ilvl w:val="0"/>
                <w:numId w:val="1"/>
              </w:numPr>
              <w:spacing w:lineRule="exact" w:line="264" w:before="0" w:after="50"/>
              <w:rPr/>
            </w:pPr>
            <w:r>
              <w:rPr>
                <w:rFonts w:eastAsia="Cambria" w:cs="Cambria"/>
                <w:b w:val="false"/>
                <w:bCs w:val="false"/>
                <w:i w:val="false"/>
                <w:iCs w:val="false"/>
                <w:sz w:val="20"/>
                <w:szCs w:val="20"/>
              </w:rPr>
              <w:t>Rund vier von fünf Kindern besuchen staatliche, gebührenfreie Schulen; state-integrierte und private Schulen kosten von wenigen Hundert bis über 20.000 NZD im Jahr.</w:t>
            </w:r>
          </w:p>
          <w:p>
            <w:pPr>
              <w:pStyle w:val="ListParagraph"/>
              <w:numPr>
                <w:ilvl w:val="0"/>
                <w:numId w:val="1"/>
              </w:numPr>
              <w:spacing w:lineRule="exact" w:line="264" w:before="0" w:after="50"/>
              <w:rPr/>
            </w:pPr>
            <w:r>
              <w:rPr>
                <w:rFonts w:eastAsia="Cambria" w:cs="Cambria"/>
                <w:b w:val="false"/>
                <w:bCs w:val="false"/>
                <w:i w:val="false"/>
                <w:iCs w:val="false"/>
                <w:sz w:val="20"/>
                <w:szCs w:val="20"/>
              </w:rPr>
              <w:t>Kinder dürfen ab dem fünften Geburtstag eingeschult werden, müssen es aber erst mit sechs Jahren; Schulzonen nach Wohnadresse entscheiden vielerorts über den Platz an der Wunschschule.</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Sprachförderung heißt </w:t>
            </w:r>
            <w:r>
              <w:rPr>
                <w:rFonts w:eastAsia="Cambria" w:cs="Cambria"/>
                <w:b w:val="false"/>
                <w:bCs w:val="false"/>
                <w:i/>
                <w:iCs/>
                <w:sz w:val="20"/>
                <w:szCs w:val="20"/>
              </w:rPr>
              <w:t>ESOL</w:t>
            </w:r>
            <w:r>
              <w:rPr>
                <w:rFonts w:eastAsia="Cambria" w:cs="Cambria"/>
                <w:b w:val="false"/>
                <w:bCs w:val="false"/>
                <w:i w:val="false"/>
                <w:iCs w:val="false"/>
                <w:sz w:val="20"/>
                <w:szCs w:val="20"/>
              </w:rPr>
              <w:t xml:space="preserve"> und wird über Jahre hinweg gestaffelt vom Ministerium mitfinanziert – Kinder gewöhnen sich meist deutlich schneller ein als ihre Eltern.</w:t>
            </w:r>
          </w:p>
          <w:p>
            <w:pPr>
              <w:pStyle w:val="ListParagraph"/>
              <w:numPr>
                <w:ilvl w:val="0"/>
                <w:numId w:val="1"/>
              </w:numPr>
              <w:spacing w:lineRule="exact" w:line="264" w:before="0" w:after="50"/>
              <w:rPr/>
            </w:pPr>
            <w:r>
              <w:rPr>
                <w:rFonts w:eastAsia="Cambria" w:cs="Cambria"/>
                <w:b w:val="false"/>
                <w:bCs w:val="false"/>
                <w:i w:val="false"/>
                <w:iCs w:val="false"/>
                <w:sz w:val="20"/>
                <w:szCs w:val="20"/>
              </w:rPr>
              <w:t>Organisierte deutsche Sprachangebote gibt es fast nur in Wellington; anderswo bleibt vor allem die eigene Initiative zu Hause.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Aufbau des Schulsystems: von der Kita bis zur Universitätsreife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Vor der Schulpflicht gibt es in Neuseeland kein flächendeckendes, kostenloses Kita-Netz wie in Deutschland. Frühkindliche Bildung (</w:t>
      </w:r>
      <w:r>
        <w:rPr>
          <w:rFonts w:eastAsia="Cambria" w:cs="Cambria"/>
          <w:b w:val="false"/>
          <w:bCs w:val="false"/>
          <w:i/>
          <w:iCs/>
          <w:sz w:val="22"/>
          <w:szCs w:val="22"/>
        </w:rPr>
        <w:t>Early Childhood Education</w:t>
      </w:r>
      <w:r>
        <w:rPr>
          <w:rFonts w:eastAsia="Cambria" w:cs="Cambria"/>
          <w:b w:val="false"/>
          <w:bCs w:val="false"/>
          <w:i w:val="false"/>
          <w:iCs w:val="false"/>
          <w:sz w:val="22"/>
          <w:szCs w:val="22"/>
        </w:rPr>
        <w:t xml:space="preserve">, ECE) läuft überwiegend über private oder gemeinnützige Einrichtungen – von klassischen </w:t>
      </w:r>
      <w:r>
        <w:rPr>
          <w:rFonts w:eastAsia="Cambria" w:cs="Cambria"/>
          <w:b w:val="false"/>
          <w:bCs w:val="false"/>
          <w:i/>
          <w:iCs/>
          <w:sz w:val="22"/>
          <w:szCs w:val="22"/>
        </w:rPr>
        <w:t>Kindergartens</w:t>
      </w:r>
      <w:r>
        <w:rPr>
          <w:rFonts w:eastAsia="Cambria" w:cs="Cambria"/>
          <w:b w:val="false"/>
          <w:bCs w:val="false"/>
          <w:i w:val="false"/>
          <w:iCs w:val="false"/>
          <w:sz w:val="22"/>
          <w:szCs w:val="22"/>
        </w:rPr>
        <w:t xml:space="preserve"> über </w:t>
      </w:r>
      <w:r>
        <w:rPr>
          <w:rFonts w:eastAsia="Cambria" w:cs="Cambria"/>
          <w:b w:val="false"/>
          <w:bCs w:val="false"/>
          <w:i/>
          <w:iCs/>
          <w:sz w:val="22"/>
          <w:szCs w:val="22"/>
        </w:rPr>
        <w:t>Playcentres</w:t>
      </w:r>
      <w:r>
        <w:rPr>
          <w:rFonts w:eastAsia="Cambria" w:cs="Cambria"/>
          <w:b w:val="false"/>
          <w:bCs w:val="false"/>
          <w:i w:val="false"/>
          <w:iCs w:val="false"/>
          <w:sz w:val="22"/>
          <w:szCs w:val="22"/>
        </w:rPr>
        <w:t xml:space="preserve"> (Eltern-Kind-Initiativen mit hohem Elternengagement) bis zu ganztägigen </w:t>
      </w:r>
      <w:r>
        <w:rPr>
          <w:rFonts w:eastAsia="Cambria" w:cs="Cambria"/>
          <w:b w:val="false"/>
          <w:bCs w:val="false"/>
          <w:i/>
          <w:iCs/>
          <w:sz w:val="22"/>
          <w:szCs w:val="22"/>
        </w:rPr>
        <w:t>Daycare</w:t>
      </w:r>
      <w:r>
        <w:rPr>
          <w:rFonts w:eastAsia="Cambria" w:cs="Cambria"/>
          <w:b w:val="false"/>
          <w:bCs w:val="false"/>
          <w:i w:val="false"/>
          <w:iCs w:val="false"/>
          <w:sz w:val="22"/>
          <w:szCs w:val="22"/>
        </w:rPr>
        <w:t>-Zentren. Der Staat bezuschusst einen Teil der Betreuungsstunden für Drei- bis Fünfjährige über ein Programm, dessen genaue Fördersätze sich regelmäßig ändern; verlässlich ist vor allem, dass beliebte Zentren in Auckland und Wellington oft Wartelisten von mehreren Monaten haben, sodass sich eine frühzeitige Anmeldung lohnt, auch wenn der Umzugstermin noch nicht feststeht.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eigentliche Schulzeit gliedert sich, anders als im föderal organisierten Deutschland, in ein landesweit einheitliches Zählsystem: </w:t>
      </w:r>
      <w:r>
        <w:rPr>
          <w:rFonts w:eastAsia="Cambria" w:cs="Cambria"/>
          <w:b w:val="false"/>
          <w:bCs w:val="false"/>
          <w:i/>
          <w:iCs/>
          <w:sz w:val="22"/>
          <w:szCs w:val="22"/>
        </w:rPr>
        <w:t>Year 1</w:t>
      </w:r>
      <w:r>
        <w:rPr>
          <w:rFonts w:eastAsia="Cambria" w:cs="Cambria"/>
          <w:b w:val="false"/>
          <w:bCs w:val="false"/>
          <w:i w:val="false"/>
          <w:iCs w:val="false"/>
          <w:sz w:val="22"/>
          <w:szCs w:val="22"/>
        </w:rPr>
        <w:t xml:space="preserve"> bis </w:t>
      </w:r>
      <w:r>
        <w:rPr>
          <w:rFonts w:eastAsia="Cambria" w:cs="Cambria"/>
          <w:b w:val="false"/>
          <w:bCs w:val="false"/>
          <w:i/>
          <w:iCs/>
          <w:sz w:val="22"/>
          <w:szCs w:val="22"/>
        </w:rPr>
        <w:t>Year 8</w:t>
      </w:r>
      <w:r>
        <w:rPr>
          <w:rFonts w:eastAsia="Cambria" w:cs="Cambria"/>
          <w:b w:val="false"/>
          <w:bCs w:val="false"/>
          <w:i w:val="false"/>
          <w:iCs w:val="false"/>
          <w:sz w:val="22"/>
          <w:szCs w:val="22"/>
        </w:rPr>
        <w:t xml:space="preserve"> entsprechen der Primarstufe (an vielen Orten als durchgehende </w:t>
      </w:r>
      <w:r>
        <w:rPr>
          <w:rFonts w:eastAsia="Cambria" w:cs="Cambria"/>
          <w:b w:val="false"/>
          <w:bCs w:val="false"/>
          <w:i/>
          <w:iCs/>
          <w:sz w:val="22"/>
          <w:szCs w:val="22"/>
        </w:rPr>
        <w:t>Full Primary School</w:t>
      </w:r>
      <w:r>
        <w:rPr>
          <w:rFonts w:eastAsia="Cambria" w:cs="Cambria"/>
          <w:b w:val="false"/>
          <w:bCs w:val="false"/>
          <w:i w:val="false"/>
          <w:iCs w:val="false"/>
          <w:sz w:val="22"/>
          <w:szCs w:val="22"/>
        </w:rPr>
        <w:t xml:space="preserve"> organisiert, andernorts mit einem Wechsel zur eigenständigen </w:t>
      </w:r>
      <w:r>
        <w:rPr>
          <w:rFonts w:eastAsia="Cambria" w:cs="Cambria"/>
          <w:b w:val="false"/>
          <w:bCs w:val="false"/>
          <w:i/>
          <w:iCs/>
          <w:sz w:val="22"/>
          <w:szCs w:val="22"/>
        </w:rPr>
        <w:t>Intermediate School</w:t>
      </w:r>
      <w:r>
        <w:rPr>
          <w:rFonts w:eastAsia="Cambria" w:cs="Cambria"/>
          <w:b w:val="false"/>
          <w:bCs w:val="false"/>
          <w:i w:val="false"/>
          <w:iCs w:val="false"/>
          <w:sz w:val="22"/>
          <w:szCs w:val="22"/>
        </w:rPr>
        <w:t xml:space="preserve"> für Year 7 und 8), </w:t>
      </w:r>
      <w:r>
        <w:rPr>
          <w:rFonts w:eastAsia="Cambria" w:cs="Cambria"/>
          <w:b w:val="false"/>
          <w:bCs w:val="false"/>
          <w:i/>
          <w:iCs/>
          <w:sz w:val="22"/>
          <w:szCs w:val="22"/>
        </w:rPr>
        <w:t>Year 9</w:t>
      </w:r>
      <w:r>
        <w:rPr>
          <w:rFonts w:eastAsia="Cambria" w:cs="Cambria"/>
          <w:b w:val="false"/>
          <w:bCs w:val="false"/>
          <w:i w:val="false"/>
          <w:iCs w:val="false"/>
          <w:sz w:val="22"/>
          <w:szCs w:val="22"/>
        </w:rPr>
        <w:t xml:space="preserve"> bis </w:t>
      </w:r>
      <w:r>
        <w:rPr>
          <w:rFonts w:eastAsia="Cambria" w:cs="Cambria"/>
          <w:b w:val="false"/>
          <w:bCs w:val="false"/>
          <w:i/>
          <w:iCs/>
          <w:sz w:val="22"/>
          <w:szCs w:val="22"/>
        </w:rPr>
        <w:t>Year 13</w:t>
      </w:r>
      <w:r>
        <w:rPr>
          <w:rFonts w:eastAsia="Cambria" w:cs="Cambria"/>
          <w:b w:val="false"/>
          <w:bCs w:val="false"/>
          <w:i w:val="false"/>
          <w:iCs w:val="false"/>
          <w:sz w:val="22"/>
          <w:szCs w:val="22"/>
        </w:rPr>
        <w:t xml:space="preserve"> der Sekundarstufe (</w:t>
      </w:r>
      <w:r>
        <w:rPr>
          <w:rFonts w:eastAsia="Cambria" w:cs="Cambria"/>
          <w:b w:val="false"/>
          <w:bCs w:val="false"/>
          <w:i/>
          <w:iCs/>
          <w:sz w:val="22"/>
          <w:szCs w:val="22"/>
        </w:rPr>
        <w:t>Secondary School</w:t>
      </w:r>
      <w:r>
        <w:rPr>
          <w:rFonts w:eastAsia="Cambria" w:cs="Cambria"/>
          <w:b w:val="false"/>
          <w:bCs w:val="false"/>
          <w:i w:val="false"/>
          <w:iCs w:val="false"/>
          <w:sz w:val="22"/>
          <w:szCs w:val="22"/>
        </w:rPr>
        <w:t>, oft schlicht „College“ oder „High School“ genannt). Die Schulpflicht endet formal erst mit 16 Jahren, faktisch bleiben aber die meisten Jugendlichen bis Year 13, um einen vollständigen Abschluss zu erreichen.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Dieser Abschluss heißt </w:t>
      </w:r>
      <w:r>
        <w:rPr>
          <w:rFonts w:eastAsia="Cambria" w:cs="Cambria"/>
          <w:b w:val="false"/>
          <w:bCs w:val="false"/>
          <w:i/>
          <w:iCs/>
          <w:sz w:val="22"/>
          <w:szCs w:val="22"/>
        </w:rPr>
        <w:t>NCEA</w:t>
      </w:r>
      <w:r>
        <w:rPr>
          <w:rFonts w:eastAsia="Cambria" w:cs="Cambria"/>
          <w:b w:val="false"/>
          <w:bCs w:val="false"/>
          <w:i w:val="false"/>
          <w:iCs w:val="false"/>
          <w:sz w:val="22"/>
          <w:szCs w:val="22"/>
        </w:rPr>
        <w:t xml:space="preserve"> (</w:t>
      </w:r>
      <w:r>
        <w:rPr>
          <w:rFonts w:eastAsia="Cambria" w:cs="Cambria"/>
          <w:b w:val="false"/>
          <w:bCs w:val="false"/>
          <w:i/>
          <w:iCs/>
          <w:sz w:val="22"/>
          <w:szCs w:val="22"/>
        </w:rPr>
        <w:t>National Certificate of Educational Achievement</w:t>
      </w:r>
      <w:r>
        <w:rPr>
          <w:rFonts w:eastAsia="Cambria" w:cs="Cambria"/>
          <w:b w:val="false"/>
          <w:bCs w:val="false"/>
          <w:i w:val="false"/>
          <w:iCs w:val="false"/>
          <w:sz w:val="22"/>
          <w:szCs w:val="22"/>
        </w:rPr>
        <w:t>) und wird in drei aufeinander aufbauenden Stufen erworben, die ungefähr Year 11 bis Year 13 entsprechen – ein System, das über Einzelfächer und Kredit-Punkte funktioniert und deshalb flexibler, aber auch unübersichtlicher ist als das deutsche Abitur. Wichtig für die Planung: Die neuseeländische Regierung hat im März 2026 angekündigt, NCEA zwischen 2028 und 2030 schrittweise durch ein neues Qualifikationssystem zu ersetzen. Wer heute mit älteren Kindern einwandert, sollte diese Übergangsphase im Blick behalten und sich bei der Zielschule direkt nach dem aktuellen Planungsstand erkundigen, statt sich auf ältere Informationen zu verlassen.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Vergiss die Suche nach „der deutschen Klassenstufe“ als Vergleichsgröße. Neuseeland zählt bundesweit einheitlich in Years, aber die Einstufung deines Kindes hängt am Ende vor allem vom Geburtsdatum und einem kurzen Einstufungsgespräch der Zielschule ab, nicht von einer mechanischen Umrechnung.</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Detail überrascht viele deutsche Familien: Schuluniformen sind an staatlichen wie privaten Schulen praktisch überall üblich, von einem einfachen Polohemd mit Schullogo in der Primarstufe bis zu vollständigeren Sets in der Sekundarstufe. Die Erstausstattung kostet, je nach Schule, durchaus einen dreistelligen NZD-Betrag; gebraucht über den schuleigenen Second-Hand-Verkauf ist sie meist deutlich günstiger zu bekommen. Der Schultag selbst beginnt meist zwischen 8:45 und 9 Uhr und endet gegen 15 Uhr – ähnlich wie in Teilen Deutschlands, allerdings ohne das dichte Nachmittagsangebot deutscher Ganztagsschulen; Betreuung außerhalb dieser Zeiten organisieren viele Schulen über angegliederte, kostenpflichtige „Out of School Care“-Programme.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weiteres, sehr neuseeländisches Element des Schulalltags ist </w:t>
      </w:r>
      <w:r>
        <w:rPr>
          <w:rFonts w:eastAsia="Cambria" w:cs="Cambria"/>
          <w:b w:val="false"/>
          <w:bCs w:val="false"/>
          <w:i/>
          <w:iCs/>
          <w:sz w:val="22"/>
          <w:szCs w:val="22"/>
        </w:rPr>
        <w:t>Kapa Haka</w:t>
      </w:r>
      <w:r>
        <w:rPr>
          <w:rFonts w:eastAsia="Cambria" w:cs="Cambria"/>
          <w:b w:val="false"/>
          <w:bCs w:val="false"/>
          <w:i w:val="false"/>
          <w:iCs w:val="false"/>
          <w:sz w:val="22"/>
          <w:szCs w:val="22"/>
        </w:rPr>
        <w:t>: schulische Gruppen, die traditionelle Māori-Gesänge, Tänze und den bekannten Haka einüben und bei Schulversammlungen, Sportturnieren oder besonderen Anlässen auftreten. Teilnahme steht in aller Regel allen Kindern offen, unabhängig von Herkunft, und ist für viele zugezogene Kinder ein überraschend wirksamer Weg, schnell Teil der Schulgemeinschaft zu werden – körperlicher Ausdruck und Rhythmus überbrücken hier die Sprachlücke oft schneller als jedes Gespräch auf dem Pausenhof.</w:t>
      </w:r>
    </w:p>
    <w:p>
      <w:pPr>
        <w:pStyle w:val="Heading3"/>
        <w:keepNext w:val="true"/>
        <w:spacing w:before="280" w:after="100"/>
        <w:jc w:val="center"/>
        <w:rPr/>
      </w:pPr>
      <w:r>
        <w:rPr>
          <w:rFonts w:eastAsia="Amazon Ember" w:cs="Amazon Ember" w:ascii="Amazon Ember" w:hAnsi="Amazon Ember"/>
          <w:b/>
          <w:bCs/>
          <w:color w:val="0000FF"/>
          <w:sz w:val="36"/>
          <w:szCs w:val="36"/>
        </w:rPr>
        <w:t>Staatlich, state-integriert oder privat: drei Schulwelten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Wie in Australien existieren in Neuseeland drei Schulsektoren nebeneinander, wenn auch mit anderer Verteilung. Die große Mehrheit der Kinder besucht staatliche </w:t>
      </w:r>
      <w:r>
        <w:rPr>
          <w:rFonts w:eastAsia="Cambria" w:cs="Cambria"/>
          <w:b w:val="false"/>
          <w:bCs w:val="false"/>
          <w:i/>
          <w:iCs/>
          <w:sz w:val="22"/>
          <w:szCs w:val="22"/>
        </w:rPr>
        <w:t>State Schools</w:t>
      </w:r>
      <w:r>
        <w:rPr>
          <w:rFonts w:eastAsia="Cambria" w:cs="Cambria"/>
          <w:b w:val="false"/>
          <w:bCs w:val="false"/>
          <w:i w:val="false"/>
          <w:iCs w:val="false"/>
          <w:sz w:val="22"/>
          <w:szCs w:val="22"/>
        </w:rPr>
        <w:t xml:space="preserve">: gebührenfrei, ohne Statusprüfung, mit Aufnahme nach Wohnadresse – dem deutschen Prinzip „Schulbezirk bestimmt Schule“ nicht unähnlich. Daneben stehen </w:t>
      </w:r>
      <w:r>
        <w:rPr>
          <w:rFonts w:eastAsia="Cambria" w:cs="Cambria"/>
          <w:b w:val="false"/>
          <w:bCs w:val="false"/>
          <w:i/>
          <w:iCs/>
          <w:sz w:val="22"/>
          <w:szCs w:val="22"/>
        </w:rPr>
        <w:t>State-integrated Schools</w:t>
      </w:r>
      <w:r>
        <w:rPr>
          <w:rFonts w:eastAsia="Cambria" w:cs="Cambria"/>
          <w:b w:val="false"/>
          <w:bCs w:val="false"/>
          <w:i w:val="false"/>
          <w:iCs w:val="false"/>
          <w:sz w:val="22"/>
          <w:szCs w:val="22"/>
        </w:rPr>
        <w:t xml:space="preserve">: ehemals private, meist konfessionell geprägte Schulen, die unter einem eigenen Gesetz in das staatliche System integriert wurden. Der Unterricht selbst ist staatlich finanziert, doch die Schulen erheben weiterhin sogenannte </w:t>
      </w:r>
      <w:r>
        <w:rPr>
          <w:rFonts w:eastAsia="Cambria" w:cs="Cambria"/>
          <w:b w:val="false"/>
          <w:bCs w:val="false"/>
          <w:i/>
          <w:iCs/>
          <w:sz w:val="22"/>
          <w:szCs w:val="22"/>
        </w:rPr>
        <w:t>Attendance Dues</w:t>
      </w:r>
      <w:r>
        <w:rPr>
          <w:rFonts w:eastAsia="Cambria" w:cs="Cambria"/>
          <w:b w:val="false"/>
          <w:bCs w:val="false"/>
          <w:i w:val="false"/>
          <w:iCs w:val="false"/>
          <w:sz w:val="22"/>
          <w:szCs w:val="22"/>
        </w:rPr>
        <w:t xml:space="preserve"> (Schulbesuchsgebühren) für den Erhalt von Gebäuden und Grundstück, die im Unterschied zur „freiwilligen“ Spende staatlicher Schulen tatsächlich verpflichtend sind. Ganz unabhängig bleiben die </w:t>
      </w:r>
      <w:r>
        <w:rPr>
          <w:rFonts w:eastAsia="Cambria" w:cs="Cambria"/>
          <w:b w:val="false"/>
          <w:bCs w:val="false"/>
          <w:i/>
          <w:iCs/>
          <w:sz w:val="22"/>
          <w:szCs w:val="22"/>
        </w:rPr>
        <w:t>Independent Schools</w:t>
      </w:r>
      <w:r>
        <w:rPr>
          <w:rFonts w:eastAsia="Cambria" w:cs="Cambria"/>
          <w:b w:val="false"/>
          <w:bCs w:val="false"/>
          <w:i w:val="false"/>
          <w:iCs w:val="false"/>
          <w:sz w:val="22"/>
          <w:szCs w:val="22"/>
        </w:rPr>
        <w:t xml:space="preserve"> (Privatschulen), deren Schulgeld von einigen Tausend bis über 20.000 NZD im Jahr reicht, an einzelnen renommierten Internaten auch deutlich darüber.</w:t>
      </w:r>
    </w:p>
    <w:tbl>
      <w:tblPr>
        <w:tblW w:w="6480" w:type="dxa"/>
        <w:jc w:val="left"/>
        <w:tblInd w:w="0" w:type="dxa"/>
        <w:tblLayout w:type="fixed"/>
        <w:tblCellMar>
          <w:top w:w="50" w:type="dxa"/>
          <w:left w:w="80" w:type="dxa"/>
          <w:bottom w:w="50" w:type="dxa"/>
          <w:right w:w="80" w:type="dxa"/>
        </w:tblCellMar>
      </w:tblPr>
      <w:tblGrid>
        <w:gridCol w:w="1375"/>
        <w:gridCol w:w="2818"/>
        <w:gridCol w:w="2287"/>
      </w:tblGrid>
      <w:tr>
        <w:trPr>
          <w:tblHeader w:val="true"/>
          <w:cantSplit w:val="true"/>
        </w:trPr>
        <w:tc>
          <w:tcPr>
            <w:tcW w:w="137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Schultyp</w:t>
            </w:r>
          </w:p>
        </w:tc>
        <w:tc>
          <w:tcPr>
            <w:tcW w:w="281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Kosten</w:t>
            </w:r>
          </w:p>
        </w:tc>
        <w:tc>
          <w:tcPr>
            <w:tcW w:w="228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Besonderheit</w:t>
            </w:r>
          </w:p>
        </w:tc>
      </w:tr>
      <w:tr>
        <w:trPr>
          <w:cantSplit w:val="true"/>
        </w:trPr>
        <w:tc>
          <w:tcPr>
            <w:tcW w:w="13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State School (staatlich)</w:t>
            </w:r>
          </w:p>
        </w:tc>
        <w:tc>
          <w:tcPr>
            <w:tcW w:w="28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gebührenfrei, freiwillige Spende üblich</w:t>
            </w:r>
          </w:p>
        </w:tc>
        <w:tc>
          <w:tcPr>
            <w:tcW w:w="22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Aufnahme meist nach Wohnzone</w:t>
            </w:r>
          </w:p>
        </w:tc>
      </w:tr>
      <w:tr>
        <w:trPr>
          <w:cantSplit w:val="true"/>
        </w:trPr>
        <w:tc>
          <w:tcPr>
            <w:tcW w:w="13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State-integrated School</w:t>
            </w:r>
          </w:p>
        </w:tc>
        <w:tc>
          <w:tcPr>
            <w:tcW w:w="28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verpflichtende Attendance Dues (meist niedrig- bis mittlerer dreistelliger NZD-Betrag/Jahr)</w:t>
            </w:r>
          </w:p>
        </w:tc>
        <w:tc>
          <w:tcPr>
            <w:tcW w:w="22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oft eigenes religiöses oder pädagogisches Profil</w:t>
            </w:r>
          </w:p>
        </w:tc>
      </w:tr>
      <w:tr>
        <w:trPr>
          <w:cantSplit w:val="true"/>
        </w:trPr>
        <w:tc>
          <w:tcPr>
            <w:tcW w:w="137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Independent School (privat)</w:t>
            </w:r>
          </w:p>
        </w:tc>
        <w:tc>
          <w:tcPr>
            <w:tcW w:w="28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mehrere Tausend bis über 20.000 NZD/Jahr</w:t>
            </w:r>
          </w:p>
        </w:tc>
        <w:tc>
          <w:tcPr>
            <w:tcW w:w="22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volle Unabhängigkeit vom staatlichen System</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bei staatlichen Schulen ist „kostenlos“ mit Einschränkung zu lesen: Der Unterricht selbst ist gebührenfrei, doch die meisten Schulen bitten Eltern jährlich um eine freiwillige Spende (</w:t>
      </w:r>
      <w:r>
        <w:rPr>
          <w:rFonts w:eastAsia="Cambria" w:cs="Cambria"/>
          <w:b w:val="false"/>
          <w:bCs w:val="false"/>
          <w:i/>
          <w:iCs/>
          <w:sz w:val="22"/>
          <w:szCs w:val="22"/>
        </w:rPr>
        <w:t>School Donation</w:t>
      </w:r>
      <w:r>
        <w:rPr>
          <w:rFonts w:eastAsia="Cambria" w:cs="Cambria"/>
          <w:b w:val="false"/>
          <w:bCs w:val="false"/>
          <w:i w:val="false"/>
          <w:iCs w:val="false"/>
          <w:sz w:val="22"/>
          <w:szCs w:val="22"/>
        </w:rPr>
        <w:t>) für Materialien, Exkursionen und Ausstattung – rechtlich freiwillig, sozial aber meist erwartet, ähnlich der „Voluntary Contribution“ australischer Schulen. Hinzu kommen Kosten für Schuluniform, Stationery-Pakete (Schreibwaren-Sets, die viele Schulen vorab zusammenstellen und in Rechnung stellen) und gelegentliche Exkursionsbeiträge.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Bevor du eine kostenpflichtige State-integrated- oder Independent School ins Auge fasst, prüfe zuerst das staatliche Angebot deiner Zielzone. Der Ruf einer Schule hängt in Neuseeland stark vom Einzugsgebiet und Engagement der Elternschaft ab, nicht zwingend vom Etikett „privat“ – ein Besuchstermin vor Ort sagt oft mehr als jede Rangliste.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Zonierung und Anmeldung: wer wo hin darf</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Viele beliebte neuseeländische Schulen arbeiten mit einer </w:t>
      </w:r>
      <w:r>
        <w:rPr>
          <w:rFonts w:eastAsia="Cambria" w:cs="Cambria"/>
          <w:b w:val="false"/>
          <w:bCs w:val="false"/>
          <w:i/>
          <w:iCs/>
          <w:sz w:val="22"/>
          <w:szCs w:val="22"/>
        </w:rPr>
        <w:t>Enrolment Zone</w:t>
      </w:r>
      <w:r>
        <w:rPr>
          <w:rFonts w:eastAsia="Cambria" w:cs="Cambria"/>
          <w:b w:val="false"/>
          <w:bCs w:val="false"/>
          <w:i w:val="false"/>
          <w:iCs w:val="false"/>
          <w:sz w:val="22"/>
          <w:szCs w:val="22"/>
        </w:rPr>
        <w:t xml:space="preserve"> (Schulzone): Wer innerhalb der festgelegten Adressgrenzen wohnt, hat einen garantierten Platz; wer außerhalb wohnt, landet auf einer Warteliste oder muss eine Ballotage (Losverfahren bei Übernachfrage) durchlaufen. Bevor du eine Wohnung oder ein Haus fest anmietest oder kaufst (siehe das </w:t>
      </w:r>
      <w:hyperlink w:anchor="tnz09">
        <w:r>
          <w:rPr>
            <w:rStyle w:val="ListLabel113"/>
            <w:rFonts w:eastAsia="Cambria" w:cs="Cambria"/>
            <w:b w:val="false"/>
            <w:bCs w:val="false"/>
            <w:i w:val="false"/>
            <w:iCs w:val="false"/>
            <w:color w:val="0563C1"/>
            <w:sz w:val="22"/>
            <w:szCs w:val="22"/>
            <w:u w:val="single"/>
          </w:rPr>
          <w:t>Kapitel zum Wohnen in diesem Teil</w:t>
        </w:r>
      </w:hyperlink>
      <w:r>
        <w:rPr>
          <w:rFonts w:eastAsia="Cambria" w:cs="Cambria"/>
          <w:b w:val="false"/>
          <w:bCs w:val="false"/>
          <w:i w:val="false"/>
          <w:iCs w:val="false"/>
          <w:sz w:val="22"/>
          <w:szCs w:val="22"/>
        </w:rPr>
        <w:t>), lohnt sich deshalb ein Blick auf die exakten Zonengrenzen der gewünschten Schule – ein paar Hundert Meter können hier über den Schulplatz entscheiden.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zweites Detail überrascht viele deutsche Eltern: Es gibt keinen einzelnen, bundesweiten Einschulungsstichtag. Kinder dürfen ab ihrem fünften Geburtstag zur Schule angemeldet werden, müssen es aber erst mit sechs Jahren. Viele Schulen praktizieren inzwischen eine sogenannte </w:t>
      </w:r>
      <w:r>
        <w:rPr>
          <w:rFonts w:eastAsia="Cambria" w:cs="Cambria"/>
          <w:b w:val="false"/>
          <w:bCs w:val="false"/>
          <w:i/>
          <w:iCs/>
          <w:sz w:val="22"/>
          <w:szCs w:val="22"/>
        </w:rPr>
        <w:t>Cohort Entry</w:t>
      </w:r>
      <w:r>
        <w:rPr>
          <w:rFonts w:eastAsia="Cambria" w:cs="Cambria"/>
          <w:b w:val="false"/>
          <w:bCs w:val="false"/>
          <w:i w:val="false"/>
          <w:iCs w:val="false"/>
          <w:sz w:val="22"/>
          <w:szCs w:val="22"/>
        </w:rPr>
        <w:t xml:space="preserve"> (Gruppen-Einschulung): Statt am exakten Geburtstag zu starten, beginnen neue Erstklässler an einem von mehreren festen Terminen im Jahr – ein System, das ankommenden Familien tatsächlich entgegenkommt, weil es keinen einzigen, unumstößlichen deutschen „Einschulungstag“ gibt, um den herum ein Umzug organisiert werden müsste.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die eigentliche Anmeldung an einer staatlichen Schule braucht es in aller Regel: einen Altersnachweis (Geburtsurkunde oder Reisepass), einen Wohnsitznachweis für die Zone (Mietvertrag oder eine Rechnung mit der neuen Adresse), die Visumsdaten des Kindes sowie einen Nachweis der bisherigen Impfungen. Zeugnisse der letzten Schuljahre, möglichst mit englischer Übersetzung, helfen der Schule bei der Einstufung, sind aber selten zwingend, weil ohnehin oft ein kurzes Einstufungsgespräch mit der Schulleitung stattfindet.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Krüger (fiktiv) klärt vor dem Umzug nach Christchurch schriftlich, welche staatliche Grundschule zur künftigen Adresse gehört, und meldet Lotta (12) und Finn (8) rechtzeitig für den Beginn von Term 1 an. Weil ihr AEWV-Antrag glücklich früh genug durchläuft, entscheiden sich Sebastian und Petra bewusst für einen Umzugstermin im neuseeländischen Spätsommer statt mitten im laufenden Term – die Kinder starten so mit dem Rest der Klasse gemeinsam neu, statt in ein bereits laufendes Schuljahr hineinzuplatzen. Für Lotta, die in Rostock gerade Year 7 begonnen hätte, ergibt das Einstufungsgespräch Year 8 an einer Intermediate School; Finn wechselt nahtlos in Year 3 der örtlichen Full Primary School.</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Schuljahr beginnt verkehrt herum: der große Unterschied zu Deutschland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deutsche Familien ist dies wahrscheinlich die wichtigste praktische Erkenntnis dieses Kapitels: Das neuseeländische Schuljahr folgt der Südhalbkugel, nicht dem europäischen Rhythmus. Es beginnt Ende Januar oder Anfang Februar (der genaue Tag variiert leicht von Schule zu Schule) und endet Mitte Dezember – mitten im neuseeländischen Sommer, während in Deutschland zeitgleich die Weihnachtsferien laufen. Statt zwei langer Halbjahre mit Sommer- und Winterferien gliedert sich das Jahr in vier </w:t>
      </w:r>
      <w:r>
        <w:rPr>
          <w:rFonts w:eastAsia="Cambria" w:cs="Cambria"/>
          <w:b w:val="false"/>
          <w:bCs w:val="false"/>
          <w:i/>
          <w:iCs/>
          <w:sz w:val="22"/>
          <w:szCs w:val="22"/>
        </w:rPr>
        <w:t>Terms</w:t>
      </w:r>
      <w:r>
        <w:rPr>
          <w:rFonts w:eastAsia="Cambria" w:cs="Cambria"/>
          <w:b w:val="false"/>
          <w:bCs w:val="false"/>
          <w:i w:val="false"/>
          <w:iCs w:val="false"/>
          <w:sz w:val="22"/>
          <w:szCs w:val="22"/>
        </w:rPr>
        <w:t xml:space="preserve"> von rund zehn Wochen, unterbrochen von zwei- bis dreiwöchigen Pausen; die längste Pause liegt zwischen Mitte Dezember und Ende Januar/Anfang Februar und übernimmt damit die Funktion der deutschen Sommerferien – nur eben eine Jahreszeit versetzt.</w:t>
      </w:r>
    </w:p>
    <w:tbl>
      <w:tblPr>
        <w:tblW w:w="6480" w:type="dxa"/>
        <w:jc w:val="left"/>
        <w:tblInd w:w="0" w:type="dxa"/>
        <w:tblLayout w:type="fixed"/>
        <w:tblCellMar>
          <w:top w:w="50" w:type="dxa"/>
          <w:left w:w="80" w:type="dxa"/>
          <w:bottom w:w="50" w:type="dxa"/>
          <w:right w:w="80" w:type="dxa"/>
        </w:tblCellMar>
      </w:tblPr>
      <w:tblGrid>
        <w:gridCol w:w="949"/>
        <w:gridCol w:w="3377"/>
        <w:gridCol w:w="2154"/>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Term</w:t>
            </w:r>
          </w:p>
        </w:tc>
        <w:tc>
          <w:tcPr>
            <w:tcW w:w="337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Ungefährer Zeitraum (2026)</w:t>
            </w:r>
          </w:p>
        </w:tc>
        <w:tc>
          <w:tcPr>
            <w:tcW w:w="215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Pause danach</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Term 1</w:t>
            </w:r>
          </w:p>
        </w:tc>
        <w:tc>
          <w:tcPr>
            <w:tcW w:w="33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Ende Januar/Anfang Februar – Anfang April</w:t>
            </w:r>
          </w:p>
        </w:tc>
        <w:tc>
          <w:tcPr>
            <w:tcW w:w="21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2 Wochen (meist mit Ostern)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Term 2</w:t>
            </w:r>
          </w:p>
        </w:tc>
        <w:tc>
          <w:tcPr>
            <w:tcW w:w="33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Mitte/Ende April – Anfang Juli</w:t>
            </w:r>
          </w:p>
        </w:tc>
        <w:tc>
          <w:tcPr>
            <w:tcW w:w="21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2 Wochen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Term 3</w:t>
            </w:r>
          </w:p>
        </w:tc>
        <w:tc>
          <w:tcPr>
            <w:tcW w:w="33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Mitte/Ende Juli – Ende September</w:t>
            </w:r>
          </w:p>
        </w:tc>
        <w:tc>
          <w:tcPr>
            <w:tcW w:w="21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2 Wochen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Term 4</w:t>
            </w:r>
          </w:p>
        </w:tc>
        <w:tc>
          <w:tcPr>
            <w:tcW w:w="33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Anfang/Mitte Oktober – Mitte Dezember</w:t>
            </w:r>
          </w:p>
        </w:tc>
        <w:tc>
          <w:tcPr>
            <w:tcW w:w="21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6 Wochen Sommerferien</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genauen Daten legt jede Schule im Rahmen ministerieller Vorgaben einzeln fest und veröffentlicht sie auf der eigenen Website; sie unterscheiden sich von Jahr zu Jahr und zwischen einzelnen Schulen um bis zu einer Woche.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den Umzug selbst bedeutet das doppeltes Rechnen: Wer sein Kind mitten im deutschen Schuljahr, aber zu Beginn eines neuseeländischen Terms verpflanzt, erwischt einen vergleichsweise glatten Einstieg – die neue Klasse startet dann ebenfalls gerade neu oder ist noch nicht tief in einem Themenblock. Wer dagegen versucht, exakt zum deutschen Schuljahresende im Sommer umzuziehen, landet in Neuseeland mitten in Term 2 oder 3, während die eigenen Kinder zu Hause gerade erst in die großen Ferien starten – ein doppelter Rhythmuswechsel, der zusätzlich verwirrt. Wenn der Zeitpunkt frei wählbar ist, spricht deshalb viel dafür, den Umzug auf die späten deutschen Herbst- oder frühen Wintermonate zu legen: Das Kind verpasst dann relativ wenig vom deutschen Schuljahr und startet in Neuseeland fast punktgenau mit Term 1 im neuen Jahr.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Unterschätze die Wucht dieses Wechsels nicht, nur weil er banal klingt. Kinder, die ihren ersten neuseeländischen Sommer mit Weihnachten am Strand erleben, während zeitgleich die alten Schulfreunde in Deutschland einen Schneemann bauen, empfinden das oft intensiver als jeden anderen Kulturschock-Moment des ersten Jahres (mehr dazu im </w:t>
            </w:r>
            <w:hyperlink w:anchor="tnz12">
              <w:r>
                <w:rPr>
                  <w:rStyle w:val="ListLabel116"/>
                  <w:rFonts w:eastAsia="Cambria" w:cs="Cambria"/>
                  <w:b w:val="false"/>
                  <w:bCs w:val="false"/>
                  <w:i w:val="false"/>
                  <w:iCs w:val="false"/>
                  <w:color w:val="0563C1"/>
                  <w:sz w:val="20"/>
                  <w:szCs w:val="20"/>
                  <w:u w:val="single"/>
                </w:rPr>
                <w:t>Kapitel zu Freunden und Kulturschock in diesem Teil</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Besonders heikel wird ein Umzug, wenn ein Teenager mitten in den letzten beiden Schuljahren steckt. Weil NCEA über einzelne Fächer und Kredit-Punkte je Schuljahr aufgebaut ist, lässt sich ein begonnenes Year 12 oder 13 aus Deutschland selten nahtlos fortsetzen; Schulen prüfen mitgebrachte Zeugnisse einzeln und entscheiden von Fall zu Fall, welche Fächer anerkannt werden. Wegen der angekündigten Ablösung von NCEA ab 2028 kommt für Familien, die in den kommenden Jahren mit älteren Teenagern umziehen, eine weitere Unsicherheitsebene hinzu.</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Bei Teenagern in den letzten beiden Schuljahren lohnt es sich, vor dem Umzug direkt mit der Zielschule zu klären, welche NCEA-Kredite übernommen werden und wie sich die geplante Reform auf den konkreten Jahrgang deines Kindes auswirkt. Diese Entscheidung früh zu klären erspart Jugendlichen in einer ohnehin anspruchsvollen Phase unnötigen Extra-Stress.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Spracheingewöhnung: ESOL und wie Kinder (und Eltern) ankommen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Kinder lernen Englisch in aller Regel spürbar schneller als ihre Eltern – nicht, weil sie klüger wären, sondern weil Schule, Pausenhof und Fernsehen sie den ganzen Tag eintauchen, während Erwachsene oft zuerst im Job oder beim Small Talk mit Nachbarn üben müssen. Neuseeländische Schulen sind darauf eingerichtet: Sprachförderung heißt </w:t>
      </w:r>
      <w:r>
        <w:rPr>
          <w:rFonts w:eastAsia="Cambria" w:cs="Cambria"/>
          <w:b w:val="false"/>
          <w:bCs w:val="false"/>
          <w:i/>
          <w:iCs/>
          <w:sz w:val="22"/>
          <w:szCs w:val="22"/>
        </w:rPr>
        <w:t>ESOL</w:t>
      </w:r>
      <w:r>
        <w:rPr>
          <w:rFonts w:eastAsia="Cambria" w:cs="Cambria"/>
          <w:b w:val="false"/>
          <w:bCs w:val="false"/>
          <w:i w:val="false"/>
          <w:iCs w:val="false"/>
          <w:sz w:val="22"/>
          <w:szCs w:val="22"/>
        </w:rPr>
        <w:t xml:space="preserve"> (</w:t>
      </w:r>
      <w:r>
        <w:rPr>
          <w:rFonts w:eastAsia="Cambria" w:cs="Cambria"/>
          <w:b w:val="false"/>
          <w:bCs w:val="false"/>
          <w:i/>
          <w:iCs/>
          <w:sz w:val="22"/>
          <w:szCs w:val="22"/>
        </w:rPr>
        <w:t>English for Speakers of Other Languages</w:t>
      </w:r>
      <w:r>
        <w:rPr>
          <w:rFonts w:eastAsia="Cambria" w:cs="Cambria"/>
          <w:b w:val="false"/>
          <w:bCs w:val="false"/>
          <w:i w:val="false"/>
          <w:iCs w:val="false"/>
          <w:sz w:val="22"/>
          <w:szCs w:val="22"/>
        </w:rPr>
        <w:t xml:space="preserve">) und wird vom Bildungsministerium zusätzlich zur allgemeinen Schulfinanzierung bezuschusst. Für Kinder aus Migranten- oder Flüchtlingsfamilien wird die Förderung für maximal fünf Jahre (20 </w:t>
      </w:r>
      <w:r>
        <w:rPr>
          <w:rFonts w:eastAsia="Cambria" w:cs="Cambria"/>
          <w:b w:val="false"/>
          <w:bCs w:val="false"/>
          <w:i/>
          <w:iCs/>
          <w:sz w:val="22"/>
          <w:szCs w:val="22"/>
        </w:rPr>
        <w:t>Terms</w:t>
      </w:r>
      <w:r>
        <w:rPr>
          <w:rFonts w:eastAsia="Cambria" w:cs="Cambria"/>
          <w:b w:val="false"/>
          <w:bCs w:val="false"/>
          <w:i w:val="false"/>
          <w:iCs w:val="false"/>
          <w:sz w:val="22"/>
          <w:szCs w:val="22"/>
        </w:rPr>
        <w:t>) finanziert, für in Neuseeland geborene Kinder migrantischer Eltern für maximal drei Jahre (12 Terms); für Primar- und Intermediate-Schüler liegt die Förderpauschale je Kind bei aktuell 780 NZD im Jahr, obendrauf zur regulären Schulfinanzierung. Schulen setzen das Geld unterschiedlich ein – von einer eigenen ESOL-Lehrkraft über Kleingruppenförderung bis zu zweisprachigen Assistenzkräften, je nach Bedarf der jeweiligen Schülerschaft.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Verwechsle die Sprachlücke deines Kindes nicht mit einer Lernschwäche. Ein Kind, das im ersten Halbjahr in Mathematik oder Naturwissenschaften schlechter abschneidet, kämpft womöglich nur mit der Fachsprache, nicht mit dem Inhalt. Sprich das offen mit der Klassenlehrkraft an, bevor eine vorschnelle Förderdiagnose gestellt wird.</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Kinder verarbeiten den Sprachwechsel zudem altersabhängig unterschiedlich: Jüngere Grundschulkinder gewöhnen sich oft binnen weniger Monate ein, während ältere Kinder und Teenager die Fachsprache in Geschichte oder Biologie länger brauchen und sozial stärker unter der Sprachlücke leiden, weil Freundschaften in dieser Lebensphase stärker über Wortwitz und schnelle Antworten laufen.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Finn (8, fiktiv, Familie Krüger) kann in den ersten Wochen im Unterricht kaum folgen, findet aber über den Rugbyclub der Schule schnell Anschluss – auf dem Spielfeld zählt der Ballbesitz mehr als der Wortschatz. Lotta (12) tut sich schwerer: In der Intermediate School hängen Freundschaften stärker an schnellen, witzigen Wortwechseln in den Pausen, die ihr anfangs komplett verschlossen bleiben. Petra vereinbart mit der Klassenlehrerin zusätzliche ESOL-Kleingruppenstunden für Lotta und bucht parallel einen wöchentlichen Nachhilfetermin bei einer örtlichen Englischlehrerin – nach rund einem halben Jahr meldet die Schule spürbare Fortschritte, sowohl fachlich als auch beim ersten festen Freundeskreis.</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Für Erwachsene sieht die Lage anders aus: Wer über die Skilled Migrant Category einwandert, hat einen Englischnachweis meist bereits für den Visumsantrag erbracht (siehe das </w:t>
      </w:r>
      <w:hyperlink w:anchor="tnz03">
        <w:r>
          <w:rPr>
            <w:rStyle w:val="ListLabel113"/>
            <w:rFonts w:eastAsia="Cambria" w:cs="Cambria"/>
            <w:b w:val="false"/>
            <w:bCs w:val="false"/>
            <w:i w:val="false"/>
            <w:iCs w:val="false"/>
            <w:color w:val="0563C1"/>
            <w:sz w:val="22"/>
            <w:szCs w:val="22"/>
            <w:u w:val="single"/>
          </w:rPr>
          <w:t>Kapitel zum Arbeitsweg in diesem Teil</w:t>
        </w:r>
      </w:hyperlink>
      <w:r>
        <w:rPr>
          <w:rFonts w:eastAsia="Cambria" w:cs="Cambria"/>
          <w:b w:val="false"/>
          <w:bCs w:val="false"/>
          <w:i w:val="false"/>
          <w:iCs w:val="false"/>
          <w:sz w:val="22"/>
          <w:szCs w:val="22"/>
        </w:rPr>
        <w:t xml:space="preserve">); trotzdem bleibt der Alltag – Elternabende, Behördengänge, Small Talk am Schultor – für viele Erwachsene die eigentliche Übungsstrecke. Volkshochschulähnliche Kurse an lokalen </w:t>
      </w:r>
      <w:r>
        <w:rPr>
          <w:rFonts w:eastAsia="Cambria" w:cs="Cambria"/>
          <w:b w:val="false"/>
          <w:bCs w:val="false"/>
          <w:i/>
          <w:iCs/>
          <w:sz w:val="22"/>
          <w:szCs w:val="22"/>
        </w:rPr>
        <w:t>Community Education</w:t>
      </w:r>
      <w:r>
        <w:rPr>
          <w:rFonts w:eastAsia="Cambria" w:cs="Cambria"/>
          <w:b w:val="false"/>
          <w:bCs w:val="false"/>
          <w:i w:val="false"/>
          <w:iCs w:val="false"/>
          <w:sz w:val="22"/>
          <w:szCs w:val="22"/>
        </w:rPr>
        <w:t>-Zentren sowie das Gespräch mit anderen Eltern helfen hier oft mehr als ein weiteres Lehrbuch.</w:t>
      </w:r>
    </w:p>
    <w:p>
      <w:pPr>
        <w:pStyle w:val="Heading3"/>
        <w:keepNext w:val="true"/>
        <w:spacing w:before="280" w:after="100"/>
        <w:jc w:val="center"/>
        <w:rPr/>
      </w:pPr>
      <w:r>
        <w:rPr>
          <w:rFonts w:eastAsia="Amazon Ember" w:cs="Amazon Ember" w:ascii="Amazon Ember" w:hAnsi="Amazon Ember"/>
          <w:b/>
          <w:bCs/>
          <w:color w:val="0000FF"/>
          <w:sz w:val="36"/>
          <w:szCs w:val="36"/>
        </w:rPr>
        <w:t>Englisch zu Hause vorbereiten: Medien nach Alter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Speziell neuseeländische Kinderserien sind international kaum zu finden; die australische Serie „Bluey“ (Disney+ Deutschland, englischer Originalton wählbar) funktioniert trotzdem gut als Einstieg für Kleinkinder (2–5), da sich Sprechtempo und Alltagsszenen ähneln. Grundschulkinder (6–9) wachsen mit „Paw Patrol“ und ersten Kapitelbüchern wie „Diary of a Wimpy Kid“ in erste eigenständige englische Lektüre hinein. Für die Mittelstufe (10–13) eignen sich „Percy Jackson“-Bücher; der neuseeländische Familienfilm „Hunt for the Wilderpeople“ (bei Netflix oder Amazon Prime Video oft verfügbar, Verfügbarkeit auf JustWatch.de prüfen) funktioniert schon für diese Altersgruppe und zeigt echten Kiwi-Alltagston. Teenager (14–17) kommen mit aktueller englischsprachiger Jugendliteratur und denselben Filmen in ungekürzter Fassung weiter.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allen Altersgruppen wirkt derselbe Trick am zuverlässigsten: eine Serie, die das Kind schon auf Deutsch kennt, gemeinsam im englischen Original anschauen – die bekannte Handlung nimmt den Druck, jedes Wort zu verstehen. Untertitel zuerst auf Englisch stellen, nicht auf Deutsch.</w:t>
      </w:r>
    </w:p>
    <w:p>
      <w:pPr>
        <w:pStyle w:val="Heading3"/>
        <w:keepNext w:val="true"/>
        <w:spacing w:before="280" w:after="100"/>
        <w:jc w:val="center"/>
        <w:rPr/>
      </w:pPr>
      <w:r>
        <w:rPr>
          <w:rFonts w:eastAsia="Amazon Ember" w:cs="Amazon Ember" w:ascii="Amazon Ember" w:hAnsi="Amazon Ember"/>
          <w:b/>
          <w:bCs/>
          <w:color w:val="0000FF"/>
          <w:sz w:val="36"/>
          <w:szCs w:val="36"/>
        </w:rPr>
        <w:t>Deutsch bewahren: Wellington als einziger fester Anlaufpunkt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Wer möchte, dass die Kinder neben ihrem neuseeländischen Englisch auch das Deutsche behalten, findet organisierte Angebote fast ausschließlich in Wellington. Die German School Wellington (eine Ergänzungsschule in Newtown, die samstags oder nachmittags ergänzend zum regulären neuseeländischen Unterricht stattfindet, kein vollständiger deutscher Schulzweig wie in manchen anderen Ländern) sowie das Goethe-Institut Wellington mit eigenen Kinder- und Jugendkursen bilden hier den Kern; dazu kommt eine deutschsprachige Spielgruppe für die Jüngsten.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Außerhalb Wellingtons – in Auckland mit nur einer kleinen Spielgruppe, in Christchurch ganz ohne identifizierbares organisiertes Angebot – bleibt vor allem Eigeninitiative: feste Vorlesezeiten auf Deutsch, deutschsprachige Hörbücher und Serien, regelmäßige Videoanrufe mit den Großeltern und, wo sich eine Gruppe von Familien findet, eine informelle Samstagsschule in Eigenregie.</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Bevor du eine aufwendige, selbst organisierte Deutsch-Struktur aufbaust, prüfe, ob dir die Kombination aus kostenloser staatlicher Schule plus konsequent gepflegtem Deutsch zu Hause für deine Ziele reicht. Für die meisten Familien, die nicht dauerhaft zwischen beiden Ländern pendeln wollen, ist das die deutlich einfachere und oft ausreichende Lösung – gerade dort, wo wie in Christchurch ohnehin keine organisierte Alternative existiert.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Staatliche Schulen sind gebührenfrei und ohne Statusprüfung zugänglich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Zonierung kann die Wunschschule vom Wohnort abhängig machen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starrer Einschulungsstichtag – Umzugstermin lässt sich flexibel legen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Schuljahresrhythmus verkehrt zu Deutschland erschwert die Umzugsplanung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ESOL-Förderung ist über Jahre hinweg strukturiert finanziert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Außerhalb Wellingtons kaum organisierte deutsche Sprachangebote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 gewöhnen sich meist rascher ein als Erwachsene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Ältere Kinder und Teenager tun sich mit Fachsprache und sozialem Anschluss schwerer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Drei Schulsektoren bieten Wahlmöglichkeit nach Budget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NCEA-Umstellung ab 2028 schafft zusätzliche Planungsunsicherheit für Teenager</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Kläre vor dem Umzug die Schulzone deiner Zieladresse und die Einstufung deines Kindes bei der Zielschule, lege den Umzugstermin nach Möglichkeit auf einen Term-Beginn, sammle Geburtsurkunde, Impfnachweis und übersetzte Zeugnisse, und entscheide früh, ob eine organisierte deutsche Sprachstruktur infrage kommt oder ob dir Deutsch zu Hause reicht.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Schulzone der Zieladresse und Aufnahmechancen an der Wunschschule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Schultyp entschieden: staatlich, state-integriert oder privat, inklusive Kostenvergleich</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Umzugstermin nach Möglichkeit auf den Beginn eines Terms gelegt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Geburtsurkunde, Reisepass, Impfnachweis und übersetzte Zeugnisse zusammengestellt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Zielschule direkt nach genauen Anmeldeunterlagen und Cohort-Entry-Terminen gefragt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Sprachförderbedarf früh das Gespräch mit der Schule über ESOL gesucht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Geprüft, ob eine organisierte deutsche Sprachstruktur (nur Wellington) infrage kommt oder ob Deutsch zu Hause organisiert wird</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Teenagern zusätzlich NCEA-Kreditübernahme und die angekündigte Reform ab 2028 mit der Zielschule besprochen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New Zealand Ministry of Education — Schulsystem, Term- und Ferientermine (</w:t>
      </w:r>
      <w:hyperlink r:id="rId726">
        <w:r>
          <w:rPr>
            <w:rStyle w:val="ListLabel113"/>
            <w:rFonts w:eastAsia="Cambria" w:cs="Cambria"/>
            <w:b w:val="false"/>
            <w:bCs w:val="false"/>
            <w:i w:val="false"/>
            <w:iCs w:val="false"/>
            <w:color w:val="0563C1"/>
            <w:sz w:val="22"/>
            <w:szCs w:val="22"/>
            <w:u w:val="single"/>
          </w:rPr>
          <w:t>education.govt.nz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New Zealand Qualifications Authority — NCEA, Reformpläne ab 2028 (</w:t>
      </w:r>
      <w:hyperlink r:id="rId727">
        <w:r>
          <w:rPr>
            <w:rStyle w:val="ListLabel113"/>
            <w:rFonts w:eastAsia="Cambria" w:cs="Cambria"/>
            <w:b w:val="false"/>
            <w:bCs w:val="false"/>
            <w:i w:val="false"/>
            <w:iCs w:val="false"/>
            <w:color w:val="0563C1"/>
            <w:sz w:val="22"/>
            <w:szCs w:val="22"/>
            <w:u w:val="single"/>
          </w:rPr>
          <w:t>nzqa.govt.nz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Ministry of Education — ESOL-Förderung für Schulen (</w:t>
      </w:r>
      <w:hyperlink r:id="rId728">
        <w:r>
          <w:rPr>
            <w:rStyle w:val="ListLabel113"/>
            <w:rFonts w:eastAsia="Cambria" w:cs="Cambria"/>
            <w:b w:val="false"/>
            <w:bCs w:val="false"/>
            <w:i w:val="false"/>
            <w:iCs w:val="false"/>
            <w:color w:val="0563C1"/>
            <w:sz w:val="22"/>
            <w:szCs w:val="22"/>
            <w:u w:val="single"/>
          </w:rPr>
          <w:t>education.govt.nz</w:t>
        </w:r>
      </w:hyperlink>
      <w:r>
        <w:rPr>
          <w:rFonts w:eastAsia="Cambria" w:cs="Cambria"/>
          <w:b w:val="false"/>
          <w:bCs w:val="false"/>
          <w:i w:val="false"/>
          <w:iCs w:val="false"/>
          <w:sz w:val="22"/>
          <w:szCs w:val="22"/>
        </w:rPr>
        <w:t>, Suchbegriff „ESOL funding“)</w:t>
      </w:r>
    </w:p>
    <w:p>
      <w:pPr>
        <w:pStyle w:val="ListParagraph"/>
        <w:numPr>
          <w:ilvl w:val="0"/>
          <w:numId w:val="1"/>
        </w:numPr>
        <w:spacing w:lineRule="exact" w:line="288" w:before="0" w:after="60"/>
        <w:rPr/>
      </w:pPr>
      <w:r>
        <w:rPr>
          <w:rFonts w:eastAsia="Cambria" w:cs="Cambria"/>
          <w:b w:val="false"/>
          <w:bCs w:val="false"/>
          <w:i w:val="false"/>
          <w:iCs w:val="false"/>
          <w:sz w:val="22"/>
          <w:szCs w:val="22"/>
        </w:rPr>
        <w:t>Zentralstelle für das Auslandsschulwesen — deutsche Angebote im Ausland (</w:t>
      </w:r>
      <w:hyperlink r:id="rId729">
        <w:r>
          <w:rPr>
            <w:rStyle w:val="ListLabel113"/>
            <w:rFonts w:eastAsia="Cambria" w:cs="Cambria"/>
            <w:b w:val="false"/>
            <w:bCs w:val="false"/>
            <w:i w:val="false"/>
            <w:iCs w:val="false"/>
            <w:color w:val="0563C1"/>
            <w:sz w:val="22"/>
            <w:szCs w:val="22"/>
            <w:u w:val="single"/>
          </w:rPr>
          <w:t>auslandsschulwesen.de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Goethe-Institut Neuseeland — Standort Wellington (</w:t>
      </w:r>
      <w:hyperlink r:id="rId730">
        <w:r>
          <w:rPr>
            <w:rStyle w:val="ListLabel113"/>
            <w:rFonts w:eastAsia="Cambria" w:cs="Cambria"/>
            <w:b w:val="false"/>
            <w:bCs w:val="false"/>
            <w:i w:val="false"/>
            <w:iCs w:val="false"/>
            <w:color w:val="0563C1"/>
            <w:sz w:val="22"/>
            <w:szCs w:val="22"/>
            <w:u w:val="single"/>
          </w:rPr>
          <w:t>goethe.de/ins/nz</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Angaben ändern sich: genaue Term-Termine (jedes Jahr neu, je Schule leicht abweichend), Höhe der ESOL-Förderpauschale, Details und Zeitplan der NCEA-Reform sowie Schulgelder von state-integrierten und privaten Schulen. Prüfe vor jeder Entscheidung die aktuellen Angaben der zuständigen Bildungsbehörde und Zielschule.</w:t>
            </w:r>
          </w:p>
        </w:tc>
      </w:tr>
    </w:tbl>
    <w:p>
      <w:pPr>
        <w:pStyle w:val="Normal"/>
        <w:spacing w:lineRule="exact" w:line="220" w:before="0" w:after="0"/>
        <w:rPr/>
      </w:pPr>
      <w:r>
        <w:rPr/>
      </w:r>
      <w:r>
        <w:br w:type="page"/>
      </w:r>
    </w:p>
    <w:p>
      <w:pPr>
        <w:pStyle w:val="Heading2"/>
        <w:keepNext w:val="true"/>
        <w:spacing w:before="0" w:after="300"/>
        <w:jc w:val="center"/>
        <w:rPr/>
      </w:pPr>
      <w:bookmarkStart w:id="196" w:name="__RefHeading___Toc56627_3769931028"/>
      <w:bookmarkStart w:id="197" w:name="tnz14"/>
      <w:bookmarkEnd w:id="196"/>
      <w:r>
        <w:rPr>
          <w:rFonts w:eastAsia="Amazon Ember" w:cs="Amazon Ember" w:ascii="Amazon Ember" w:hAnsi="Amazon Ember"/>
          <w:b/>
          <w:bCs/>
          <w:color w:val="0000FF"/>
          <w:sz w:val="36"/>
          <w:szCs w:val="36"/>
        </w:rPr>
        <w:t>Neuseeland: Arbeitswelt und Jobwechsel</w:t>
      </w:r>
      <w:bookmarkEnd w:id="197"/>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Als Sebastian Krüger in Christchurch seinen ersten Arbeitsvertrag unterschreibt, stockt er kurz bei einer Klausel, die er aus Deutschland nicht kennt: 90 Tage </w:t>
      </w:r>
      <w:r>
        <w:rPr>
          <w:rFonts w:eastAsia="Cambria" w:cs="Cambria"/>
          <w:b w:val="false"/>
          <w:bCs w:val="false"/>
          <w:i/>
          <w:iCs/>
          <w:sz w:val="22"/>
          <w:szCs w:val="22"/>
        </w:rPr>
        <w:t>Trial Period</w:t>
      </w:r>
      <w:r>
        <w:rPr>
          <w:rFonts w:eastAsia="Cambria" w:cs="Cambria"/>
          <w:b w:val="false"/>
          <w:bCs w:val="false"/>
          <w:i w:val="false"/>
          <w:iCs w:val="false"/>
          <w:sz w:val="22"/>
          <w:szCs w:val="22"/>
        </w:rPr>
        <w:t xml:space="preserve"> (Probezeit ohne Kündigungsschutz), in denen der Arbeitgeber ihn ohne Angabe von Gründen und ohne die Möglichkeit einer Klage wieder entlassen kann. Er fragt vorsichtig nach, ob das üblich sei. „She’ll be right“, sagt die Personalleiterin und lächelt, was so viel heißt wie „Wird schon passen“ – eine Beruhigung, die bei jemandem, der aus einem Land mit einem der strengsten Kündigungsschutzgesetze der Welt kommt, ihre Wirkung zunächst verfehlt. Drei Monate später ist Sebastian noch da, hat die Probezeit unbeschadet überstanden und ziemlich viel über neuseeländisches Arbeitsrecht gelernt – vor allem, dass es erstaunlich schlank ist, gemessen an dem, was er gewohnt war.</w:t>
      </w:r>
    </w:p>
    <w:tbl>
      <w:tblPr>
        <w:tblW w:w="6480" w:type="dxa"/>
        <w:jc w:val="left"/>
        <w:tblInd w:w="0" w:type="dxa"/>
        <w:tblLayout w:type="fixed"/>
        <w:tblCellMar>
          <w:top w:w="110" w:type="dxa"/>
          <w:left w:w="200" w:type="dxa"/>
          <w:bottom w:w="80" w:type="dxa"/>
          <w:right w:w="160" w:type="dxa"/>
        </w:tblCellMar>
      </w:tblPr>
      <w:tblGrid>
        <w:gridCol w:w="6480"/>
      </w:tblGrid>
      <w:tr>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Neuseeländisches Arbeitsrecht gilt bundesweit einheitlich – keine Bundesstaaten, keine Provinzen, keine Awards oder Tarifebenen wie in Australien oder Kanada.</w:t>
            </w:r>
          </w:p>
          <w:p>
            <w:pPr>
              <w:pStyle w:val="ListParagraph"/>
              <w:numPr>
                <w:ilvl w:val="0"/>
                <w:numId w:val="1"/>
              </w:numPr>
              <w:spacing w:lineRule="exact" w:line="264" w:before="0" w:after="50"/>
              <w:rPr/>
            </w:pPr>
            <w:r>
              <w:rPr>
                <w:rFonts w:eastAsia="Cambria" w:cs="Cambria"/>
                <w:b w:val="false"/>
                <w:bCs w:val="false"/>
                <w:i w:val="false"/>
                <w:iCs w:val="false"/>
                <w:sz w:val="20"/>
                <w:szCs w:val="20"/>
              </w:rPr>
              <w:t>Der gesetzliche Mindesturlaub liegt bei vier Wochen im Jahr, dazu kommen elf bis zwölf Feiertage und zehn Tage bezahlter Krankheitsurlaub nach sechs Monaten Betriebszugehörigkeit.</w:t>
            </w:r>
          </w:p>
          <w:p>
            <w:pPr>
              <w:pStyle w:val="ListParagraph"/>
              <w:numPr>
                <w:ilvl w:val="0"/>
                <w:numId w:val="1"/>
              </w:numPr>
              <w:spacing w:lineRule="exact" w:line="264" w:before="0" w:after="50"/>
              <w:rPr/>
            </w:pPr>
            <w:r>
              <w:rPr>
                <w:rFonts w:eastAsia="Cambria" w:cs="Cambria"/>
                <w:b w:val="false"/>
                <w:bCs w:val="false"/>
                <w:i w:val="false"/>
                <w:iCs w:val="false"/>
                <w:sz w:val="20"/>
                <w:szCs w:val="20"/>
              </w:rPr>
              <w:t>Ein Kündigungsschutzgesetz nach deutschem Muster gibt es nicht, aber auch kein grundloses Entlassen: Der Maßstab ist, ob ein fairer, vernünftiger Arbeitgeber unter den gegebenen Umständen ebenso gehandelt hätte.</w:t>
            </w:r>
          </w:p>
          <w:p>
            <w:pPr>
              <w:pStyle w:val="ListParagraph"/>
              <w:numPr>
                <w:ilvl w:val="0"/>
                <w:numId w:val="1"/>
              </w:numPr>
              <w:spacing w:lineRule="exact" w:line="264" w:before="0" w:after="50"/>
              <w:rPr/>
            </w:pPr>
            <w:r>
              <w:rPr>
                <w:rFonts w:eastAsia="Cambria" w:cs="Cambria"/>
                <w:b w:val="false"/>
                <w:bCs w:val="false"/>
                <w:i w:val="false"/>
                <w:iCs w:val="false"/>
                <w:sz w:val="20"/>
                <w:szCs w:val="20"/>
              </w:rPr>
              <w:t>Seit dem 23. Dezember 2023 darf jeder Arbeitgeber, unabhängig von der Betriebsgröße, eine 90-tägige Probezeit ohne Kündigungsschutz vereinbaren – zuvor war das auf Kleinbetriebe unter 20 Beschäftigten beschränkt.</w:t>
            </w:r>
          </w:p>
          <w:p>
            <w:pPr>
              <w:pStyle w:val="ListParagraph"/>
              <w:numPr>
                <w:ilvl w:val="0"/>
                <w:numId w:val="1"/>
              </w:numPr>
              <w:spacing w:lineRule="exact" w:line="264" w:before="0" w:after="50"/>
              <w:rPr/>
            </w:pPr>
            <w:r>
              <w:rPr>
                <w:rFonts w:eastAsia="Cambria" w:cs="Cambria"/>
                <w:b w:val="false"/>
                <w:bCs w:val="false"/>
                <w:i w:val="false"/>
                <w:iCs w:val="false"/>
                <w:sz w:val="20"/>
                <w:szCs w:val="20"/>
              </w:rPr>
              <w:t>Eine gesetzliche Abfindung bei betriebsbedingter Kündigung gibt es nicht automatisch; sie gilt nur, wenn der Arbeitsvertrag sie ausdrücklich vorsieht.</w:t>
            </w:r>
          </w:p>
          <w:p>
            <w:pPr>
              <w:pStyle w:val="ListParagraph"/>
              <w:numPr>
                <w:ilvl w:val="0"/>
                <w:numId w:val="1"/>
              </w:numPr>
              <w:spacing w:lineRule="exact" w:line="264" w:before="0" w:after="50"/>
              <w:rPr/>
            </w:pPr>
            <w:r>
              <w:rPr>
                <w:rFonts w:eastAsia="Cambria" w:cs="Cambria"/>
                <w:b w:val="false"/>
                <w:bCs w:val="false"/>
                <w:i w:val="false"/>
                <w:iCs w:val="false"/>
                <w:sz w:val="20"/>
                <w:szCs w:val="20"/>
              </w:rPr>
              <w:t xml:space="preserve">Beim </w:t>
            </w:r>
            <w:r>
              <w:rPr>
                <w:rFonts w:eastAsia="Cambria" w:cs="Cambria"/>
                <w:b w:val="false"/>
                <w:bCs w:val="false"/>
                <w:i/>
                <w:iCs/>
                <w:sz w:val="20"/>
                <w:szCs w:val="20"/>
              </w:rPr>
              <w:t>Accredited Employer Work Visa</w:t>
            </w:r>
            <w:r>
              <w:rPr>
                <w:rFonts w:eastAsia="Cambria" w:cs="Cambria"/>
                <w:b w:val="false"/>
                <w:bCs w:val="false"/>
                <w:i w:val="false"/>
                <w:iCs w:val="false"/>
                <w:sz w:val="20"/>
                <w:szCs w:val="20"/>
              </w:rPr>
              <w:t xml:space="preserve"> (AEWV) bist du an einen konkreten Arbeitgeber gebunden: Ein Wechsel braucht dessen Akkreditierung und eine genehmigte Stellenprüfung, bevor du dort anfangen darfst.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Arbeitsrecht in Neuseeland: erfrischend einheitlich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Nach den föderalen Verwicklungen, die dieses Buch für die USA, Kanada und Australien beschreibt, wirkt Neuseeland fast schon unterkomplex: Es gibt keine Bundesstaaten, keine Provinzen, keine Territorien – nur ein einziges nationales Arbeitsrecht, das überall im Land gleich gilt. Grundlage ist der </w:t>
      </w:r>
      <w:r>
        <w:rPr>
          <w:rFonts w:eastAsia="Cambria" w:cs="Cambria"/>
          <w:b w:val="false"/>
          <w:bCs w:val="false"/>
          <w:i/>
          <w:iCs/>
          <w:sz w:val="22"/>
          <w:szCs w:val="22"/>
        </w:rPr>
        <w:t>Employment Relations Act 2000</w:t>
      </w:r>
      <w:r>
        <w:rPr>
          <w:rFonts w:eastAsia="Cambria" w:cs="Cambria"/>
          <w:b w:val="false"/>
          <w:bCs w:val="false"/>
          <w:i w:val="false"/>
          <w:iCs w:val="false"/>
          <w:sz w:val="22"/>
          <w:szCs w:val="22"/>
        </w:rPr>
        <w:t xml:space="preserve"> (das zentrale Arbeitsverhältnisgesetz), ergänzt um den </w:t>
      </w:r>
      <w:r>
        <w:rPr>
          <w:rFonts w:eastAsia="Cambria" w:cs="Cambria"/>
          <w:b w:val="false"/>
          <w:bCs w:val="false"/>
          <w:i/>
          <w:iCs/>
          <w:sz w:val="22"/>
          <w:szCs w:val="22"/>
        </w:rPr>
        <w:t>Holidays Act 2003</w:t>
      </w:r>
      <w:r>
        <w:rPr>
          <w:rFonts w:eastAsia="Cambria" w:cs="Cambria"/>
          <w:b w:val="false"/>
          <w:bCs w:val="false"/>
          <w:i w:val="false"/>
          <w:iCs w:val="false"/>
          <w:sz w:val="22"/>
          <w:szCs w:val="22"/>
        </w:rPr>
        <w:t xml:space="preserve"> (das Urlaubs- und Feiertagsgesetz). Zuständige Behörde für Information und kostenlose Beratung ist </w:t>
      </w:r>
      <w:r>
        <w:rPr>
          <w:rFonts w:eastAsia="Cambria" w:cs="Cambria"/>
          <w:b w:val="false"/>
          <w:bCs w:val="false"/>
          <w:i/>
          <w:iCs/>
          <w:sz w:val="22"/>
          <w:szCs w:val="22"/>
        </w:rPr>
        <w:t>Employment New Zealand</w:t>
      </w:r>
      <w:r>
        <w:rPr>
          <w:rFonts w:eastAsia="Cambria" w:cs="Cambria"/>
          <w:b w:val="false"/>
          <w:bCs w:val="false"/>
          <w:i w:val="false"/>
          <w:iCs w:val="false"/>
          <w:sz w:val="22"/>
          <w:szCs w:val="22"/>
        </w:rPr>
        <w:t xml:space="preserve"> (der Arbeitsbereich des Ministeriums für Wirtschaft, Innovation und Beschäftigung, MBIE, employment.govt.nz).</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Zentraler Rechtsgrundsatz ist </w:t>
      </w:r>
      <w:r>
        <w:rPr>
          <w:rFonts w:eastAsia="Cambria" w:cs="Cambria"/>
          <w:b w:val="false"/>
          <w:bCs w:val="false"/>
          <w:i/>
          <w:iCs/>
          <w:sz w:val="22"/>
          <w:szCs w:val="22"/>
        </w:rPr>
        <w:t>good faith</w:t>
      </w:r>
      <w:r>
        <w:rPr>
          <w:rFonts w:eastAsia="Cambria" w:cs="Cambria"/>
          <w:b w:val="false"/>
          <w:bCs w:val="false"/>
          <w:i w:val="false"/>
          <w:iCs w:val="false"/>
          <w:sz w:val="22"/>
          <w:szCs w:val="22"/>
        </w:rPr>
        <w:t xml:space="preserve"> (Treu und Glauben): Arbeitgeber und Beschäftigte sind gesetzlich verpflichtet, offen, ehrlich und ohne Hintergedanken miteinander umzugehen – ein Prinzip, das zur informellen, beziehungsorientierten Art passt, mit der dir in neuseeländischen Büros begegnet wird. Ein Betriebsrat nach deutschem Muster existiert nicht; Gewerkschaften sind vor allem im öffentlichen Dienst, im Gesundheitswesen und in der Landwirtschaft präsent. Streitigkeiten landen zunächst bei den kostenlosen </w:t>
      </w:r>
      <w:r>
        <w:rPr>
          <w:rFonts w:eastAsia="Cambria" w:cs="Cambria"/>
          <w:b w:val="false"/>
          <w:bCs w:val="false"/>
          <w:i/>
          <w:iCs/>
          <w:sz w:val="22"/>
          <w:szCs w:val="22"/>
        </w:rPr>
        <w:t>Employment Mediation Services</w:t>
      </w:r>
      <w:r>
        <w:rPr>
          <w:rFonts w:eastAsia="Cambria" w:cs="Cambria"/>
          <w:b w:val="false"/>
          <w:bCs w:val="false"/>
          <w:i w:val="false"/>
          <w:iCs w:val="false"/>
          <w:sz w:val="22"/>
          <w:szCs w:val="22"/>
        </w:rPr>
        <w:t xml:space="preserve"> (der staatlichen Schlichtungsstelle), dann bei der </w:t>
      </w:r>
      <w:r>
        <w:rPr>
          <w:rFonts w:eastAsia="Cambria" w:cs="Cambria"/>
          <w:b w:val="false"/>
          <w:bCs w:val="false"/>
          <w:i/>
          <w:iCs/>
          <w:sz w:val="22"/>
          <w:szCs w:val="22"/>
        </w:rPr>
        <w:t>Employment Relations Authority</w:t>
      </w:r>
      <w:r>
        <w:rPr>
          <w:rFonts w:eastAsia="Cambria" w:cs="Cambria"/>
          <w:b w:val="false"/>
          <w:bCs w:val="false"/>
          <w:i w:val="false"/>
          <w:iCs w:val="false"/>
          <w:sz w:val="22"/>
          <w:szCs w:val="22"/>
        </w:rPr>
        <w:t xml:space="preserve"> (ERA, der arbeitsrechtlichen Untersuchungsbehörde) und erst in letzter Instanz vor dem </w:t>
      </w:r>
      <w:r>
        <w:rPr>
          <w:rFonts w:eastAsia="Cambria" w:cs="Cambria"/>
          <w:b w:val="false"/>
          <w:bCs w:val="false"/>
          <w:i/>
          <w:iCs/>
          <w:sz w:val="22"/>
          <w:szCs w:val="22"/>
        </w:rPr>
        <w:t>Employment Court</w:t>
      </w:r>
      <w:r>
        <w:rPr>
          <w:rFonts w:eastAsia="Cambria" w:cs="Cambria"/>
          <w:b w:val="false"/>
          <w:bCs w:val="false"/>
          <w:i w:val="false"/>
          <w:iCs w:val="false"/>
          <w:sz w:val="22"/>
          <w:szCs w:val="22"/>
        </w:rPr>
        <w:t xml:space="preserve"> (Arbeitsgericht).</w:t>
      </w:r>
    </w:p>
    <w:p>
      <w:pPr>
        <w:pStyle w:val="Heading3"/>
        <w:keepNext w:val="true"/>
        <w:spacing w:before="280" w:after="100"/>
        <w:jc w:val="center"/>
        <w:rPr/>
      </w:pPr>
      <w:r>
        <w:rPr>
          <w:rFonts w:eastAsia="Amazon Ember" w:cs="Amazon Ember" w:ascii="Amazon Ember" w:hAnsi="Amazon Ember"/>
          <w:b/>
          <w:bCs/>
          <w:color w:val="0000FF"/>
          <w:sz w:val="36"/>
          <w:szCs w:val="36"/>
        </w:rPr>
        <w:t>Urlaub, Feiertage und Krankheit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Holidays Act 2003 garantiert mindestens vier Wochen bezahlten Jahresurlaub (20 Arbeitstage bei einer Fünftagewoche). Der Anspruch entsteht mit dem ersten Arbeitstag, ausgezahlt und regulär genommen wird er aber normalerweise erst nach zwölf Monaten ununterbrochener Beschäftigung, sofern nicht Arbeitgeber und Beschäftigter einen früheren Bezug vereinbaren. Dazu kommen elf landesweite Feiertage – darunter Neujahr (zwei Tage), Waitangi Day (Nationalfeiertag zum Vertrag von Waitangi), Karfreitag, Ostermontag, Anzac Day, der König-Geburtstag, </w:t>
      </w:r>
      <w:r>
        <w:rPr>
          <w:rFonts w:eastAsia="Cambria" w:cs="Cambria"/>
          <w:b w:val="false"/>
          <w:bCs w:val="false"/>
          <w:i/>
          <w:iCs/>
          <w:sz w:val="22"/>
          <w:szCs w:val="22"/>
        </w:rPr>
        <w:t>Matariki</w:t>
      </w:r>
      <w:r>
        <w:rPr>
          <w:rFonts w:eastAsia="Cambria" w:cs="Cambria"/>
          <w:b w:val="false"/>
          <w:bCs w:val="false"/>
          <w:i w:val="false"/>
          <w:iCs w:val="false"/>
          <w:sz w:val="22"/>
          <w:szCs w:val="22"/>
        </w:rPr>
        <w:t xml:space="preserve"> (das Māori-Neujahrsfest, seit 2022 gesetzlicher Feiertag mit wechselndem Datum nach dem Mondkalender) sowie Weihnachten und der zweite Weihnachtsfeiertag. Hinzu kommt, ähnlich wie in einigen australischen Bundesstaaten, ein regionaler </w:t>
      </w:r>
      <w:r>
        <w:rPr>
          <w:rFonts w:eastAsia="Cambria" w:cs="Cambria"/>
          <w:b w:val="false"/>
          <w:bCs w:val="false"/>
          <w:i/>
          <w:iCs/>
          <w:sz w:val="22"/>
          <w:szCs w:val="22"/>
        </w:rPr>
        <w:t>Anniversary Day</w:t>
      </w:r>
      <w:r>
        <w:rPr>
          <w:rFonts w:eastAsia="Cambria" w:cs="Cambria"/>
          <w:b w:val="false"/>
          <w:bCs w:val="false"/>
          <w:i w:val="false"/>
          <w:iCs w:val="false"/>
          <w:sz w:val="22"/>
          <w:szCs w:val="22"/>
        </w:rPr>
        <w:t xml:space="preserve"> (Provinz-Gründungstag), dessen Datum von der Region abhängt – macht effektiv zwölf freie Tage im Jahr, ordentlich, aber kein Grund zur Übertreibung im Vergleich zu den 9 bis 13 Feiertagen deutscher Bundesländer.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Verbreiteter Irrtum: Wer aus Deutschland mindestens 20 gesetzliche Urlaubstage und meist 25 bis 30 tarifliche gewohnt ist, hält vier Wochen für ein mageres Angebot. Rechnerisch stimmt das, doch es ist das gesetzliche Minimum, keine übliche Norm – viele Arbeitgeber im IT- und Ingenieurbereich rund um Auckland und Christchurch bieten fünf Wochen an, um im engen Fachkräftemarkt zu bestehen. Frage danach, statt es als Deckelung hinzunehmen.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Bezahlter Krankheitsurlaub (</w:t>
      </w:r>
      <w:r>
        <w:rPr>
          <w:rFonts w:eastAsia="Cambria" w:cs="Cambria"/>
          <w:b w:val="false"/>
          <w:bCs w:val="false"/>
          <w:i/>
          <w:iCs/>
          <w:sz w:val="22"/>
          <w:szCs w:val="22"/>
        </w:rPr>
        <w:t>Sick Leave</w:t>
      </w:r>
      <w:r>
        <w:rPr>
          <w:rFonts w:eastAsia="Cambria" w:cs="Cambria"/>
          <w:b w:val="false"/>
          <w:bCs w:val="false"/>
          <w:i w:val="false"/>
          <w:iCs w:val="false"/>
          <w:sz w:val="22"/>
          <w:szCs w:val="22"/>
        </w:rPr>
        <w:t xml:space="preserve">) steht dir mit zehn Tagen pro Jahr zu, allerdings erst nach Abschluss der ersten sechs Beschäftigungsmonate; danach erneuert sich der Anspruch jeweils zu deinem persönlichen Jahrestag. Nicht genommene Krankheitstage verfallen nicht sofort, sondern sammeln sich bis zu einer gesetzlichen Obergrenze an. Bei einem Todesfall in der engeren Familie stehen drei Tage bezahlter </w:t>
      </w:r>
      <w:r>
        <w:rPr>
          <w:rFonts w:eastAsia="Cambria" w:cs="Cambria"/>
          <w:b w:val="false"/>
          <w:bCs w:val="false"/>
          <w:i/>
          <w:iCs/>
          <w:sz w:val="22"/>
          <w:szCs w:val="22"/>
        </w:rPr>
        <w:t>Bereavement Leave</w:t>
      </w:r>
      <w:r>
        <w:rPr>
          <w:rFonts w:eastAsia="Cambria" w:cs="Cambria"/>
          <w:b w:val="false"/>
          <w:bCs w:val="false"/>
          <w:i w:val="false"/>
          <w:iCs w:val="false"/>
          <w:sz w:val="22"/>
          <w:szCs w:val="22"/>
        </w:rPr>
        <w:t xml:space="preserve"> (Trauerurlaub) zu, bei entfernteren Beziehungen ein Tag, sofern der Arbeitgeber einen echten Bedarf anerkennt.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Verlasse dich nie auf mündliche Zusagen zu Urlaub, Krankheitstagen oder Feiertagsvergütung. Lass dir die genauen Ansprüche schriftlich im Arbeitsvertrag bestätigen – der Holidays Act ist detailreich und wird in der betrieblichen Praxis nicht immer korrekt angewendet, wie wiederkehrende Prüfberichte des MBIE zu Nachzahlungsfällen zeigen.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Kündigungsschutz: 90-Tage-Probezeit und Personal Grievance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Kündigungsschutzgesetz wie in Deutschland kennt Neuseeland nicht – aber auch kein grundloses Entlassen nach US-amerikanischem Vorbild. Der gesetzliche Maßstab (Section 103A des Employment Relations Act) lautet: Eine Kündigung ist nur dann rechtmäßig, wenn ein fairer und vernünftiger Arbeitgeber unter den gegebenen Umständen ebenso gehandelt hätte – ein Test aus Verfahren (wurde fair angehört, gab es eine echte Untersuchung?) und Substanz (gab es einen triftigen Grund?) zugleich. Fühlst du dich ungerecht behandelt, kannst du eine </w:t>
      </w:r>
      <w:r>
        <w:rPr>
          <w:rFonts w:eastAsia="Cambria" w:cs="Cambria"/>
          <w:b w:val="false"/>
          <w:bCs w:val="false"/>
          <w:i/>
          <w:iCs/>
          <w:sz w:val="22"/>
          <w:szCs w:val="22"/>
        </w:rPr>
        <w:t>Personal Grievance</w:t>
      </w:r>
      <w:r>
        <w:rPr>
          <w:rFonts w:eastAsia="Cambria" w:cs="Cambria"/>
          <w:b w:val="false"/>
          <w:bCs w:val="false"/>
          <w:i w:val="false"/>
          <w:iCs w:val="false"/>
          <w:sz w:val="22"/>
          <w:szCs w:val="22"/>
        </w:rPr>
        <w:t xml:space="preserve"> (arbeitsrechtliche Beschwerde) erheben, ohne eine Mindestbeschäftigungszeit erfüllen zu müssen – anders als in Australien, wo der Schutz erst nach sechs oder zwölf Monaten greift. Die Frist dafür ist jedoch kurz: 90 Tage ab der beanstandeten Handlung.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auffälligste neuseeländische Besonderheit ist die </w:t>
      </w:r>
      <w:r>
        <w:rPr>
          <w:rFonts w:eastAsia="Cambria" w:cs="Cambria"/>
          <w:b w:val="false"/>
          <w:bCs w:val="false"/>
          <w:i/>
          <w:iCs/>
          <w:sz w:val="22"/>
          <w:szCs w:val="22"/>
        </w:rPr>
        <w:t>90-Day Trial Period</w:t>
      </w:r>
      <w:r>
        <w:rPr>
          <w:rFonts w:eastAsia="Cambria" w:cs="Cambria"/>
          <w:b w:val="false"/>
          <w:bCs w:val="false"/>
          <w:i w:val="false"/>
          <w:iCs w:val="false"/>
          <w:sz w:val="22"/>
          <w:szCs w:val="22"/>
        </w:rPr>
        <w:t xml:space="preserve"> (90-Tage-Probezeit ohne Kündigungsschutz): Seit einer Gesetzesänderung, die am 23. Dezember 2023 in Kraft trat (Employment Relations (Trial Periods) Amendment Act 2023), darf jeder Arbeitgeber – unabhängig von der Betriebsgröße – mit neuen Beschäftigten eine bis zu 90 Tage lange Probezeit vereinbaren, in der eine Kündigung ohne Angabe von Gründen möglich ist und keine Personal Grievance wegen der Entlassung selbst erhoben werden kann. Zuvor war diese Möglichkeit von 2011 bis Ende 2023 auf Betriebe mit weniger als 20 Beschäftigten beschränkt. Wichtig für die Wirksamkeit: Die Probezeit-Klausel muss im schriftlichen Arbeitsvertrag stehen, und du musst ihn unterschrieben haben, bevor du deine erste Schicht antrittst – ein nachträglich unterschriebener Vertrag rettet die Klausel nicht mehr.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Prüfe deinen Arbeitsvertrag vor der Unterschrift genau darauf, ob eine 90-Tage-Probezeit vereinbart ist, und rechne in dieser Zeit nicht mit dem Beschwerdeweg, den du sonst hättest. Das gilt besonders, wenn dein AEWV an eben diese Stelle gebunden ist: Ein Jobverlust in der Probezeit trifft dich doppelt, arbeitsrechtlich und aufenthaltsrechtlich.</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Kündigungsfristen legt in Neuseeland, anders als in Australien oder Kanada, kein Bundesgesetz mit gestaffelten Wochenzahlen fest. Maßgeblich ist die Frist, die dein Arbeitsvertrag nennt; fehlt eine Regelung, gilt eine „angemessene Frist“ nach den Umständen des Einzelfalls (Common-Law-Grundsatz). Verbreiteter Irrtum, besonders bei Neuankömmlingen mit deutschem oder australischem Vergleichshorizont: Bei betriebsbedingter Kündigung (</w:t>
      </w:r>
      <w:r>
        <w:rPr>
          <w:rFonts w:eastAsia="Cambria" w:cs="Cambria"/>
          <w:b w:val="false"/>
          <w:bCs w:val="false"/>
          <w:i/>
          <w:iCs/>
          <w:sz w:val="22"/>
          <w:szCs w:val="22"/>
        </w:rPr>
        <w:t>Redundancy</w:t>
      </w:r>
      <w:r>
        <w:rPr>
          <w:rFonts w:eastAsia="Cambria" w:cs="Cambria"/>
          <w:b w:val="false"/>
          <w:bCs w:val="false"/>
          <w:i w:val="false"/>
          <w:iCs w:val="false"/>
          <w:sz w:val="22"/>
          <w:szCs w:val="22"/>
        </w:rPr>
        <w:t>) gebe es automatisch eine Abfindung wie einen Sozialplan. Tatsächlich schreibt das Gesetz keine Mindestabfindung vor – sie steht dir nur zu, wenn dein Arbeits- oder Tarifvertrag sie ausdrücklich vorsieht. Garantiert ist in jedem Fall nur die Auszahlung nicht genommenen Urlaubs sowie die vereinbarte Kündigungsfrist oder eine Abgeltung dafür.</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Dieser Abschnitt gibt eine Orientierung, keine Rechtsberatung. Ob eine Kündigung oder eine Probezeit-Klausel im Einzelfall wirksam ist, hängt vom genauen Vertragswortlaut und den Umständen ab. Lass Arbeitsverträge und insbesondere jede Kündigung von einer neuseeländischen Arbeitsrechtskanzlei oder kostenlos von Employment Mediation Services prüfen.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Employment New Zealand bietet unter employment.govt.nz kostenlose Musterverträge, einen Feiertagsrechner und eine telefonische Erstberatung (0800 20 90 20). Die Employment Mediation Services vermitteln bei Konflikten ebenfalls kostenlos, bevor es zu einem förmlichen ERA-Verfahren kommt.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Arbeitszeitkultur: entspannt, aber nicht beliebig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übliche Vollzeitwoche liegt bei rund 40 Stunden; ein gesetzlicher Anspruch auf Überstundenzuschläge existiert nicht automatisch, sondern richtet sich nach dem Arbeitsvertrag. Der Umgangston ist informell: Vornamen bis in die Chefetage, Krawatten nur noch in Anwaltskanzleien und Banken, und die vielbeschworene Gelassenheit („she’ll be right“, „no worries“, „sweet as“) ist weniger Faulheit als eine kulturelle Grundhaltung, die Konflikte lieber entschärft als eskaliert. Wer aus Deutschland direkte, unverblümte Kritik gewohnt ist, muss lernen, zwischen den Zeilen zu lesen: Ein zurückhaltendes „yeah, maybe“ bedeutet oft ein höfliches Nein, kein „vielleicht“.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Dass dein neuseeländischer Kollege pünktlich um fünf geht, ist kein Zeichen von Desinteresse. Wer aus Gewohnheit länger bleibt, weil es in Deutschland so gehört, wird eher gefragt, ob zu Hause alles in Ordnung ist, als dafür gelobt.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Work-Life-Balance wird ernst genommen, gerade außerhalb der Großstädte: Ein Nachmittag am Strand oder in den Bergen gilt als legitimer Grund, den Bürotag früher zu beenden, sofern die Arbeit erledigt ist. Das täuscht aber nicht darüber hinweg, dass Fachkräftemangel in vielen Berufen – von der Landwirtschaft bis zur IT – reale Mehrbelastung bedeuten kann; „entspannt“ heißt nicht „wenig zu tun“.</w:t>
      </w:r>
    </w:p>
    <w:p>
      <w:pPr>
        <w:pStyle w:val="Heading3"/>
        <w:keepNext w:val="true"/>
        <w:spacing w:before="280" w:after="100"/>
        <w:jc w:val="center"/>
        <w:rPr/>
      </w:pPr>
      <w:r>
        <w:rPr>
          <w:rFonts w:eastAsia="Amazon Ember" w:cs="Amazon Ember" w:ascii="Amazon Ember" w:hAnsi="Amazon Ember"/>
          <w:b/>
          <w:bCs/>
          <w:color w:val="0000FF"/>
          <w:sz w:val="36"/>
          <w:szCs w:val="36"/>
        </w:rPr>
        <w:t>Networking und Bewerbung in einem kleinen 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Mit rund 5,3 Millionen Einwohnern ist Neuseeland ein Land, in dem sich Branchen schnell als überschaubar erweisen: Wer in Christchurch oder Wellington in Ingenieurwesen, Landwirtschaft oder IT arbeitet, trifft früher oder später denselben Bekanntenkreis wieder, oft über zwei statt sechs Ecken. Das macht Networking wichtiger, als es die reine Stellenanzahl vermuten lässt – ein guter Ruf reist hier schneller, als einem manchmal lieb ist, und das gilt in beide Richtungen. Die wichtigsten Online-Jobbörsen sind Seek und TradeMe Jobs, ergänzt um LinkedIn, das inzwischen auch in Neuseeland Standard ist, wenn auch mit spürbar kleinerem Netzwerk als in Deutschland oder den USA.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Arbeitszeugnis wie in Deutschland gibt es nicht. Stattdessen nennst du am Ende eines Bewerbungsverfahrens zwei bis drei </w:t>
      </w:r>
      <w:r>
        <w:rPr>
          <w:rFonts w:eastAsia="Cambria" w:cs="Cambria"/>
          <w:b w:val="false"/>
          <w:bCs w:val="false"/>
          <w:i/>
          <w:iCs/>
          <w:sz w:val="22"/>
          <w:szCs w:val="22"/>
        </w:rPr>
        <w:t>Referees</w:t>
      </w:r>
      <w:r>
        <w:rPr>
          <w:rFonts w:eastAsia="Cambria" w:cs="Cambria"/>
          <w:b w:val="false"/>
          <w:bCs w:val="false"/>
          <w:i w:val="false"/>
          <w:iCs w:val="false"/>
          <w:sz w:val="22"/>
          <w:szCs w:val="22"/>
        </w:rPr>
        <w:t xml:space="preserve"> (Referenzpersonen, meist frühere Vorgesetzte), die der neue Arbeitgeber anruft – sag ihnen vorher Bescheid. Ein knappes, ergebnisorientiertes </w:t>
      </w:r>
      <w:r>
        <w:rPr>
          <w:rFonts w:eastAsia="Cambria" w:cs="Cambria"/>
          <w:b w:val="false"/>
          <w:bCs w:val="false"/>
          <w:i/>
          <w:iCs/>
          <w:sz w:val="22"/>
          <w:szCs w:val="22"/>
        </w:rPr>
        <w:t>Curriculum Vitae</w:t>
      </w:r>
      <w:r>
        <w:rPr>
          <w:rFonts w:eastAsia="Cambria" w:cs="Cambria"/>
          <w:b w:val="false"/>
          <w:bCs w:val="false"/>
          <w:i w:val="false"/>
          <w:iCs w:val="false"/>
          <w:sz w:val="22"/>
          <w:szCs w:val="22"/>
        </w:rPr>
        <w:t xml:space="preserve"> (CV, ohne Foto und Geburtsdatum) ist Standard; viele Stellen, besonders außerhalb der großen Jobportale, werden weiterhin über persönliche Empfehlung besetzt, bevor sie überhaupt öffentlich ausgeschrieben werden.</w:t>
      </w:r>
    </w:p>
    <w:p>
      <w:pPr>
        <w:pStyle w:val="Heading3"/>
        <w:keepNext w:val="true"/>
        <w:spacing w:before="280" w:after="100"/>
        <w:jc w:val="center"/>
        <w:rPr/>
      </w:pPr>
      <w:r>
        <w:rPr>
          <w:rFonts w:eastAsia="Amazon Ember" w:cs="Amazon Ember" w:ascii="Amazon Ember" w:hAnsi="Amazon Ember"/>
          <w:b/>
          <w:bCs/>
          <w:color w:val="0000FF"/>
          <w:sz w:val="36"/>
          <w:szCs w:val="36"/>
        </w:rPr>
        <w:t>Jobwechsel mit dem AEWV: was die Arbeitgeberbindung bedeutet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Wie frei du den Arbeitgeber wechseln kannst, hängt entscheidend vom Visumtyp ab. Wer wie Paul Lindner direkt mit der </w:t>
      </w:r>
      <w:r>
        <w:rPr>
          <w:rFonts w:eastAsia="Cambria" w:cs="Cambria"/>
          <w:b w:val="false"/>
          <w:bCs w:val="false"/>
          <w:i/>
          <w:iCs/>
          <w:sz w:val="22"/>
          <w:szCs w:val="22"/>
        </w:rPr>
        <w:t>Skilled Migrant Category Resident Visa</w:t>
      </w:r>
      <w:r>
        <w:rPr>
          <w:rFonts w:eastAsia="Cambria" w:cs="Cambria"/>
          <w:b w:val="false"/>
          <w:bCs w:val="false"/>
          <w:i w:val="false"/>
          <w:iCs w:val="false"/>
          <w:sz w:val="22"/>
          <w:szCs w:val="22"/>
        </w:rPr>
        <w:t xml:space="preserve"> (SMC, dem punktebasierten Daueraufenthaltsvisum für Fachkräfte, siehe das </w:t>
      </w:r>
      <w:hyperlink w:anchor="tnz03">
        <w:r>
          <w:rPr>
            <w:rStyle w:val="ListLabel113"/>
            <w:rFonts w:eastAsia="Cambria" w:cs="Cambria"/>
            <w:b w:val="false"/>
            <w:bCs w:val="false"/>
            <w:i w:val="false"/>
            <w:iCs w:val="false"/>
            <w:color w:val="0563C1"/>
            <w:sz w:val="22"/>
            <w:szCs w:val="22"/>
            <w:u w:val="single"/>
          </w:rPr>
          <w:t>Kapitel zum Arbeitsweg in diesem Teil</w:t>
        </w:r>
      </w:hyperlink>
      <w:r>
        <w:rPr>
          <w:rFonts w:eastAsia="Cambria" w:cs="Cambria"/>
          <w:b w:val="false"/>
          <w:bCs w:val="false"/>
          <w:i w:val="false"/>
          <w:iCs w:val="false"/>
          <w:sz w:val="22"/>
          <w:szCs w:val="22"/>
        </w:rPr>
        <w:t xml:space="preserve">) eingereist ist, besitzt ein Daueraufenthaltsvisum ganz ohne Arbeitgeberbindung und kann den Job so oft wechseln wie ein neuseeländischer Staatsbürger. Das Gleiche gilt für Green-List-Tier-1-Berufe, bei denen der direkte Weg zum Daueraufenthalt führt (siehe das </w:t>
      </w:r>
      <w:hyperlink w:anchor="tnz03">
        <w:r>
          <w:rPr>
            <w:rStyle w:val="ListLabel113"/>
            <w:rFonts w:eastAsia="Cambria" w:cs="Cambria"/>
            <w:b w:val="false"/>
            <w:bCs w:val="false"/>
            <w:i w:val="false"/>
            <w:iCs w:val="false"/>
            <w:color w:val="0563C1"/>
            <w:sz w:val="22"/>
            <w:szCs w:val="22"/>
            <w:u w:val="single"/>
          </w:rPr>
          <w:t>Kapitel zum Arbeitsweg in diesem Teil</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Anders bei Familie Krüger: Das </w:t>
      </w:r>
      <w:r>
        <w:rPr>
          <w:rFonts w:eastAsia="Cambria" w:cs="Cambria"/>
          <w:b w:val="false"/>
          <w:bCs w:val="false"/>
          <w:i/>
          <w:iCs/>
          <w:sz w:val="22"/>
          <w:szCs w:val="22"/>
        </w:rPr>
        <w:t>Accredited Employer Work Visa</w:t>
      </w:r>
      <w:r>
        <w:rPr>
          <w:rFonts w:eastAsia="Cambria" w:cs="Cambria"/>
          <w:b w:val="false"/>
          <w:bCs w:val="false"/>
          <w:i w:val="false"/>
          <w:iCs w:val="false"/>
          <w:sz w:val="22"/>
          <w:szCs w:val="22"/>
        </w:rPr>
        <w:t xml:space="preserve"> (AEWV, das arbeitgebergebundene Fachkräfte-Arbeitsvisum) ist an drei feste Punkte gekoppelt – einen konkreten Arbeitgeber, eine konkrete Tätigkeit und die dazugehörige Genehmigung (den sogenannten </w:t>
      </w:r>
      <w:r>
        <w:rPr>
          <w:rFonts w:eastAsia="Cambria" w:cs="Cambria"/>
          <w:b w:val="false"/>
          <w:bCs w:val="false"/>
          <w:i/>
          <w:iCs/>
          <w:sz w:val="22"/>
          <w:szCs w:val="22"/>
        </w:rPr>
        <w:t>Job Check</w:t>
      </w:r>
      <w:r>
        <w:rPr>
          <w:rFonts w:eastAsia="Cambria" w:cs="Cambria"/>
          <w:b w:val="false"/>
          <w:bCs w:val="false"/>
          <w:i w:val="false"/>
          <w:iCs w:val="false"/>
          <w:sz w:val="22"/>
          <w:szCs w:val="22"/>
        </w:rPr>
        <w:t xml:space="preserve">, die behördliche Prüfung der einzelnen Stelle). Ändert sich einer dieser Punkte, reicht die bestehende Erlaubnis nicht mehr. Willst du den Arbeitgeber wechseln, braucht der neue Betrieb zunächst selbst die </w:t>
      </w:r>
      <w:r>
        <w:rPr>
          <w:rFonts w:eastAsia="Cambria" w:cs="Cambria"/>
          <w:b w:val="false"/>
          <w:bCs w:val="false"/>
          <w:i/>
          <w:iCs/>
          <w:sz w:val="22"/>
          <w:szCs w:val="22"/>
        </w:rPr>
        <w:t>Employer Accreditation</w:t>
      </w:r>
      <w:r>
        <w:rPr>
          <w:rFonts w:eastAsia="Cambria" w:cs="Cambria"/>
          <w:b w:val="false"/>
          <w:bCs w:val="false"/>
          <w:i w:val="false"/>
          <w:iCs w:val="false"/>
          <w:sz w:val="22"/>
          <w:szCs w:val="22"/>
        </w:rPr>
        <w:t xml:space="preserve"> (die Arbeitgeberakkreditierung von Immigration New Zealand) – ist er noch nicht akkreditiert, muss er das erst beantragen, bevor überhaupt etwas anderes möglich ist. Danach muss er für die konkrete Stelle einen eigenen Job Check bestehen. Erst wenn diese Genehmigung vorliegt, beantragst du selbst eine </w:t>
      </w:r>
      <w:r>
        <w:rPr>
          <w:rFonts w:eastAsia="Cambria" w:cs="Cambria"/>
          <w:b w:val="false"/>
          <w:bCs w:val="false"/>
          <w:i/>
          <w:iCs/>
          <w:sz w:val="22"/>
          <w:szCs w:val="22"/>
        </w:rPr>
        <w:t>Variation of Conditions</w:t>
      </w:r>
      <w:r>
        <w:rPr>
          <w:rFonts w:eastAsia="Cambria" w:cs="Cambria"/>
          <w:b w:val="false"/>
          <w:bCs w:val="false"/>
          <w:i w:val="false"/>
          <w:iCs w:val="false"/>
          <w:sz w:val="22"/>
          <w:szCs w:val="22"/>
        </w:rPr>
        <w:t xml:space="preserve"> (VOC, die Änderung der Visumsbedingungen für einen bestehenden AEWV) oder, je nach Konstellation, ein komplett neues AEWV. Wichtig: Dein neuer Arbeitsvertrag muss zudem die inhaltlichen Anforderungen erfüllen, die Immigration New Zealand an Arbeitsverträge stellt (u. a. Mindestlohnsatz, Wochenstunden) – ein formal unvollständiger Vertrag kann den Antrag verzögern oder scheitern lassen.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Kündige beim bisherigen Arbeitgeber nie, bevor die Variation of Conditions oder das neue AEWV tatsächlich genehmigt ist, und arbeite nie schon „auf Zuruf“ für den neuen Arbeitgeber, solange die Genehmigung noch aussteht. Wer ohne gültige Erlaubnis für den neuen Arbeitgeber tätig wird, verstößt gegen seine Visumsbedingungen – mit Risiko für Visum und künftige Anträge.</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Verlierst du deine Stelle beim AEWV-Sponsor unerwartet – etwa durch eine betriebsbedingte Kündigung oder, wie im Abschnitt zur Probezeit beschrieben, während der ersten 90 Tage –, bleibt dir keine gesetzlich garantierte Frist wie bei einigen australischen Visa, um in Ruhe einen neuen Sponsor zu suchen: Dein AEWV erlischt mit dem Ende der Beschäftigung, für die es ausgestellt wurde, und du musst zügig eine neue akkreditierte Stelle mit genehmigtem Job Check finden und einen neuen Antrag stellen, um deinen Aufenthalt fortzusetzen. Das ist ein Punkt, den viele Neuankömmlinge unterschätzen, solange der eigene Job sicher wirkt.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Sebastian Krüger (fiktives Beispiel) arbeitet seit zwei Jahren mit seinem AEWV als Agraringenieur bei einem Molkereibetrieb nahe Christchurch, als ihm ein größeres Unternehmen ein deutlich besseres Angebot macht. Aus Gewohnheit will er kündigen, sobald der neue Vertrag unterschrieben ist – bis ihm eine neuseeländische Kollegin erklärt, dass das riskant wäre. Der neue Arbeitgeber ist zwar bereits akkreditiert, muss aber trotzdem für Sebastians konkrete Stelle einen eigenen Job Check bestehen. Das dauert einige Wochen; erst danach reicht Sebastian seine Variation of Conditions ein und wartet auf die Genehmigung. Petra Krüger, seine Frau, fragt ihn jeden Abend, ob es schon so weit sei – „she’ll be right“, sagt Sebastian inzwischen selbst, nicht ganz ohne Ironie. Erst als die Bestätigung in seinem Konto erscheint, kündigt er beim alten Arbeitgeber und beginnt beim neuen.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Paul Lindner (fiktives Beispiel) wechselt in seinem zweiten Jahr in Auckland als IT-Berater den Arbeitgeber, ohne Immigration New Zealand auch nur zu informieren – seine SMC-Resident-Visa macht das überflüssig. Was ihm dagegen zu schaffen macht, ist die Kleinheit der Branche: Sein neuer Arbeitgeber kennt seinen alten Chef aus einem gemeinsamen Branchenverband, und beim ersten Teammeeting wird beiläufig erwähnt, man habe sich „ohnehin schon gefragt, wann Paul wechselt“. In Frankfurt hätte niemand davon erfahren; in Auckland, lernt Paul, ist der professionelle Ruf ungefähr so öffentlich wie das Wetter.</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Gehalt und Verhandlung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Stellenanzeigen nennen meist ein Jahresgehalt oder einen Stundensatz; eine Neuseeland-spezifische Zusatzleistung wie Australiens Superannuation-Pflichtbeitrag gibt es nicht in dieser Form – die freiwillige </w:t>
      </w:r>
      <w:r>
        <w:rPr>
          <w:rFonts w:eastAsia="Cambria" w:cs="Cambria"/>
          <w:b w:val="false"/>
          <w:bCs w:val="false"/>
          <w:i/>
          <w:iCs/>
          <w:sz w:val="22"/>
          <w:szCs w:val="22"/>
        </w:rPr>
        <w:t>KiwiSaver</w:t>
      </w:r>
      <w:r>
        <w:rPr>
          <w:rFonts w:eastAsia="Cambria" w:cs="Cambria"/>
          <w:b w:val="false"/>
          <w:bCs w:val="false"/>
          <w:i w:val="false"/>
          <w:iCs w:val="false"/>
          <w:sz w:val="22"/>
          <w:szCs w:val="22"/>
        </w:rPr>
        <w:t xml:space="preserve">-Altersvorsorge (das staatlich geförderte Sparprogramm) wird meist erst im Gesamtpaket sichtbar, nicht immer schon in der Anzeige. Der neuseeländische Mindestlohn liegt seit dem 1. April 2026 bei 23,95 NZD pro Stunde; die meisten Fach- und Ingenieurstellen liegen deutlich darüber, orientiert am Markt und, bei AEWV-Stellen, zusätzlich an den Lohnschwellen der Einwanderungsbehörde (mehr dazu im </w:t>
      </w:r>
      <w:hyperlink w:anchor="tnz03">
        <w:r>
          <w:rPr>
            <w:rStyle w:val="ListLabel113"/>
            <w:rFonts w:eastAsia="Cambria" w:cs="Cambria"/>
            <w:b w:val="false"/>
            <w:bCs w:val="false"/>
            <w:i w:val="false"/>
            <w:iCs w:val="false"/>
            <w:color w:val="0563C1"/>
            <w:sz w:val="22"/>
            <w:szCs w:val="22"/>
            <w:u w:val="single"/>
          </w:rPr>
          <w:t>Kapitel zum Arbeitsweg in diesem Teil</w:t>
        </w:r>
      </w:hyperlink>
      <w:r>
        <w:rPr>
          <w:rFonts w:eastAsia="Cambria" w:cs="Cambria"/>
          <w:b w:val="false"/>
          <w:bCs w:val="false"/>
          <w:i w:val="false"/>
          <w:iCs w:val="false"/>
          <w:sz w:val="22"/>
          <w:szCs w:val="22"/>
        </w:rPr>
        <w:t>). Gehaltsverhandlungen sind erwartet, laufen aber typisch neuseeländisch verhalten ab – frage aktiv nach der Spanne, statt eine Zahl vorzuschlagen, und sprich Zusatzleistungen wie KiwiSaver-Aufstockung oder Homeoffice-Tage ruhig an, wenn beim Grundgehalt wenig Spielraum bleibt.</w:t>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einziges, landesweit einheitliches Arbeitsrecht ohne föderale Verwirrung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Vier Wochen Urlaub sind das gesetzliche Minimum, kein branchenüblicher Standard darüber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Personal-Grievance-Schutz gilt ab dem ersten Tag, ohne Wartezeit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Seit Ende 2023 kann jeder Arbeitgeber eine 90-Tage-Probezeit ohne Kündigungsschutz nutzen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Informelle, konfliktarme Arbeitskultur mit echter Work-Life-Balance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gesetzliche Abfindungspflicht bei betriebsbedingter Kündigung</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SMC- und Green-List-Tier-1-Visa machen von Anfang an frei von jeder Arbeitgeberbindung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Beim AEWV bindet dich das Visum an einen einzelnen Arbeitgeber und eine einzelne Stelle</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Kostenlose, gut erreichbare Beratung über Employment New Zealand</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Arbeitgeberwechsel beim AEWV braucht Zeit: Akkreditierung und Job Check zuerst</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Kleines Land, enge Branchennetzwerke erleichtern die Jobsuche über Empfehlungen</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Derselbe kleine Kreis macht einen schlechten Ruf ebenso schnell bekannt wie einen guten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Lies deinen Arbeitsvertrag genau, bevor du unterschreibst, und kläre insbesondere, ob eine 90-Tage-Probezeit vereinbart ist. Bist du auf einem AEWV, plane jeden Arbeitgeberwechsel als Verwaltungsvorgang mit mehreren Wochen Vorlauf, nicht als spontane Entscheidung: Akkreditierung und Job Check des neuen Arbeitgebers zuerst, eigene Genehmigung danach, Kündigung beim alten Arbeitgeber erst zum Schluss.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Arbeitsvertrag auf Probezeit-Klausel, Kündigungsfrist und Urlaubsregelung geprüft, bevor unterschrieben wird.</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Geklärt, ob und wann die 90-Tage-Trial-Period für die eigene Stelle gilt.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Eigenen Visumstyp gekannt: arbeitgebergebunden (AEWV) oder frei (SMC-Resident-Visa, Green-List-Tier-1).</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geplantem Arbeitgeberwechsel: Akkreditierungsstatus des neuen Arbeitgebers und Bearbeitungszeit für den Job Check realistisch eingeplant.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Erst gekündigt, wenn die Variation of Conditions oder das neue AEWV tatsächlich genehmigt ist.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Zwei bis drei Referees vorbereitet und um Erlaubnis gefragt, bevor sie angegeben werden.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CV und LinkedIn-Profil auf neuseeländisches Format gebracht (kein Foto, kein Geburtsdatum).</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Unsicherheiten kostenlos bei Employment New Zealand oder den Employment Mediation Services nachgefragt.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Employment New Zealand (MBIE) – Employment Relations Act, Holidays Act, Musterverträge, Beratung: </w:t>
      </w:r>
      <w:hyperlink r:id="rId731">
        <w:r>
          <w:rPr>
            <w:rStyle w:val="ListLabel113"/>
            <w:rFonts w:eastAsia="Cambria" w:cs="Cambria"/>
            <w:b w:val="false"/>
            <w:bCs w:val="false"/>
            <w:i w:val="false"/>
            <w:iCs w:val="false"/>
            <w:color w:val="0563C1"/>
            <w:sz w:val="22"/>
            <w:szCs w:val="22"/>
            <w:u w:val="single"/>
          </w:rPr>
          <w:t>employment.govt.nz</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Employment New Zealand – 90-Day Trial Periods: </w:t>
      </w:r>
      <w:hyperlink r:id="rId732">
        <w:r>
          <w:rPr>
            <w:rStyle w:val="ListLabel113"/>
            <w:rFonts w:eastAsia="Cambria" w:cs="Cambria"/>
            <w:b w:val="false"/>
            <w:bCs w:val="false"/>
            <w:i w:val="false"/>
            <w:iCs w:val="false"/>
            <w:color w:val="0563C1"/>
            <w:sz w:val="22"/>
            <w:szCs w:val="22"/>
            <w:u w:val="single"/>
          </w:rPr>
          <w:t>employment.govt.nz/starting-employment/trial-periods</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Employment Relations Authority – Verfahren bei Personal Grievance: </w:t>
      </w:r>
      <w:hyperlink r:id="rId733">
        <w:r>
          <w:rPr>
            <w:rStyle w:val="ListLabel113"/>
            <w:rFonts w:eastAsia="Cambria" w:cs="Cambria"/>
            <w:b w:val="false"/>
            <w:bCs w:val="false"/>
            <w:i w:val="false"/>
            <w:iCs w:val="false"/>
            <w:color w:val="0563C1"/>
            <w:sz w:val="22"/>
            <w:szCs w:val="22"/>
            <w:u w:val="single"/>
          </w:rPr>
          <w:t>era.govt.nz</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Immigration New Zealand – Accredited Employer Work Visa, Job Check, Variation of Conditions: </w:t>
      </w:r>
      <w:hyperlink r:id="rId734">
        <w:r>
          <w:rPr>
            <w:rStyle w:val="ListLabel113"/>
            <w:rFonts w:eastAsia="Cambria" w:cs="Cambria"/>
            <w:b w:val="false"/>
            <w:bCs w:val="false"/>
            <w:i w:val="false"/>
            <w:iCs w:val="false"/>
            <w:color w:val="0563C1"/>
            <w:sz w:val="22"/>
            <w:szCs w:val="22"/>
            <w:u w:val="single"/>
          </w:rPr>
          <w:t>immigration.govt.nz/visas/accredited-employer-work-visa</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New Zealand Legislation – Employment Relations (Trial Periods) Amendment Act 2023: </w:t>
      </w:r>
      <w:hyperlink r:id="rId735">
        <w:r>
          <w:rPr>
            <w:rStyle w:val="ListLabel113"/>
            <w:rFonts w:eastAsia="Cambria" w:cs="Cambria"/>
            <w:b w:val="false"/>
            <w:bCs w:val="false"/>
            <w:i w:val="false"/>
            <w:iCs w:val="false"/>
            <w:color w:val="0563C1"/>
            <w:sz w:val="22"/>
            <w:szCs w:val="22"/>
            <w:u w:val="single"/>
          </w:rPr>
          <w:t>legislation.govt.nz</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Seek New Zealand / TradeMe Jobs – Stellenbörsen: </w:t>
      </w:r>
      <w:hyperlink r:id="rId736">
        <w:r>
          <w:rPr>
            <w:rStyle w:val="ListLabel113"/>
            <w:rFonts w:eastAsia="Cambria" w:cs="Cambria"/>
            <w:b w:val="false"/>
            <w:bCs w:val="false"/>
            <w:i w:val="false"/>
            <w:iCs w:val="false"/>
            <w:color w:val="0563C1"/>
            <w:sz w:val="22"/>
            <w:szCs w:val="22"/>
            <w:u w:val="single"/>
          </w:rPr>
          <w:t>seek.co.nz</w:t>
        </w:r>
      </w:hyperlink>
      <w:r>
        <w:rPr>
          <w:rFonts w:eastAsia="Cambria" w:cs="Cambria"/>
          <w:b w:val="false"/>
          <w:bCs w:val="false"/>
          <w:i w:val="false"/>
          <w:iCs w:val="false"/>
          <w:sz w:val="22"/>
          <w:szCs w:val="22"/>
        </w:rPr>
        <w:t xml:space="preserve">, </w:t>
      </w:r>
      <w:hyperlink r:id="rId737">
        <w:r>
          <w:rPr>
            <w:rStyle w:val="ListLabel113"/>
            <w:rFonts w:eastAsia="Cambria" w:cs="Cambria"/>
            <w:b w:val="false"/>
            <w:bCs w:val="false"/>
            <w:i w:val="false"/>
            <w:iCs w:val="false"/>
            <w:color w:val="0563C1"/>
            <w:sz w:val="22"/>
            <w:szCs w:val="22"/>
            <w:u w:val="single"/>
          </w:rPr>
          <w:t>trademe.co.nz/jobs</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schnell: der Mindestlohn wird jeweils zum 1. April angepasst, AEWV-Lohnschwellen und Bearbeitungszeiten laufend, und die Details der 90-Tage-Probezeit werden seit ihrer Ausweitung Ende 2023 weiterhin durch Gerichtsentscheidungen geschärft. Prüfe vor jeder Entscheidung employment.govt.nz und immigration.govt.nz.</w:t>
            </w:r>
          </w:p>
        </w:tc>
      </w:tr>
    </w:tbl>
    <w:p>
      <w:pPr>
        <w:pStyle w:val="Normal"/>
        <w:spacing w:lineRule="exact" w:line="220" w:before="0" w:after="0"/>
        <w:rPr/>
      </w:pPr>
      <w:r>
        <w:rPr/>
      </w:r>
      <w:r>
        <w:br w:type="page"/>
      </w:r>
    </w:p>
    <w:p>
      <w:pPr>
        <w:pStyle w:val="Heading2"/>
        <w:keepNext w:val="true"/>
        <w:spacing w:before="0" w:after="300"/>
        <w:jc w:val="center"/>
        <w:rPr/>
      </w:pPr>
      <w:bookmarkStart w:id="198" w:name="__RefHeading___Toc56629_3769931028"/>
      <w:bookmarkStart w:id="199" w:name="tnz15"/>
      <w:bookmarkEnd w:id="198"/>
      <w:r>
        <w:rPr>
          <w:rFonts w:eastAsia="Amazon Ember" w:cs="Amazon Ember" w:ascii="Amazon Ember" w:hAnsi="Amazon Ember"/>
          <w:b/>
          <w:bCs/>
          <w:color w:val="0000FF"/>
          <w:sz w:val="36"/>
          <w:szCs w:val="36"/>
        </w:rPr>
        <w:t>Neuseeland: Recht, Sicherheit und Polizeikontakt</w:t>
      </w:r>
      <w:bookmarkEnd w:id="199"/>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Auf der Fahrt zur Arbeit wird Paul Lindner in Auckland zum ersten Mal an einem Kontrollpunkt herausgewunken. Er fährt rechts ran, die Hände fest am Lenkrad, und wartet auf das, was er aus Frankfurt kennt: einen Beamten mit Dienstwaffe am Gürtel. Stattdessen tritt eine Polizistin ohne sichtbare Waffe ans Fenster, pustet ihn kurz mit einem kleinen Gerät an und wünscht ihm „have a good one“, bevor er überhaupt begriffen hat, dass die Kontrolle schon vorbei ist. Es dauert ein paar Wochen, bis Paul begreift, dass die unbewaffnete Polizei in Neuseeland kein Zufall und keine Nachlässigkeit ist, sondern eine bewusste, immer wieder verteidigte Entscheidung – so unspektakulär vorgetragen, dass man sie leicht für Selbstverständlichkeit hält.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Die neuseeländische Polizei patrouilliert im Regelbetrieb unbewaffnet – eine bewusste, öffentlich immer wieder bestätigte Entscheidung, keine Ausnahme.</w:t>
            </w:r>
          </w:p>
          <w:p>
            <w:pPr>
              <w:pStyle w:val="ListParagraph"/>
              <w:numPr>
                <w:ilvl w:val="0"/>
                <w:numId w:val="1"/>
              </w:numPr>
              <w:spacing w:lineRule="exact" w:line="264" w:before="0" w:after="50"/>
              <w:rPr/>
            </w:pPr>
            <w:r>
              <w:rPr>
                <w:rFonts w:eastAsia="Cambria" w:cs="Cambria"/>
                <w:b w:val="false"/>
                <w:bCs w:val="false"/>
                <w:i w:val="false"/>
                <w:iCs w:val="false"/>
                <w:sz w:val="20"/>
                <w:szCs w:val="20"/>
              </w:rPr>
              <w:t>Verdachtsunabhängige Alkoholkontrollen im Straßenverkehr sind seit Langem Alltag; seit dem landesweiten Rollout zum 1. Juli 2026 kommen ebenso verdachtsunabhängige Drogen-Speicheltests hinzu.</w:t>
            </w:r>
          </w:p>
          <w:p>
            <w:pPr>
              <w:pStyle w:val="ListParagraph"/>
              <w:numPr>
                <w:ilvl w:val="0"/>
                <w:numId w:val="1"/>
              </w:numPr>
              <w:spacing w:lineRule="exact" w:line="264" w:before="0" w:after="50"/>
              <w:rPr/>
            </w:pPr>
            <w:r>
              <w:rPr>
                <w:rFonts w:eastAsia="Cambria" w:cs="Cambria"/>
                <w:b w:val="false"/>
                <w:bCs w:val="false"/>
                <w:i w:val="false"/>
                <w:iCs w:val="false"/>
                <w:sz w:val="20"/>
                <w:szCs w:val="20"/>
              </w:rPr>
              <w:t>Waffenrecht wurde nach dem Anschlag auf zwei Moscheen in Christchurch 2019 deutlich verschärft und zum 23. September 2026 mit dem neuen Arms Act 2026 und einer eigenständigen Aufsichtsbehörde erneut umgebaut.</w:t>
            </w:r>
          </w:p>
          <w:p>
            <w:pPr>
              <w:pStyle w:val="ListParagraph"/>
              <w:numPr>
                <w:ilvl w:val="0"/>
                <w:numId w:val="1"/>
              </w:numPr>
              <w:spacing w:lineRule="exact" w:line="264" w:before="0" w:after="50"/>
              <w:rPr/>
            </w:pPr>
            <w:r>
              <w:rPr>
                <w:rFonts w:eastAsia="Cambria" w:cs="Cambria"/>
                <w:b w:val="false"/>
                <w:bCs w:val="false"/>
                <w:i w:val="false"/>
                <w:iCs w:val="false"/>
                <w:sz w:val="20"/>
                <w:szCs w:val="20"/>
              </w:rPr>
              <w:t>Cannabis bleibt trotz eines knapp gescheiterten Referendums 2020 im ganzen Land illegal – anders als in Teilen Australiens gibt es keinen regionalen Sonderfall.</w:t>
            </w:r>
          </w:p>
          <w:p>
            <w:pPr>
              <w:pStyle w:val="ListParagraph"/>
              <w:numPr>
                <w:ilvl w:val="0"/>
                <w:numId w:val="1"/>
              </w:numPr>
              <w:spacing w:lineRule="exact" w:line="264" w:before="0" w:after="50"/>
              <w:rPr/>
            </w:pPr>
            <w:r>
              <w:rPr>
                <w:rFonts w:eastAsia="Cambria" w:cs="Cambria"/>
                <w:b w:val="false"/>
                <w:bCs w:val="false"/>
                <w:i w:val="false"/>
                <w:iCs w:val="false"/>
                <w:sz w:val="20"/>
                <w:szCs w:val="20"/>
              </w:rPr>
              <w:t>Erdbeben sind eine reale, wiederkehrende Gefahr: Die staatliche Grundversicherung Toka Tū Ake/EQC deckt die ersten 300.000 NZD Gebäudeschaden, ersetzt aber keine private Police.</w:t>
            </w:r>
          </w:p>
          <w:p>
            <w:pPr>
              <w:pStyle w:val="ListParagraph"/>
              <w:numPr>
                <w:ilvl w:val="0"/>
                <w:numId w:val="1"/>
              </w:numPr>
              <w:spacing w:lineRule="exact" w:line="264" w:before="0" w:after="50"/>
              <w:rPr/>
            </w:pPr>
            <w:r>
              <w:rPr>
                <w:rFonts w:eastAsia="Cambria" w:cs="Cambria"/>
                <w:b w:val="false"/>
                <w:bCs w:val="false"/>
                <w:i w:val="false"/>
                <w:iCs w:val="false"/>
                <w:sz w:val="20"/>
                <w:szCs w:val="20"/>
              </w:rPr>
              <w:t>Neuseeland liegt auf einer aktiven Vulkanzone – von Auckland bis zum Tongariro-Nationalpark wird das Risiko laufend über GeoNet überwacht.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Das Rechtssystem und die Polizei in Kürze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Neuseeland folgt wie Großbritannien dem </w:t>
      </w:r>
      <w:r>
        <w:rPr>
          <w:rFonts w:eastAsia="Cambria" w:cs="Cambria"/>
          <w:b w:val="false"/>
          <w:bCs w:val="false"/>
          <w:i/>
          <w:iCs/>
          <w:sz w:val="22"/>
          <w:szCs w:val="22"/>
        </w:rPr>
        <w:t>Common Law</w:t>
      </w:r>
      <w:r>
        <w:rPr>
          <w:rFonts w:eastAsia="Cambria" w:cs="Cambria"/>
          <w:b w:val="false"/>
          <w:bCs w:val="false"/>
          <w:i w:val="false"/>
          <w:iCs w:val="false"/>
          <w:sz w:val="22"/>
          <w:szCs w:val="22"/>
        </w:rPr>
        <w:t xml:space="preserve"> (Fallrecht, das stark auf Präzedenzfällen und Richterrecht aufbaut). Anders als in den Länderkapiteln zu den USA, Kanada und Australien in diesem Buch musst du dir hier keine 50 oder mehr Rechtsordnungen merken: Neuseeland hat kein föderales System, sondern ein einziges, landesweit einheitliches Straf-, Polizei- und Verkehrsrecht. Zivil- und Strafsachen durchlaufen das </w:t>
      </w:r>
      <w:r>
        <w:rPr>
          <w:rFonts w:eastAsia="Cambria" w:cs="Cambria"/>
          <w:b w:val="false"/>
          <w:bCs w:val="false"/>
          <w:i/>
          <w:iCs/>
          <w:sz w:val="22"/>
          <w:szCs w:val="22"/>
        </w:rPr>
        <w:t>District Court</w:t>
      </w:r>
      <w:r>
        <w:rPr>
          <w:rFonts w:eastAsia="Cambria" w:cs="Cambria"/>
          <w:b w:val="false"/>
          <w:bCs w:val="false"/>
          <w:i w:val="false"/>
          <w:iCs w:val="false"/>
          <w:sz w:val="22"/>
          <w:szCs w:val="22"/>
        </w:rPr>
        <w:t xml:space="preserve"> (Amts- und Landgericht in einem), bei schwereren Fällen das </w:t>
      </w:r>
      <w:r>
        <w:rPr>
          <w:rFonts w:eastAsia="Cambria" w:cs="Cambria"/>
          <w:b w:val="false"/>
          <w:bCs w:val="false"/>
          <w:i/>
          <w:iCs/>
          <w:sz w:val="22"/>
          <w:szCs w:val="22"/>
        </w:rPr>
        <w:t>High Court</w:t>
      </w:r>
      <w:r>
        <w:rPr>
          <w:rFonts w:eastAsia="Cambria" w:cs="Cambria"/>
          <w:b w:val="false"/>
          <w:bCs w:val="false"/>
          <w:i w:val="false"/>
          <w:iCs w:val="false"/>
          <w:sz w:val="22"/>
          <w:szCs w:val="22"/>
        </w:rPr>
        <w:t xml:space="preserve">, in der Berufung das </w:t>
      </w:r>
      <w:r>
        <w:rPr>
          <w:rFonts w:eastAsia="Cambria" w:cs="Cambria"/>
          <w:b w:val="false"/>
          <w:bCs w:val="false"/>
          <w:i/>
          <w:iCs/>
          <w:sz w:val="22"/>
          <w:szCs w:val="22"/>
        </w:rPr>
        <w:t>Court of Appeal</w:t>
      </w:r>
      <w:r>
        <w:rPr>
          <w:rFonts w:eastAsia="Cambria" w:cs="Cambria"/>
          <w:b w:val="false"/>
          <w:bCs w:val="false"/>
          <w:i w:val="false"/>
          <w:iCs w:val="false"/>
          <w:sz w:val="22"/>
          <w:szCs w:val="22"/>
        </w:rPr>
        <w:t xml:space="preserve"> und zuletzt das </w:t>
      </w:r>
      <w:r>
        <w:rPr>
          <w:rFonts w:eastAsia="Cambria" w:cs="Cambria"/>
          <w:b w:val="false"/>
          <w:bCs w:val="false"/>
          <w:i/>
          <w:iCs/>
          <w:sz w:val="22"/>
          <w:szCs w:val="22"/>
        </w:rPr>
        <w:t>Supreme Court</w:t>
      </w:r>
      <w:r>
        <w:rPr>
          <w:rFonts w:eastAsia="Cambria" w:cs="Cambria"/>
          <w:b w:val="false"/>
          <w:bCs w:val="false"/>
          <w:i w:val="false"/>
          <w:iCs w:val="false"/>
          <w:sz w:val="22"/>
          <w:szCs w:val="22"/>
        </w:rPr>
        <w:t xml:space="preserve"> (den obersten Gerichtshof) – der erst seit dem 1. Januar 2004 die letzte Instanz bildet. Davor musste ein letztes Rechtsmittel formell beim </w:t>
      </w:r>
      <w:r>
        <w:rPr>
          <w:rFonts w:eastAsia="Cambria" w:cs="Cambria"/>
          <w:b w:val="false"/>
          <w:bCs w:val="false"/>
          <w:i/>
          <w:iCs/>
          <w:sz w:val="22"/>
          <w:szCs w:val="22"/>
        </w:rPr>
        <w:t>Privy Council</w:t>
      </w:r>
      <w:r>
        <w:rPr>
          <w:rFonts w:eastAsia="Cambria" w:cs="Cambria"/>
          <w:b w:val="false"/>
          <w:bCs w:val="false"/>
          <w:i w:val="false"/>
          <w:iCs w:val="false"/>
          <w:sz w:val="22"/>
          <w:szCs w:val="22"/>
        </w:rPr>
        <w:t xml:space="preserve"> in London eingelegt werden; ein hübsches Detail, das zeigt, wie jung Neuseelands vollständige rechtliche Eigenständigkeit tatsächlich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Ebenso einheitlich ist die Polizei organisiert: </w:t>
      </w:r>
      <w:r>
        <w:rPr>
          <w:rFonts w:eastAsia="Cambria" w:cs="Cambria"/>
          <w:b w:val="false"/>
          <w:bCs w:val="false"/>
          <w:i/>
          <w:iCs/>
          <w:sz w:val="22"/>
          <w:szCs w:val="22"/>
        </w:rPr>
        <w:t>New Zealand Police</w:t>
      </w:r>
      <w:r>
        <w:rPr>
          <w:rFonts w:eastAsia="Cambria" w:cs="Cambria"/>
          <w:b w:val="false"/>
          <w:bCs w:val="false"/>
          <w:i w:val="false"/>
          <w:iCs w:val="false"/>
          <w:sz w:val="22"/>
          <w:szCs w:val="22"/>
        </w:rPr>
        <w:t xml:space="preserve"> ist die einzige Polizeibehörde des Landes, es gibt keine parallelen Bundesstaaten- oder Provinzpolizeien wie in Australien oder Kanada. Für dich als Neuankömmling bedeutet das: Die Regeln, die du in Auckland lernst, gelten unverändert in Christchurch oder Wellington.</w:t>
      </w:r>
    </w:p>
    <w:p>
      <w:pPr>
        <w:pStyle w:val="Heading3"/>
        <w:keepNext w:val="true"/>
        <w:spacing w:before="280" w:after="100"/>
        <w:jc w:val="center"/>
        <w:rPr/>
      </w:pPr>
      <w:r>
        <w:rPr>
          <w:rFonts w:eastAsia="Amazon Ember" w:cs="Amazon Ember" w:ascii="Amazon Ember" w:hAnsi="Amazon Ember"/>
          <w:b/>
          <w:bCs/>
          <w:color w:val="0000FF"/>
          <w:sz w:val="36"/>
          <w:szCs w:val="36"/>
        </w:rPr>
        <w:t>Polizeikontakt: unbewaffnet, aber nicht beliebig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New Zealand Police gehört zu den wenigen Polizeikräften der OECD, die im Regelbetrieb unbewaffnet patrouillieren. Streifenwagen führen Schusswaffen in einem verschlossenen Fach mit, Beamte tragen sie jedoch nicht routinemäßig am Körper. Für Einsätze mit erhöhtem Risiko existiert das spezialisierte </w:t>
      </w:r>
      <w:r>
        <w:rPr>
          <w:rFonts w:eastAsia="Cambria" w:cs="Cambria"/>
          <w:b w:val="false"/>
          <w:bCs w:val="false"/>
          <w:i/>
          <w:iCs/>
          <w:sz w:val="22"/>
          <w:szCs w:val="22"/>
        </w:rPr>
        <w:t>Armed Offenders Squad</w:t>
      </w:r>
      <w:r>
        <w:rPr>
          <w:rFonts w:eastAsia="Cambria" w:cs="Cambria"/>
          <w:b w:val="false"/>
          <w:bCs w:val="false"/>
          <w:i w:val="false"/>
          <w:iCs w:val="false"/>
          <w:sz w:val="22"/>
          <w:szCs w:val="22"/>
        </w:rPr>
        <w:t xml:space="preserve"> (AOS, eine bewaffnete Sondereinheit). Wie ernst dem Land diese Grundhaltung ist, zeigte sich zwischen Oktober 2019 und April 2020: Nach den Anschlägen von Christchurch testete die Polizei versuchsweise durchgehend bewaffnete </w:t>
      </w:r>
      <w:r>
        <w:rPr>
          <w:rFonts w:eastAsia="Cambria" w:cs="Cambria"/>
          <w:b w:val="false"/>
          <w:bCs w:val="false"/>
          <w:i/>
          <w:iCs/>
          <w:sz w:val="22"/>
          <w:szCs w:val="22"/>
        </w:rPr>
        <w:t>Armed Response Teams</w:t>
      </w:r>
      <w:r>
        <w:rPr>
          <w:rFonts w:eastAsia="Cambria" w:cs="Cambria"/>
          <w:b w:val="false"/>
          <w:bCs w:val="false"/>
          <w:i w:val="false"/>
          <w:iCs w:val="false"/>
          <w:sz w:val="22"/>
          <w:szCs w:val="22"/>
        </w:rPr>
        <w:t xml:space="preserve"> (ART) in einigen Regionen – und beendete den Versuch nach öffentlichem Widerstand wieder, mit der ausdrücklichen Begründung, die Polizei solle „im Wesentlichen ein unbewaffneter Dienst“ bleiben. Für dich heißt das: Eine neuseeländische Polizeikontrolle wirkt oft überraschend entspannt – was nicht bedeutet, dass du dich unhöflich oder unkooperativ verhalten solltest.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Verdachtsunabhängige Alkoholkontrollen (</w:t>
      </w:r>
      <w:r>
        <w:rPr>
          <w:rFonts w:eastAsia="Cambria" w:cs="Cambria"/>
          <w:b w:val="false"/>
          <w:bCs w:val="false"/>
          <w:i/>
          <w:iCs/>
          <w:sz w:val="22"/>
          <w:szCs w:val="22"/>
        </w:rPr>
        <w:t>Compulsory Breath Testing</w:t>
      </w:r>
      <w:r>
        <w:rPr>
          <w:rFonts w:eastAsia="Cambria" w:cs="Cambria"/>
          <w:b w:val="false"/>
          <w:bCs w:val="false"/>
          <w:i w:val="false"/>
          <w:iCs w:val="false"/>
          <w:sz w:val="22"/>
          <w:szCs w:val="22"/>
        </w:rPr>
        <w:t>, CBT) sind seit Jahrzehnten Alltag: Ein Beamter darf jeden Fahrer jederzeit anhalten und pusten lassen, ganz ohne Anfangsverdacht – ähnlich wie in Australien, nur ohne den dortigen Spitznamen „Booze Bus“. Der Grenzwert liegt für Fahrer ab 20 Jahren bei 250 Mikrogramm Alkohol pro Liter Atemluft beziehungsweise 50 Milligramm pro 100 Milliliter Blut; unter 20 Jahren gilt eine Nullgrenze. Seit dem landesweiten Rollout zum 1. Juli 2026 (zuvor als Pilotprojekt in Wellington getestet) kommt ein zweites, ebenfalls verdachtsunabhängiges Verfahren hinzu: ein Speicheltest auf die vier Substanzen THC (Cannabis), Methamphetamin, MDMA und Kokain, mit einem zweiten Test bei einem positiven Ergebnis. Verhalte dich bei jeder dieser Kontrollen wie bei einer normalen Verkehrskontrolle: rechts ranfahren, Motor aus, Führerschein bereithalten, freundlich bleiben. Der Test selbst dauert meist nur wenige Minuten.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Auch mit ärztlichem Rezept für medizinisches Cannabis schützt dich das nicht automatisch beim Fahren. Der Speicheltest weist die Substanz nach, nicht die tatsächliche Beeinträchtigung – ein positives Ergebnis kann unabhängig vom Rezept rechtliche Folgen haben.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Deine Rechte gegenüber der Polizei</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w:t>
      </w:r>
      <w:r>
        <w:rPr>
          <w:rFonts w:eastAsia="Cambria" w:cs="Cambria"/>
          <w:b w:val="false"/>
          <w:bCs w:val="false"/>
          <w:i/>
          <w:iCs/>
          <w:sz w:val="22"/>
          <w:szCs w:val="22"/>
        </w:rPr>
        <w:t>New Zealand Bill of Rights Act 1990</w:t>
      </w:r>
      <w:r>
        <w:rPr>
          <w:rFonts w:eastAsia="Cambria" w:cs="Cambria"/>
          <w:b w:val="false"/>
          <w:bCs w:val="false"/>
          <w:i w:val="false"/>
          <w:iCs w:val="false"/>
          <w:sz w:val="22"/>
          <w:szCs w:val="22"/>
        </w:rPr>
        <w:t xml:space="preserve"> (die neuseeländische Grundrechtecharta) gilt für jeden im Land, unabhängig von der Staatsangehörigkeit. Er garantiert unter anderem das Recht, bei einer Festnahme oder Ingewahrsamnahme umgehend über den Grund informiert zu werden, das Recht auf einen Anwalt ohne Verzögerung sowie das Recht, darüber informiert zu werden. Ein allgemeines Schweigerecht gilt ebenfalls: Über deinen Namen sowie die bei einer Verkehrskontrolle gesetzlich verlangten Angaben (Führerschein, Fahrzeugpapiere) hinaus musst du nichts sagen. Eine Durchsuchung deiner Wohnung oder deines Fahrzeugs ohne konkreten Verdacht oder richterlichen Beschluss darfst du höflich ablehnen – „I do not consent to a search“ –, ohne dich körperlich zu widersetzen; ob die Ablehnung Bestand hat, klärt im Zweifel ein Gericht. Das Filmen einer Polizeikontrolle in der Öffentlichkeit ist grundsätzlich erlaubt, solange du die Diensthandlung nicht behinderst.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Schweigen ist erlaubt, Höflichkeit hilft, Widerstand schadet. Nenne Name und die gesetzlich verlangten Angaben, verlange bei allem Weiteren ruhig einen Anwalt.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einer Festnahme hast du zusätzlich als deutscher Staatsangehöriger das Recht, mit einem Konsularbeamten zu sprechen – verlange das ausdrücklich, es wird nicht überall automatisch angeboten. Sprichst du kein ausreichendes Englisch, steht dir bei einer polizeilichen Befragung ein Dolmetscher zu. Nenne wie in jedem Rechtssystem nur Namen, Adresse und den Wunsch nach einem Anwalt, mehr nicht, bis dieser da ist.</w:t>
      </w:r>
    </w:p>
    <w:p>
      <w:pPr>
        <w:pStyle w:val="Heading3"/>
        <w:keepNext w:val="true"/>
        <w:spacing w:before="280" w:after="100"/>
        <w:jc w:val="center"/>
        <w:rPr/>
      </w:pPr>
      <w:r>
        <w:rPr>
          <w:rFonts w:eastAsia="Amazon Ember" w:cs="Amazon Ember" w:ascii="Amazon Ember" w:hAnsi="Amazon Ember"/>
          <w:b/>
          <w:bCs/>
          <w:color w:val="0000FF"/>
          <w:sz w:val="36"/>
          <w:szCs w:val="36"/>
        </w:rPr>
        <w:t>Waffenrecht: nach Christchurch verschärft, 2026 neu geordnet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Am 15. März 2019 tötete ein bewaffneter Angreifer bei einem Anschlag auf zwei Moscheen in Christchurch 51 Menschen. Neuseeland reagierte in ungewöhnlichem Tempo: Innerhalb weniger Wochen verabschiedete das Parlament den </w:t>
      </w:r>
      <w:r>
        <w:rPr>
          <w:rFonts w:eastAsia="Cambria" w:cs="Cambria"/>
          <w:b w:val="false"/>
          <w:bCs w:val="false"/>
          <w:i/>
          <w:iCs/>
          <w:sz w:val="22"/>
          <w:szCs w:val="22"/>
        </w:rPr>
        <w:t>Arms (Prohibited Firearms, Magazines, and Parts) Amendment Act 2019</w:t>
      </w:r>
      <w:r>
        <w:rPr>
          <w:rFonts w:eastAsia="Cambria" w:cs="Cambria"/>
          <w:b w:val="false"/>
          <w:bCs w:val="false"/>
          <w:i w:val="false"/>
          <w:iCs w:val="false"/>
          <w:sz w:val="22"/>
          <w:szCs w:val="22"/>
        </w:rPr>
        <w:t>, der die meisten halbautomatischen „Military Style“-Waffen sowie bestimmte Pump-Action-Schrotflinten als verboten einstufte. In einem anschließenden Rückkaufprogramm gaben rund 33.000 Personen etwa 56.000 Waffen gegen Entschädigung ab.</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Das neuseeländische Lizenzsystem unterscheidet eine Standardlizenz der Kategorie A (für die meisten Jagd- und Sportgewehre) sowie vier Zusatz-Endorsements: B (Pistolenbesitz, nur für Mitglieder eines Schützenvereins und nur auf zugelassenen Schießständen), C (Pistolen und weitere „restricted weapons“), D (für Waffenhändler und Büchsenmacher) und E (die wenigen verbliebenen erlaubten „Military Style Semi-Automatics“, etwa für berufliche Schädlingsbekämpfung, Sammler oder bestimmte Sportschützen-Disziplinen). Wie in Australien zählt Selbstschutz ausdrücklich nicht zu den anerkannten Gründen für eine Waffenlizenz.</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 xml:space="preserve">Die Zuständigkeit für Waffenrecht ist 2026 in Bewegung. Der neue </w:t>
            </w:r>
            <w:r>
              <w:rPr>
                <w:rFonts w:eastAsia="Cambria" w:cs="Cambria"/>
                <w:b w:val="false"/>
                <w:bCs w:val="false"/>
                <w:i/>
                <w:iCs/>
                <w:sz w:val="20"/>
                <w:szCs w:val="20"/>
              </w:rPr>
              <w:t>Arms Act 2026</w:t>
            </w:r>
            <w:r>
              <w:rPr>
                <w:rFonts w:eastAsia="Cambria" w:cs="Cambria"/>
                <w:b w:val="false"/>
                <w:bCs w:val="false"/>
                <w:i w:val="false"/>
                <w:iCs w:val="false"/>
                <w:sz w:val="20"/>
                <w:szCs w:val="20"/>
              </w:rPr>
              <w:t xml:space="preserve"> erhielt am 5. August 2026 die königliche Zustimmung; die meisten Bestimmungen traten zum 23. September 2026 in Kraft. Er löst die bisherige, noch bei der Polizei angesiedelte Firearms Safety Authority durch eine eigenständige, von der Polizei getrennte Behörde ab (Te Tari Pūreke, Firearms Safety and Education New Zealand) und schließt unter anderem Bandenmitglieder ausdrücklich von einer Lizenz aus. Weitere Übergangsfristen für Waffenhändler und -munition laufen bis Februar 2028. Prüfe den aktuellen Stand direkt bei der neuen Behörde, bevor du dich auf ältere Informationen verlässt.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dich als Neuankömmling bedeutet das in der Praxis meist wenig Berührung mit dem Thema: Fasse fremde Waffen bei Einladungen zur Jagd oder zum Sportschießen nicht ohne Weiteres an, leihe keine aus, ohne selbst lizenziert zu sein. Aus Deutschland solltest du ohnehin keine Waffen mitbringen; die Einfuhr unterliegt eigenen, strengen Bestimmungen.</w:t>
      </w:r>
    </w:p>
    <w:p>
      <w:pPr>
        <w:pStyle w:val="Heading3"/>
        <w:keepNext w:val="true"/>
        <w:spacing w:before="280" w:after="100"/>
        <w:jc w:val="center"/>
        <w:rPr/>
      </w:pPr>
      <w:r>
        <w:rPr>
          <w:rFonts w:eastAsia="Amazon Ember" w:cs="Amazon Ember" w:ascii="Amazon Ember" w:hAnsi="Amazon Ember"/>
          <w:b/>
          <w:bCs/>
          <w:color w:val="0000FF"/>
          <w:sz w:val="36"/>
          <w:szCs w:val="36"/>
        </w:rPr>
        <w:t>Cannabis-Recht: nach dem Referendum weiterhin illegal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Am 17. Oktober 2020 stimmten die Neuseeländer in einem Referendum über die Legalisierung von Freizeit-Cannabis ab – und lehnten sie denkbar knapp ab, mit 51,17 % Nein-Stimmen gegenüber 48,83 % Ja-Stimmen. Cannabis bleibt seither im ganzen Land ein Klasse-C-Betäubungsmittel nach dem </w:t>
      </w:r>
      <w:r>
        <w:rPr>
          <w:rFonts w:eastAsia="Cambria" w:cs="Cambria"/>
          <w:b w:val="false"/>
          <w:bCs w:val="false"/>
          <w:i/>
          <w:iCs/>
          <w:sz w:val="22"/>
          <w:szCs w:val="22"/>
        </w:rPr>
        <w:t>Misuse of Drugs Act 1975</w:t>
      </w:r>
      <w:r>
        <w:rPr>
          <w:rFonts w:eastAsia="Cambria" w:cs="Cambria"/>
          <w:b w:val="false"/>
          <w:bCs w:val="false"/>
          <w:i w:val="false"/>
          <w:iCs w:val="false"/>
          <w:sz w:val="22"/>
          <w:szCs w:val="22"/>
        </w:rPr>
        <w:t xml:space="preserve"> (dem zentralen Betäubungsmittelgesetz); der Besitz zum Eigenkonsum kann theoretisch mit bis zu drei Monaten Haft oder einer Geldstrafe von bis zu 500 NZD geahndet werden.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Verbreiteter Irrtum: Wer aus dem Australien-Teil dieses Buches oder aus internationalen Nachrichten über das knappe Ergebnis weiß, nimmt manchmal an, Neuseeland habe eine ähnliche Grauzone wie das australische Hauptstadtterritorium ACT. Tatsächlich ist Cannabis, anders als in Australiens föderalem Flickenteppich, in Neuseeland einheitlich und ausnahmslos illegal – es gibt keine Region mit eigener Sonderregel. Das ist auch strenger als der deutsche Rechtsstand: Seit dem deutschen Cannabisgesetz vom 1. April 2024 sind Besitz begrenzter Mengen und der Eigenanbau von bis zu drei Pflanzen erlaubt – ein Maßstab, den du in Neuseeland komplett vergisst. Der </w:t>
      </w:r>
      <w:r>
        <w:rPr>
          <w:rFonts w:eastAsia="Cambria" w:cs="Cambria"/>
          <w:b w:val="false"/>
          <w:bCs w:val="false"/>
          <w:i/>
          <w:iCs/>
          <w:sz w:val="22"/>
          <w:szCs w:val="22"/>
        </w:rPr>
        <w:t>Misuse of Drugs Amendment Act 2019</w:t>
      </w:r>
      <w:r>
        <w:rPr>
          <w:rFonts w:eastAsia="Cambria" w:cs="Cambria"/>
          <w:b w:val="false"/>
          <w:bCs w:val="false"/>
          <w:i w:val="false"/>
          <w:iCs w:val="false"/>
          <w:sz w:val="22"/>
          <w:szCs w:val="22"/>
        </w:rPr>
        <w:t xml:space="preserve"> verpflichtet die Polizei zwar, bei geringen Mengen zum Eigenbedarf einen gesundheitsbasierten statt einen strafrechtlichen Ansatz zu erwägen – das ist Ermessen im Einzelfall, keine Entkriminalisierung. Seit 2020 gibt es zusätzlich ein staatlich reguliertes Medizinalcannabis-Programm für ärztlich verschriebene Präparate, das mit dem allgemeinen Verbot nichts zu tun hat.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Seit dem landesweiten Rollout der Drogen-Speicheltests zum 1. Juli 2026 wird THC-Konsum im Straßenverkehr aktiv und verdachtsunabhängig kontrolliert. Ein positiver Test zieht dieselben Folgen nach sich wie bei anderen erfassten Substanzen – unabhängig davon, ob eine tatsächliche Fahrbeeinträchtigung vorliegt.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Erdbeben: Toka Tū Ake/EQC und die Alpine Fault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Neuseeland liegt auf dem Pazifischen Feuerring, an der Grenze zweier tektonischer Platten – Erdbeben sind hier keine Ausnahme, sondern eingeplanter Alltag. Am 22. Februar 2011 traf ein Erdbeben der Stärke 6,3 die Region Christchurch und tötete 185 Menschen; es ist bis heute das Referenzereignis, an dem sich Vorsorge in Neuseeland orientiert (mehr zu Bauqualität und Versicherung im </w:t>
      </w:r>
      <w:hyperlink w:anchor="tnz09">
        <w:r>
          <w:rPr>
            <w:rStyle w:val="ListLabel113"/>
            <w:rFonts w:eastAsia="Cambria" w:cs="Cambria"/>
            <w:b w:val="false"/>
            <w:bCs w:val="false"/>
            <w:i w:val="false"/>
            <w:iCs w:val="false"/>
            <w:color w:val="0563C1"/>
            <w:sz w:val="22"/>
            <w:szCs w:val="22"/>
            <w:u w:val="single"/>
          </w:rPr>
          <w:t>Kapitel zum Wohnen in diesem Teil</w:t>
        </w:r>
      </w:hyperlink>
      <w:r>
        <w:rPr>
          <w:rFonts w:eastAsia="Cambria" w:cs="Cambria"/>
          <w:b w:val="false"/>
          <w:bCs w:val="false"/>
          <w:i w:val="false"/>
          <w:iCs w:val="false"/>
          <w:sz w:val="22"/>
          <w:szCs w:val="22"/>
        </w:rPr>
        <w:t xml:space="preserve">). Auf der Südinsel kommt ein weiteres, gut erforschtes Risiko hinzu: die </w:t>
      </w:r>
      <w:r>
        <w:rPr>
          <w:rFonts w:eastAsia="Cambria" w:cs="Cambria"/>
          <w:b w:val="false"/>
          <w:bCs w:val="false"/>
          <w:i/>
          <w:iCs/>
          <w:sz w:val="22"/>
          <w:szCs w:val="22"/>
        </w:rPr>
        <w:t>Alpine Fault</w:t>
      </w:r>
      <w:r>
        <w:rPr>
          <w:rFonts w:eastAsia="Cambria" w:cs="Cambria"/>
          <w:b w:val="false"/>
          <w:bCs w:val="false"/>
          <w:i w:val="false"/>
          <w:iCs w:val="false"/>
          <w:sz w:val="22"/>
          <w:szCs w:val="22"/>
        </w:rPr>
        <w:t xml:space="preserve"> (die Alpen-Verwerfung entlang der Südalpen). Eine 2024 veröffentlichte Studie mehrerer neuseeländischer und internationaler Forschungseinrichtungen beziffert die Wahrscheinlichkeit eines schweren Bruchs mit einer Stärke von etwa 8 auf rund 75 % innerhalb der nächsten 50 Jahre – ein deutlich höherer Wert, als frühere Schätzungen annahmen. Das staatlich mitgetragene Vorsorgeprogramm </w:t>
      </w:r>
      <w:r>
        <w:rPr>
          <w:rFonts w:eastAsia="Cambria" w:cs="Cambria"/>
          <w:b w:val="false"/>
          <w:bCs w:val="false"/>
          <w:i/>
          <w:iCs/>
          <w:sz w:val="22"/>
          <w:szCs w:val="22"/>
        </w:rPr>
        <w:t>AF8</w:t>
      </w:r>
      <w:r>
        <w:rPr>
          <w:rFonts w:eastAsia="Cambria" w:cs="Cambria"/>
          <w:b w:val="false"/>
          <w:bCs w:val="false"/>
          <w:i w:val="false"/>
          <w:iCs w:val="false"/>
          <w:sz w:val="22"/>
          <w:szCs w:val="22"/>
        </w:rPr>
        <w:t xml:space="preserve"> bereitet Gemeinden auf der Südinsel gezielt auf ein solches Ereignis vor.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staatliche Naturgefahrenversicherung </w:t>
      </w:r>
      <w:r>
        <w:rPr>
          <w:rFonts w:eastAsia="Cambria" w:cs="Cambria"/>
          <w:b w:val="false"/>
          <w:bCs w:val="false"/>
          <w:i/>
          <w:iCs/>
          <w:sz w:val="22"/>
          <w:szCs w:val="22"/>
        </w:rPr>
        <w:t>Toka Tū Ake</w:t>
      </w:r>
      <w:r>
        <w:rPr>
          <w:rFonts w:eastAsia="Cambria" w:cs="Cambria"/>
          <w:b w:val="false"/>
          <w:bCs w:val="false"/>
          <w:i w:val="false"/>
          <w:iCs w:val="false"/>
          <w:sz w:val="22"/>
          <w:szCs w:val="22"/>
        </w:rPr>
        <w:t xml:space="preserve"> (Natural Hazards Commission, vormals Earthquake Commission, EQC) deckt bei einem anerkannten Schaden die ersten 300.000 NZD am Wohngebäude, vorausgesetzt, es besteht eine private Wohngebäudeversicherung mit Feuerschutz; die Umlage dafür ist auf 480 NZD zuzüglich Mehrwertsteuer pro Jahr gedeckelt und wird über die private Police eingezogen. Diese Basisdeckung ersetzt keine ausreichende private Versicherung, sondern ergänzt sie (mehr Details im </w:t>
      </w:r>
      <w:hyperlink w:anchor="tnz09">
        <w:r>
          <w:rPr>
            <w:rStyle w:val="ListLabel113"/>
            <w:rFonts w:eastAsia="Cambria" w:cs="Cambria"/>
            <w:b w:val="false"/>
            <w:bCs w:val="false"/>
            <w:i w:val="false"/>
            <w:iCs w:val="false"/>
            <w:color w:val="0563C1"/>
            <w:sz w:val="22"/>
            <w:szCs w:val="22"/>
            <w:u w:val="single"/>
          </w:rPr>
          <w:t>Kapitel zum Wohnen in diesem Teil</w:t>
        </w:r>
      </w:hyperlink>
      <w:r>
        <w:rPr>
          <w:rFonts w:eastAsia="Cambria" w:cs="Cambria"/>
          <w:b w:val="false"/>
          <w:bCs w:val="false"/>
          <w:i w:val="false"/>
          <w:iCs w:val="false"/>
          <w:sz w:val="22"/>
          <w:szCs w:val="22"/>
        </w:rPr>
        <w: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Krüger (fiktives Beispiel) zieht mit ihrem AEWV nach Christchurch, einer Stadt, die den Wiederaufbau nach 2011 noch sichtbar vor Augen hat – Baulücken, neue erdbebensichere Bürogebäude, Infotafeln an historischen Stellen. Sebastian Krüger ist zunächst unsicher, ob er das als beruhigend oder beunruhigend werten soll. Ein Nachbar erklärt ihm, worauf es ankomme: eine private Wohngebäudeversicherung mit korrekt eingeschlossenem Feuerschutz, damit die Toka-Tū-Ake-Basisdeckung überhaupt greift, ein Notfallrucksack im Flurschrank und ein fest vereinbarter Treffpunkt für die Familie, falls Lotta und Finn bei einem Beben gerade in der Schule sind und die Handynetze überlastet sein sollten. Petra Krüger übt mit den Kindern einmal im Quartal den „Drop, Cover, Hold“-Ablauf (Hinlegen, Schützen, Festhalten) – so nüchtern wie einen Feueralarm-Test, keineswegs dramatisch.</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Vulkanrisiko: von Auckland bis Tongariro</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Was viele Neuankömmlinge überrascht: Auch die größte Stadt des Landes liegt auf einem Vulkanfeld. Das </w:t>
      </w:r>
      <w:r>
        <w:rPr>
          <w:rFonts w:eastAsia="Cambria" w:cs="Cambria"/>
          <w:b w:val="false"/>
          <w:bCs w:val="false"/>
          <w:i/>
          <w:iCs/>
          <w:sz w:val="22"/>
          <w:szCs w:val="22"/>
        </w:rPr>
        <w:t>Auckland Volcanic Field</w:t>
      </w:r>
      <w:r>
        <w:rPr>
          <w:rFonts w:eastAsia="Cambria" w:cs="Cambria"/>
          <w:b w:val="false"/>
          <w:bCs w:val="false"/>
          <w:i w:val="false"/>
          <w:iCs w:val="false"/>
          <w:sz w:val="22"/>
          <w:szCs w:val="22"/>
        </w:rPr>
        <w:t xml:space="preserve"> (Auckland-Vulkanfeld) umfasst rund 53 einzelne Vulkankegel unter und um die Stadt, darunter bekannte Wahrzeichen wie den Mount Eden oder Rangitoto Island – Letztere der jüngste und größte Kegel des Feldes, entstanden vor rund 600 Jahren. Das Feld gilt als ruhend, nicht als erloschen, und wird permanent überwacht.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Zuständig dafür ist </w:t>
      </w:r>
      <w:r>
        <w:rPr>
          <w:rFonts w:eastAsia="Cambria" w:cs="Cambria"/>
          <w:b w:val="false"/>
          <w:bCs w:val="false"/>
          <w:i/>
          <w:iCs/>
          <w:sz w:val="22"/>
          <w:szCs w:val="22"/>
        </w:rPr>
        <w:t>GeoNet</w:t>
      </w:r>
      <w:r>
        <w:rPr>
          <w:rFonts w:eastAsia="Cambria" w:cs="Cambria"/>
          <w:b w:val="false"/>
          <w:bCs w:val="false"/>
          <w:i w:val="false"/>
          <w:iCs w:val="false"/>
          <w:sz w:val="22"/>
          <w:szCs w:val="22"/>
        </w:rPr>
        <w:t xml:space="preserve"> (das gemeinsame Erdbeben-, Vulkan- und Tsunami-Überwachungssystem von GNS Science, Toka Tū Ake und weiteren Behörden), das jeden aktiven oder potenziell aktiven Vulkan auf einer sechsstufigen </w:t>
      </w:r>
      <w:r>
        <w:rPr>
          <w:rFonts w:eastAsia="Cambria" w:cs="Cambria"/>
          <w:b w:val="false"/>
          <w:bCs w:val="false"/>
          <w:i/>
          <w:iCs/>
          <w:sz w:val="22"/>
          <w:szCs w:val="22"/>
        </w:rPr>
        <w:t>Volcanic Alert Level</w:t>
      </w:r>
      <w:r>
        <w:rPr>
          <w:rFonts w:eastAsia="Cambria" w:cs="Cambria"/>
          <w:b w:val="false"/>
          <w:bCs w:val="false"/>
          <w:i w:val="false"/>
          <w:iCs w:val="false"/>
          <w:sz w:val="22"/>
          <w:szCs w:val="22"/>
        </w:rPr>
        <w:t xml:space="preserve"> (VAL, Vulkan-Warnstufe) von 0 bis 5 einstuft: Stufe 0 bedeutet Ruhe ohne Unruhe, die Stufen 1 und 2 markieren zunehmende vulkanische Unruhe, die Stufen 3 bis 5 einen tatsächlichen Ausbruch von gering bis schwer.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Das aktivste Beispiel liegt vor der Küste: </w:t>
      </w:r>
      <w:r>
        <w:rPr>
          <w:rFonts w:eastAsia="Cambria" w:cs="Cambria"/>
          <w:b w:val="false"/>
          <w:bCs w:val="false"/>
          <w:i/>
          <w:iCs/>
          <w:sz w:val="22"/>
          <w:szCs w:val="22"/>
        </w:rPr>
        <w:t>Whakaari/White Island</w:t>
      </w:r>
      <w:r>
        <w:rPr>
          <w:rFonts w:eastAsia="Cambria" w:cs="Cambria"/>
          <w:b w:val="false"/>
          <w:bCs w:val="false"/>
          <w:i w:val="false"/>
          <w:iCs w:val="false"/>
          <w:sz w:val="22"/>
          <w:szCs w:val="22"/>
        </w:rPr>
        <w:t xml:space="preserve">, eine Insel rund 48 Kilometer vor der Bay of Plenty, ist Neuseelands aktivster Vulkan und war jahrzehntelang ein beliebtes Tourismusziel. Am 9. Dezember 2019 kam es dort zu einer plötzlichen Eruption, bei der 22 Menschen starben, die meisten von ihnen Touristen auf einer geführten Tour. Seither gelten deutlich strengere Auflagen für touristische Besuche aktiver Vulkangebiete im ganzen Land. Im Zentrum der Nordinsel überwacht GeoNet zudem laufend den Tongariro-Vulkankomplex mit dem Mount Ruapehu – hier ereignete sich am 24. Dezember 1953 eines der schwersten Unglücke der neuseeländischen Geschichte: Ein </w:t>
      </w:r>
      <w:r>
        <w:rPr>
          <w:rFonts w:eastAsia="Cambria" w:cs="Cambria"/>
          <w:b w:val="false"/>
          <w:bCs w:val="false"/>
          <w:i/>
          <w:iCs/>
          <w:sz w:val="22"/>
          <w:szCs w:val="22"/>
        </w:rPr>
        <w:t>Lahar</w:t>
      </w:r>
      <w:r>
        <w:rPr>
          <w:rFonts w:eastAsia="Cambria" w:cs="Cambria"/>
          <w:b w:val="false"/>
          <w:bCs w:val="false"/>
          <w:i w:val="false"/>
          <w:iCs w:val="false"/>
          <w:sz w:val="22"/>
          <w:szCs w:val="22"/>
        </w:rPr>
        <w:t xml:space="preserve"> (ein Schlammstrom aus vulkanischem Material und Wasser, ausgelöst durch den Kraterseeausbruch des Ruapehu) riss bei Tangiwai eine Eisenbahnbrücke fort, kurz bevor ein Personenzug sie passierte; 151 Menschen starben.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Paul Lindner (fiktives Beispiel) wundert sich in seinem ersten Monat in Auckland über die vielen kleinen, grasbewachsenen Hügel mitten in der Stadt – bis ihm ein Kollege erklärt, dass er dort gerade seinen Feierabendlauf auf einem erloschen wirkenden, aber offiziell nur „ruhenden“ Vulkan absolviert hat. Paul ist kurz irritiert, dass niemand in seinem Büro das für erwähnenswert hält, dann liest er auf der GeoNet-Website nach: Das Auckland-Vulkanfeld wird seit Jahrzehnten engmaschig überwacht, ein Ausbruch ohne monatelange Vorwarnung gilt als unwahrscheinlich. Er installiert trotzdem, mehr aus Neugier als aus Sorge, die GeoNet-App auf dem Handy – und bemerkt bald, dass sie ohnehin meist wegen kleinerer Erdbeben piept, nicht wegen Vulkanen.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Vorsorge, Tsunami und Notfallausrüstung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w:t>
      </w:r>
      <w:r>
        <w:rPr>
          <w:rFonts w:eastAsia="Cambria" w:cs="Cambria"/>
          <w:b w:val="false"/>
          <w:bCs w:val="false"/>
          <w:i/>
          <w:iCs/>
          <w:sz w:val="22"/>
          <w:szCs w:val="22"/>
        </w:rPr>
        <w:t>National Emergency Management Agency</w:t>
      </w:r>
      <w:r>
        <w:rPr>
          <w:rFonts w:eastAsia="Cambria" w:cs="Cambria"/>
          <w:b w:val="false"/>
          <w:bCs w:val="false"/>
          <w:i w:val="false"/>
          <w:iCs w:val="false"/>
          <w:sz w:val="22"/>
          <w:szCs w:val="22"/>
        </w:rPr>
        <w:t xml:space="preserve"> (NEMA, die nationale Zivilschutzbehörde) betreibt unter getready.govt.nz die Kampagne „Get Ready“ mit konkreten Vorsorgeempfehlungen. Für Küstenregionen gilt eine einprägsame Faustregel für Tsunamis: „Long or Strong, Get Gone“ – ist ein Erdbeben lang (länger als eine Minute) oder stark (du kannst kaum noch stehen), sofort zu Fuß oder mit dem Rad ins Hochland oder so weit wie möglich landeinwärts, ohne auf eine offizielle Warnung zu warten. Bei einem Erdbeben in Küstennähe kann eine lokale Tsunamiwelle innerhalb weniger Minuten eintreffen, für eine amtliche Warnung bleibt dann keine Zeit.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Ein Haushalts-Notfallset gehört in jeden neuseeländischen Haushalt: Wasser und haltbare Lebensmittel für mindestens drei Tage, Erste-Hilfe-Material, eine Taschenlampe mit Ersatzbatterien, ein batteriebetriebenes Radio, wichtige Dokumente in Kopie sowie etwas Bargeld, da Kartenzahlung bei einem Stromausfall ausfallen kann. Installiere zusätzlich die GeoNet-App für Erdbeben- und Vulkanwarnungen sowie das landesweite Notfall-Warnsystem </w:t>
      </w:r>
      <w:r>
        <w:rPr>
          <w:rFonts w:eastAsia="Cambria" w:cs="Cambria"/>
          <w:b w:val="false"/>
          <w:bCs w:val="false"/>
          <w:i/>
          <w:iCs/>
          <w:sz w:val="22"/>
          <w:szCs w:val="22"/>
        </w:rPr>
        <w:t>Emergency Mobile Alert</w:t>
      </w:r>
      <w:r>
        <w:rPr>
          <w:rFonts w:eastAsia="Cambria" w:cs="Cambria"/>
          <w:b w:val="false"/>
          <w:bCs w:val="false"/>
          <w:i w:val="false"/>
          <w:iCs w:val="false"/>
          <w:sz w:val="22"/>
          <w:szCs w:val="22"/>
        </w:rPr>
        <w:t>, das Warnungen direkt aufs Handy sendet.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Get-Ready-Website und die GeoNet-App sind kostenlos und auf Englisch leicht verständlich. Ein Notfallset lässt sich über Monate günstig selbst zusammenstellen, statt teure Fertig-Sets zu kaufen – die offizielle Checkliste von getready.govt.nz zeigt genau, was hineingehört.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Kriminalität im Alltag</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Neuseelands Großstädte gehören im internationalen Vergleich zu den sichereren, wobei sich die Lage innerhalb einer Stadt oft stärker unterscheidet als zwischen ganzen Städten. Pauschalurteile über „gefährliche Viertel“ helfen wenig, ein Blick auf öffentlich zugängliche Kriminalitätsstatistiken der Polizei und ein Besuch der Zielgegend zu verschiedenen Tageszeiten mehr (mehr dazu im </w:t>
      </w:r>
      <w:hyperlink w:anchor="tnz09">
        <w:r>
          <w:rPr>
            <w:rStyle w:val="ListLabel113"/>
            <w:rFonts w:eastAsia="Cambria" w:cs="Cambria"/>
            <w:b w:val="false"/>
            <w:bCs w:val="false"/>
            <w:i w:val="false"/>
            <w:iCs w:val="false"/>
            <w:color w:val="0563C1"/>
            <w:sz w:val="22"/>
            <w:szCs w:val="22"/>
            <w:u w:val="single"/>
          </w:rPr>
          <w:t>Kapitel zum Wohnen in diesem Teil</w:t>
        </w:r>
      </w:hyperlink>
      <w:r>
        <w:rPr>
          <w:rFonts w:eastAsia="Cambria" w:cs="Cambria"/>
          <w:b w:val="false"/>
          <w:bCs w:val="false"/>
          <w:i w:val="false"/>
          <w:iCs w:val="false"/>
          <w:sz w:val="22"/>
          <w:szCs w:val="22"/>
        </w:rPr>
        <w:t>). Häufiger als Gewaltkriminalität sind Eigentumsdelikte wie Fahrzeugaufbrüche; lass Wertsachen nicht sichtbar im Auto liegen. Bei einem akuten Notfall wählst du 111, für weniger dringende Anliegen die Nicht-Notfall-Nummer 105.</w:t>
      </w:r>
    </w:p>
    <w:p>
      <w:pPr>
        <w:pStyle w:val="Heading3"/>
        <w:keepNext w:val="true"/>
        <w:spacing w:before="280" w:after="100"/>
        <w:jc w:val="center"/>
        <w:rPr/>
      </w:pPr>
      <w:r>
        <w:rPr>
          <w:rFonts w:eastAsia="Amazon Ember" w:cs="Amazon Ember" w:ascii="Amazon Ember" w:hAnsi="Amazon Ember"/>
          <w:b/>
          <w:bCs/>
          <w:color w:val="0000FF"/>
          <w:sz w:val="36"/>
          <w:szCs w:val="36"/>
        </w:rPr>
        <w:t>Konsularische Hilfe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Deutschland unterhält die Botschaft in Wellington sowie ehrenamtliche Honorarkonsulate in Auckland und Christchurch. Sie helfen bei Festnahme, schwerer Erkrankung oder Verlust der Papiere, etwa mit Kontakten zu Anwälten und Angehörigen und einem Reiseausweis als Passersatz; Anwaltskosten, Kautionen oder ein Eingreifen in ein laufendes Verfahren übernehmen sie nicht. Trage dich außerdem in die Krisenvorsorgeliste </w:t>
      </w:r>
      <w:r>
        <w:rPr>
          <w:rFonts w:eastAsia="Cambria" w:cs="Cambria"/>
          <w:b w:val="false"/>
          <w:bCs w:val="false"/>
          <w:i/>
          <w:iCs/>
          <w:sz w:val="22"/>
          <w:szCs w:val="22"/>
        </w:rPr>
        <w:t>Elefand</w:t>
      </w:r>
      <w:r>
        <w:rPr>
          <w:rFonts w:eastAsia="Cambria" w:cs="Cambria"/>
          <w:b w:val="false"/>
          <w:bCs w:val="false"/>
          <w:i w:val="false"/>
          <w:iCs w:val="false"/>
          <w:sz w:val="22"/>
          <w:szCs w:val="22"/>
        </w:rPr>
        <w:t xml:space="preserve"> des Auswärtigen Amts ein, damit dich die Botschaft im Krisenfall erreichen kann.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gibt eine Orientierung zu Recht und Sicherheit in Neuseeland, keine Rechtsberatung. Polizei-, Waffen- und Cannabis-Recht befinden sich 2026 mit dem neuen Arms Act und dem landesweiten Drogentest-Rollout in spürbarer Bewegung. Lass dich im Einzelfall von einer neuseeländischen Anwältin beraten.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Unbewaffnete Polizei im Alltag, bewusst und öffentlich verteidigt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Verdachtsunabhängige Alkohol- und seit 2026 Drogenkontrollen wirken auf Neuankömmlinge zunächst befremdlich</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Einheitliches Recht im ganzen Land, kein föderaler Flickenteppich</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Waffen- und Cannabis-Recht ändern sich 2026 gleich mehrfach spürbar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Striktes Waffenrecht bedeutet vergleichsweise wenig Waffengewalt im Alltag</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Cannabis bleibt trotz knappem Referendum ausnahmslos illegal</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Grundrechte bei Polizeikontakt (Schweigen, Anwalt) gelten für alle im Land</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Erdbeben- und Vulkanrisiko sind für weite Teile des Landes real, nicht nur theoretisch</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Gut ausgebautes, kostenloses Warn- und Vorsorgesystem (GeoNet, NEMA)</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Toka-Tū-Ake-Deckung ist eine Ergänzung, kein Ersatz für private Versicherung</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Gewöhne dich früh an das Prinzip der verdachtsunabhängigen Verkehrskontrolle, damit dich weder der erste Alkohol- noch der erste Drogentest aus der Fassung bringt. Kläre für deinen Wohnort das konkrete Erdbeben- und, falls relevant, Vulkanrisiko, installiere GeoNet-App und Emergency Mobile Alert, und leg ein Notfallset an, bevor du es brauchst. Cannabis meidest du am besten grundsätzlich, solange du dir über die Rechtslage nicht absolut sicher bist – das gilt besonders fürs Autofahren.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Verhalten bei Alkohol- und Drogenkontrolle mit der Familie einmal durchgesprochen.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Grundrechte bei Polizeikontakt gekannt: Name und Pflichtangaben nennen, sonst schweigen dürfen, Durchsuchung ohne Verdacht ablehnen dürfen.</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Geprüft, ob am Wohnort Waffenbesitz überhaupt relevant wird – meist nicht.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Cannabis-Rechtslage zur Kenntnis genommen: im ganzen Land illegal, kein regionaler Sonderfall.</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Private Wohngebäudeversicherung mit Feuerschutz abgeschlossen, damit die Toka-Tū-Ake-Basisdeckung greift.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GeoNet-App und Emergency Mobile Alert installiert.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Haushalts-Notfallset für mindestens drei Tage zusammengestellt (Wasser, Lebensmittel, Erste Hilfe, Bargeld, Dokumente).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Tsunami-Regel „Long or Strong, Get Gone“ mit der Familie besprochen, falls der Wohnort küstennah liegt.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Nummer der deutschen Auslandsvertretung gespeichert und in die Krisenvorsorgeliste Elefand eingetragen.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New Zealand Police – Verhalten bei Kontrollen, Notrufnummern: </w:t>
      </w:r>
      <w:hyperlink r:id="rId738">
        <w:r>
          <w:rPr>
            <w:rStyle w:val="ListLabel113"/>
            <w:rFonts w:eastAsia="Cambria" w:cs="Cambria"/>
            <w:b w:val="false"/>
            <w:bCs w:val="false"/>
            <w:i w:val="false"/>
            <w:iCs w:val="false"/>
            <w:color w:val="0563C1"/>
            <w:sz w:val="22"/>
            <w:szCs w:val="22"/>
            <w:u w:val="single"/>
          </w:rPr>
          <w:t>police.govt.nz</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Firearms Safety and Education New Zealand (Te Tari Pūreke) – Waffenrecht, Arms Act 2026: </w:t>
      </w:r>
      <w:hyperlink r:id="rId739">
        <w:r>
          <w:rPr>
            <w:rStyle w:val="ListLabel113"/>
            <w:rFonts w:eastAsia="Cambria" w:cs="Cambria"/>
            <w:b w:val="false"/>
            <w:bCs w:val="false"/>
            <w:i w:val="false"/>
            <w:iCs w:val="false"/>
            <w:color w:val="0563C1"/>
            <w:sz w:val="22"/>
            <w:szCs w:val="22"/>
            <w:u w:val="single"/>
          </w:rPr>
          <w:t>firearmssafety.govt.nz</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New Zealand Ministry of Justice – Firearms Reform, Arms Act 2026: </w:t>
      </w:r>
      <w:hyperlink r:id="rId740">
        <w:r>
          <w:rPr>
            <w:rStyle w:val="ListLabel113"/>
            <w:rFonts w:eastAsia="Cambria" w:cs="Cambria"/>
            <w:b w:val="false"/>
            <w:bCs w:val="false"/>
            <w:i w:val="false"/>
            <w:iCs w:val="false"/>
            <w:color w:val="0563C1"/>
            <w:sz w:val="22"/>
            <w:szCs w:val="22"/>
            <w:u w:val="single"/>
          </w:rPr>
          <w:t>justice.govt.nz</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NZ Drug Foundation / New Zealand Police – Roadside Drug Testing: </w:t>
      </w:r>
      <w:hyperlink r:id="rId741">
        <w:r>
          <w:rPr>
            <w:rStyle w:val="ListLabel113"/>
            <w:rFonts w:eastAsia="Cambria" w:cs="Cambria"/>
            <w:b w:val="false"/>
            <w:bCs w:val="false"/>
            <w:i w:val="false"/>
            <w:iCs w:val="false"/>
            <w:color w:val="0563C1"/>
            <w:sz w:val="22"/>
            <w:szCs w:val="22"/>
            <w:u w:val="single"/>
          </w:rPr>
          <w:t>drugfoundation.org.nz</w:t>
        </w:r>
      </w:hyperlink>
      <w:r>
        <w:rPr>
          <w:rFonts w:eastAsia="Cambria" w:cs="Cambria"/>
          <w:b w:val="false"/>
          <w:bCs w:val="false"/>
          <w:i w:val="false"/>
          <w:iCs w:val="false"/>
          <w:sz w:val="22"/>
          <w:szCs w:val="22"/>
        </w:rPr>
        <w:t xml:space="preserve">, </w:t>
      </w:r>
      <w:hyperlink r:id="rId742">
        <w:r>
          <w:rPr>
            <w:rStyle w:val="ListLabel113"/>
            <w:rFonts w:eastAsia="Cambria" w:cs="Cambria"/>
            <w:b w:val="false"/>
            <w:bCs w:val="false"/>
            <w:i w:val="false"/>
            <w:iCs w:val="false"/>
            <w:color w:val="0563C1"/>
            <w:sz w:val="22"/>
            <w:szCs w:val="22"/>
            <w:u w:val="single"/>
          </w:rPr>
          <w:t>police.govt.nz</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GeoNet (GNS Science, Toka Tū Ake u. a.) – Erdbeben-, Vulkan- und Tsunamiüberwachung: </w:t>
      </w:r>
      <w:hyperlink r:id="rId743">
        <w:r>
          <w:rPr>
            <w:rStyle w:val="ListLabel113"/>
            <w:rFonts w:eastAsia="Cambria" w:cs="Cambria"/>
            <w:b w:val="false"/>
            <w:bCs w:val="false"/>
            <w:i w:val="false"/>
            <w:iCs w:val="false"/>
            <w:color w:val="0563C1"/>
            <w:sz w:val="22"/>
            <w:szCs w:val="22"/>
            <w:u w:val="single"/>
          </w:rPr>
          <w:t>geonet.org.nz</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National Emergency Management Agency – Get Ready, Notfallvorsorge: </w:t>
      </w:r>
      <w:hyperlink r:id="rId744">
        <w:r>
          <w:rPr>
            <w:rStyle w:val="ListLabel113"/>
            <w:rFonts w:eastAsia="Cambria" w:cs="Cambria"/>
            <w:b w:val="false"/>
            <w:bCs w:val="false"/>
            <w:i w:val="false"/>
            <w:iCs w:val="false"/>
            <w:color w:val="0563C1"/>
            <w:sz w:val="22"/>
            <w:szCs w:val="22"/>
            <w:u w:val="single"/>
          </w:rPr>
          <w:t>getready.govt.nz</w:t>
        </w:r>
      </w:hyperlink>
      <w:r>
        <w:rPr>
          <w:rFonts w:eastAsia="Cambria" w:cs="Cambria"/>
          <w:b w:val="false"/>
          <w:bCs w:val="false"/>
          <w:i w:val="false"/>
          <w:iCs w:val="false"/>
          <w:sz w:val="22"/>
          <w:szCs w:val="22"/>
        </w:rPr>
        <w:t xml:space="preserve">, </w:t>
      </w:r>
      <w:hyperlink r:id="rId745">
        <w:r>
          <w:rPr>
            <w:rStyle w:val="ListLabel113"/>
            <w:rFonts w:eastAsia="Cambria" w:cs="Cambria"/>
            <w:b w:val="false"/>
            <w:bCs w:val="false"/>
            <w:i w:val="false"/>
            <w:iCs w:val="false"/>
            <w:color w:val="0563C1"/>
            <w:sz w:val="22"/>
            <w:szCs w:val="22"/>
            <w:u w:val="single"/>
          </w:rPr>
          <w:t>civildefence.govt.nz</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Toka Tū Ake Natural Hazards Commission – Erdbebenversicherung: </w:t>
      </w:r>
      <w:hyperlink r:id="rId746">
        <w:r>
          <w:rPr>
            <w:rStyle w:val="ListLabel113"/>
            <w:rFonts w:eastAsia="Cambria" w:cs="Cambria"/>
            <w:b w:val="false"/>
            <w:bCs w:val="false"/>
            <w:i w:val="false"/>
            <w:iCs w:val="false"/>
            <w:color w:val="0563C1"/>
            <w:sz w:val="22"/>
            <w:szCs w:val="22"/>
            <w:u w:val="single"/>
          </w:rPr>
          <w:t>naturalhazards.govt.nz</w:t>
        </w:r>
      </w:hyperlink>
    </w:p>
    <w:p>
      <w:pPr>
        <w:pStyle w:val="ListParagraph"/>
        <w:numPr>
          <w:ilvl w:val="0"/>
          <w:numId w:val="1"/>
        </w:numPr>
        <w:spacing w:lineRule="exact" w:line="288" w:before="0" w:after="60"/>
        <w:rPr/>
      </w:pPr>
      <w:r>
        <w:rPr>
          <w:rFonts w:eastAsia="Cambria" w:cs="Cambria"/>
          <w:b w:val="false"/>
          <w:bCs w:val="false"/>
          <w:i w:val="false"/>
          <w:iCs w:val="false"/>
          <w:sz w:val="22"/>
          <w:szCs w:val="22"/>
        </w:rPr>
        <w:t xml:space="preserve">Auswärtiges Amt – Hilfe für Deutsche im Ausland, Krisenvorsorgeliste Elefand: </w:t>
      </w:r>
      <w:hyperlink r:id="rId747">
        <w:r>
          <w:rPr>
            <w:rStyle w:val="ListLabel113"/>
            <w:rFonts w:eastAsia="Cambria" w:cs="Cambria"/>
            <w:b w:val="false"/>
            <w:bCs w:val="false"/>
            <w:i w:val="false"/>
            <w:iCs w:val="false"/>
            <w:color w:val="0563C1"/>
            <w:sz w:val="22"/>
            <w:szCs w:val="22"/>
            <w:u w:val="single"/>
          </w:rPr>
          <w:t>auswaertiges-amt.de</w:t>
        </w:r>
      </w:hyperlink>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23.09.2026. Diese Angaben ändern sich schnell: Der neue Arms Act 2026 ist erst seit heute weitgehend in Kraft und wird bis 2028 in mehreren Stufen umgesetzt, das landesweite Drogentest-Programm läuft erst seit dem 1. Juli 2026 vollständig, und die Erdbeben- und Vulkanwarnstufen ändern sich laufend. Prüfe vor jeder Entscheidung die aktuellen Seiten von firearmssafety.govt.nz, geonet.org.nz und civildefence.govt.nz.</w:t>
            </w:r>
          </w:p>
        </w:tc>
      </w:tr>
    </w:tbl>
    <w:p>
      <w:pPr>
        <w:pStyle w:val="Normal"/>
        <w:spacing w:lineRule="exact" w:line="220" w:before="0" w:after="0"/>
        <w:rPr/>
      </w:pPr>
      <w:r>
        <w:rPr/>
      </w:r>
      <w:r>
        <w:br w:type="page"/>
      </w:r>
    </w:p>
    <w:p>
      <w:pPr>
        <w:pStyle w:val="Heading2"/>
        <w:keepNext w:val="true"/>
        <w:spacing w:before="0" w:after="300"/>
        <w:jc w:val="center"/>
        <w:rPr/>
      </w:pPr>
      <w:bookmarkStart w:id="200" w:name="__RefHeading___Toc56631_3769931028"/>
      <w:bookmarkStart w:id="201" w:name="tnz16"/>
      <w:bookmarkEnd w:id="200"/>
      <w:r>
        <w:rPr>
          <w:rFonts w:eastAsia="Amazon Ember" w:cs="Amazon Ember" w:ascii="Amazon Ember" w:hAnsi="Amazon Ember"/>
          <w:b/>
          <w:bCs/>
          <w:color w:val="0000FF"/>
          <w:sz w:val="36"/>
          <w:szCs w:val="36"/>
        </w:rPr>
        <w:t>Neuseeland: Staatsbürgerschaft und Steuerresidenz</w:t>
      </w:r>
      <w:bookmarkEnd w:id="201"/>
    </w:p>
    <w:p>
      <w:pPr>
        <w:pStyle w:val="Normal"/>
        <w:keepNext w:val="false"/>
        <w:keepLines w:val="false"/>
        <w:spacing w:lineRule="exact" w:line="288" w:before="0" w:after="140"/>
        <w:jc w:val="left"/>
        <w:rPr/>
      </w:pPr>
      <w:r>
        <w:rPr>
          <w:rFonts w:eastAsia="Cambria" w:cs="Cambria"/>
          <w:b w:val="false"/>
          <w:bCs w:val="false"/>
          <w:i w:val="false"/>
          <w:iCs w:val="false"/>
          <w:sz w:val="22"/>
          <w:szCs w:val="22"/>
        </w:rPr>
        <w:t>Als Paul Lindner zum ersten Mal hört, wie die USA ihre Staatsbürger besteuern – lebenslang, weltweit, unabhängig vom Wohnort, sogar nach einer Rückkehr nach Deutschland –, fragt er sich kurz, ob ihn das eines Tages mit neuseeländischem Pass ähnlich treffen könnte. Ein Steuerberater in Auckland winkt ab: Neuseeland fragt nicht, welchen Pass du trägst, sondern wo du lebst. Der Weg zum neuseeländischen Pass und die Frage, was er steuerlich bedeutet, sind zwei ganz verschiedene Geschichten – und genau die erzählt dieses Kapitel.</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3A5F"/>
            </w:tcBorders>
            <w:shd w:color="auto" w:fill="ECF1F7" w:val="clear"/>
          </w:tcPr>
          <w:p>
            <w:pPr>
              <w:pStyle w:val="Normal"/>
              <w:keepNext w:val="true"/>
              <w:spacing w:lineRule="exact" w:line="240" w:before="0" w:after="70"/>
              <w:rPr/>
            </w:pPr>
            <w:r>
              <w:rPr>
                <w:rFonts w:eastAsia="Cambria" w:cs="Cambria"/>
                <w:b/>
                <w:bCs/>
                <w:color w:val="1F3A5F"/>
                <w:spacing w:val="24"/>
                <w:sz w:val="16"/>
                <w:szCs w:val="16"/>
              </w:rPr>
              <w:t>KURZ GESAGT</w:t>
            </w:r>
          </w:p>
          <w:p>
            <w:pPr>
              <w:pStyle w:val="ListParagraph"/>
              <w:numPr>
                <w:ilvl w:val="0"/>
                <w:numId w:val="1"/>
              </w:numPr>
              <w:spacing w:lineRule="exact" w:line="264" w:before="0" w:after="50"/>
              <w:rPr/>
            </w:pPr>
            <w:r>
              <w:rPr>
                <w:rFonts w:eastAsia="Cambria" w:cs="Cambria"/>
                <w:b w:val="false"/>
                <w:bCs w:val="false"/>
                <w:i w:val="false"/>
                <w:iCs w:val="false"/>
                <w:sz w:val="20"/>
                <w:szCs w:val="20"/>
              </w:rPr>
              <w:t>Einbürgerung setzt fünf Jahre durchgehenden Besitz eines Resident-Class-Visums voraus, mit mindestens 1.350 von 1.825 Tagen physischer Anwesenheit UND mindestens 240 Tagen in jedem einzelnen dieser fünf Jahre – gezählt ab dem Jahrestag des Visums, nicht ab dem Kalenderjahr.</w:t>
            </w:r>
          </w:p>
          <w:p>
            <w:pPr>
              <w:pStyle w:val="ListParagraph"/>
              <w:numPr>
                <w:ilvl w:val="0"/>
                <w:numId w:val="1"/>
              </w:numPr>
              <w:spacing w:lineRule="exact" w:line="264" w:before="0" w:after="50"/>
              <w:rPr/>
            </w:pPr>
            <w:r>
              <w:rPr>
                <w:rFonts w:eastAsia="Cambria" w:cs="Cambria"/>
                <w:b w:val="false"/>
                <w:bCs w:val="false"/>
                <w:i w:val="false"/>
                <w:iCs w:val="false"/>
                <w:sz w:val="20"/>
                <w:szCs w:val="20"/>
              </w:rPr>
              <w:t>Ab voraussichtlich Ende 2027 kommt ein neuer Staatskundetest (20 Fragen, 15 richtig zum Bestehen); wer vorher schon einen Antrag gestellt hat, muss ihn nicht ablegen.</w:t>
            </w:r>
          </w:p>
          <w:p>
            <w:pPr>
              <w:pStyle w:val="ListParagraph"/>
              <w:numPr>
                <w:ilvl w:val="0"/>
                <w:numId w:val="1"/>
              </w:numPr>
              <w:spacing w:lineRule="exact" w:line="264" w:before="0" w:after="50"/>
              <w:rPr/>
            </w:pPr>
            <w:r>
              <w:rPr>
                <w:rFonts w:eastAsia="Cambria" w:cs="Cambria"/>
                <w:b w:val="false"/>
                <w:bCs w:val="false"/>
                <w:i w:val="false"/>
                <w:iCs w:val="false"/>
                <w:sz w:val="20"/>
                <w:szCs w:val="20"/>
              </w:rPr>
              <w:t>Gebühr 560 NZD pro Erwachsenem (seit 28. August 2026); rund 91 % der Anträge werden innerhalb von acht Monaten entschieden, zusätzlich ein bis drei Monate bis zur Zeremonie.</w:t>
            </w:r>
          </w:p>
          <w:p>
            <w:pPr>
              <w:pStyle w:val="ListParagraph"/>
              <w:numPr>
                <w:ilvl w:val="0"/>
                <w:numId w:val="1"/>
              </w:numPr>
              <w:spacing w:lineRule="exact" w:line="264" w:before="0" w:after="50"/>
              <w:rPr/>
            </w:pPr>
            <w:r>
              <w:rPr>
                <w:rFonts w:eastAsia="Cambria" w:cs="Cambria"/>
                <w:b w:val="false"/>
                <w:bCs w:val="false"/>
                <w:i w:val="false"/>
                <w:iCs w:val="false"/>
                <w:sz w:val="20"/>
                <w:szCs w:val="20"/>
              </w:rPr>
              <w:t>Doppelte Staatsbürgerschaft ist beidseitig unproblematisch: Neuseeland verlangt keinen Verzicht, und seit der deutschen Reform vom 27. Juni 2024 bleibt auch die deutsche Staatsangehörigkeit automatisch erhalten.</w:t>
            </w:r>
          </w:p>
          <w:p>
            <w:pPr>
              <w:pStyle w:val="ListParagraph"/>
              <w:numPr>
                <w:ilvl w:val="0"/>
                <w:numId w:val="1"/>
              </w:numPr>
              <w:spacing w:lineRule="exact" w:line="264" w:before="0" w:after="50"/>
              <w:rPr/>
            </w:pPr>
            <w:r>
              <w:rPr>
                <w:rFonts w:eastAsia="Cambria" w:cs="Cambria"/>
                <w:b w:val="false"/>
                <w:bCs w:val="false"/>
                <w:i w:val="false"/>
                <w:iCs w:val="false"/>
                <w:sz w:val="20"/>
                <w:szCs w:val="20"/>
              </w:rPr>
              <w:t>Verbreiteter Irrtum: Neuseeland besteuert nach Steuerwohnsitz, nicht nach Pass. Anders als die USA gibt es keine an die Staatsbürgerschaft gekoppelte, lebenslange Steuerpflicht und keine Exit Tax beim Verzicht auf den neuseeländischen Pass.</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Der Stufenweg zur Staatsbürgerschaft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Wie lange der Weg zum Pass dauert, hängt vor allem davon ab, wie schnell du ein </w:t>
      </w:r>
      <w:r>
        <w:rPr>
          <w:rFonts w:eastAsia="Cambria" w:cs="Cambria"/>
          <w:b w:val="false"/>
          <w:bCs w:val="false"/>
          <w:i/>
          <w:iCs/>
          <w:sz w:val="22"/>
          <w:szCs w:val="22"/>
        </w:rPr>
        <w:t>Resident Class Visa</w:t>
      </w:r>
      <w:r>
        <w:rPr>
          <w:rFonts w:eastAsia="Cambria" w:cs="Cambria"/>
          <w:b w:val="false"/>
          <w:bCs w:val="false"/>
          <w:i w:val="false"/>
          <w:iCs w:val="false"/>
          <w:sz w:val="22"/>
          <w:szCs w:val="22"/>
        </w:rPr>
        <w:t xml:space="preserve"> erreichst – erst dann beginnt die eigentliche Einbürgerungs-Uhr zu laufen. Paul Lindner, der wie im </w:t>
      </w:r>
      <w:hyperlink w:anchor="tnz03">
        <w:r>
          <w:rPr>
            <w:rStyle w:val="ListLabel113"/>
            <w:rFonts w:eastAsia="Cambria" w:cs="Cambria"/>
            <w:b w:val="false"/>
            <w:bCs w:val="false"/>
            <w:i w:val="false"/>
            <w:iCs w:val="false"/>
            <w:color w:val="0563C1"/>
            <w:sz w:val="22"/>
            <w:szCs w:val="22"/>
            <w:u w:val="single"/>
          </w:rPr>
          <w:t>Kapitel zum Arbeitsweg in diesem Teil</w:t>
        </w:r>
      </w:hyperlink>
      <w:r>
        <w:rPr>
          <w:rFonts w:eastAsia="Cambria" w:cs="Cambria"/>
          <w:b w:val="false"/>
          <w:bCs w:val="false"/>
          <w:i w:val="false"/>
          <w:iCs w:val="false"/>
          <w:sz w:val="22"/>
          <w:szCs w:val="22"/>
        </w:rPr>
        <w:t xml:space="preserve"> beschrieben direkt mit einem </w:t>
      </w:r>
      <w:r>
        <w:rPr>
          <w:rFonts w:eastAsia="Cambria" w:cs="Cambria"/>
          <w:b w:val="false"/>
          <w:bCs w:val="false"/>
          <w:i/>
          <w:iCs/>
          <w:sz w:val="22"/>
          <w:szCs w:val="22"/>
        </w:rPr>
        <w:t>Skilled Migrant Category</w:t>
      </w:r>
      <w:r>
        <w:rPr>
          <w:rFonts w:eastAsia="Cambria" w:cs="Cambria"/>
          <w:b w:val="false"/>
          <w:bCs w:val="false"/>
          <w:i w:val="false"/>
          <w:iCs w:val="false"/>
          <w:sz w:val="22"/>
          <w:szCs w:val="22"/>
        </w:rPr>
        <w:t xml:space="preserve"> (SMC) Resident Visa aus Deutschland einreist, hält dieses Visum bereits am Tag der Landung; die 1.350-Tage-Uhr läuft ab diesem Zeitpunkt. Familie Krüger dagegen kommt zunächst mit dem befristeten </w:t>
      </w:r>
      <w:r>
        <w:rPr>
          <w:rFonts w:eastAsia="Cambria" w:cs="Cambria"/>
          <w:b w:val="false"/>
          <w:bCs w:val="false"/>
          <w:i/>
          <w:iCs/>
          <w:sz w:val="22"/>
          <w:szCs w:val="22"/>
        </w:rPr>
        <w:t>Accredited Employer Work Visa</w:t>
      </w:r>
      <w:r>
        <w:rPr>
          <w:rFonts w:eastAsia="Cambria" w:cs="Cambria"/>
          <w:b w:val="false"/>
          <w:bCs w:val="false"/>
          <w:i w:val="false"/>
          <w:iCs w:val="false"/>
          <w:sz w:val="22"/>
          <w:szCs w:val="22"/>
        </w:rPr>
        <w:t xml:space="preserve"> (AEWV), weil Sebastians Beruf als Agraringenieur auf der </w:t>
      </w:r>
      <w:r>
        <w:rPr>
          <w:rFonts w:eastAsia="Cambria" w:cs="Cambria"/>
          <w:b w:val="false"/>
          <w:bCs w:val="false"/>
          <w:i/>
          <w:iCs/>
          <w:sz w:val="22"/>
          <w:szCs w:val="22"/>
        </w:rPr>
        <w:t>Green List</w:t>
      </w:r>
      <w:r>
        <w:rPr>
          <w:rFonts w:eastAsia="Cambria" w:cs="Cambria"/>
          <w:b w:val="false"/>
          <w:bCs w:val="false"/>
          <w:i w:val="false"/>
          <w:iCs w:val="false"/>
          <w:sz w:val="22"/>
          <w:szCs w:val="22"/>
        </w:rPr>
        <w:t xml:space="preserve"> steht – der Wechsel zum Resident Visa erfolgt hier typischerweise über den „Straight to Residence“-Pfad der Green List oder über die SMC selbst, nach einigen Monaten bis zu zwei Jahren Berufserfahrung in Neuseeland. Die formale Anwesenheitspflicht beginnt für die Familie erst mit der Erteilung dieses Resident Visa, nicht schon mit dem AEWV.</w:t>
      </w:r>
    </w:p>
    <w:tbl>
      <w:tblPr>
        <w:tblW w:w="6480" w:type="dxa"/>
        <w:jc w:val="left"/>
        <w:tblInd w:w="0" w:type="dxa"/>
        <w:tblLayout w:type="fixed"/>
        <w:tblCellMar>
          <w:top w:w="50" w:type="dxa"/>
          <w:left w:w="80" w:type="dxa"/>
          <w:bottom w:w="50" w:type="dxa"/>
          <w:right w:w="80" w:type="dxa"/>
        </w:tblCellMar>
      </w:tblPr>
      <w:tblGrid>
        <w:gridCol w:w="3619"/>
        <w:gridCol w:w="2860"/>
      </w:tblGrid>
      <w:tr>
        <w:trPr>
          <w:tblHeader w:val="true"/>
          <w:cantSplit w:val="true"/>
        </w:trPr>
        <w:tc>
          <w:tcPr>
            <w:tcW w:w="361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Einstiegsweg</w:t>
            </w:r>
          </w:p>
        </w:tc>
        <w:tc>
          <w:tcPr>
            <w:tcW w:w="28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Realistische Gesamtdauer Einreise → Einbürgerungsantrag</w:t>
            </w:r>
          </w:p>
        </w:tc>
      </w:tr>
      <w:tr>
        <w:trPr>
          <w:cantSplit w:val="true"/>
        </w:trPr>
        <w:tc>
          <w:tcPr>
            <w:tcW w:w="3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Direkt mit SMC Resident Visa (wie Paul Lindner)</w:t>
            </w:r>
          </w:p>
        </w:tc>
        <w:tc>
          <w:tcPr>
            <w:tcW w:w="28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5,5–7 Jahre</w:t>
            </w:r>
          </w:p>
        </w:tc>
      </w:tr>
      <w:tr>
        <w:trPr>
          <w:cantSplit w:val="true"/>
        </w:trPr>
        <w:tc>
          <w:tcPr>
            <w:tcW w:w="3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AEWV → Green List/SMC-Übergang zur Residenz (wie Familie Krüger)</w:t>
            </w:r>
          </w:p>
        </w:tc>
        <w:tc>
          <w:tcPr>
            <w:tcW w:w="28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 6,5–8 Jahre</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Der Resident Visa selbst ist zunächst rund 24 Monate reisebeschränkt – wer in dieser Zeit ohne vorherige Zustimmung zu lange im Ausland ist, riskiert Probleme bei der Wiedereinreise. Danach wandelt sich der Titel üblicherweise in die unbefristete, reisebeschränkungsfreie </w:t>
      </w:r>
      <w:r>
        <w:rPr>
          <w:rFonts w:eastAsia="Cambria" w:cs="Cambria"/>
          <w:b w:val="false"/>
          <w:bCs w:val="false"/>
          <w:i/>
          <w:iCs/>
          <w:sz w:val="22"/>
          <w:szCs w:val="22"/>
        </w:rPr>
        <w:t>Permanent Resident Visa</w:t>
      </w:r>
      <w:r>
        <w:rPr>
          <w:rFonts w:eastAsia="Cambria" w:cs="Cambria"/>
          <w:b w:val="false"/>
          <w:bCs w:val="false"/>
          <w:i w:val="false"/>
          <w:iCs w:val="false"/>
          <w:sz w:val="22"/>
          <w:szCs w:val="22"/>
        </w:rPr>
        <w:t xml:space="preserve"> (PRV); für die Einbürgerung selbst ist die PRV aber nicht zwingend Voraussetzung – auch die Zeit mit dem reisebeschränkten Resident Visa zählt zur fünfjährigen Frist. Die Bearbeitung des SMC-Resident-Visa-Antrags selbst dauert im Median rund neun Wochen; wer wie Familie Krüger erst über das AEWV einreist, sollte diese Bearbeitungszeit zusätzlich zur vorherigen Berufserfahrung in seine Zeitplanung einrechnen.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Das AEWV ist für Inhaber ohne erkennbaren Weg zur Residenz auf eine Gesamtdauer von maximal fünf Jahren begrenzt. Wer bis dahin nicht auf ein Resident Visa – etwa über die Green List oder die SMC – gewechselt ist, muss zwölf Monate außerhalb Neuseelands verbringen, bevor ein neues AEWV überhaupt wieder möglich ist. Wer den Übergang zur Residenz plant, sollte ihn deshalb rechtzeitig angehen und nicht auf das Ende der fünf Jahre zulaufen lassen.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Anwesenheitspflicht: 1.350 Tage, aber nicht wie gedacht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Grundregel klingt zunächst einfach: mindestens 1.350 Tage physische Anwesenheit innerhalb der fünf Jahre unmittelbar vor der Antragstellung. Der eigentliche Stolperstein liegt in einer zweiten, unabhängigen Bedingung: mindestens 240 Tage Anwesenheit in </w:t>
      </w:r>
      <w:r>
        <w:rPr>
          <w:rFonts w:eastAsia="Cambria" w:cs="Cambria"/>
          <w:b/>
          <w:bCs/>
          <w:i w:val="false"/>
          <w:iCs w:val="false"/>
          <w:sz w:val="22"/>
          <w:szCs w:val="22"/>
        </w:rPr>
        <w:t>jedem einzelnen</w:t>
      </w:r>
      <w:r>
        <w:rPr>
          <w:rFonts w:eastAsia="Cambria" w:cs="Cambria"/>
          <w:b w:val="false"/>
          <w:bCs w:val="false"/>
          <w:i w:val="false"/>
          <w:iCs w:val="false"/>
          <w:sz w:val="22"/>
          <w:szCs w:val="22"/>
        </w:rPr>
        <w:t xml:space="preserve"> dieser fünf 12-Monats-Zeiträume – nicht im Kalenderjahr, sondern gezählt ab dem individuellen Jahrestag deines Resident Visa. Ein einzelnes „schwaches“ Jahr mit beispielsweise nur 210 Tagen Anwesenheit lässt die gesamte Fünf-Jahres-Periode scheitern, selbst wenn die Gesamtsumme von 1.350 Tagen über die anderen Jahre klar erreicht wird.</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verbreitetste Fehlkalkulation ist die Annahme, nur die 1.350-Tage-Gesamtsumme zähle. Eine längere Deutschlandreise – etwa wegen der Pflege eines erkrankten Elternteils – kann ausgerechnet in einem einzelnen Jahr die 240-Tage-Schwelle reißen, auch wenn du in den übrigen vier Jahren kaum verreist bist. Führe von Anfang an ein Anwesenheitslogbuch und rechne beide Bedingungen getrennt durch, nicht nur die große Zahl.</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zweiter, oft übersehener Punkt: Weil die Jahresgrenzen ab dem Jahrestag deines Visums laufen und nicht ab dem 1. Januar, berührt eine Reise über den Jahreswechsel häufig zwei verschiedene „Visa-Jahre“ gleichzeitig – wer nur mit dem Kalenderjahr rechnet, verzählt sich leicht.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Familie Krüger (fiktives Beispiel) lebt seit über vier Jahren mit Resident Visa in Christchurch, als Petras Mutter in Deutschland schwer erkrankt. Petra reist für rund fünf Monate zur Pflege nach Deutschland, während Sebastian mit Lotta und Finn in Christchurch bleibt. Als sie später ihre Anwesenheitstage für den Einbürgerungsantrag zusammenrechnet, stellt Petra fest, dass ausgerechnet dieses eine Visa-Jahr nur auf rund 210 Tage kommt – deutlich unter der 240-Tage-Schwelle. Die Gesamtsumme über alle fünf Jahre liegt weit über 1.350 Tagen, das ändert aber nichts: Petra muss ein zusätzliches Jahr warten, bis ein neues, vollständiges Fünf-Jahres-Fenster ohne dieses schwache Jahr entsteht.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Sprache und der angekündigte Staatskundetest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Bis heute verlangt Neuseeland für die Einbürgerung keinen formalisierten Sprachtest – „ausreichende Kenntnisse der englischen Sprache“ werden einzelfallbezogen geprüft, oft im persönlichen Interview, ohne festgelegtes Prüfungsformat oder Sprachniveau. Das ändert sich, sobald der neue Staatskundetest kommt: Die Regierung hat ihn für voraussichtlich Ende 2027 angekündigt, mit 20 Multiple-Choice-Fragen und einer Bestehensgrenze von 15 richtigen Antworten (75 %), voraussichtlich als Präsenzprüfung. Themen sollen unter anderem der </w:t>
      </w:r>
      <w:r>
        <w:rPr>
          <w:rFonts w:eastAsia="Cambria" w:cs="Cambria"/>
          <w:b w:val="false"/>
          <w:bCs w:val="false"/>
          <w:i/>
          <w:iCs/>
          <w:sz w:val="22"/>
          <w:szCs w:val="22"/>
        </w:rPr>
        <w:t>Bill of Rights Act</w:t>
      </w:r>
      <w:r>
        <w:rPr>
          <w:rFonts w:eastAsia="Cambria" w:cs="Cambria"/>
          <w:b w:val="false"/>
          <w:bCs w:val="false"/>
          <w:i w:val="false"/>
          <w:iCs w:val="false"/>
          <w:sz w:val="22"/>
          <w:szCs w:val="22"/>
        </w:rPr>
        <w:t>, ausgewählte Straftatbestände, Wahlrecht, demokratische Prinzipien, die Regierungsstruktur sowie Ein- und Ausreiseregeln sein. Ausgenommen sind Antragsteller unter 16 und über 65 Jahren sowie alle, die die Staatsbürgerschaft über Geburt, Abstammung oder den Western-Samoa-Sonderpfad erwerben – und wer seinen Antrag schon vor Inkrafttreten der neuen Regel eingereicht hat, muss den Test ebenfalls nicht ablegen.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2F6B3B"/>
            </w:tcBorders>
            <w:shd w:color="auto" w:fill="EDF6EF" w:val="clear"/>
          </w:tcPr>
          <w:p>
            <w:pPr>
              <w:pStyle w:val="Normal"/>
              <w:keepNext w:val="true"/>
              <w:spacing w:lineRule="exact" w:line="240" w:before="0" w:after="70"/>
              <w:rPr/>
            </w:pPr>
            <w:r>
              <w:rPr>
                <w:rFonts w:eastAsia="Cambria" w:cs="Cambria"/>
                <w:b/>
                <w:bCs/>
                <w:color w:val="2F6B3B"/>
                <w:spacing w:val="24"/>
                <w:sz w:val="16"/>
                <w:szCs w:val="16"/>
              </w:rPr>
              <w:t>SPARTIPP</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Wer die 1.350/240-Tage-Frist ohnehin bald erfüllt, sollte den Einbürgerungsantrag bewusst so timen, dass er vor Inkrafttreten des neuen Staatskundetests Ende 2027 eingereicht wird – auch wenn Format und genauer Starttermin noch nicht endgültig feststehen, spart eine frühere Antragstellung möglicherweise die zusätzliche Prüfungshürde.</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Charakterliche Eignung und Gebühren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Neben der Anwesenheitspflicht prüft das </w:t>
      </w:r>
      <w:r>
        <w:rPr>
          <w:rFonts w:eastAsia="Cambria" w:cs="Cambria"/>
          <w:b w:val="false"/>
          <w:bCs w:val="false"/>
          <w:i/>
          <w:iCs/>
          <w:sz w:val="22"/>
          <w:szCs w:val="22"/>
        </w:rPr>
        <w:t>Department of Internal Affairs</w:t>
      </w:r>
      <w:r>
        <w:rPr>
          <w:rFonts w:eastAsia="Cambria" w:cs="Cambria"/>
          <w:b w:val="false"/>
          <w:bCs w:val="false"/>
          <w:i w:val="false"/>
          <w:iCs w:val="false"/>
          <w:sz w:val="22"/>
          <w:szCs w:val="22"/>
        </w:rPr>
        <w:t xml:space="preserve"> (DIA) bei jedem Antragsteller den „guten Leumund“ (</w:t>
      </w:r>
      <w:r>
        <w:rPr>
          <w:rFonts w:eastAsia="Cambria" w:cs="Cambria"/>
          <w:b w:val="false"/>
          <w:bCs w:val="false"/>
          <w:i/>
          <w:iCs/>
          <w:sz w:val="22"/>
          <w:szCs w:val="22"/>
        </w:rPr>
        <w:t>Good Character</w:t>
      </w:r>
      <w:r>
        <w:rPr>
          <w:rFonts w:eastAsia="Cambria" w:cs="Cambria"/>
          <w:b w:val="false"/>
          <w:bCs w:val="false"/>
          <w:i w:val="false"/>
          <w:iCs w:val="false"/>
          <w:sz w:val="22"/>
          <w:szCs w:val="22"/>
        </w:rPr>
        <w:t>) über Selbstauskünfte im Antragsformular, die mit externen Stellen wie der neuseeländischen Polizei abgeglichen werden. Offene Anklagen oder schwerere Vorstrafen können den Antrag verzögern oder zu Fall bringen; ältere, geringfügige Vorfälle werden im Einzelfall gewürdigt. Gib bei jedem Schritt – auch schon bei früheren Visumanträgen – wirklich jede relevante Vorstrafe an; das DIA gleicht die Angaben in jedem Fall mit anderen Behörden ab.</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Antragsgebühr liegt seit dem 28. August 2026 bei 560 NZD pro Erwachsenem (eine Anhebung um 14,4 % gegenüber der vorherigen Stufe von November 2025), für Kinder bei 280 NZD. Die Bearbeitung selbst ist vergleichsweise zügig: Nach einer Angabe des DIA von Mai 2026 werden rund 91 % der Anträge innerhalb von acht Monaten entschieden, danach folgen noch ein bis drei weitere Monate bis zur Einbürgerungszeremonie – erst mit ihr bist du formal Staatsbürger und kannst den Reisepass beantragen. Die Zeremonie selbst (</w:t>
      </w:r>
      <w:r>
        <w:rPr>
          <w:rFonts w:eastAsia="Cambria" w:cs="Cambria"/>
          <w:b w:val="false"/>
          <w:bCs w:val="false"/>
          <w:i/>
          <w:iCs/>
          <w:sz w:val="22"/>
          <w:szCs w:val="22"/>
        </w:rPr>
        <w:t>Oath or Affirmation of Allegiance</w:t>
      </w:r>
      <w:r>
        <w:rPr>
          <w:rFonts w:eastAsia="Cambria" w:cs="Cambria"/>
          <w:b w:val="false"/>
          <w:bCs w:val="false"/>
          <w:i w:val="false"/>
          <w:iCs w:val="false"/>
          <w:sz w:val="22"/>
          <w:szCs w:val="22"/>
        </w:rPr>
        <w:t>, wählbar auf Englisch oder Te Reo Māori) wird meist vom Bürgermeister der Gemeinde geleitet, dauert inklusive Reden und kulturellem Programm oft mehrere Stunden und schließt mit der Nationalhymne; das Zertifikat erhältst du direkt vor Ort. Die Teilnahme ist innerhalb eines Jahres nach der Genehmigung Pflicht.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Ab Ende 2026 werden viele Inhaber der 2021 Resident Visa (ein Sonderprogramm aus der Pandemiezeit) einbürgerungsberechtigt. Das DIA selbst weist darauf hin, dass sich die Bearbeitungszeiten dadurch wieder verlängern könnten – plane bei einem Antrag in diesem Zeitraum einen zeitlichen Puffer ein.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Doppelte Staatsbürgerschaft: Neuseeland und Deutschland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Neuseeland erkennt Mehrstaatigkeit uneingeschränkt an; verlangt wird lediglich, im Antrag alle bestehenden Staatsangehörigkeiten anzugeben, kein Verzicht auf die deutsche Staatsangehörigkeit.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Neuseeländer wird, behält die deutsche Staatsangehörigkeit automatisch, ganz ohne die früher nötige Beibehaltungsgenehmigung.</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 Reform wirkt nicht rückwirkend. Wer sich vor dem 27. Juni 2024 in Neuseeland einbürgern ließ, ohne vorher eine Beibehaltungsgenehmigung beim Bundesverwaltungsamt eingeholt zu haben, hat die deutsche Staatsangehörigkeit nach damaliger Rechtslage verloren – dieser Verlust bleibt bestehen. Wer schon länger in Neuseeland lebt und unsicher ist, ob eine frühere Einbürgerung Folgen hatte, sollte den eigenen Fall bei der deutschen Botschaft Wellington oder dem zuständigen Honorarkonsulat individuell prüfen lassen.</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Kinder: kein unbedingtes Geburtsortsprinzip</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Anders als in Kanada gilt in Neuseeland seit dem 1. Januar 2006 kein unbedingtes Geburtsortsprinzip (</w:t>
      </w:r>
      <w:r>
        <w:rPr>
          <w:rFonts w:eastAsia="Cambria" w:cs="Cambria"/>
          <w:b w:val="false"/>
          <w:bCs w:val="false"/>
          <w:i/>
          <w:iCs/>
          <w:sz w:val="22"/>
          <w:szCs w:val="22"/>
        </w:rPr>
        <w:t>Jus Soli</w:t>
      </w:r>
      <w:r>
        <w:rPr>
          <w:rFonts w:eastAsia="Cambria" w:cs="Cambria"/>
          <w:b w:val="false"/>
          <w:bCs w:val="false"/>
          <w:i w:val="false"/>
          <w:iCs w:val="false"/>
          <w:sz w:val="22"/>
          <w:szCs w:val="22"/>
        </w:rPr>
        <w:t>) mehr. Ein in Neuseeland geborenes Kind wird nur dann automatisch Staatsbürger, wenn mindestens ein Elternteil zum Geburtszeitpunkt neuseeländischer Staatsbürger oder Permanent Resident ist – oder australischer Staatsbürger beziehungsweise Bürger oder Permanent Resident der Cookinseln, Tokelaus oder Niues, eine Besonderheit aus der historischen Verbindung Neuseelands zu diesen pazifischen Inselgruppen. Vor 2006 Geborene erhielten die Staatsangehörigkeit noch unabhängig vom Status der Eltern.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im Ausland geborene Kinder neuseeländischer Eltern gilt zusätzlich ein Generationenlimit: Ein Elternteil, der selbst nur „</w:t>
      </w:r>
      <w:r>
        <w:rPr>
          <w:rFonts w:eastAsia="Cambria" w:cs="Cambria"/>
          <w:b w:val="false"/>
          <w:bCs w:val="false"/>
          <w:i/>
          <w:iCs/>
          <w:sz w:val="22"/>
          <w:szCs w:val="22"/>
        </w:rPr>
        <w:t>by descent</w:t>
      </w:r>
      <w:r>
        <w:rPr>
          <w:rFonts w:eastAsia="Cambria" w:cs="Cambria"/>
          <w:b w:val="false"/>
          <w:bCs w:val="false"/>
          <w:i w:val="false"/>
          <w:iCs w:val="false"/>
          <w:sz w:val="22"/>
          <w:szCs w:val="22"/>
        </w:rPr>
        <w:t xml:space="preserve">“ (durch Abstammung im Ausland) neuseeländischer Staatsbürger wurde, kann diese Staatsbürgerschaft nicht an ein eigenes, im Ausland geborenes Kind weitergeben – das Kind braucht dann den regulären Weg über </w:t>
      </w:r>
      <w:r>
        <w:rPr>
          <w:rFonts w:eastAsia="Cambria" w:cs="Cambria"/>
          <w:b w:val="false"/>
          <w:bCs w:val="false"/>
          <w:i/>
          <w:iCs/>
          <w:sz w:val="22"/>
          <w:szCs w:val="22"/>
        </w:rPr>
        <w:t>Citizenship by Grant</w:t>
      </w:r>
      <w:r>
        <w:rPr>
          <w:rFonts w:eastAsia="Cambria" w:cs="Cambria"/>
          <w:b w:val="false"/>
          <w:bCs w:val="false"/>
          <w:i w:val="false"/>
          <w:iCs w:val="false"/>
          <w:sz w:val="22"/>
          <w:szCs w:val="22"/>
        </w:rPr>
        <w:t xml:space="preserve">. Für die erste Generation im Ausland ist die Registrierung als </w:t>
      </w:r>
      <w:r>
        <w:rPr>
          <w:rFonts w:eastAsia="Cambria" w:cs="Cambria"/>
          <w:b w:val="false"/>
          <w:bCs w:val="false"/>
          <w:i/>
          <w:iCs/>
          <w:sz w:val="22"/>
          <w:szCs w:val="22"/>
        </w:rPr>
        <w:t>Citizenship by Descent</w:t>
      </w:r>
      <w:r>
        <w:rPr>
          <w:rFonts w:eastAsia="Cambria" w:cs="Cambria"/>
          <w:b w:val="false"/>
          <w:bCs w:val="false"/>
          <w:i w:val="false"/>
          <w:iCs w:val="false"/>
          <w:sz w:val="22"/>
          <w:szCs w:val="22"/>
        </w:rPr>
        <w:t xml:space="preserve"> beim DIA Pflicht und konstitutiv – die Staatsbürgerschaft entsteht erst mit der Registrierung, nicht automatisch mit der Geburt (Gebühr 243 NZD). Die deutsche Seite bleibt davon unberührt: Ein Kind mit einem deutschen Elternteil ist unabhängig vom Geburtsort von Geburt an deutsch (§ 4 Abs. 1 StAG).</w:t>
      </w:r>
    </w:p>
    <w:p>
      <w:pPr>
        <w:pStyle w:val="Heading3"/>
        <w:keepNext w:val="true"/>
        <w:spacing w:before="280" w:after="100"/>
        <w:jc w:val="center"/>
        <w:rPr/>
      </w:pPr>
      <w:r>
        <w:rPr>
          <w:rFonts w:eastAsia="Amazon Ember" w:cs="Amazon Ember" w:ascii="Amazon Ember" w:hAnsi="Amazon Ember"/>
          <w:b/>
          <w:bCs/>
          <w:color w:val="0000FF"/>
          <w:sz w:val="36"/>
          <w:szCs w:val="36"/>
        </w:rPr>
        <w:t>Das Steuerresidenz-Prinzip: Wohnsitz statt Pass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Hier liegt der wichtigste Unterschied zur US-Regelung, der viele Auswanderer verunsichert, sobald sie zum ersten Mal davon hören: Die neuseeländische Finanzbehörde </w:t>
      </w:r>
      <w:r>
        <w:rPr>
          <w:rFonts w:eastAsia="Cambria" w:cs="Cambria"/>
          <w:b w:val="false"/>
          <w:bCs w:val="false"/>
          <w:i/>
          <w:iCs/>
          <w:sz w:val="22"/>
          <w:szCs w:val="22"/>
        </w:rPr>
        <w:t>Inland Revenue</w:t>
      </w:r>
      <w:r>
        <w:rPr>
          <w:rFonts w:eastAsia="Cambria" w:cs="Cambria"/>
          <w:b w:val="false"/>
          <w:bCs w:val="false"/>
          <w:i w:val="false"/>
          <w:iCs w:val="false"/>
          <w:sz w:val="22"/>
          <w:szCs w:val="22"/>
        </w:rPr>
        <w:t xml:space="preserve"> (IRD) besteuert nach Steuerwohnsitz, nicht nach Staatsangehörigkeit. Steuerresidenz entsteht entweder durch einen „</w:t>
      </w:r>
      <w:r>
        <w:rPr>
          <w:rFonts w:eastAsia="Cambria" w:cs="Cambria"/>
          <w:b w:val="false"/>
          <w:bCs w:val="false"/>
          <w:i/>
          <w:iCs/>
          <w:sz w:val="22"/>
          <w:szCs w:val="22"/>
        </w:rPr>
        <w:t>permanent place of abode</w:t>
      </w:r>
      <w:r>
        <w:rPr>
          <w:rFonts w:eastAsia="Cambria" w:cs="Cambria"/>
          <w:b w:val="false"/>
          <w:bCs w:val="false"/>
          <w:i w:val="false"/>
          <w:iCs w:val="false"/>
          <w:sz w:val="22"/>
          <w:szCs w:val="22"/>
        </w:rPr>
        <w:t xml:space="preserve">“ (einen dauerhaften Wohnsitz) in Neuseeland oder durch mehr als 183 Tage Anwesenheit innerhalb eines 12-Monats-Zeitraums. Wer als Steuerresident gilt, versteuert sein weltweites Einkommen in Neuseeland – unabhängig davon, welchen Pass er trägt. Wer diese Kriterien nicht mehr erfüllt, etwa weil Wohnsitz und Lebensmittelpunkt zurück nach Deutschland verlagert wurden, zahlt nur noch auf neuseeländische Quelleneinkünfte Steuern, selbst mit neuseeländischem Pass in der Tasche. Ein Doppelbesteuerungsabkommen zwischen Deutschland und Neuseeland verhindert in aller Regel, dass dasselbe Einkommen zweimal wirklich besteuert wird – die grundsätzliche Meldepflicht gegenüber beiden Finanzbehörden bleibt davon aber unberührt. Die genauen Details der neuseeländischen Steuerresidenz erklärt das </w:t>
      </w:r>
      <w:hyperlink w:anchor="tnz07">
        <w:r>
          <w:rPr>
            <w:rStyle w:val="ListLabel113"/>
            <w:rFonts w:eastAsia="Cambria" w:cs="Cambria"/>
            <w:b w:val="false"/>
            <w:bCs w:val="false"/>
            <w:i w:val="false"/>
            <w:iCs w:val="false"/>
            <w:color w:val="0563C1"/>
            <w:sz w:val="22"/>
            <w:szCs w:val="22"/>
            <w:u w:val="single"/>
          </w:rPr>
          <w:t>Kapitel zu Steuer-ID, Bank und Kredit in diesem Teil</w:t>
        </w:r>
      </w:hyperlink>
      <w:r>
        <w:rPr>
          <w:rFonts w:eastAsia="Cambria" w:cs="Cambria"/>
          <w:b w:val="false"/>
          <w:bCs w:val="false"/>
          <w:i w:val="false"/>
          <w:iCs w:val="false"/>
          <w:sz w:val="22"/>
          <w:szCs w:val="22"/>
        </w:rPr>
        <w:t xml:space="preserve"> ausführlicher.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 xml:space="preserve">Die USA gehen den entgegengesetzten Weg: Wer den US-Pass trägt, bleibt lebenslang steuerpflichtig, unabhängig vom Wohnort, und ein Verzicht auf die US-Staatsbürgerschaft kann eine eigene Steuer, die </w:t>
      </w:r>
      <w:r>
        <w:rPr>
          <w:rFonts w:eastAsia="Cambria" w:cs="Cambria"/>
          <w:b w:val="false"/>
          <w:bCs w:val="false"/>
          <w:i/>
          <w:iCs/>
          <w:sz w:val="22"/>
          <w:szCs w:val="22"/>
        </w:rPr>
        <w:t>Exit Tax</w:t>
      </w:r>
      <w:r>
        <w:rPr>
          <w:rFonts w:eastAsia="Cambria" w:cs="Cambria"/>
          <w:b w:val="false"/>
          <w:bCs w:val="false"/>
          <w:i w:val="false"/>
          <w:iCs w:val="false"/>
          <w:sz w:val="22"/>
          <w:szCs w:val="22"/>
        </w:rPr>
        <w:t>, auslösen – nachzulesen im Teil zu den USA in diesem Buch. In Neuseeland gibt es dieses Konstrukt nicht: Der Verzicht auf die neuseeländische Staatsbürgerschaft (</w:t>
      </w:r>
      <w:r>
        <w:rPr>
          <w:rFonts w:eastAsia="Cambria" w:cs="Cambria"/>
          <w:b w:val="false"/>
          <w:bCs w:val="false"/>
          <w:i/>
          <w:iCs/>
          <w:sz w:val="22"/>
          <w:szCs w:val="22"/>
        </w:rPr>
        <w:t>Renunciation</w:t>
      </w:r>
      <w:r>
        <w:rPr>
          <w:rFonts w:eastAsia="Cambria" w:cs="Cambria"/>
          <w:b w:val="false"/>
          <w:bCs w:val="false"/>
          <w:i w:val="false"/>
          <w:iCs w:val="false"/>
          <w:sz w:val="22"/>
          <w:szCs w:val="22"/>
        </w:rPr>
        <w:t>) kostet lediglich eine Verwaltungsgebühr von 474 NZD, keine gesonderte Steuer. Ein steuerlicher Wegzug – die Aufgabe der neuseeländischen Steuerresidenz – ist eine Frage des Wohnsitzes, keine Frage der Staatsangehörigkeit, und betrifft jeden, der seinen Lebensmittelpunkt verlagert, ganz unabhängig vom Pass.</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Der neuseeländische Pass hat keine steuerlichen Nebenwirkungen. Was zählt, ist immer, wo du tatsächlich lebst – nicht, welchen Ausweis du dabei in der Tasche trägst.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4A5568"/>
            </w:tcBorders>
            <w:shd w:color="auto" w:fill="F0F2F5" w:val="clear"/>
          </w:tcPr>
          <w:p>
            <w:pPr>
              <w:pStyle w:val="Normal"/>
              <w:keepNext w:val="true"/>
              <w:spacing w:lineRule="exact" w:line="240" w:before="0" w:after="70"/>
              <w:rPr/>
            </w:pPr>
            <w:r>
              <w:rPr>
                <w:rFonts w:eastAsia="Cambria" w:cs="Cambria"/>
                <w:b/>
                <w:bCs/>
                <w:color w:val="4A5568"/>
                <w:spacing w:val="24"/>
                <w:sz w:val="16"/>
                <w:szCs w:val="16"/>
              </w:rPr>
              <w:t>PRAXISBEISPIEL · FIKTIV</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Paul Lindner (fiktives Beispiel) arbeitet seit einigen Jahren als IT-Berater in Auckland und überlegt, ein Angebot eines Frankfurter Kunden anzunehmen, das ihn für zwei Jahre zurück nach Deutschland führen würde. Seine erste Sorge gilt der Frage, ob Neuseeland ihn dann weiterhin besteuert, weil er ja irgendwann den neuseeländischen Pass anstrebt. Ein Steuerberater klärt ihn auf: Sobald Paul seinen Wohnsitz und Lebensmittelpunkt wirklich nach Frankfurt verlagert und die 183-Tage-Grenze in Neuseeland unterschreitet, gilt er als steuerlich nicht mehr ansässig – unabhängig davon, ob er später einen neuseeländischen Pass besitzt oder nicht. Neuseeländische Steuern fallen dann nur noch auf rein neuseeländische Einkünfte an, etwa eine vermietete Eigentumswohnung in Auckland, nicht auf sein neues deutsches Gehalt.</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KEIN RECHTSRAT</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Dieses Kapitel erklärt den Weg zur Staatsbürgerschaft und das Grundprinzip der neuseeländischen Steuerresidenz. Es ersetzt keine Rechts- oder Steuerberatung. Ob du im Einzelfall als Steuerresident giltst, wie sich ein Wegzug aus Neuseeland konkret auswirkt und wie das Doppelbesteuerungsabkommen zwischen Deutschland und Neuseeland mit Einkommen, Vermögen oder der gesetzlichen Rente umgeht, hängt von den Details deines Falls ab. Lass das von einer neuseeländischen Steuerfachperson prüfen, die sich mit einer deutschen abstimmt.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Plus und Minus</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Plus</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Minus</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Zwang zur Aufgabe der deutschen Staatsangehörigkeit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240-Tage-Regel pro Einzeljahr wird leicht übersehen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 formaler Sprachtest bis mindestens Ende 2027</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Neuer Staatskundetest ab Ende 2027 angekündigt, Details noch nicht final</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Steuerpflicht endet mit dem Steuerwohnsitz, nicht mit dem Pass</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Gesamtdauer bis zum Pass real oft 6 bis 8 Jahre, nicht die schnellstmöglichen 5</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Keine Exit Tax beim Verzicht auf die Staatsbürgerschaft</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Steuerfolgen eines Wegzugs bleiben trotzdem individuell zu prüfen</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Altersbefreiung vom künftigen Test für unter 16- und über 65-Jährige</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Reform von 2024 wirkt nicht rückwirkend für ältere Einbürgerungsfälle</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jetzt zu tun ist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Rechne früh aus, über welchen Weg du realistisch ein Resident Visa erreichst, denn davon hängt die gesamte weitere Zeitachse ab; wer noch auf dem AEWV sitzt, sollte den Übergang zur Residenz bewusst vor der Fünf-Jahres-Grenze angehen, nicht erst kurz davor. Führe von Beginn an ein Anwesenheitslogbuch und prüfe beide Bedingungen getrennt – die 1.350-Tage-Gesamtsumme und die 240-Tage-Schwelle in jedem einzelnen Visa-Jahr. Wenn du die Einbürgerung ohnehin planst, ziehe in Betracht, den Antrag vor Inkrafttreten des neuen Staatskundetests Ende 2027 zu stellen. Bei der Steuerresidenz gilt: Sprich frühzeitig mit einer Steuerfachperson, sobald ein längerer Auslandsaufenthalt – auch nur vorübergehend – im Raum steht, denn das betrifft dich unabhängig davon, ob du je einbürgern willst oder den Pass schon hast.</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1F6F78"/>
            </w:tcBorders>
            <w:shd w:color="auto" w:fill="EBF5F6" w:val="clear"/>
          </w:tcPr>
          <w:p>
            <w:pPr>
              <w:pStyle w:val="Normal"/>
              <w:keepNext w:val="true"/>
              <w:spacing w:lineRule="exact" w:line="240" w:before="0" w:after="70"/>
              <w:rPr/>
            </w:pPr>
            <w:r>
              <w:rPr>
                <w:rFonts w:eastAsia="Cambria" w:cs="Cambria"/>
                <w:b/>
                <w:bCs/>
                <w:color w:val="1F6F78"/>
                <w:spacing w:val="24"/>
                <w:sz w:val="16"/>
                <w:szCs w:val="16"/>
              </w:rPr>
              <w:t>CHECKLISTE</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Eigenen Einstiegsweg (direktes Resident Visa oder Übergang vom AEWV) und realistische Gesamtdauer bis zum Antrag eingeschätzt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Anwesenheitslogbuch geführt: Gesamtsumme (1.350/1.825 Tage) und Einzeljahr-Schwelle (240 Tage) getrennt berechnet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Jahresgrenzen korrekt ab dem individuellen Visa-Jahrestag berechnet, nicht ab dem Kalenderjahr</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Guten Leumund und vollständige Offenlegung aller relevanten Vorstrafen sichergestellt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Ankündigung des neuen Staatskundetests (Ende 2027) im eigenen Zeitplan berücksichtigt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im Ausland geborenen Kindern: Citizenship-by-Descent-Registrierung rechtzeitig geprüft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Eigenen steuerlichen Status (Steuerresident oder nicht) mit einer Steuerfachperson geklärt</w:t>
            </w:r>
          </w:p>
          <w:p>
            <w:pPr>
              <w:pStyle w:val="Normal"/>
              <w:tabs>
                <w:tab w:val="clear" w:pos="720"/>
                <w:tab w:val="left" w:pos="400" w:leader="none"/>
              </w:tabs>
              <w:spacing w:lineRule="exact" w:line="264" w:before="0" w:after="50"/>
              <w:ind w:hanging="330" w:left="400"/>
              <w:rPr/>
            </w:pPr>
            <w:r>
              <w:rPr>
                <w:rFonts w:eastAsia="Segoe UI Symbol" w:cs="Segoe UI Symbol" w:ascii="Segoe UI Symbol" w:hAnsi="Segoe UI Symbol"/>
                <w:sz w:val="20"/>
                <w:szCs w:val="20"/>
              </w:rPr>
              <w:t>☐</w:t>
            </w:r>
            <w:r>
              <w:rPr>
                <w:sz w:val="20"/>
                <w:szCs w:val="20"/>
              </w:rPr>
              <w:tab/>
            </w:r>
            <w:r>
              <w:rPr>
                <w:rFonts w:eastAsia="Cambria" w:cs="Cambria"/>
                <w:b w:val="false"/>
                <w:bCs w:val="false"/>
                <w:i w:val="false"/>
                <w:iCs w:val="false"/>
                <w:sz w:val="20"/>
                <w:szCs w:val="20"/>
              </w:rPr>
              <w:t>Bei geplantem Wegzug aus Neuseeland: steuerliche Folgen vorab mit Steuerberatung geprüft</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Quellen und weiterführende Links</w:t>
      </w:r>
    </w:p>
    <w:p>
      <w:pPr>
        <w:pStyle w:val="ListParagraph"/>
        <w:numPr>
          <w:ilvl w:val="0"/>
          <w:numId w:val="1"/>
        </w:numPr>
        <w:spacing w:lineRule="exact" w:line="288" w:before="0" w:after="60"/>
        <w:rPr/>
      </w:pPr>
      <w:r>
        <w:rPr>
          <w:rFonts w:eastAsia="Cambria" w:cs="Cambria"/>
          <w:b w:val="false"/>
          <w:bCs w:val="false"/>
          <w:i w:val="false"/>
          <w:iCs w:val="false"/>
          <w:sz w:val="22"/>
          <w:szCs w:val="22"/>
        </w:rPr>
        <w:t>Department of Internal Affairs (DIA) — Citizenship by Grant: Voraussetzungen, Gebühren, angekündigter Staatskundetest (</w:t>
      </w:r>
      <w:hyperlink r:id="rId748">
        <w:r>
          <w:rPr>
            <w:rStyle w:val="ListLabel113"/>
            <w:rFonts w:eastAsia="Cambria" w:cs="Cambria"/>
            <w:b w:val="false"/>
            <w:bCs w:val="false"/>
            <w:i w:val="false"/>
            <w:iCs w:val="false"/>
            <w:color w:val="0563C1"/>
            <w:sz w:val="22"/>
            <w:szCs w:val="22"/>
            <w:u w:val="single"/>
          </w:rPr>
          <w:t>dia.govt.nz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Immigration New Zealand — Resident Visa, Permanent Resident Visa, Green List (</w:t>
      </w:r>
      <w:hyperlink r:id="rId749">
        <w:r>
          <w:rPr>
            <w:rStyle w:val="ListLabel113"/>
            <w:rFonts w:eastAsia="Cambria" w:cs="Cambria"/>
            <w:b w:val="false"/>
            <w:bCs w:val="false"/>
            <w:i w:val="false"/>
            <w:iCs w:val="false"/>
            <w:color w:val="0563C1"/>
            <w:sz w:val="22"/>
            <w:szCs w:val="22"/>
            <w:u w:val="single"/>
          </w:rPr>
          <w:t>immigration.govt.nz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Inland Revenue (IRD) — Steuerresidenz für Neuseeland (</w:t>
      </w:r>
      <w:hyperlink r:id="rId750">
        <w:r>
          <w:rPr>
            <w:rStyle w:val="ListLabel113"/>
            <w:rFonts w:eastAsia="Cambria" w:cs="Cambria"/>
            <w:b w:val="false"/>
            <w:bCs w:val="false"/>
            <w:i w:val="false"/>
            <w:iCs w:val="false"/>
            <w:color w:val="0563C1"/>
            <w:sz w:val="22"/>
            <w:szCs w:val="22"/>
            <w:u w:val="single"/>
          </w:rPr>
          <w:t>ird.govt.nz</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Bundesministerium des Innern — Staatsangehörigkeitsrecht, Reform 2024 (</w:t>
      </w:r>
      <w:hyperlink r:id="rId751">
        <w:r>
          <w:rPr>
            <w:rStyle w:val="ListLabel113"/>
            <w:rFonts w:eastAsia="Cambria" w:cs="Cambria"/>
            <w:b w:val="false"/>
            <w:bCs w:val="false"/>
            <w:i w:val="false"/>
            <w:iCs w:val="false"/>
            <w:color w:val="0563C1"/>
            <w:sz w:val="22"/>
            <w:szCs w:val="22"/>
            <w:u w:val="single"/>
          </w:rPr>
          <w:t>bmi.bund.de</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Deutsche Botschaft Wellington — doppelte Staatsangehörigkeit, Beratung (</w:t>
      </w:r>
      <w:hyperlink r:id="rId752">
        <w:r>
          <w:rPr>
            <w:rStyle w:val="ListLabel113"/>
            <w:rFonts w:eastAsia="Cambria" w:cs="Cambria"/>
            <w:b w:val="false"/>
            <w:bCs w:val="false"/>
            <w:i w:val="false"/>
            <w:iCs w:val="false"/>
            <w:color w:val="0563C1"/>
            <w:sz w:val="22"/>
            <w:szCs w:val="22"/>
            <w:u w:val="single"/>
          </w:rPr>
          <w:t>wellington.diplo.de</w:t>
        </w:r>
      </w:hyperlink>
      <w:r>
        <w:rPr>
          <w:rFonts w:eastAsia="Cambria" w:cs="Cambria"/>
          <w:b w:val="false"/>
          <w:bCs w:val="false"/>
          <w:i w:val="false"/>
          <w:iCs w:val="false"/>
          <w:sz w:val="22"/>
          <w:szCs w:val="22"/>
        </w:rPr>
        <w:t>)</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Schnell ändern sich: die Einbürgerungsgebühr, Bearbeitungs- und Wartezeiten bis zur Zeremonie sowie Format und Starttermin des angekündigten Staatskundetests (Stand der Ankündigung: Mai 2026, geplant für Ende 2027). Prüfe vor jeder Entscheidung die aktuellen Seiten des DIA und der IRD.</w:t>
            </w:r>
          </w:p>
        </w:tc>
      </w:tr>
    </w:tbl>
    <w:p>
      <w:pPr>
        <w:pStyle w:val="Normal"/>
        <w:spacing w:lineRule="exact" w:line="220" w:before="0" w:after="0"/>
        <w:rPr/>
      </w:pPr>
      <w:r>
        <w:rPr/>
      </w:r>
      <w:r>
        <w:br w:type="page"/>
      </w:r>
    </w:p>
    <w:p>
      <w:pPr>
        <w:pStyle w:val="Heading2"/>
        <w:keepNext w:val="true"/>
        <w:spacing w:before="0" w:after="300"/>
        <w:jc w:val="center"/>
        <w:rPr/>
      </w:pPr>
      <w:bookmarkStart w:id="202" w:name="__RefHeading___Toc56633_3769931028"/>
      <w:bookmarkStart w:id="203" w:name="anhang_a"/>
      <w:bookmarkEnd w:id="202"/>
      <w:r>
        <w:rPr>
          <w:rFonts w:eastAsia="Amazon Ember" w:cs="Amazon Ember" w:ascii="Amazon Ember" w:hAnsi="Amazon Ember"/>
          <w:b/>
          <w:bCs/>
          <w:color w:val="0000FF"/>
          <w:sz w:val="36"/>
          <w:szCs w:val="36"/>
        </w:rPr>
        <w:t>Anhang A: Die Master-Checkliste</w:t>
      </w:r>
      <w:bookmarkEnd w:id="203"/>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Diese Checkliste bündelt die wichtigsten Aufgaben aus allen 42 Kapiteln in einer einzigen Zeitleiste, vom ersten Entschluss bis zu den ersten sechs Monaten in den USA. Sie zeigt, wann welcher Schritt ansteht, ersetzt aber nicht die Details der einzelnen Kapitel. Hake ab, was erledigt ist, und nutze die Klammerverweise zum Nachlesen.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ersten Phasen auf dem Weg ins Ausland – Entschluss, Vorbereitung in Deutschland bei Behörden, Steuern, Dokumenten und die Umzugsentscheidung selbst – laufen für alle vier Zielländer identisch ab und stehen deshalb bereits im Teil Universal. Die Checkliste unten ergänzt das um die Schritte, die sich vom jeweiligen Zielland unterscheiden: Zusätzlich zur ausführlichen USA-Liste findest du einen eigenen Abschnitt für Kanada, Australien und Neuseeland mit den Punkten zu Visum, Ankunft, Steuer-ID, den ersten Wochen und den ersten sechs Monaten, die dort jeweils anders verlaufen als in den USA.</w:t>
      </w:r>
    </w:p>
    <w:p>
      <w:pPr>
        <w:pStyle w:val="Heading3"/>
        <w:keepNext w:val="true"/>
        <w:spacing w:before="280" w:after="100"/>
        <w:jc w:val="center"/>
        <w:rPr/>
      </w:pPr>
      <w:r>
        <w:rPr>
          <w:rFonts w:eastAsia="Amazon Ember" w:cs="Amazon Ember" w:ascii="Amazon Ember" w:hAnsi="Amazon Ember"/>
          <w:b/>
          <w:bCs/>
          <w:color w:val="0000FF"/>
          <w:sz w:val="36"/>
          <w:szCs w:val="36"/>
        </w:rPr>
        <w:t>USA</w:t>
      </w:r>
    </w:p>
    <w:p>
      <w:pPr>
        <w:pStyle w:val="Heading3"/>
        <w:keepNext w:val="true"/>
        <w:spacing w:before="280" w:after="100"/>
        <w:jc w:val="center"/>
        <w:rPr/>
      </w:pPr>
      <w:r>
        <w:rPr>
          <w:rFonts w:eastAsia="Amazon Ember" w:cs="Amazon Ember" w:ascii="Amazon Ember" w:hAnsi="Amazon Ember"/>
          <w:b/>
          <w:bCs/>
          <w:color w:val="0000FF"/>
          <w:sz w:val="36"/>
          <w:szCs w:val="36"/>
        </w:rPr>
        <w:t>T–18 bis T–12 Monate: Entscheidung und Vorbereitung</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Eigene Netto-Rechnung für Gehalt, Steuern, Krankenversicherung und Wohnkosten mit dem Rechenmodell erstellt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Die drei wichtigsten Plus- und Minuspunkte mit Partner oder Familie besprochen und gewichtet (Kapitel </w:t>
      </w:r>
      <w:hyperlink w:anchor="k1">
        <w:r>
          <w:rPr>
            <w:rStyle w:val="ListLabel115"/>
            <w:rFonts w:eastAsia="Cambria" w:cs="Cambria"/>
            <w:b w:val="false"/>
            <w:bCs w:val="false"/>
            <w:i w:val="false"/>
            <w:iCs w:val="false"/>
            <w:sz w:val="22"/>
            <w:szCs w:val="22"/>
          </w:rPr>
          <w:t>1</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Zeithorizont für den USA-Aufenthalt festgelegt: einige Jahre, unbefristet oder offen (Kapitel </w:t>
      </w:r>
      <w:hyperlink w:anchor="k1">
        <w:r>
          <w:rPr>
            <w:rStyle w:val="ListLabel115"/>
            <w:rFonts w:eastAsia="Cambria" w:cs="Cambria"/>
            <w:b w:val="false"/>
            <w:bCs w:val="false"/>
            <w:i w:val="false"/>
            <w:iCs w:val="false"/>
            <w:sz w:val="22"/>
            <w:szCs w:val="22"/>
          </w:rPr>
          <w:t>1</w:t>
        </w:r>
      </w:hyperlink>
      <w:r>
        <w:rPr>
          <w:rFonts w:eastAsia="Cambria" w:cs="Cambria"/>
          <w:b w:val="false"/>
          <w:bCs w:val="false"/>
          <w:i w:val="false"/>
          <w:iCs w:val="false"/>
          <w:sz w:val="22"/>
          <w:szCs w:val="22"/>
        </w:rPr>
        <w:t>,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Eigene Situation im Entscheidungsbaum der Visumswege eingeordnet und das passende Detailkapitel gelesen (Kapitel </w:t>
      </w:r>
      <w:hyperlink w:anchor="k4">
        <w:r>
          <w:rPr>
            <w:rStyle w:val="ListLabel115"/>
            <w:rFonts w:eastAsia="Cambria" w:cs="Cambria"/>
            <w:b w:val="false"/>
            <w:bCs w:val="false"/>
            <w:i w:val="false"/>
            <w:iCs w:val="false"/>
            <w:sz w:val="22"/>
            <w:szCs w:val="22"/>
          </w:rPr>
          <w:t>4</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Geprüft, ob und über welchen Weg der Arbeitgeber ein Visum sponsert (Kapitel </w:t>
      </w:r>
      <w:hyperlink w:anchor="k4">
        <w:r>
          <w:rPr>
            <w:rStyle w:val="ListLabel115"/>
            <w:rFonts w:eastAsia="Cambria" w:cs="Cambria"/>
            <w:b w:val="false"/>
            <w:bCs w:val="false"/>
            <w:i w:val="false"/>
            <w:iCs w:val="false"/>
            <w:sz w:val="22"/>
            <w:szCs w:val="22"/>
          </w:rPr>
          <w:t>4</w:t>
        </w:r>
      </w:hyperlink>
      <w:r>
        <w:rPr>
          <w:rFonts w:eastAsia="Cambria" w:cs="Cambria"/>
          <w:b w:val="false"/>
          <w:bCs w:val="false"/>
          <w:i w:val="false"/>
          <w:iCs w:val="false"/>
          <w:sz w:val="22"/>
          <w:szCs w:val="22"/>
        </w:rPr>
        <w:t>,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Geklärt, ob der Partner mitarbeiten darf und welche Arbeitserlaubnis-Perspektive besteht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Muss-, Kann- und Ausschlusskriterien schriftlich mit Partner oder Familie festgelegt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Rücklage von mindestens sechs Monatsfixkosten aufgebaut, bevor gekündigt wird (Kapitel </w:t>
      </w:r>
      <w:hyperlink w:anchor="k2">
        <w:r>
          <w:rPr>
            <w:rStyle w:val="ListLabel115"/>
            <w:rFonts w:eastAsia="Cambria" w:cs="Cambria"/>
            <w:b w:val="false"/>
            <w:bCs w:val="false"/>
            <w:i w:val="false"/>
            <w:iCs w:val="false"/>
            <w:sz w:val="22"/>
            <w:szCs w:val="22"/>
          </w:rPr>
          <w:t>2</w:t>
        </w:r>
      </w:hyperlink>
      <w:r>
        <w:rPr>
          <w:rFonts w:eastAsia="Cambria" w:cs="Cambria"/>
          <w:b w:val="false"/>
          <w:bCs w:val="false"/>
          <w:i w:val="false"/>
          <w:iCs w:val="false"/>
          <w:sz w:val="22"/>
          <w:szCs w:val="22"/>
        </w:rPr>
        <w:t>,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Resume auf US-Format gebracht und LinkedIn-Profil auf Englisch angelegt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Antwort auf die Sponsoring-Frage und drei STAR-Geschichten für Vorstellungsgespräche vorbereitet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Wohnort und Schulbezirk vorläufig recherchiert, bevor Jobangebote verglichen werden (Kapitel </w:t>
      </w:r>
      <w:hyperlink w:anchor="k1">
        <w:r>
          <w:rPr>
            <w:rStyle w:val="ListLabel115"/>
            <w:rFonts w:eastAsia="Cambria" w:cs="Cambria"/>
            <w:b w:val="false"/>
            <w:bCs w:val="false"/>
            <w:i w:val="false"/>
            <w:iCs w:val="false"/>
            <w:sz w:val="22"/>
            <w:szCs w:val="22"/>
          </w:rPr>
          <w:t>1</w:t>
        </w:r>
      </w:hyperlink>
      <w:r>
        <w:rPr>
          <w:rFonts w:eastAsia="Cambria" w:cs="Cambria"/>
          <w:b w:val="false"/>
          <w:bCs w:val="false"/>
          <w:i w:val="false"/>
          <w:iCs w:val="false"/>
          <w:sz w:val="22"/>
          <w:szCs w:val="22"/>
        </w:rPr>
        <w:t>,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21. Geburtstag aller mitreisenden Kinder im Kalender notiert (Age-out-Risiko) (Kapitel </w:t>
      </w:r>
      <w:hyperlink w:anchor="k2">
        <w:r>
          <w:rPr>
            <w:rStyle w:val="ListLabel115"/>
            <w:rFonts w:eastAsia="Cambria" w:cs="Cambria"/>
            <w:b w:val="false"/>
            <w:bCs w:val="false"/>
            <w:i w:val="false"/>
            <w:iCs w:val="false"/>
            <w:sz w:val="22"/>
            <w:szCs w:val="22"/>
          </w:rPr>
          <w:t>2</w:t>
        </w:r>
      </w:hyperlink>
      <w:r>
        <w:rPr>
          <w:rFonts w:eastAsia="Cambria" w:cs="Cambria"/>
          <w:b w:val="false"/>
          <w:bCs w:val="false"/>
          <w:i w:val="false"/>
          <w:iCs w:val="false"/>
          <w:sz w:val="22"/>
          <w:szCs w:val="22"/>
        </w:rPr>
        <w:t>,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anderen Wegen als H-1B (L-1, O-1, E-2, J-1, Lotterie, Selbständigkeit) die jeweilige Eintrittsvoraussetzung geklärt: Konzernjahr, Leistungsbelege, Kapital oder Programmplatz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Plan B für den Visumsweg parallel festgelegt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Kapitel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Verhandlungsliste vor der Zusage durchgegangen: Relocation, Anwalt, Green-Card-Sponsoring, Steuerberatung, Rückkehrklausel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Alle finanziell relevanten Zusagen schriftlich im Angebot oder einer Zusatzvereinbarung bestätigt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Offer Letter geprüft: Titel und Level, Bonusziel, Aktien, 401(k)-Match, Beginn der Krankenversicherung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Level, Sign-on, Aktien und Startdatum verhandelt, nicht nur das Grundgehalt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Wettbewerbsverbot, Schiedsvereinbarung und Erfindungszuweisung geprüft, eigene Vorerfindungen als Ausnahme eingetragen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Geklärt, wer die Visa- und Green-Card-Kosten trägt und wann das Verfahren startet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Kapitel </w:t>
      </w:r>
      <w:hyperlink w:anchor="k7">
        <w:r>
          <w:rPr>
            <w:rStyle w:val="ListLabel115"/>
            <w:rFonts w:eastAsia="Cambria" w:cs="Cambria"/>
            <w:b w:val="false"/>
            <w:bCs w:val="false"/>
            <w:i w:val="false"/>
            <w:iCs w:val="false"/>
            <w:sz w:val="22"/>
            <w:szCs w:val="22"/>
          </w:rPr>
          <w:t>7</w:t>
        </w:r>
      </w:hyperlink>
      <w:r>
        <w:rPr>
          <w:rFonts w:eastAsia="Cambria" w:cs="Cambria"/>
          <w:b w:val="false"/>
          <w:bCs w:val="false"/>
          <w:i w:val="false"/>
          <w:iCs w:val="false"/>
          <w:sz w:val="22"/>
          <w:szCs w:val="22"/>
        </w:rPr>
        <w:t>,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T–12 bis T–6 Monate: Visum und Papiere</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Studienfach und Stelle abgeglichen, Bewertungsgutachten bei Bedarf mit der Kanzlei besprochen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Arbeitgeber schriftlich gefragt, ob und wie er das Visum sponsert, welche Lohnstufe gemeldet wird und wer die Gebühren trägt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Nach Stellenabbau in den letzten zwölf Monaten beim Arbeitgeber gefragt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Kapitel </w:t>
      </w:r>
      <w:hyperlink w:anchor="k9">
        <w:r>
          <w:rPr>
            <w:rStyle w:val="ListLabel115"/>
            <w:rFonts w:eastAsia="Cambria" w:cs="Cambria"/>
            <w:b w:val="false"/>
            <w:bCs w:val="false"/>
            <w:i w:val="false"/>
            <w:iCs w:val="false"/>
            <w:sz w:val="22"/>
            <w:szCs w:val="22"/>
          </w:rPr>
          <w:t>9</w:t>
        </w:r>
      </w:hyperlink>
      <w:r>
        <w:rPr>
          <w:rFonts w:eastAsia="Cambria" w:cs="Cambria"/>
          <w:b w:val="false"/>
          <w:bCs w:val="false"/>
          <w:i w:val="false"/>
          <w:iCs w:val="false"/>
          <w:sz w:val="22"/>
          <w:szCs w:val="22"/>
        </w:rPr>
        <w:t>,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Zeitplan rückwärts vom Starttermin aufgestellt, Registrierungsfenster bei Lotterie-Verfahren auf uscis.gov beobachtet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Kapitel </w:t>
      </w:r>
      <w:hyperlink w:anchor="k15">
        <w:r>
          <w:rPr>
            <w:rStyle w:val="ListLabel115"/>
            <w:rFonts w:eastAsia="Cambria" w:cs="Cambria"/>
            <w:b w:val="false"/>
            <w:bCs w:val="false"/>
            <w:i w:val="false"/>
            <w:iCs w:val="false"/>
            <w:sz w:val="22"/>
            <w:szCs w:val="22"/>
          </w:rPr>
          <w:t>15</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Green Card: Geburtsland und passende Spalte des Visa Bulletin geprüft, Kategorie (EB-2, EB-3, EB-1C, NIW, EB-1A) mit der Kanzlei festgelegt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Kapitel </w:t>
      </w:r>
      <w:hyperlink w:anchor="k7">
        <w:r>
          <w:rPr>
            <w:rStyle w:val="ListLabel115"/>
            <w:rFonts w:eastAsia="Cambria" w:cs="Cambria"/>
            <w:b w:val="false"/>
            <w:bCs w:val="false"/>
            <w:i w:val="false"/>
            <w:iCs w:val="false"/>
            <w:sz w:val="22"/>
            <w:szCs w:val="22"/>
          </w:rPr>
          <w:t>7</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Vor der Vertragsunterschrift schriftlich geklärt: Start der PERM, Kostenübernahme, Rückzahlungsklauseln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Kapitel </w:t>
      </w:r>
      <w:hyperlink w:anchor="k7">
        <w:r>
          <w:rPr>
            <w:rStyle w:val="ListLabel115"/>
            <w:rFonts w:eastAsia="Cambria" w:cs="Cambria"/>
            <w:b w:val="false"/>
            <w:bCs w:val="false"/>
            <w:i w:val="false"/>
            <w:iCs w:val="false"/>
            <w:sz w:val="22"/>
            <w:szCs w:val="22"/>
          </w:rPr>
          <w:t>7</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Kanzlei, Ansprechperson und Kopien von Petition und LCA erfragt; entschieden, ob ein eigener Anwalt nötig ist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Für Ehepartner und Kinder geklärt: eigenes DS-160, Termin und Gebühr je Person, Anträge auf Arbeitserlaubnis; Familienstand vor dem Konsulatstermin geregelt (Heirat, Lebenspartnerschaft)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Im Angebotsschreiben festgehalten, wer die Kosten für Ehepartner und Kinder trägt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Lizenzpflichtigen Beruf des Partners erkannt und Behörde des Zielstaats sowie Bewertungsdienst kontaktiert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Ablaufdaten aller Reisepässe notiert, bei kurzer Restgültigkeit erneuert; für jedes Kind einen eigenen ePass beantragt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Zeugnisbewertung rechtzeitig vor der Registrierungsfrist beauftragt (Kapitel </w:t>
      </w:r>
      <w:hyperlink w:anchor="k15">
        <w:r>
          <w:rPr>
            <w:rStyle w:val="ListLabel115"/>
            <w:rFonts w:eastAsia="Cambria" w:cs="Cambria"/>
            <w:b w:val="false"/>
            <w:bCs w:val="false"/>
            <w:i w:val="false"/>
            <w:iCs w:val="false"/>
            <w:sz w:val="22"/>
            <w:szCs w:val="22"/>
          </w:rPr>
          <w:t>15</w:t>
        </w:r>
      </w:hyperlink>
      <w:r>
        <w:rPr>
          <w:rFonts w:eastAsia="Cambria" w:cs="Cambria"/>
          <w:b w:val="false"/>
          <w:bCs w:val="false"/>
          <w:i w:val="false"/>
          <w:iCs w:val="false"/>
          <w:sz w:val="22"/>
          <w:szCs w:val="22"/>
        </w:rPr>
        <w:t>,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Diplome, Zeugnisse und Arbeitszeugnisse beschafft; Geburts- und Heiratsurkunden als internationale Ausfertigung zwei- bis dreimal bestellt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Übersetzer mit Bescheinigung beauftragt, Namen exakt wie im Pass geschrieben; Apostille mit der Kanzlei geklärt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Bedarf Führungszeugnis beantragt und Vorlauf für die Apostille eingeplant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lizenzpflichtigem Beruf einen Fahrplan mit der Behörde des Ziel-Bundesstaats erstellt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Vor jeder Entscheidung uscis.gov, federalregister.gov und die Kanzlei zum aktuellen Stand befragt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Kapitel </w:t>
      </w:r>
      <w:hyperlink w:anchor="k7">
        <w:r>
          <w:rPr>
            <w:rStyle w:val="ListLabel115"/>
            <w:rFonts w:eastAsia="Cambria" w:cs="Cambria"/>
            <w:b w:val="false"/>
            <w:bCs w:val="false"/>
            <w:i w:val="false"/>
            <w:iCs w:val="false"/>
            <w:sz w:val="22"/>
            <w:szCs w:val="22"/>
          </w:rPr>
          <w:t>7</w:t>
        </w:r>
      </w:hyperlink>
      <w:r>
        <w:rPr>
          <w:rFonts w:eastAsia="Cambria" w:cs="Cambria"/>
          <w:b w:val="false"/>
          <w:bCs w:val="false"/>
          <w:i w:val="false"/>
          <w:iCs w:val="false"/>
          <w:sz w:val="22"/>
          <w:szCs w:val="22"/>
        </w:rPr>
        <w:t>)</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T–6 bis T–3 Monate: Kündigungen und Umzug organisieren</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Nettogehalt für den Zielort berechnet, Kauf- und Mietpreise mit dem eigenen Budget verglichen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Naturgefahren der Region recherchiert, Versicherbarkeit eingeschätzt; entschieden, das erste Jahr zu mieten statt zu kaufen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Schuldistrikt vor der Wohnungssuche geprüft und schriftlich bestätigen lassen (Kapitel </w:t>
      </w:r>
      <w:hyperlink w:anchor="k2">
        <w:r>
          <w:rPr>
            <w:rStyle w:val="ListLabel115"/>
            <w:rFonts w:eastAsia="Cambria" w:cs="Cambria"/>
            <w:b w:val="false"/>
            <w:bCs w:val="false"/>
            <w:i w:val="false"/>
            <w:iCs w:val="false"/>
            <w:sz w:val="22"/>
            <w:szCs w:val="22"/>
          </w:rPr>
          <w:t>2</w:t>
        </w:r>
      </w:hyperlink>
      <w:r>
        <w:rPr>
          <w:rFonts w:eastAsia="Cambria" w:cs="Cambria"/>
          <w:b w:val="false"/>
          <w:bCs w:val="false"/>
          <w:i w:val="false"/>
          <w:iCs w:val="false"/>
          <w:sz w:val="22"/>
          <w:szCs w:val="22"/>
        </w:rPr>
        <w:t>,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Geklärt, ob am Wohnort ein Auto nötig ist und Budget dafür eingeplant; Nahverkehrsanbindung geprüft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Kapitel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Vertragsliste aus zwölf Monaten Kontoauszügen erstellt, Kündigungstermine vom Abflug rückwärts berechnet (Kapitel </w:t>
      </w:r>
      <w:hyperlink w:anchor="k2">
        <w:r>
          <w:rPr>
            <w:rStyle w:val="ListLabel115"/>
            <w:rFonts w:eastAsia="Cambria" w:cs="Cambria"/>
            <w:b w:val="false"/>
            <w:bCs w:val="false"/>
            <w:i w:val="false"/>
            <w:iCs w:val="false"/>
            <w:sz w:val="22"/>
            <w:szCs w:val="22"/>
          </w:rPr>
          <w:t>2</w:t>
        </w:r>
      </w:hyperlink>
      <w:r>
        <w:rPr>
          <w:rFonts w:eastAsia="Cambria" w:cs="Cambria"/>
          <w:b w:val="false"/>
          <w:bCs w:val="false"/>
          <w:i w:val="false"/>
          <w:iCs w:val="false"/>
          <w:sz w:val="22"/>
          <w:szCs w:val="22"/>
        </w:rPr>
        <w:t>,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Relocation-Bedingungen schriftlich geklärt: brutto oder netto, Gross-up, Direktabrechnung, Rückzahlungsklausel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Drei Tür-zu-Tür-Festpreise für die Spedition nach Besichtigung oder Video-Survey eingeholt, FIDI-FAIM und AMSA ProMover geprüft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Volumen geschätzt, ausgemistet und Raum-für-Raum-Inventar mit der Entscheidung Mitnehmen, Verkaufen oder Neukaufen angelegt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Betten, Matratzen und Elektrogeräte auf US-Normen (Spannung, Maße) geprüft; was nicht passt, bleibt zurück (Kapitel </w:t>
      </w:r>
      <w:hyperlink w:anchor="k2">
        <w:r>
          <w:rPr>
            <w:rStyle w:val="ListLabel115"/>
            <w:rFonts w:eastAsia="Cambria" w:cs="Cambria"/>
            <w:b w:val="false"/>
            <w:bCs w:val="false"/>
            <w:i w:val="false"/>
            <w:iCs w:val="false"/>
            <w:sz w:val="22"/>
            <w:szCs w:val="22"/>
          </w:rPr>
          <w:t>2</w:t>
        </w:r>
      </w:hyperlink>
      <w:r>
        <w:rPr>
          <w:rFonts w:eastAsia="Cambria" w:cs="Cambria"/>
          <w:b w:val="false"/>
          <w:bCs w:val="false"/>
          <w:i w:val="false"/>
          <w:iCs w:val="false"/>
          <w:sz w:val="22"/>
          <w:szCs w:val="22"/>
        </w:rPr>
        <w:t>,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Verkaufen, Verschenken und Spenden acht bis zwölf Wochen vor dem Abflug begonnen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Deutsche Fondssparpläne und Depots vor dem steuerlichen Zuzug mit einem Steuerberater auf PFIC-Risiko geprüft: verkaufen oder behalten (Kapitel </w:t>
      </w:r>
      <w:hyperlink w:anchor="k2">
        <w:r>
          <w:rPr>
            <w:rStyle w:val="ListLabel115"/>
            <w:rFonts w:eastAsia="Cambria" w:cs="Cambria"/>
            <w:b w:val="false"/>
            <w:bCs w:val="false"/>
            <w:i w:val="false"/>
            <w:iCs w:val="false"/>
            <w:sz w:val="22"/>
            <w:szCs w:val="22"/>
          </w:rPr>
          <w:t>2</w:t>
        </w:r>
      </w:hyperlink>
      <w:r>
        <w:rPr>
          <w:rFonts w:eastAsia="Cambria" w:cs="Cambria"/>
          <w:b w:val="false"/>
          <w:bCs w:val="false"/>
          <w:i w:val="false"/>
          <w:iCs w:val="false"/>
          <w:sz w:val="22"/>
          <w:szCs w:val="22"/>
        </w:rPr>
        <w:t>,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Kapitel </w:t>
      </w:r>
      <w:hyperlink w:anchor="k39">
        <w:r>
          <w:rPr>
            <w:rStyle w:val="ListLabel115"/>
            <w:rFonts w:eastAsia="Cambria" w:cs="Cambria"/>
            <w:b w:val="false"/>
            <w:bCs w:val="false"/>
            <w:i w:val="false"/>
            <w:iCs w:val="false"/>
            <w:sz w:val="22"/>
            <w:szCs w:val="22"/>
          </w:rPr>
          <w:t>39</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Unternehmensanteilen ab 1 %: Wegzugsteuer nach § 6 AStG mit dem Steuerberater durchgerechnet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Rentenversicherungsverlauf klären lassen, neue Anschrift der Deutschen Rentenversicherung gemeldet, freiwillige Beiträge geprüft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 Kapitel </w:t>
      </w:r>
      <w:hyperlink w:anchor="k39">
        <w:r>
          <w:rPr>
            <w:rStyle w:val="ListLabel115"/>
            <w:rFonts w:eastAsia="Cambria" w:cs="Cambria"/>
            <w:b w:val="false"/>
            <w:bCs w:val="false"/>
            <w:i w:val="false"/>
            <w:iCs w:val="false"/>
            <w:sz w:val="22"/>
            <w:szCs w:val="22"/>
          </w:rPr>
          <w:t>39</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vermieteter oder noch keine zehn Jahre gehaltener Immobilie die steuerlichen Folgen von Vermietung oder Verkauf geklärt (Kapitel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Zustellungsbevollmächtigten in Deutschland benannt, Steuerberater mit deutsch-amerikanischer Erfahrung gefunden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Bedarf GKV- oder PKV-Anwartschaft beantragt, solange noch gesund (Kapitel </w:t>
      </w:r>
      <w:hyperlink w:anchor="k2">
        <w:r>
          <w:rPr>
            <w:rStyle w:val="ListLabel115"/>
            <w:rFonts w:eastAsia="Cambria" w:cs="Cambria"/>
            <w:b w:val="false"/>
            <w:bCs w:val="false"/>
            <w:i w:val="false"/>
            <w:iCs w:val="false"/>
            <w:sz w:val="22"/>
            <w:szCs w:val="22"/>
          </w:rPr>
          <w:t>2</w:t>
        </w:r>
      </w:hyperlink>
      <w:r>
        <w:rPr>
          <w:rFonts w:eastAsia="Cambria" w:cs="Cambria"/>
          <w:b w:val="false"/>
          <w:bCs w:val="false"/>
          <w:i w:val="false"/>
          <w:iCs w:val="false"/>
          <w:sz w:val="22"/>
          <w:szCs w:val="22"/>
        </w:rPr>
        <w:t>, Kapitel </w:t>
      </w:r>
      <w:hyperlink w:anchor="k18">
        <w:r>
          <w:rPr>
            <w:rStyle w:val="ListLabel115"/>
            <w:rFonts w:eastAsia="Cambria" w:cs="Cambria"/>
            <w:b w:val="false"/>
            <w:bCs w:val="false"/>
            <w:i w:val="false"/>
            <w:iCs w:val="false"/>
            <w:sz w:val="22"/>
            <w:szCs w:val="22"/>
          </w:rPr>
          <w:t>18</w:t>
        </w:r>
      </w:hyperlink>
      <w:r>
        <w:rPr>
          <w:rFonts w:eastAsia="Cambria" w:cs="Cambria"/>
          <w:b w:val="false"/>
          <w:bCs w:val="false"/>
          <w:i w:val="false"/>
          <w:iCs w:val="false"/>
          <w:sz w:val="22"/>
          <w:szCs w:val="22"/>
        </w:rPr>
        <w:t>, Kapitel </w:t>
      </w:r>
      <w:hyperlink w:anchor="k39">
        <w:r>
          <w:rPr>
            <w:rStyle w:val="ListLabel115"/>
            <w:rFonts w:eastAsia="Cambria" w:cs="Cambria"/>
            <w:b w:val="false"/>
            <w:bCs w:val="false"/>
            <w:i w:val="false"/>
            <w:iCs w:val="false"/>
            <w:sz w:val="22"/>
            <w:szCs w:val="22"/>
          </w:rPr>
          <w:t>39</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Termine bei Zahnarzt, Augenarzt und Kinderarzt für die ganze Familie vereinbart, fehlende Impfungen nachgeholt (Kapitel </w:t>
      </w:r>
      <w:hyperlink w:anchor="k18">
        <w:r>
          <w:rPr>
            <w:rStyle w:val="ListLabel115"/>
            <w:rFonts w:eastAsia="Cambria" w:cs="Cambria"/>
            <w:b w:val="false"/>
            <w:bCs w:val="false"/>
            <w:i w:val="false"/>
            <w:iCs w:val="false"/>
            <w:sz w:val="22"/>
            <w:szCs w:val="22"/>
          </w:rPr>
          <w:t>18</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Betreuungsplatz für Kinder frühzeitig angefragt (Kapitel </w:t>
      </w:r>
      <w:hyperlink w:anchor="k2">
        <w:r>
          <w:rPr>
            <w:rStyle w:val="ListLabel115"/>
            <w:rFonts w:eastAsia="Cambria" w:cs="Cambria"/>
            <w:b w:val="false"/>
            <w:bCs w:val="false"/>
            <w:i w:val="false"/>
            <w:iCs w:val="false"/>
            <w:sz w:val="22"/>
            <w:szCs w:val="22"/>
          </w:rPr>
          <w:t>2</w:t>
        </w:r>
      </w:hyperlink>
      <w:r>
        <w:rPr>
          <w:rFonts w:eastAsia="Cambria" w:cs="Cambria"/>
          <w:b w:val="false"/>
          <w:bCs w:val="false"/>
          <w:i w:val="false"/>
          <w:iCs w:val="false"/>
          <w:sz w:val="22"/>
          <w:szCs w:val="22"/>
        </w:rPr>
        <w:t>, Kapitel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Haustieren: Tierarzttermin drei bis vier Monate vor Abflug, Tollwutimpfung, Airline-Regeln und Transportbox geklärt (Kapitel </w:t>
      </w:r>
      <w:hyperlink w:anchor="k22">
        <w:r>
          <w:rPr>
            <w:rStyle w:val="ListLabel115"/>
            <w:rFonts w:eastAsia="Cambria" w:cs="Cambria"/>
            <w:b w:val="false"/>
            <w:bCs w:val="false"/>
            <w:i w:val="false"/>
            <w:iCs w:val="false"/>
            <w:sz w:val="22"/>
            <w:szCs w:val="22"/>
          </w:rPr>
          <w:t>22</w:t>
        </w:r>
      </w:hyperlink>
      <w:r>
        <w:rPr>
          <w:rFonts w:eastAsia="Cambria" w:cs="Cambria"/>
          <w:b w:val="false"/>
          <w:bCs w:val="false"/>
          <w:i w:val="false"/>
          <w:iCs w:val="false"/>
          <w:sz w:val="22"/>
          <w:szCs w:val="22"/>
        </w:rPr>
        <w:t>)</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T–3 bis T–1 Monat: Feinschliff</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DS-160 für jede Person ausgefüllt, mit Petition und Lebenslauf abgeglichen, alle Social-Media-Konten angegeben und Profile auf öffentlich gestellt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Kapitel </w:t>
      </w:r>
      <w:hyperlink w:anchor="k8">
        <w:r>
          <w:rPr>
            <w:rStyle w:val="ListLabel115"/>
            <w:rFonts w:eastAsia="Cambria" w:cs="Cambria"/>
            <w:b w:val="false"/>
            <w:bCs w:val="false"/>
            <w:i w:val="false"/>
            <w:iCs w:val="false"/>
            <w:sz w:val="22"/>
            <w:szCs w:val="22"/>
          </w:rPr>
          <w:t>8</w:t>
        </w:r>
      </w:hyperlink>
      <w:r>
        <w:rPr>
          <w:rFonts w:eastAsia="Cambria" w:cs="Cambria"/>
          <w:b w:val="false"/>
          <w:bCs w:val="false"/>
          <w:i w:val="false"/>
          <w:iCs w:val="false"/>
          <w:sz w:val="22"/>
          <w:szCs w:val="22"/>
        </w:rPr>
        <w:t>,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Konsulargebühr gezahlt, Termin für die Familie gemeinsam gebucht, Interview-Mappe gepackt: Pass, DS-160-Bestätigung, Gebührenbeleg, I-797, Kopien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Visum nach dem Interview geprüft (Name, Kategorie, Datum); erst danach Kündigungen und Buchungen verbindlich gemacht (Kapitel </w:t>
      </w:r>
      <w:hyperlink w:anchor="k5">
        <w:r>
          <w:rPr>
            <w:rStyle w:val="ListLabel115"/>
            <w:rFonts w:eastAsia="Cambria" w:cs="Cambria"/>
            <w:b w:val="false"/>
            <w:bCs w:val="false"/>
            <w:i w:val="false"/>
            <w:iCs w:val="false"/>
            <w:sz w:val="22"/>
            <w:szCs w:val="22"/>
          </w:rPr>
          <w:t>5</w:t>
        </w:r>
      </w:hyperlink>
      <w:r>
        <w:rPr>
          <w:rFonts w:eastAsia="Cambria" w:cs="Cambria"/>
          <w:b w:val="false"/>
          <w:bCs w:val="false"/>
          <w:i w:val="false"/>
          <w:iCs w:val="false"/>
          <w:sz w:val="22"/>
          <w:szCs w:val="22"/>
        </w:rPr>
        <w:t>, Kapitel </w:t>
      </w:r>
      <w:hyperlink w:anchor="k11">
        <w:r>
          <w:rPr>
            <w:rStyle w:val="ListLabel115"/>
            <w:rFonts w:eastAsia="Cambria" w:cs="Cambria"/>
            <w:b w:val="false"/>
            <w:bCs w:val="false"/>
            <w:i w:val="false"/>
            <w:iCs w:val="false"/>
            <w:sz w:val="22"/>
            <w:szCs w:val="22"/>
          </w:rPr>
          <w:t>11</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Wohnung schriftlich gekündigt, sobald Genehmigung und Interviewtermin feststehen; Übergabetermin und Kautionskonto mitgeteilt (Kapitel </w:t>
      </w:r>
      <w:hyperlink w:anchor="k15">
        <w:r>
          <w:rPr>
            <w:rStyle w:val="ListLabel115"/>
            <w:rFonts w:eastAsia="Cambria" w:cs="Cambria"/>
            <w:b w:val="false"/>
            <w:bCs w:val="false"/>
            <w:i w:val="false"/>
            <w:iCs w:val="false"/>
            <w:sz w:val="22"/>
            <w:szCs w:val="22"/>
          </w:rPr>
          <w:t>15</w:t>
        </w:r>
      </w:hyperlink>
      <w:r>
        <w:rPr>
          <w:rFonts w:eastAsia="Cambria" w:cs="Cambria"/>
          <w:b w:val="false"/>
          <w:bCs w:val="false"/>
          <w:i w:val="false"/>
          <w:iCs w:val="false"/>
          <w:sz w:val="22"/>
          <w:szCs w:val="22"/>
        </w:rPr>
        <w:t>,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Arbeitsvertrag erst nach gesichertem Visum gekündigt oder Aufhebungsvertrag geschlossen, Arbeitszeugnis angefordert (Kapitel </w:t>
      </w:r>
      <w:hyperlink w:anchor="k15">
        <w:r>
          <w:rPr>
            <w:rStyle w:val="ListLabel115"/>
            <w:rFonts w:eastAsia="Cambria" w:cs="Cambria"/>
            <w:b w:val="false"/>
            <w:bCs w:val="false"/>
            <w:i w:val="false"/>
            <w:iCs w:val="false"/>
            <w:sz w:val="22"/>
            <w:szCs w:val="22"/>
          </w:rPr>
          <w:t>15</w:t>
        </w:r>
      </w:hyperlink>
      <w:r>
        <w:rPr>
          <w:rFonts w:eastAsia="Cambria" w:cs="Cambria"/>
          <w:b w:val="false"/>
          <w:bCs w:val="false"/>
          <w:i w:val="false"/>
          <w:iCs w:val="false"/>
          <w:sz w:val="22"/>
          <w:szCs w:val="22"/>
        </w:rPr>
        <w:t>,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Spedition mit Visum im Pass verbindlich gebucht, sechs bis acht Wochen vor der Verladung, Transportversicherung „all risk“ abgeschlossen (Kapitel </w:t>
      </w:r>
      <w:hyperlink w:anchor="k15">
        <w:r>
          <w:rPr>
            <w:rStyle w:val="ListLabel115"/>
            <w:rFonts w:eastAsia="Cambria" w:cs="Cambria"/>
            <w:b w:val="false"/>
            <w:bCs w:val="false"/>
            <w:i w:val="false"/>
            <w:iCs w:val="false"/>
            <w:sz w:val="22"/>
            <w:szCs w:val="22"/>
          </w:rPr>
          <w:t>15</w:t>
        </w:r>
      </w:hyperlink>
      <w:r>
        <w:rPr>
          <w:rFonts w:eastAsia="Cambria" w:cs="Cambria"/>
          <w:b w:val="false"/>
          <w:bCs w:val="false"/>
          <w:i w:val="false"/>
          <w:iCs w:val="false"/>
          <w:sz w:val="22"/>
          <w:szCs w:val="22"/>
        </w:rPr>
        <w:t>,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Englische Inventarliste mit Werten erstellt, Zollagent und Vollmacht mit der Spedition abgestimmt (CBP Form 3299)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Lebensmittel, Pflanzen, Holz ohne ISPM-15-Stempel, Alkohol und Waffen aus der Ladung aussortiert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Auslandsreise- oder Langzeit-Auslandskrankenversicherung abgeschlossen, die an den Start der US-Versicherung anschließt (Kapitel </w:t>
      </w:r>
      <w:hyperlink w:anchor="k1">
        <w:r>
          <w:rPr>
            <w:rStyle w:val="ListLabel115"/>
            <w:rFonts w:eastAsia="Cambria" w:cs="Cambria"/>
            <w:b w:val="false"/>
            <w:bCs w:val="false"/>
            <w:i w:val="false"/>
            <w:iCs w:val="false"/>
            <w:sz w:val="22"/>
            <w:szCs w:val="22"/>
          </w:rPr>
          <w:t>1</w:t>
        </w:r>
      </w:hyperlink>
      <w:r>
        <w:rPr>
          <w:rFonts w:eastAsia="Cambria" w:cs="Cambria"/>
          <w:b w:val="false"/>
          <w:bCs w:val="false"/>
          <w:i w:val="false"/>
          <w:iCs w:val="false"/>
          <w:sz w:val="22"/>
          <w:szCs w:val="22"/>
        </w:rPr>
        <w:t>, Kapitel </w:t>
      </w:r>
      <w:hyperlink w:anchor="k2">
        <w:r>
          <w:rPr>
            <w:rStyle w:val="ListLabel115"/>
            <w:rFonts w:eastAsia="Cambria" w:cs="Cambria"/>
            <w:b w:val="false"/>
            <w:bCs w:val="false"/>
            <w:i w:val="false"/>
            <w:iCs w:val="false"/>
            <w:sz w:val="22"/>
            <w:szCs w:val="22"/>
          </w:rPr>
          <w:t>2</w:t>
        </w:r>
      </w:hyperlink>
      <w:r>
        <w:rPr>
          <w:rFonts w:eastAsia="Cambria" w:cs="Cambria"/>
          <w:b w:val="false"/>
          <w:bCs w:val="false"/>
          <w:i w:val="false"/>
          <w:iCs w:val="false"/>
          <w:sz w:val="22"/>
          <w:szCs w:val="22"/>
        </w:rPr>
        <w:t>, Kapitel </w:t>
      </w:r>
      <w:hyperlink w:anchor="k18">
        <w:r>
          <w:rPr>
            <w:rStyle w:val="ListLabel115"/>
            <w:rFonts w:eastAsia="Cambria" w:cs="Cambria"/>
            <w:b w:val="false"/>
            <w:bCs w:val="false"/>
            <w:i w:val="false"/>
            <w:iCs w:val="false"/>
            <w:sz w:val="22"/>
            <w:szCs w:val="22"/>
          </w:rPr>
          <w:t>18</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Englischen Arztbrief, Bildgebung und übersetzten Impfpass besorgt; ausreichenden Medikamentenvorrat mit englischem Rezept geklärt (Kapitel </w:t>
      </w:r>
      <w:hyperlink w:anchor="k18">
        <w:r>
          <w:rPr>
            <w:rStyle w:val="ListLabel115"/>
            <w:rFonts w:eastAsia="Cambria" w:cs="Cambria"/>
            <w:b w:val="false"/>
            <w:bCs w:val="false"/>
            <w:i w:val="false"/>
            <w:iCs w:val="false"/>
            <w:sz w:val="22"/>
            <w:szCs w:val="22"/>
          </w:rPr>
          <w:t>18</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Einfuhrregeln für Medikamente vor der Einreise bei CBP oder der US-Botschaft geprüft (Kapitel </w:t>
      </w:r>
      <w:hyperlink w:anchor="k18">
        <w:r>
          <w:rPr>
            <w:rStyle w:val="ListLabel115"/>
            <w:rFonts w:eastAsia="Cambria" w:cs="Cambria"/>
            <w:b w:val="false"/>
            <w:bCs w:val="false"/>
            <w:i w:val="false"/>
            <w:iCs w:val="false"/>
            <w:sz w:val="22"/>
            <w:szCs w:val="22"/>
          </w:rPr>
          <w:t>18</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Haftpflicht, Hausrat und Rechtsschutz zum Übergabetag gekündigt, Schadenfreiheitsbescheinigung auf Englisch angefordert, Auto verkauft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 Kapitel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Internationalen Führerschein beantragt, KBA-Auskünfte und Konsulatsbescheinigung geklärt, falls der Zielstaat sie verlangt (Kapitel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Bank über den Wegzug informiert, App-Verfahren für Überweisungen eingerichtet, Konto und Kreditkarte behalten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Haustieren: CDC Dog Import Form ausgefüllt, Gesundheitszeugnis nach Airline-Vorgabe besorgt, Tierregeln der künftigen Wohnung geklärt (Kapitel </w:t>
      </w:r>
      <w:hyperlink w:anchor="k22">
        <w:r>
          <w:rPr>
            <w:rStyle w:val="ListLabel115"/>
            <w:rFonts w:eastAsia="Cambria" w:cs="Cambria"/>
            <w:b w:val="false"/>
            <w:bCs w:val="false"/>
            <w:i w:val="false"/>
            <w:iCs w:val="false"/>
            <w:sz w:val="22"/>
            <w:szCs w:val="22"/>
          </w:rPr>
          <w:t>22</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Schuldistrikt am Zielort informiert, Einstufungstests erfragt, Unterlagen fürs Handgepäck vorbereitet (Kapitel </w:t>
      </w:r>
      <w:hyperlink w:anchor="k15">
        <w:r>
          <w:rPr>
            <w:rStyle w:val="ListLabel115"/>
            <w:rFonts w:eastAsia="Cambria" w:cs="Cambria"/>
            <w:b w:val="false"/>
            <w:bCs w:val="false"/>
            <w:i w:val="false"/>
            <w:iCs w:val="false"/>
            <w:sz w:val="22"/>
            <w:szCs w:val="22"/>
          </w:rPr>
          <w:t>15</w:t>
        </w:r>
      </w:hyperlink>
      <w:r>
        <w:rPr>
          <w:rFonts w:eastAsia="Cambria" w:cs="Cambria"/>
          <w:b w:val="false"/>
          <w:bCs w:val="false"/>
          <w:i w:val="false"/>
          <w:iCs w:val="false"/>
          <w:sz w:val="22"/>
          <w:szCs w:val="22"/>
        </w:rPr>
        <w:t>,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Erste Unterkunft in den USA für mindestens fünf Nächte mit Stornierungsoption gebucht, Transfer geplant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Alle Dokumente gescannt, verschlüsselt gespeichert, eine Kopie bei einer Vertrauensperson hinterlegt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letzten Wochen</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Abmeldung frühestens eine Woche vor dem Auszug erledigt, Abmeldebescheinigung mehrfach kopiert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Rundfunkbeitrag, Handy, Internet, Strom und Gas beendet oder abgemeldet, Bestätigungen abgelegt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Vorsorgevollmacht, Patientenverfügung und Betreuungsverfügung beim Notar beurkundet und registriert (Kapitel </w:t>
      </w:r>
      <w:hyperlink w:anchor="k15">
        <w:r>
          <w:rPr>
            <w:rStyle w:val="ListLabel115"/>
            <w:rFonts w:eastAsia="Cambria" w:cs="Cambria"/>
            <w:b w:val="false"/>
            <w:bCs w:val="false"/>
            <w:i w:val="false"/>
            <w:iCs w:val="false"/>
            <w:sz w:val="22"/>
            <w:szCs w:val="22"/>
          </w:rPr>
          <w:t>15</w:t>
        </w:r>
      </w:hyperlink>
      <w:r>
        <w:rPr>
          <w:rFonts w:eastAsia="Cambria" w:cs="Cambria"/>
          <w:b w:val="false"/>
          <w:bCs w:val="false"/>
          <w:i w:val="false"/>
          <w:iCs w:val="false"/>
          <w:sz w:val="22"/>
          <w:szCs w:val="22"/>
        </w:rPr>
        <w:t>,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Familienkasse, Elterngeldstelle, Kita und Schule informiert, Zeugniskopien besorgt; Nachsendeauftrag eingerichtet (Kapitel </w:t>
      </w:r>
      <w:hyperlink w:anchor="k16">
        <w:r>
          <w:rPr>
            <w:rStyle w:val="ListLabel115"/>
            <w:rFonts w:eastAsia="Cambria" w:cs="Cambria"/>
            <w:b w:val="false"/>
            <w:bCs w:val="false"/>
            <w:i w:val="false"/>
            <w:iCs w:val="false"/>
            <w:sz w:val="22"/>
            <w:szCs w:val="22"/>
          </w:rPr>
          <w:t>16</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Originale wie Pässe, Urkunden, Zeugnisse und Bescheide in die Handgepäck-Mappe gelegt, nicht in den Container (Kapitel </w:t>
      </w:r>
      <w:hyperlink w:anchor="k19">
        <w:r>
          <w:rPr>
            <w:rStyle w:val="ListLabel115"/>
            <w:rFonts w:eastAsia="Cambria" w:cs="Cambria"/>
            <w:b w:val="false"/>
            <w:bCs w:val="false"/>
            <w:i w:val="false"/>
            <w:iCs w:val="false"/>
            <w:sz w:val="22"/>
            <w:szCs w:val="22"/>
          </w:rPr>
          <w:t>19</w:t>
        </w:r>
      </w:hyperlink>
      <w:r>
        <w:rPr>
          <w:rFonts w:eastAsia="Cambria" w:cs="Cambria"/>
          <w:b w:val="false"/>
          <w:bCs w:val="false"/>
          <w:i w:val="false"/>
          <w:iCs w:val="false"/>
          <w:sz w:val="22"/>
          <w:szCs w:val="22"/>
        </w:rPr>
        <w:t>,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Koffer für die ersten zwei Wochen gepackt, Wertsachen ins Handgepäck gelegt, Erstausstattungsbudget festgelegt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Kindersitze und weitere US-pflichtige Ausstattung erst vor Ort eingeplant, nicht mitgenommen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Bargeld ab 10.000 € beim deutschen Zoll angemeldet, Übergangswohnen gebucht und Puffer auf dem US-Konto bereitgestellt (Kapitel </w:t>
      </w:r>
      <w:hyperlink w:anchor="k20">
        <w:r>
          <w:rPr>
            <w:rStyle w:val="ListLabel115"/>
            <w:rFonts w:eastAsia="Cambria" w:cs="Cambria"/>
            <w:b w:val="false"/>
            <w:bCs w:val="false"/>
            <w:i w:val="false"/>
            <w:iCs w:val="false"/>
            <w:sz w:val="22"/>
            <w:szCs w:val="22"/>
          </w:rPr>
          <w:t>20</w:t>
        </w:r>
      </w:hyperlink>
      <w:r>
        <w:rPr>
          <w:rFonts w:eastAsia="Cambria" w:cs="Cambria"/>
          <w:b w:val="false"/>
          <w:bCs w:val="false"/>
          <w:i w:val="false"/>
          <w:iCs w:val="false"/>
          <w:sz w:val="22"/>
          <w:szCs w:val="22"/>
        </w:rPr>
        <w:t>,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eSIM oder Prepaid-SIM eingerichtet, deutsche Nummer als Zweit-SIM behalten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Kreditkarte und 200–300 $ Bargeld dabei, insgesamt unter 10.000 $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Puffer von zwei bis vier Wochen für Verzögerungen wie 221(g) oder Nachforderungen im Zeitplan eingeplant (Kapitel </w:t>
      </w:r>
      <w:hyperlink w:anchor="k15">
        <w:r>
          <w:rPr>
            <w:rStyle w:val="ListLabel115"/>
            <w:rFonts w:eastAsia="Cambria" w:cs="Cambria"/>
            <w:b w:val="false"/>
            <w:bCs w:val="false"/>
            <w:i w:val="false"/>
            <w:iCs w:val="false"/>
            <w:sz w:val="22"/>
            <w:szCs w:val="22"/>
          </w:rPr>
          <w:t>15</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Bewusst Zeit für Abschiedsbesuche bei Familie, Freunden und wichtigen Arztterminen eingeplant (Kapitel </w:t>
      </w:r>
      <w:hyperlink w:anchor="k15">
        <w:r>
          <w:rPr>
            <w:rStyle w:val="ListLabel115"/>
            <w:rFonts w:eastAsia="Cambria" w:cs="Cambria"/>
            <w:b w:val="false"/>
            <w:bCs w:val="false"/>
            <w:i w:val="false"/>
            <w:iCs w:val="false"/>
            <w:sz w:val="22"/>
            <w:szCs w:val="22"/>
          </w:rPr>
          <w:t>15</w:t>
        </w:r>
      </w:hyperlink>
      <w:r>
        <w:rPr>
          <w:rFonts w:eastAsia="Cambria" w:cs="Cambria"/>
          <w:b w:val="false"/>
          <w:bCs w:val="false"/>
          <w:i w:val="false"/>
          <w:iCs w:val="false"/>
          <w:sz w:val="22"/>
          <w:szCs w:val="22"/>
        </w:rPr>
        <w:t>, Kapitel </w:t>
      </w:r>
      <w:hyperlink w:anchor="k33">
        <w:r>
          <w:rPr>
            <w:rStyle w:val="ListLabel115"/>
            <w:rFonts w:eastAsia="Cambria" w:cs="Cambria"/>
            <w:b w:val="false"/>
            <w:bCs w:val="false"/>
            <w:i w:val="false"/>
            <w:iCs w:val="false"/>
            <w:sz w:val="22"/>
            <w:szCs w:val="22"/>
          </w:rPr>
          <w:t>33</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Möbel und Hausrat, die nicht mitreisen, verkauft, verschenkt oder gespendet (Kapitel </w:t>
      </w:r>
      <w:hyperlink w:anchor="k15">
        <w:r>
          <w:rPr>
            <w:rStyle w:val="ListLabel115"/>
            <w:rFonts w:eastAsia="Cambria" w:cs="Cambria"/>
            <w:b w:val="false"/>
            <w:bCs w:val="false"/>
            <w:i w:val="false"/>
            <w:iCs w:val="false"/>
            <w:sz w:val="22"/>
            <w:szCs w:val="22"/>
          </w:rPr>
          <w:t>15</w:t>
        </w:r>
      </w:hyperlink>
      <w:r>
        <w:rPr>
          <w:rFonts w:eastAsia="Cambria" w:cs="Cambria"/>
          <w:b w:val="false"/>
          <w:bCs w:val="false"/>
          <w:i w:val="false"/>
          <w:iCs w:val="false"/>
          <w:sz w:val="22"/>
          <w:szCs w:val="22"/>
        </w:rPr>
        <w:t>,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Haustieren: Transportbox über mehrere Wochen gewöhnt, Papiermappe fürs Handgepäck gepackt, Abholort am Zielflughafen erfragt (Kapitel </w:t>
      </w:r>
      <w:hyperlink w:anchor="k22">
        <w:r>
          <w:rPr>
            <w:rStyle w:val="ListLabel115"/>
            <w:rFonts w:eastAsia="Cambria" w:cs="Cambria"/>
            <w:b w:val="false"/>
            <w:bCs w:val="false"/>
            <w:i w:val="false"/>
            <w:iCs w:val="false"/>
            <w:sz w:val="22"/>
            <w:szCs w:val="22"/>
          </w:rPr>
          <w:t>22</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Landetag festgelegt: frühestens zehn Tage vor dem Von-Datum im Bescheid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ersten 30 Tage in den USA</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Am Ankunftstag den I-94 jedes Familienmitglieds über i94.cbp.dhs.gov abgerufen, geprüft und gesichert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 Kapitel </w:t>
      </w:r>
      <w:hyperlink w:anchor="k40">
        <w:r>
          <w:rPr>
            <w:rStyle w:val="ListLabel115"/>
            <w:rFonts w:eastAsia="Cambria" w:cs="Cambria"/>
            <w:b w:val="false"/>
            <w:bCs w:val="false"/>
            <w:i w:val="false"/>
            <w:iCs w:val="false"/>
            <w:sz w:val="22"/>
            <w:szCs w:val="22"/>
          </w:rPr>
          <w:t>40</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911 und Adresse der Unterkunft im Handy gespeichert; Auslandskrankenversicherung gilt ab Landung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Originale für die Form I-9 und Bankdaten für das Gehalt bereitgelegt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Erste Termine gebucht: Bank, SSN-Antrag, Wohnungsbesichtigungen (Kapitel </w:t>
      </w:r>
      <w:hyperlink w:anchor="k23">
        <w:r>
          <w:rPr>
            <w:rStyle w:val="ListLabel115"/>
            <w:rFonts w:eastAsia="Cambria" w:cs="Cambria"/>
            <w:b w:val="false"/>
            <w:bCs w:val="false"/>
            <w:i w:val="false"/>
            <w:iCs w:val="false"/>
            <w:sz w:val="22"/>
            <w:szCs w:val="22"/>
          </w:rPr>
          <w:t>23</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Sobald der I-94 zehn Tage alt ist, zur SSA gegangen: SS-5 ausgefüllt, Pass, Visum, I-94-Ausdruck und I-797 im Original mitgebracht (Kapitel </w:t>
      </w:r>
      <w:hyperlink w:anchor="k24">
        <w:r>
          <w:rPr>
            <w:rStyle w:val="ListLabel115"/>
            <w:rFonts w:eastAsia="Cambria" w:cs="Cambria"/>
            <w:b w:val="false"/>
            <w:bCs w:val="false"/>
            <w:i w:val="false"/>
            <w:iCs w:val="false"/>
            <w:sz w:val="22"/>
            <w:szCs w:val="22"/>
          </w:rPr>
          <w:t>24</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Arbeitgeber über „Applied For“ informiert, falls der Job vor der SSN beginnt; für Familienmitglieder ohne Arbeitserlaubnis SSN oder ITIN geklärt (Kapitel </w:t>
      </w:r>
      <w:hyperlink w:anchor="k24">
        <w:r>
          <w:rPr>
            <w:rStyle w:val="ListLabel115"/>
            <w:rFonts w:eastAsia="Cambria" w:cs="Cambria"/>
            <w:b w:val="false"/>
            <w:bCs w:val="false"/>
            <w:i w:val="false"/>
            <w:iCs w:val="false"/>
            <w:sz w:val="22"/>
            <w:szCs w:val="22"/>
          </w:rPr>
          <w:t>24</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Bankkonto eröffnet (Pass, Visum, I-94, Adressnachweis mitgebracht), Zelle und Venmo eingerichtet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Sobald die SSN da ist: Credit Freeze bei Equifax, Experian und TransUnion eingerichtet, erste besicherte Kreditkarte beantragt (Kapitel </w:t>
      </w:r>
      <w:hyperlink w:anchor="k2">
        <w:r>
          <w:rPr>
            <w:rStyle w:val="ListLabel115"/>
            <w:rFonts w:eastAsia="Cambria" w:cs="Cambria"/>
            <w:b w:val="false"/>
            <w:bCs w:val="false"/>
            <w:i w:val="false"/>
            <w:iCs w:val="false"/>
            <w:sz w:val="22"/>
            <w:szCs w:val="22"/>
          </w:rPr>
          <w:t>2</w:t>
        </w:r>
      </w:hyperlink>
      <w:r>
        <w:rPr>
          <w:rFonts w:eastAsia="Cambria" w:cs="Cambria"/>
          <w:b w:val="false"/>
          <w:bCs w:val="false"/>
          <w:i w:val="false"/>
          <w:iCs w:val="false"/>
          <w:sz w:val="22"/>
          <w:szCs w:val="22"/>
        </w:rPr>
        <w:t>, Kapitel </w:t>
      </w:r>
      <w:hyperlink w:anchor="k24">
        <w:r>
          <w:rPr>
            <w:rStyle w:val="ListLabel115"/>
            <w:rFonts w:eastAsia="Cambria" w:cs="Cambria"/>
            <w:b w:val="false"/>
            <w:bCs w:val="false"/>
            <w:i w:val="false"/>
            <w:iCs w:val="false"/>
            <w:sz w:val="22"/>
            <w:szCs w:val="22"/>
          </w:rPr>
          <w:t>24</w:t>
        </w:r>
      </w:hyperlink>
      <w:r>
        <w:rPr>
          <w:rFonts w:eastAsia="Cambria" w:cs="Cambria"/>
          <w:b w:val="false"/>
          <w:bCs w:val="false"/>
          <w:i w:val="false"/>
          <w:iCs w:val="false"/>
          <w:sz w:val="22"/>
          <w:szCs w:val="22"/>
        </w:rPr>
        <w:t>, Kapitel </w:t>
      </w:r>
      <w:hyperlink w:anchor="k25">
        <w:r>
          <w:rPr>
            <w:rStyle w:val="ListLabel115"/>
            <w:rFonts w:eastAsia="Cambria" w:cs="Cambria"/>
            <w:b w:val="false"/>
            <w:bCs w:val="false"/>
            <w:i w:val="false"/>
            <w:iCs w:val="false"/>
            <w:sz w:val="22"/>
            <w:szCs w:val="22"/>
          </w:rPr>
          <w:t>25</w:t>
        </w:r>
      </w:hyperlink>
      <w:r>
        <w:rPr>
          <w:rFonts w:eastAsia="Cambria" w:cs="Cambria"/>
          <w:b w:val="false"/>
          <w:bCs w:val="false"/>
          <w:i w:val="false"/>
          <w:iCs w:val="false"/>
          <w:sz w:val="22"/>
          <w:szCs w:val="22"/>
        </w:rPr>
        <w:t>, Kapitel </w:t>
      </w:r>
      <w:hyperlink w:anchor="k40">
        <w:r>
          <w:rPr>
            <w:rStyle w:val="ListLabel115"/>
            <w:rFonts w:eastAsia="Cambria" w:cs="Cambria"/>
            <w:b w:val="false"/>
            <w:bCs w:val="false"/>
            <w:i w:val="false"/>
            <w:iCs w:val="false"/>
            <w:sz w:val="22"/>
            <w:szCs w:val="22"/>
          </w:rPr>
          <w:t>40</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Wohnung besichtigt und beworben: Offer Letter, Kontoauszüge und englische Vermieter-Referenz bereitgehalten; nie vor Vertragsabschluss gezahlt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Mietvertrag komplett gelesen, Renters Insurance abgeschlossen, beim Einzug jeder Raum fotografiert (Kapitel </w:t>
      </w:r>
      <w:hyperlink w:anchor="k13">
        <w:r>
          <w:rPr>
            <w:rStyle w:val="ListLabel115"/>
            <w:rFonts w:eastAsia="Cambria" w:cs="Cambria"/>
            <w:b w:val="false"/>
            <w:bCs w:val="false"/>
            <w:i w:val="false"/>
            <w:iCs w:val="false"/>
            <w:sz w:val="22"/>
            <w:szCs w:val="22"/>
          </w:rPr>
          <w:t>13</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Krankenversicherung fristgerecht zur Einschreibefrist des Arbeitgebers für die ganze Familie angemeldet, Hausarzt und Kinderarzt „in-network“ bestätigt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DMV-Termin für den Führerschein gebucht, Frist des Bundesstaats geprüft, REAL-ID-konforme Karte beantragt (Kapitel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Form W-4 am ersten Arbeitstag ausgefüllt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Schuldistrikt der neuen Adresse bestätigt, Kind eingestuft, Wohnsitznachweis vorgelegt (Kapitel </w:t>
      </w:r>
      <w:hyperlink w:anchor="k36">
        <w:r>
          <w:rPr>
            <w:rStyle w:val="ListLabel115"/>
            <w:rFonts w:eastAsia="Cambria" w:cs="Cambria"/>
            <w:b w:val="false"/>
            <w:bCs w:val="false"/>
            <w:i w:val="false"/>
            <w:iCs w:val="false"/>
            <w:sz w:val="22"/>
            <w:szCs w:val="22"/>
          </w:rPr>
          <w:t>36</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Home Language Survey ausgefüllt, EL-Koordinator bei Bedarf kontaktiert (Kapitel </w:t>
      </w:r>
      <w:hyperlink w:anchor="k37">
        <w:r>
          <w:rPr>
            <w:rStyle w:val="ListLabel115"/>
            <w:rFonts w:eastAsia="Cambria" w:cs="Cambria"/>
            <w:b w:val="false"/>
            <w:bCs w:val="false"/>
            <w:i w:val="false"/>
            <w:iCs w:val="false"/>
            <w:sz w:val="22"/>
            <w:szCs w:val="22"/>
          </w:rPr>
          <w:t>37</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Zwei Basisläden für Lebensmittel festgelegt, Wasserqualitätsbericht gelesen (Kapitel </w:t>
      </w:r>
      <w:hyperlink w:anchor="k35">
        <w:r>
          <w:rPr>
            <w:rStyle w:val="ListLabel115"/>
            <w:rFonts w:eastAsia="Cambria" w:cs="Cambria"/>
            <w:b w:val="false"/>
            <w:bCs w:val="false"/>
            <w:i w:val="false"/>
            <w:iCs w:val="false"/>
            <w:sz w:val="22"/>
            <w:szCs w:val="22"/>
          </w:rPr>
          <w:t>35</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Haustieren: Tierarzt gesucht, Lizenz beantragt, Chipregister aktualisiert (Kapitel </w:t>
      </w:r>
      <w:hyperlink w:anchor="k22">
        <w:r>
          <w:rPr>
            <w:rStyle w:val="ListLabel115"/>
            <w:rFonts w:eastAsia="Cambria" w:cs="Cambria"/>
            <w:b w:val="false"/>
            <w:bCs w:val="false"/>
            <w:i w:val="false"/>
            <w:iCs w:val="false"/>
            <w:sz w:val="22"/>
            <w:szCs w:val="22"/>
          </w:rPr>
          <w:t>22</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Nummer eines Einwanderungsanwalts und der Botschaft gespeichert; beim Führerscheinantrag nicht als Wähler registrieren lassen (Kapitel </w:t>
      </w:r>
      <w:hyperlink w:anchor="k40">
        <w:r>
          <w:rPr>
            <w:rStyle w:val="ListLabel115"/>
            <w:rFonts w:eastAsia="Cambria" w:cs="Cambria"/>
            <w:b w:val="false"/>
            <w:bCs w:val="false"/>
            <w:i w:val="false"/>
            <w:iCs w:val="false"/>
            <w:sz w:val="22"/>
            <w:szCs w:val="22"/>
          </w:rPr>
          <w:t>40</w:t>
        </w:r>
      </w:hyperlink>
      <w:r>
        <w:rPr>
          <w:rFonts w:eastAsia="Cambria" w:cs="Cambria"/>
          <w:b w:val="false"/>
          <w:bCs w:val="false"/>
          <w:i w:val="false"/>
          <w:iCs w:val="false"/>
          <w:sz w:val="22"/>
          <w:szCs w:val="22"/>
        </w:rPr>
        <w:t>)</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ersten 6 Monate</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Zwei feste Wochentermine (Sport, Kurs, Gemeinde, Ehrenamt) gewählt und mindestens sechs Wochen durchgehalten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 Kapitel </w:t>
      </w:r>
      <w:hyperlink w:anchor="k33">
        <w:r>
          <w:rPr>
            <w:rStyle w:val="ListLabel115"/>
            <w:rFonts w:eastAsia="Cambria" w:cs="Cambria"/>
            <w:b w:val="false"/>
            <w:bCs w:val="false"/>
            <w:i w:val="false"/>
            <w:iCs w:val="false"/>
            <w:sz w:val="22"/>
            <w:szCs w:val="22"/>
          </w:rPr>
          <w:t>33</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Nach jedem netten Gespräch binnen drei Tagen zwei konkrete Terminvorschläge gesendet; Einladungen binnen zwei Tagen beantwortet (Kapitel </w:t>
      </w:r>
      <w:hyperlink w:anchor="k31">
        <w:r>
          <w:rPr>
            <w:rStyle w:val="ListLabel115"/>
            <w:rFonts w:eastAsia="Cambria" w:cs="Cambria"/>
            <w:b w:val="false"/>
            <w:bCs w:val="false"/>
            <w:i w:val="false"/>
            <w:iCs w:val="false"/>
            <w:sz w:val="22"/>
            <w:szCs w:val="22"/>
          </w:rPr>
          <w:t>31</w:t>
        </w:r>
      </w:hyperlink>
      <w:r>
        <w:rPr>
          <w:rFonts w:eastAsia="Cambria" w:cs="Cambria"/>
          <w:b w:val="false"/>
          <w:bCs w:val="false"/>
          <w:i w:val="false"/>
          <w:iCs w:val="false"/>
          <w:sz w:val="22"/>
          <w:szCs w:val="22"/>
        </w:rPr>
        <w:t>,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Beim Arbeitgeber nach Employee Resource Groups gefragt; im Job wöchentliche 1:1-Gespräche genutzt und Erfolge für das Review festgehalten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EAP-Leistungen des Arbeitgebers erfragt, deutschsprachige Therapeutin oder Therapeut vorgemerkt, 988 in den Kontakten gespeichert (Kapitel </w:t>
      </w:r>
      <w:hyperlink w:anchor="k33">
        <w:r>
          <w:rPr>
            <w:rStyle w:val="ListLabel115"/>
            <w:rFonts w:eastAsia="Cambria" w:cs="Cambria"/>
            <w:b w:val="false"/>
            <w:bCs w:val="false"/>
            <w:i w:val="false"/>
            <w:iCs w:val="false"/>
            <w:sz w:val="22"/>
            <w:szCs w:val="22"/>
          </w:rPr>
          <w:t>33</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Nach drei Monaten mit der Familie Bilanz gezogen: Welche Gruppen und Routinen funktionieren, welche nicht?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Rituale mit Freunden und Familie in Deutschland vereinbart, Heimatbesuche zu Feiertagen früh gebucht (Kapitel </w:t>
      </w:r>
      <w:hyperlink w:anchor="k32">
        <w:r>
          <w:rPr>
            <w:rStyle w:val="ListLabel115"/>
            <w:rFonts w:eastAsia="Cambria" w:cs="Cambria"/>
            <w:b w:val="false"/>
            <w:bCs w:val="false"/>
            <w:i w:val="false"/>
            <w:iCs w:val="false"/>
            <w:sz w:val="22"/>
            <w:szCs w:val="22"/>
          </w:rPr>
          <w:t>32</w:t>
        </w:r>
      </w:hyperlink>
      <w:r>
        <w:rPr>
          <w:rFonts w:eastAsia="Cambria" w:cs="Cambria"/>
          <w:b w:val="false"/>
          <w:bCs w:val="false"/>
          <w:i w:val="false"/>
          <w:iCs w:val="false"/>
          <w:sz w:val="22"/>
          <w:szCs w:val="22"/>
        </w:rPr>
        <w:t>, Kapitel </w:t>
      </w:r>
      <w:hyperlink w:anchor="k33">
        <w:r>
          <w:rPr>
            <w:rStyle w:val="ListLabel115"/>
            <w:rFonts w:eastAsia="Cambria" w:cs="Cambria"/>
            <w:b w:val="false"/>
            <w:bCs w:val="false"/>
            <w:i w:val="false"/>
            <w:iCs w:val="false"/>
            <w:sz w:val="22"/>
            <w:szCs w:val="22"/>
          </w:rPr>
          <w:t>33</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Mindestens den vollen 401(k)-Match eingezahlt, HSA bei Hochselbstbehalt-Tarif eröffnet (Kapitel </w:t>
      </w:r>
      <w:hyperlink w:anchor="k29">
        <w:r>
          <w:rPr>
            <w:rStyle w:val="ListLabel115"/>
            <w:rFonts w:eastAsia="Cambria" w:cs="Cambria"/>
            <w:b w:val="false"/>
            <w:bCs w:val="false"/>
            <w:i w:val="false"/>
            <w:iCs w:val="false"/>
            <w:sz w:val="22"/>
            <w:szCs w:val="22"/>
          </w:rPr>
          <w:t>29</w:t>
        </w:r>
      </w:hyperlink>
      <w:r>
        <w:rPr>
          <w:rFonts w:eastAsia="Cambria" w:cs="Cambria"/>
          <w:b w:val="false"/>
          <w:bCs w:val="false"/>
          <w:i w:val="false"/>
          <w:iCs w:val="false"/>
          <w:sz w:val="22"/>
          <w:szCs w:val="22"/>
        </w:rPr>
        <w:t>, Kapitel </w:t>
      </w:r>
      <w:hyperlink w:anchor="k39">
        <w:r>
          <w:rPr>
            <w:rStyle w:val="ListLabel115"/>
            <w:rFonts w:eastAsia="Cambria" w:cs="Cambria"/>
            <w:b w:val="false"/>
            <w:bCs w:val="false"/>
            <w:i w:val="false"/>
            <w:iCs w:val="false"/>
            <w:sz w:val="22"/>
            <w:szCs w:val="22"/>
          </w:rPr>
          <w:t>39</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US-Testament mit Vormundschaftsklausel, finanzielle Vollmacht und Patientenverfügung nach dem Recht des Bundesstaats aufgesetzt; Begünstigte bei den Konten eingetragen (Kapitel </w:t>
      </w:r>
      <w:hyperlink w:anchor="k39">
        <w:r>
          <w:rPr>
            <w:rStyle w:val="ListLabel115"/>
            <w:rFonts w:eastAsia="Cambria" w:cs="Cambria"/>
            <w:b w:val="false"/>
            <w:bCs w:val="false"/>
            <w:i w:val="false"/>
            <w:iCs w:val="false"/>
            <w:sz w:val="22"/>
            <w:szCs w:val="22"/>
          </w:rPr>
          <w:t>39</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Jede Arztrechnung erst nach Abgleich mit der EOB gezahlt, Belege abgeheftet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Ab dem ersten Tag einen Kalender mit Ein- und Ausreisen geführt; Rücklage für eine mögliche Steuernachzahlung im ersten April gebildet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Kapitel </w:t>
      </w:r>
      <w:hyperlink w:anchor="k41">
        <w:r>
          <w:rPr>
            <w:rStyle w:val="ListLabel115"/>
            <w:rFonts w:eastAsia="Cambria" w:cs="Cambria"/>
            <w:b w:val="false"/>
            <w:bCs w:val="false"/>
            <w:i w:val="false"/>
            <w:iCs w:val="false"/>
            <w:sz w:val="22"/>
            <w:szCs w:val="22"/>
          </w:rPr>
          <w:t>41</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Steuerexperten (CPA oder EA) mit Auslandserfahrung gebucht; FBAR-Frist (15. April, automatisch 15. Oktober) im Kalender notiert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Nach jedem Umzug innerhalb der USA binnen zehn Tagen die Adressänderung AR-11 online eingereicht (Kapitel </w:t>
      </w:r>
      <w:hyperlink w:anchor="k6">
        <w:r>
          <w:rPr>
            <w:rStyle w:val="ListLabel115"/>
            <w:rFonts w:eastAsia="Cambria" w:cs="Cambria"/>
            <w:b w:val="false"/>
            <w:bCs w:val="false"/>
            <w:i w:val="false"/>
            <w:iCs w:val="false"/>
            <w:sz w:val="22"/>
            <w:szCs w:val="22"/>
          </w:rPr>
          <w:t>6</w:t>
        </w:r>
      </w:hyperlink>
      <w:r>
        <w:rPr>
          <w:rFonts w:eastAsia="Cambria" w:cs="Cambria"/>
          <w:b w:val="false"/>
          <w:bCs w:val="false"/>
          <w:i w:val="false"/>
          <w:iCs w:val="false"/>
          <w:sz w:val="22"/>
          <w:szCs w:val="22"/>
        </w:rPr>
        <w:t>,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 Kapitel </w:t>
      </w:r>
      <w:hyperlink w:anchor="k40">
        <w:r>
          <w:rPr>
            <w:rStyle w:val="ListLabel115"/>
            <w:rFonts w:eastAsia="Cambria" w:cs="Cambria"/>
            <w:b w:val="false"/>
            <w:bCs w:val="false"/>
            <w:i w:val="false"/>
            <w:iCs w:val="false"/>
            <w:sz w:val="22"/>
            <w:szCs w:val="22"/>
          </w:rPr>
          <w:t>40</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Jobverlust: 60 Tage ab letztem Arbeitstag und die COBRA-Fristen notiert, eigenen Einwanderungsanwalt griffbereit (Kapitel </w:t>
      </w:r>
      <w:hyperlink w:anchor="k26">
        <w:r>
          <w:rPr>
            <w:rStyle w:val="ListLabel115"/>
            <w:rFonts w:eastAsia="Cambria" w:cs="Cambria"/>
            <w:b w:val="false"/>
            <w:bCs w:val="false"/>
            <w:i w:val="false"/>
            <w:iCs w:val="false"/>
            <w:sz w:val="22"/>
            <w:szCs w:val="22"/>
          </w:rPr>
          <w:t>26</w:t>
        </w:r>
      </w:hyperlink>
      <w:r>
        <w:rPr>
          <w:rFonts w:eastAsia="Cambria" w:cs="Cambria"/>
          <w:b w:val="false"/>
          <w:bCs w:val="false"/>
          <w:i w:val="false"/>
          <w:iCs w:val="false"/>
          <w:sz w:val="22"/>
          <w:szCs w:val="22"/>
        </w:rPr>
        <w:t>, Kapitel </w:t>
      </w:r>
      <w:hyperlink w:anchor="k30">
        <w:r>
          <w:rPr>
            <w:rStyle w:val="ListLabel115"/>
            <w:rFonts w:eastAsia="Cambria" w:cs="Cambria"/>
            <w:b w:val="false"/>
            <w:bCs w:val="false"/>
            <w:i w:val="false"/>
            <w:iCs w:val="false"/>
            <w:sz w:val="22"/>
            <w:szCs w:val="22"/>
          </w:rPr>
          <w:t>30</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Wetterwarnungen aktiviert, Notvorrat angelegt, Codewort mit den Eltern in Deutschland gegen Schockanrufe vereinbart (Kapitel </w:t>
      </w:r>
      <w:hyperlink w:anchor="k40">
        <w:r>
          <w:rPr>
            <w:rStyle w:val="ListLabel115"/>
            <w:rFonts w:eastAsia="Cambria" w:cs="Cambria"/>
            <w:b w:val="false"/>
            <w:bCs w:val="false"/>
            <w:i w:val="false"/>
            <w:iCs w:val="false"/>
            <w:sz w:val="22"/>
            <w:szCs w:val="22"/>
          </w:rPr>
          <w:t>40</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Bibliotheksausweis geholt, Familienregel für Deutsch und ein tägliches Vorleseritual festgelegt; Samstags- oder Immersionsschule recherchiert (Kapitel </w:t>
      </w:r>
      <w:hyperlink w:anchor="k37">
        <w:r>
          <w:rPr>
            <w:rStyle w:val="ListLabel115"/>
            <w:rFonts w:eastAsia="Cambria" w:cs="Cambria"/>
            <w:b w:val="false"/>
            <w:bCs w:val="false"/>
            <w:i w:val="false"/>
            <w:iCs w:val="false"/>
            <w:sz w:val="22"/>
            <w:szCs w:val="22"/>
          </w:rPr>
          <w:t>37</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Costco-Mitgliedschaft geprüft, Ersatz für Brot, Wurst und Käse gefunden (Kapitel </w:t>
      </w:r>
      <w:hyperlink w:anchor="k35">
        <w:r>
          <w:rPr>
            <w:rStyle w:val="ListLabel115"/>
            <w:rFonts w:eastAsia="Cambria" w:cs="Cambria"/>
            <w:b w:val="false"/>
            <w:bCs w:val="false"/>
            <w:i w:val="false"/>
            <w:iCs w:val="false"/>
            <w:sz w:val="22"/>
            <w:szCs w:val="22"/>
          </w:rPr>
          <w:t>35</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Winterjacke, gute Schuhe und Business-Kleidung nach Bedarf besorgt statt in Mengen mitgenommen (Kapitel </w:t>
      </w:r>
      <w:hyperlink w:anchor="k34">
        <w:r>
          <w:rPr>
            <w:rStyle w:val="ListLabel115"/>
            <w:rFonts w:eastAsia="Cambria" w:cs="Cambria"/>
            <w:b w:val="false"/>
            <w:bCs w:val="false"/>
            <w:i w:val="false"/>
            <w:iCs w:val="false"/>
            <w:sz w:val="22"/>
            <w:szCs w:val="22"/>
          </w:rPr>
          <w:t>34</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Kindern: Betreuungsplatz, Sommerbetreuung oder Credits mit dem Counselor geklärt; bei Teenagern Führerscheinregeln und ein Versicherungsangebot vor dem 16. Geburtstag eingeholt (Kapitel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GKV- oder PKV-Anwartschaft sowie die Rentenanwartschaft in Deutschland im Blick behalten, falls eine Rückkehr später infrage kommt (Kapitel </w:t>
      </w:r>
      <w:hyperlink w:anchor="k17">
        <w:r>
          <w:rPr>
            <w:rStyle w:val="ListLabel115"/>
            <w:rFonts w:eastAsia="Cambria" w:cs="Cambria"/>
            <w:b w:val="false"/>
            <w:bCs w:val="false"/>
            <w:i w:val="false"/>
            <w:iCs w:val="false"/>
            <w:sz w:val="22"/>
            <w:szCs w:val="22"/>
          </w:rPr>
          <w:t>17</w:t>
        </w:r>
      </w:hyperlink>
      <w:r>
        <w:rPr>
          <w:rFonts w:eastAsia="Cambria" w:cs="Cambria"/>
          <w:b w:val="false"/>
          <w:bCs w:val="false"/>
          <w:i w:val="false"/>
          <w:iCs w:val="false"/>
          <w:sz w:val="22"/>
          <w:szCs w:val="22"/>
        </w:rPr>
        <w:t>, Kapitel </w:t>
      </w:r>
      <w:hyperlink w:anchor="k42">
        <w:r>
          <w:rPr>
            <w:rStyle w:val="ListLabel115"/>
            <w:rFonts w:eastAsia="Cambria" w:cs="Cambria"/>
            <w:b w:val="false"/>
            <w:bCs w:val="false"/>
            <w:i w:val="false"/>
            <w:iCs w:val="false"/>
            <w:sz w:val="22"/>
            <w:szCs w:val="22"/>
          </w:rPr>
          <w:t>42</w:t>
        </w:r>
      </w:hyperlink>
      <w:r>
        <w:rPr>
          <w:rFonts w:eastAsia="Cambria" w:cs="Cambria"/>
          <w:b w:val="false"/>
          <w:bCs w:val="false"/>
          <w:i w:val="false"/>
          <w:iCs w:val="false"/>
          <w:sz w:val="22"/>
          <w:szCs w:val="22"/>
        </w:rPr>
        <w: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Datum „Resident Since“ auf der Green Card notiert, um den frühesten Termin für Einbürgerung oder Reentry Permit später zu kennen (Kapitel </w:t>
      </w:r>
      <w:hyperlink w:anchor="k41">
        <w:r>
          <w:rPr>
            <w:rStyle w:val="ListLabel115"/>
            <w:rFonts w:eastAsia="Cambria" w:cs="Cambria"/>
            <w:b w:val="false"/>
            <w:bCs w:val="false"/>
            <w:i w:val="false"/>
            <w:iCs w:val="false"/>
            <w:sz w:val="22"/>
            <w:szCs w:val="22"/>
          </w:rPr>
          <w:t>41</w:t>
        </w:r>
      </w:hyperlink>
      <w:r>
        <w:rPr>
          <w:rFonts w:eastAsia="Cambria" w:cs="Cambria"/>
          <w:b w:val="false"/>
          <w:bCs w:val="false"/>
          <w:i w:val="false"/>
          <w:iCs w:val="false"/>
          <w:sz w:val="22"/>
          <w:szCs w:val="22"/>
        </w:rPr>
        <w:t>)</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Kanada</w:t>
      </w:r>
    </w:p>
    <w:p>
      <w:pPr>
        <w:pStyle w:val="Heading3"/>
        <w:keepNext w:val="true"/>
        <w:spacing w:before="280" w:after="100"/>
        <w:jc w:val="center"/>
        <w:rPr/>
      </w:pPr>
      <w:r>
        <w:rPr>
          <w:rFonts w:eastAsia="Amazon Ember" w:cs="Amazon Ember" w:ascii="Amazon Ember" w:hAnsi="Amazon Ember"/>
          <w:b/>
          <w:bCs/>
          <w:color w:val="0000FF"/>
          <w:sz w:val="36"/>
          <w:szCs w:val="36"/>
        </w:rPr>
        <w:t>T–18 bis T–12 Monate: Entscheidung und Vorbereitung</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Eigenen Express-Entry-CRS-Score überschlägig berechnet und mit den aktuellen Einladungsgrenzen verglichen (Kanada: Einwanderungswege)</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Provincial Nominee Program (PNP) der bevorzugten Provinz oder Provinzen auf die aktuellen Kriterien geprüft (Kanada: Einwanderungswege)</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Geprüft, ob ein arbeitgebergesponsertes, LMIA-pflichtiges oder LMIA-freies Arbeitsvisum als schnellerer Weg infrage kommt (Kanada: Arbeitsweg)</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T–12 bis T–6 Monate: Visum und Papiere</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Sprachtest (CELPIP oder IELTS) gebucht und die eigene CLB-Stufe realistisch eingeschätzt (Kanada: Arbeitsweg)</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Bildungsbewertung (</w:t>
      </w:r>
      <w:r>
        <w:rPr>
          <w:rFonts w:eastAsia="Cambria" w:cs="Cambria"/>
          <w:b w:val="false"/>
          <w:bCs w:val="false"/>
          <w:i/>
          <w:iCs/>
          <w:sz w:val="22"/>
          <w:szCs w:val="22"/>
        </w:rPr>
        <w:t>Educational Credential Assessment</w:t>
      </w:r>
      <w:r>
        <w:rPr>
          <w:rFonts w:eastAsia="Cambria" w:cs="Cambria"/>
          <w:b w:val="false"/>
          <w:bCs w:val="false"/>
          <w:i w:val="false"/>
          <w:iCs w:val="false"/>
          <w:sz w:val="22"/>
          <w:szCs w:val="22"/>
        </w:rPr>
        <w:t>, ECA) für den eigenen Abschluss bei einer anerkannten Stelle beauftragt (Kanada: Einwanderungswege)</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IRCC-Kundenkonto angelegt, Gesamtkosten inklusive der separaten Right-of-PR-Gebühr (600 CAD pro Erwachsenem) realistisch kalkuliert (Kanada: Antrag/Konsulat)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Führungszeugnis beim Bundesamt für Justiz beantragt; für Kanada in der Regel ohne Apostille, bei Ausstellung vor Februar 2019 aber beglaubigte Übersetzung eingeplant (Kanada: Antrag/Konsulat)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Termin bei einem IRCC-zugelassenen Panel Physician für die Gesundheitsuntersuchung gebucht (Kanada: Antrag/Konsulat)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Termin bei VFS Global Berlin für Biometrie (Fingerabdrücke, Foto) gebucht, sobald IRCC dazu auffordert (Kanada: Antrag/Konsulat)</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T–6 bis T–3 Monate: Umzug organisieren</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Newcomer-Bankpaket einer der fünf großen Banken (RBC, TD, Scotiabank, BMO, CIBC) verglichen und die Kontoeröffnung, wo möglich, schon von Deutschland aus online vorbereitet (Kanada: Ankunft)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Wartefrist der Provinz-Krankenversicherung am Zielort geprüft: Ontario ohne Wartefrist, British Columbia und Québec mit rund drei Monaten; bei Wartefrist eine private Übergangsversicherung (grob 100–200 CAD pro Person und Monat) mit Beginn zum Ankunftstag abgeschlossen (Kanada: Gesundheitssystem)</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Führerschein-Umtauschfrist der Zielprovinz bestätigt (Ontario 60 Tage, British Columbia 90 Tage, Québec 6 Monate) (Kanada: Führerschein/Auto)</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Mindestens drei Kfz-Versicherungsangebote mit gleicher Deckung für die Zielprovinz eingeholt und nach Anrechnung der deutschen Schadenfreiheitsbescheinigung gefragt (Kanada: Führerschein/Auto)</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Kindern: Betreuungsplatz und Schulzuordnung beim zuständigen School Board Monate vor dem Umzug angefragt (Kanada: Kinder/Schule)</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Kaufabsicht: eigener Aufenthaltsstatus gegen das bundesweite Kaufverbot für Nicht-Kanadier und provinzielle Foreign-Buyer-Steuern (in Toronto bis zu 35 %) abgeglichen (Kanada: Wohnen)</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T–3 bis T–1 Monat: Feinschliff</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eSIM mit Kanada-Datenpaket eingerichtet oder Prepaid-SIM-Kauf am Zielort vorbereitet, deutsche Nummer als Zweit-SIM behalten (Kanada: Ankunft)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Übergangsunterkunft mit kostenloser Stornierung für die ersten ein bis zwei Wochen gebucht (Kanada: Ankunft)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Confirmation of Permanent Residence (COPR) beziehungsweise Visumsbestätigung, Genehmigungsschreiben des Arbeitgebers und Ergebnis der Gesundheitsuntersuchung im Handgepäck verstaut, nicht im Container (Kanada: Ankunft)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Zielort Québec: Französischkurs begonnen, da Bill 96 Neuankömmlingen nur sechs Monate Übergangsfrist für Behördenkontakt auf Englisch lässt (Kanada: Alltagskultur)</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ersten 30 Tage in Kanada</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SIN in der ersten Woche online, postalisch oder persönlich bei Service Canada beantragt, Bestätigung meist binnen fünf Werktagen im My Service Canada Account geprüft (Kanada: Steuer-ID/Bank)</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Antrag auf Provinz-Krankenversicherung gestellt, unabhängig davon, ob eine Wartefrist gilt (Kanada: Gesundheitssystem)</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Formular RC151 (GST/HST-Credit) und bei Kindern RC66 (Canada Child Benefit) eingereicht (Kanada: Steuer-ID/Bank)</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Bankkonto eröffnet oder vor Ort mit Pass und Aufenthaltsnachweis verifiziert; Secured Credit Card oder Newcomer-Kreditkarte beantragt, um den bei null startenden kanadischen Credit Score aufzubauen (Kanada: Ankunft)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Führerschein innerhalb der Umtauschfrist der Provinz umgetauscht (Kanada: Führerschein/Auto)</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Wohnungssuche mit Bewerbungsmappe (Gehaltsnachweis, Arbeitsvertrag, ausländische Bonitätsnachweise) begonnen, Kautionsregeln der Provinz beachtet (Kanada: Wohnen)</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Kinder beim zuständigen School Board angemeldet, Einstufung und gegebenenfalls French-Immersion-Warteliste geklärt (Kanada: Kinder/Schule)</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Community Centre, Sportverein oder Wandergruppe der Zielstadt für den Einstieg ins soziale Leben kontaktiert (Kanada: Freunde/Kulturschock)</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ersten 6 Monate</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Erste kanadische Steuererklärung als Newcomer vorbereitet (anteiliger Grundfreibetrag), Frist 30. April notiert (Kanada: Steuer-ID/Bank)</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Extended Health Benefits beim Arbeitgeber erfragt, bevor eine eigene Zusatzversicherung für Zahn, Medikamente oder Sehhilfen abgeschlossen wird (Kanada: Gesundheitssystem)</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Auf Wartelisten mehrerer Hausarztpraxen eingetragen, nächstgelegene Walk-in-Klinik notiert (Kanada: Gesundheitssystem)</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Arbeitsvertrag mit dem gesetzlichen Minimum der Provinz verglichen (Urlaub ab zwei Wochen, Kündigungsfrist, Krankheitstage) (Kanada: Arbeitswelt)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Verhalten bei einer Verkehrskontrolle und die eigenen Rechte gegenüber der Polizei mit der Familie durchgesprochen (Kanada: Recht/Sicherheit)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Reiseprotokoll für die spätere Einbürgerung geführt: 1.095 Tage Anwesenheit, davon mindestens 730 Tage als Permanent Resident (Kanada: Staatsbürgerschaft/Steuerresidenz)</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Australien</w:t>
      </w:r>
    </w:p>
    <w:p>
      <w:pPr>
        <w:pStyle w:val="Heading3"/>
        <w:keepNext w:val="true"/>
        <w:spacing w:before="280" w:after="100"/>
        <w:jc w:val="center"/>
        <w:rPr/>
      </w:pPr>
      <w:r>
        <w:rPr>
          <w:rFonts w:eastAsia="Amazon Ember" w:cs="Amazon Ember" w:ascii="Amazon Ember" w:hAnsi="Amazon Ember"/>
          <w:b/>
          <w:bCs/>
          <w:color w:val="0000FF"/>
          <w:sz w:val="36"/>
          <w:szCs w:val="36"/>
        </w:rPr>
        <w:t>T–18 bis T–12 Monate: Entscheidung und Vorbereitung</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Eigenen Punktestand für den Punktetest (Subclass 189/190/491) anhand Alter, Englischniveau, Bildung und Berufserfahrung überschlägig berechnet und mit den aktuellen Cut-off-Werten verglichen, nicht nur mit der gesetzlichen Mindestpunktzahl von 65 (Australien: Arbeitsweg)</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Geprüft, ob der eigene Beruf auf der für das jeweilige Visum einschlägigen Berufsliste steht (Australien: Einwanderungswege)</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Working-Holiday-Visum (Subclass 417) als risikoarmer erster Schritt geprüft, falls unter 35 und noch unentschlossen (Australien: Einwanderungswege)</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T–12 bis T–6 Monate: Visum und Papiere</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Skills Assessment bei der zuständigen Bewertungsstelle (etwa Engineers Australia, ACS, VETASSESS, ANMAC oder TRA) beantragt, parallel zum Englischtest, weil es oft der eigentliche Flaschenhals im Verfahren ist (Australien: Arbeitsweg)</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 xml:space="preserve">Englischtest (IELTS, PTE oder gleichwertig) gebucht; bei knapper Punktzahl gezielt auf das Sprachniveau </w:t>
      </w:r>
      <w:r>
        <w:rPr>
          <w:rFonts w:eastAsia="Cambria" w:cs="Cambria"/>
          <w:b w:val="false"/>
          <w:bCs w:val="false"/>
          <w:i/>
          <w:iCs/>
          <w:sz w:val="22"/>
          <w:szCs w:val="22"/>
        </w:rPr>
        <w:t>Superior</w:t>
      </w:r>
      <w:r>
        <w:rPr>
          <w:rFonts w:eastAsia="Cambria" w:cs="Cambria"/>
          <w:b w:val="false"/>
          <w:bCs w:val="false"/>
          <w:i w:val="false"/>
          <w:iCs w:val="false"/>
          <w:sz w:val="22"/>
          <w:szCs w:val="22"/>
        </w:rPr>
        <w:t xml:space="preserve"> statt nur </w:t>
      </w:r>
      <w:r>
        <w:rPr>
          <w:rFonts w:eastAsia="Cambria" w:cs="Cambria"/>
          <w:b w:val="false"/>
          <w:bCs w:val="false"/>
          <w:i/>
          <w:iCs/>
          <w:sz w:val="22"/>
          <w:szCs w:val="22"/>
        </w:rPr>
        <w:t>Proficient</w:t>
      </w:r>
      <w:r>
        <w:rPr>
          <w:rFonts w:eastAsia="Cambria" w:cs="Cambria"/>
          <w:b w:val="false"/>
          <w:bCs w:val="false"/>
          <w:i w:val="false"/>
          <w:iCs w:val="false"/>
          <w:sz w:val="22"/>
          <w:szCs w:val="22"/>
        </w:rPr>
        <w:t xml:space="preserve"> hingearbeitet (Australien: Arbeitsweg)</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Expression of Interest (EOI) über SkillSelect eingereicht, sobald Skills Assessment und Sprachtest vorliegen; nach Einladung den Antrag innerhalb der 60-Tage-Frist über ImmiAccount gestellt (Australien: Antrag/Konsulat)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Gesundheitsuntersuchung bei einem zugelassenen Panel Physician terminiert, sobald die HAP-ID vorliegt (Australien: Antrag/Konsulat)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Führungszeugnis für jedes Land mit mehr als 12 Monaten Aufenthalt seit dem 16. Geburtstag beantragt und die Apostille direkt über das Online-Datenformular des Bundesamts für Auswärtige Angelegenheiten eingeholt – eine nachträgliche Apostille ist auf diesem Weg nicht vorgesehen (Australien: Antrag/Konsulat)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Arbeitgeber-Sponsoring (Subclass 482): Gehalt mit der maßgeblichen Lohnschwelle verglichen und schriftlich festgehalten, dass die Skilling-Australians-Fund-Levy beim Arbeitgeber bleibt (Australien: Arbeitsweg)</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Registrierten Migration Agent im OMARA-Self-Service-Portal auf aktuelle Zulassung geprüft, falls Beratung gewünscht ist (Australien: Antrag/Konsulat)</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T–6 bis T–3 Monate: Umzug organisieren</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Biosecurity-Regeln der Australian Border Force vor der Containerbeladung geprüft: Lebensmittel, frisches Obst, Pflanzen, Samen, Holzgegenstände und ungereinigtes Outdoor-Equipment gehören nicht in die Kiste oder müssen bei der Einreise deklariert werden (Australien: Ankunft)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Bank-Voreröffnung bei einer australischen Großbank online vorbereitet (Westpac bis zu 12 Monate, CommBank bis zu 14 Tage vor Einreise möglich) (Australien: Steuer-ID/Bank)</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 xml:space="preserve">Bei Kaufabsicht: geklärt, ob der eigene Visumstatus als </w:t>
      </w:r>
      <w:r>
        <w:rPr>
          <w:rFonts w:eastAsia="Cambria" w:cs="Cambria"/>
          <w:b w:val="false"/>
          <w:bCs w:val="false"/>
          <w:i/>
          <w:iCs/>
          <w:sz w:val="22"/>
          <w:szCs w:val="22"/>
        </w:rPr>
        <w:t>foreign person</w:t>
      </w:r>
      <w:r>
        <w:rPr>
          <w:rFonts w:eastAsia="Cambria" w:cs="Cambria"/>
          <w:b w:val="false"/>
          <w:bCs w:val="false"/>
          <w:i w:val="false"/>
          <w:iCs w:val="false"/>
          <w:sz w:val="22"/>
          <w:szCs w:val="22"/>
        </w:rPr>
        <w:t xml:space="preserve"> unter das FIRB-Verbot für Bestandsimmobilien fällt, und der Foreign-Buyer-Zuschlag (7–9 % Stamp Duty) einkalkuliert (Australien: Wohnen)</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Internationalen Führerschein oder eine beglaubigte englische Übersetzung des deutschen Führerscheins in Deutschland beantragt, Umtauschfrist des Zielbundesstaats notiert (Australien: Führerschein/Auto)</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T–3 bis T–1 Monat: Feinschliff</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OVHC (bei Arbeitsvisum) oder OSHC (bei Studienvisum) mit Versicherungsbeginn zum Ankunftstag abgeschlossen – Deutschland hat kein Reciprocal Health Care Agreement mit Australien, ohne private Absicherung besteht ab dem ersten Tag keine Krankenversicherungsdeckung (Australien: Gesundheitssystem)</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eSIM mit Australien-Datenpaket eingerichtet oder Prepaid-SIM-Optionen recherchiert, da deutsche Mobilfunktarife in Australien kein EU-Roaming haben (Australien: Ankunft)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Übergangsunterkunft mit Stornierungsoption für mindestens ein bis zwei Wochen gebucht (Australien: Ankunft)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Visumsbestätigung ausgedruckt fürs Handgepäck bereitgelegt, da das Visum nicht im Pass klebt, sondern nur elektronisch mit der Passnummer verknüpft ist (Australien: Ankunft)</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ersten 30 Tage in Australien</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Bargeld und Zahlungsmittel über 10.000 AUD bei der Einreise aktiv deklariert (Australien: Ankunft)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Biosecurity-Deklaration bei der Einreise ehrlich und vollständig ausgefüllt (Australien: Ankunft)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TFN online beim Australian Taxation Office beantragt, sobald ein australischer Wohnsitznachweis vorliegt – kostenlos, aber ohne sie behält der Arbeitgeber ab Tag 28 pauschal 47 % des Lohns ein (Australien: Steuer-ID/Bank)</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Permanent-Resident-Status: persönliche Medicare-Anmeldung bei einem Service Center von Services Australia mit Pass, Visumsnachweis und Adressnachweis erledigt (Australien: Gesundheitssystem)</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Bankkonto vor Ort über den vorgeschriebenen 100-Punkte-Ausweischeck verifiziert oder online eröffnetes Konto aktiviert (Australien: Steuer-ID/Bank)</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Superannuation-Fonds bei Arbeitsbeginn aktiv gewählt statt den Standardfonds zu übernehmen, Formular innerhalb von 28 Tagen eingereicht (Australien: Steuer-ID/Bank)</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Erste Fahrten bewusst auf ruhigen Strecken geübt: Linksverkehr, Kreisverkehr im Uhrzeigersinn, vertauschte Blinker- und Scheibenwischerhebel – keine Autofahrt direkt nach der Ankunft mit Jetlag (Australien: Führerschein/Auto)</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Wohnungssuche mit vollständiger Bewerbungsmappe gestartet (Einkommensnachweis, Referenzen, Ausweis), Kaution über die staatliche Kautionsstelle statt direkt an den Vermieter eingeplant (Australien: Wohnen)</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ersten 6 Monate</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Steuerlichen Status (Ansässiger oder Foreign Resident) geklärt und Einkommen mit den Schwellen der Medicare Levy Surcharge abgeglichen (Australien: Steuer-ID/Bank)</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Australische Kreditwürdigkeit gezielt aufgebaut: laufendes Konto, pünktlich bezahlte Rechnungen, erste Kreditkarte mit niedrigem Limit – die deutsche Schufa-Historie zählt in Australien nicht (Australien: Steuer-ID/Bank)</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befristetem Arbeitsvisum (Subclass 482): vor jedem Arbeitgeberwechsel die neue Nominierung abgewartet, nie vorher beim neuen Arbeitgeber angefangen (Australien: Arbeitswelt)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Anschluss über Sportverein, freiwillige Feuerwehr, Nachbarschaft oder Kinder gesucht; aus vagen „We should catch up“-Angeboten konkrete Termine mit Ort und Uhrzeit gemacht (Australien: Freunde/Kulturschock)</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Notfallplan für Buschfeuer- oder Zyklonsaison angelegt: Warn-App installiert, Sammelpunkt und Notvorrat festgelegt, Haus- oder Hausratversicherung auf Naturgefahren-Deckung geprüft (Australien: Recht/Sicherheit)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Regelmäßigen Videoanruf-Termin mit der Familie in Deutschland trotz 8 bis 10 Stunden Zeitverschiebung vereinbart, Heimatbesuch zu Weihnachten oder anderen großen Feiertagen früh gebucht (Australien: Alltagskultur)</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Erste Steuererklärung bis zur Frist am 31. Oktober über myGov/myTax vorbereitet oder rechtzeitig ein registrierter Steuerberater für die Fristverlängerung beauftragt (Australien: Steuer-ID/Bank)</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nur befristetem Aufenthalt oder Working-Holiday-Hintergrund: vor einer späteren, dauerhaften Ausreise die Besteuerung der Superannuation-Auszahlung (DASP) eingeplant, bis zu 65 % Steuer bei Working-Holiday-Anteilen, 35 % bei anderen befristeten Visa (Australien: Steuer-ID/Bank)</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Neuseeland</w:t>
      </w:r>
    </w:p>
    <w:p>
      <w:pPr>
        <w:pStyle w:val="Heading3"/>
        <w:keepNext w:val="true"/>
        <w:spacing w:before="280" w:after="100"/>
        <w:jc w:val="center"/>
        <w:rPr/>
      </w:pPr>
      <w:r>
        <w:rPr>
          <w:rFonts w:eastAsia="Amazon Ember" w:cs="Amazon Ember" w:ascii="Amazon Ember" w:hAnsi="Amazon Ember"/>
          <w:b/>
          <w:bCs/>
          <w:color w:val="0000FF"/>
          <w:sz w:val="36"/>
          <w:szCs w:val="36"/>
        </w:rPr>
        <w:t>T–18 bis T–12 Monate: Entscheidung und Vorbereitung</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Eigenen Beruf mit der aktuellen Green List und dem passenden ANZSCO-Code abgeglichen, inklusive Tier 1 oder Tier 2 (Neuseeland: Einwanderungswege)</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Geklärt, ob der künftige Arbeitgeber bereits als Accredited Employer akkreditiert ist oder die Akkreditierung erst noch beantragen muss (Neuseeland: Arbeitsweg)</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Entschieden, ob der Weg über das Accredited Employer Work Visa (AEWV) mit späterem Wechsel zur Residency oder die direkte Bewerbung über die Skilled Migrant Category (Höchstalter 55 Jahre) realistischer ist (Neuseeland: Einwanderungswege)</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T–12 bis T–6 Monate: Visum und Papiere</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SMC-Punktzahl überschlägig anhand der Sechs-Punkte-Schwelle berechnet: Qualifikation, berufliche Registrierung, Einkommen, NZ-Erfahrung (Neuseeland: Einwanderungswege)</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AEWV: Arbeitgeber gebeten, Employer Accreditation und Job Check für die konkrete Stelle zu durchlaufen, bevor der eigene Antrag gestellt wird (Neuseeland: Arbeitsweg)</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Führungszeugnis beim Bundesamt für Justiz beantragt (höchstens sechs Monate alt bei Einreichung) und beglaubigte englische Übersetzung organisiert – keine Apostille nötig (Neuseeland: Antrag/Konsulat)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Gesundheitsuntersuchung, gegebenenfalls mit Röntgen-Thorax, bei einem von Immigration New Zealand zugelassenen Panel Physician terminiert (Neuseeland: Antrag/Konsulat)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Konto bei Immigration New Zealand (INZ) angelegt und Gesamtkosten inklusive Immigration Levy und gegebenenfalls IVL realistisch kalkuliert – Deutschland zahlt volle Gebühren ohne Fee-Waiver (Neuseeland: Antrag/Konsulat)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Familie: eigene Visa für Partner (Partnership Work Visa) und Kinder parallel zum Hauptantrag beantragt (Neuseeland: Antrag/Konsulat)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Job, Wohnung und Kinderbetreuung in Deutschland erst gekündigt, nachdem die Genehmigung tatsächlich im INZ-Konto steht, nicht schon nach bestandener Employer Accreditation (Neuseeland: Antrag/Konsulat)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Arbeitsvertrag vor der Unterschrift auf eine 90-Tage-Probezeit-Klausel ohne Kündigungsschutz geprüft (Neuseeland: Arbeitswelt)</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T–6 bis T–3 Monate: Umzug organisieren</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Umzugsgut biosicherheitsbewusst sortiert: Wanderschuhe und Campingausrüstung von Erdresten gereinigt, unbehandelte Holzprodukte, Lebensmittel und Pflanzen aussortiert, um die Kontrolle des Ministry for Primary Industries (MPI) bei der Ankunft zu bestehen (Neuseeland: Ankunft)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Bankkonto-Voreröffnung geprüft: ANZ bis zu 90 Tage vor Einreise möglich, ASB per App (Neuseeland: Steuer-ID/Bank)</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Private Übergangskrankenversicherung verglichen, falls das eigene Visum unter der Zwei-Jahres-Schwelle fürs öffentliche Gesundheitssystem bleibt (Neuseeland: Gesundheitssystem)</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Zielregion nach Naturgefahren-Profil (Erdbeben in Wellington und Christchurch, Vulkanfeld in Auckland, Lawinenrisiko bei Queenstown) und Kostenniveau verglichen (Neuseeland: Wohnen)</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Schulzone der Zieladresse geprüft und Kinder möglichst zum Beginn eines Terms angemeldet (Neuseeland: Kinder/Schule)</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T–3 bis T–1 Monat: Feinschliff</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Englische Übersetzung des deutschen Führerscheins besorgt und das Ausstellungsdatum (älter als zwei Jahre) eindeutig nachweisbar gemacht (Neuseeland: Führerschein/Auto)</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eSIM mit Neuseeland-Datenpaket eingerichtet, deutsche Nummer als Zweit-SIM behalten (Neuseeland: Ankunft)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Übergangsunterkunft mit Stornierungsoption für die ersten ein bis zwei Wochen gebucht (Neuseeland: Ankunft)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Bewerbungsunterlagen für die Wohnungssuche zusammengestellt: Einkommensnachweis, Arbeitsvertrag, Referenzen früherer Vermieter (Neuseeland: Wohnen)</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ersten 30 Tage in Neuseeland</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New Zealand Traveller Declaration spätestens vor der Passkontrolle ausgefüllt, Biosecurity-Angaben auch bei Kleinigkeiten ehrlich deklariert (Neuseeland: Ankunft)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IRD-Nummer online beantragt, sobald die neuseeländische Bankverbindung steht (Neuseeland: Steuer-ID/Bank)</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Formular IR330 beim Arbeitgeber eingereicht, bevor die erste Gehaltsabrechnung läuft, um den hohen pauschalen No-Notification-Steuersatz von 45 % zu vermeiden (Neuseeland: Steuer-ID/Bank)</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Bankkonto per Filialtermin mit Pass, Visumsnachweis und Adressnachweis vollständig identitätsgeprüft (Neuseeland: Ankunft)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Eigene Berechtigung fürs öffentliche Gesundheitssystem anhand der tatsächlichen Visumslaufzeit geprüft (Zwei-Jahres-Schwelle ab dem ersten Tag in Neuseeland) und bei einer Hausarztpraxis angemeldet (Neuseeland: Gesundheitssystem)</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 xml:space="preserve">Führerschein bei einer autorisierten Stelle umgetauscht – Deutschland zählt als </w:t>
      </w:r>
      <w:r>
        <w:rPr>
          <w:rFonts w:eastAsia="Cambria" w:cs="Cambria"/>
          <w:b w:val="false"/>
          <w:bCs w:val="false"/>
          <w:i/>
          <w:iCs/>
          <w:sz w:val="22"/>
          <w:szCs w:val="22"/>
        </w:rPr>
        <w:t>exempt country</w:t>
      </w:r>
      <w:r>
        <w:rPr>
          <w:rFonts w:eastAsia="Cambria" w:cs="Cambria"/>
          <w:b w:val="false"/>
          <w:bCs w:val="false"/>
          <w:i w:val="false"/>
          <w:iCs w:val="false"/>
          <w:sz w:val="22"/>
          <w:szCs w:val="22"/>
        </w:rPr>
        <w:t xml:space="preserve"> und kann nach Sehtest ohne weitere Prüfung umgeschrieben werden (Neuseeland: Führerschein/Auto)</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Linksverkehr bewusst geübt: vor jedem Linksabbiegen zuerst nach rechts geschaut (Neuseeland: Führerschein/Auto)</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Kaution (höchstens vier Wochenmieten) über das Online-Formular direkt an Tenancy Services überwiesen, nicht an den Vermieter (Neuseeland: Wohnen)</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Die ersten 6 Monate</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Übergangsfrist für das Fahren mit deutschem Führerschein im Blick behalten (aktuell bis zu 18 Monate ab letzter Einreise) und Umtausch nicht aufschieben (Neuseeland: Führerschein/Auto)</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KiwiSaver-Berechtigung anhand des Aufenthaltsstatus geklärt – beim AEWV zunächst ausgeschlossen, erst ab Resident-Visum möglich (Neuseeland: Steuer-ID/Bank)</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Neuseeländische Kreditwürdigkeit aufgebaut: erste Kreditkarte mit niedrigem Limit, pünktliche Strom- und Internetrechnungen, kostenlosen Report bei Centrix, Equifax NZ oder illion geprüft (Neuseeland: Steuer-ID/Bank)</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Transitional-Resident-Befreiung (48 Monate auf die meisten ausländischen Kapital- und Mieteinkünfte) mit einer Steuerberatung auf die eigene Situation geprüft (Neuseeland: Steuer-ID/Bank)</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Bei geplantem Arbeitgeberwechsel auf dem AEWV: Akkreditierung und Job Check des neuen Arbeitgebers sowie die eigene Variation of Conditions abgewartet, bevor beim alten Arbeitgeber gekündigt wird (Neuseeland: Arbeitswelt)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Notfallset für mindestens drei Tage angelegt, GeoNet-App und Emergency Mobile Alert installiert (Neuseeland: Recht/Sicherheit)</w:t>
      </w:r>
    </w:p>
    <w:p>
      <w:pPr>
        <w:pStyle w:val="Normal"/>
        <w:tabs>
          <w:tab w:val="clear" w:pos="720"/>
          <w:tab w:val="left" w:pos="400" w:leader="none"/>
        </w:tabs>
        <w:spacing w:lineRule="exact" w:line="288" w:before="0" w:after="60"/>
        <w:ind w:hanging="330" w:left="400"/>
        <w:rPr/>
      </w:pPr>
      <w:r>
        <w:rPr>
          <w:rFonts w:eastAsia="Segoe UI Symbol" w:cs="Segoe UI Symbol" w:ascii="Segoe UI Symbol" w:hAnsi="Segoe UI Symbol"/>
          <w:sz w:val="22"/>
          <w:szCs w:val="22"/>
        </w:rPr>
        <w:t>☐</w:t>
      </w:r>
      <w:r>
        <w:rPr>
          <w:sz w:val="22"/>
          <w:szCs w:val="22"/>
        </w:rPr>
        <w:tab/>
      </w:r>
      <w:r>
        <w:rPr>
          <w:rFonts w:eastAsia="Cambria" w:cs="Cambria"/>
          <w:b w:val="false"/>
          <w:bCs w:val="false"/>
          <w:i w:val="false"/>
          <w:iCs w:val="false"/>
          <w:sz w:val="22"/>
          <w:szCs w:val="22"/>
        </w:rPr>
        <w:t>Festen Videotelefonie-Termin mit der Familie in Deutschland trotz der 10 bis 12 Stunden Zeitverschiebung eingerichtet, Heimatbesuche zu Feiertagen früh gebucht (Neuseeland: Freunde/Kulturschock)</w:t>
      </w:r>
    </w:p>
    <w:p>
      <w:pPr>
        <w:pStyle w:val="Normal"/>
        <w:spacing w:lineRule="exact" w:line="1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Fristen, Gebühren und Bearbeitungszeiten in dieser Checkliste ändern sich häufig; prüfe vor jeder Kündigung, Buchung oder Behördenfahrt die aktuellen Angaben im jeweiligen Kapitel und auf den offiziellen Seiten.</w:t>
            </w:r>
          </w:p>
        </w:tc>
      </w:tr>
    </w:tbl>
    <w:p>
      <w:pPr>
        <w:pStyle w:val="Normal"/>
        <w:spacing w:lineRule="exact" w:line="220" w:before="0" w:after="0"/>
        <w:rPr/>
      </w:pPr>
      <w:r>
        <w:rPr/>
      </w:r>
      <w:r>
        <w:br w:type="page"/>
      </w:r>
    </w:p>
    <w:p>
      <w:pPr>
        <w:pStyle w:val="Heading2"/>
        <w:keepNext w:val="true"/>
        <w:spacing w:before="0" w:after="300"/>
        <w:jc w:val="center"/>
        <w:rPr/>
      </w:pPr>
      <w:bookmarkStart w:id="204" w:name="__RefHeading___Toc56635_3769931028"/>
      <w:bookmarkStart w:id="205" w:name="anhang_b"/>
      <w:bookmarkEnd w:id="204"/>
      <w:r>
        <w:rPr>
          <w:rFonts w:eastAsia="Amazon Ember" w:cs="Amazon Ember" w:ascii="Amazon Ember" w:hAnsi="Amazon Ember"/>
          <w:b/>
          <w:bCs/>
          <w:color w:val="0000FF"/>
          <w:sz w:val="36"/>
          <w:szCs w:val="36"/>
        </w:rPr>
        <w:t>Anhang B: Glossar Deutsch–Englisch</w:t>
      </w:r>
      <w:bookmarkEnd w:id="205"/>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Dieses Buch erklärt englische Fachbegriffe bei ihrem ersten Auftreten im jeweiligen Kapitel. Dieser Anhang sammelt sie an einem Ort – zum schnellen Nachschlagen, wenn ein Begriff später wieder auftaucht und die Erklärung nicht mehr präsent ist. Die Tabelle für die USA ist alphabetisch nach dem englischen Begriff sortiert; danach folgen eigene, ebenfalls alphabetisch sortierte Abschnitte für Kanada, Australien und Neuseeland. Bei den USA nennt die letzte Spalte die Kapitelnummer; bei den drei anderen Ländern steht dort statt einer festen Kapitelzahl – die Gliederung dieser Teile ist noch nicht abschließend fixiert – ein grober Themenbereich.</w:t>
      </w:r>
    </w:p>
    <w:p>
      <w:pPr>
        <w:pStyle w:val="Heading3"/>
        <w:keepNext w:val="true"/>
        <w:spacing w:before="280" w:after="100"/>
        <w:jc w:val="center"/>
        <w:rPr/>
      </w:pPr>
      <w:r>
        <w:rPr>
          <w:rFonts w:eastAsia="Amazon Ember" w:cs="Amazon Ember" w:ascii="Amazon Ember" w:hAnsi="Amazon Ember"/>
          <w:b/>
          <w:bCs/>
          <w:color w:val="0000FF"/>
          <w:sz w:val="36"/>
          <w:szCs w:val="36"/>
        </w:rPr>
        <w:t>USA</w:t>
      </w:r>
    </w:p>
    <w:tbl>
      <w:tblPr>
        <w:tblW w:w="6480" w:type="dxa"/>
        <w:jc w:val="left"/>
        <w:tblInd w:w="0" w:type="dxa"/>
        <w:tblLayout w:type="fixed"/>
        <w:tblCellMar>
          <w:top w:w="50" w:type="dxa"/>
          <w:left w:w="80" w:type="dxa"/>
          <w:bottom w:w="50" w:type="dxa"/>
          <w:right w:w="80" w:type="dxa"/>
        </w:tblCellMar>
      </w:tblPr>
      <w:tblGrid>
        <w:gridCol w:w="2446"/>
        <w:gridCol w:w="3084"/>
        <w:gridCol w:w="950"/>
      </w:tblGrid>
      <w:tr>
        <w:trPr>
          <w:tblHeader w:val="true"/>
          <w:cantSplit w:val="true"/>
        </w:trPr>
        <w:tc>
          <w:tcPr>
            <w:tcW w:w="244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Englisch</w:t>
            </w:r>
          </w:p>
        </w:tc>
        <w:tc>
          <w:tcPr>
            <w:tcW w:w="308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Deutsch/Erklärung</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1BR</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Wohnung mit einem separaten Schlafzimmer (One Bedroom), Standardangabe in Mietinseraten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13</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401(k)</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arbeitgebergeförderter US-Altersvorsorgeplan, oft mit Arbeitgeberzuschuss (Match)</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29,39</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988 Suicide &amp; Crisis Lifeline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kostenlose, rund um die Uhr erreichbare Krisenhotline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33</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Acetaminophen</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Schmerz- und Fiebermittel, in Deutschland als Paracetamol bekannt (Markenname Tylenol)</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23</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Adjustment of Status</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Antrag auf die Green Card im Inland, ohne Ausreise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6,24</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Advance Directive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Patientenverfügung und Vorsorgevollmacht für den Gesundheitsfall (auch Healthcare Directive)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16,39</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Affidavit of Support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finanzielle Verpflichtungserklärung eines Sponsors für nachziehende Angehörige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6,9</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Affordable Care Act (ACA)</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US-Gesundheitsreformgesetz von 2010, Grundlage der Krankenversicherungs-Marktplätze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Aggravated Felony</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Schwerstverbrechen-Kategorie im Einwanderungsrecht, führt fast immer zur Abschiebung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Applicant Tracking System (ATS)</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Software, die Bewerbungen vor der Sichtung automatisch vorfiltert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29</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APR</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Annual Percentage Rate, effektiver Jahreszins inklusive Gebühren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14,25</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ARM</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Adjustable-Rate Mortgage, Hypothek mit anpassbarem Zins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At-will Employment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Kündigung ohne Grund und ohne Frist möglich, Kernunterschied zu Deutschland</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29,30</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Back-to-School Night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Elternabend zum Schuljahresbeginn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37</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Background Check</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Überprüfung von Vorstrafen und Beschäftigungshistorie vor der Einstellung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29</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Bake / Broil / Convection</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Ofeneinstellungen: Ober-/Unterhitze, Grillfunktion, Umluft (Convection senkt die angegebene Temperatur meist um ca. 25 °F)</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35</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Baking Powder / Baking Soda</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Backpulver bzw. Natron – leicht zu verwechseln, unterschiedliche Wirkung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35</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Beneficiary</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Begünstigter, etwa bei Versicherung, Konto oder Erbschaft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11,39</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Black Tie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festliche Kleiderordnung: Smoking beziehungsweise langes Kleid</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34</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Business Casual / Business Formal</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abgestufte Kleiderordnung: Hemd/Bluse ohne Krawatte beziehungsweise Anzug/Kostüm mit Krawatte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34</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BYOB</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Bring Your Own Bottle – du bringst dein eigenes Getränk zur Feier mit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32</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Checking Account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Girokonto mit Debitkarte für den täglichen Zahlungsverkehr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Child Care Center</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Kindertagesstätte beziehungsweise Betreuungseinrichtung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38</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Child Citizenship Act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verleiht im Ausland geborenen oder adoptierten Kindern von US-Bürgern unter bestimmten Bedingungen automatisch die Staatsbürgerschaft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41</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Child Protective Services (CPS)</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Jugendamt-Äquivalent, zuständig bei Kindeswohlgefährdung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38</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Child Tax Credit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Steuergutschrift pro Kind bei der Bundeseinkommensteuer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24,28</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CIMT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Crime Involving Moral Turpitude, Delikt mit „sittlicher Verworfenheit“, kann Einwanderungsfolgen haben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Civics Test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mündlicher Test zu US-Geschichte und Staatsbürgerkunde im Einbürgerungsverfahren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41</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Closing Costs</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Abschlusskosten beim Immobilienkauf, zusätzlich zum Kaufpreis, oft 2–5 %</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Coinsurance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prozentuale Selbstbeteiligung an den Behandlungskosten nach dem Selbstbehalt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Collision / Comprehensive Coverage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Kfz-Versicherungsbausteine: Collision deckt Schäden am eigenen Auto nach einem Unfall, Comprehensive deckt Diebstahl, Hagel, Wildschaden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27</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Community Colleges</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zweijährige, lokal getragene Hochschulen mit niedrigen Studiengebühren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32,36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Consular Report of Birth Abroad (CRBA)</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Nachweis der US-Staatsbürgerschaft für im Ausland geborene Kinder von US-Bürgern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24,41</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Contingencies</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Rücktrittsklauseln im Kaufvertrag, etwa für Inspektion, Finanzierung oder Gutachten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Copay</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feste Zuzahlung pro Arztbesuch oder Rezept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26,33</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Corporate Housing</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möblierte Monatsmiete oder Langzeithotel, oft für den Übergang nach der Ankunft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20,22,23</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Covered Expatriate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Person, die beim Verzicht auf Green Card oder Staatsbürgerschaft besonderen Steuerregeln (Wegzugsteuer) unterliegt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41,42</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CPA</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Certified Public Accountant, in den USA zugelassener Steuer- und Finanzexperte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14,17,28</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Credit Freeze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Sperre der Kreditauskunft gegen Identitätsdiebstahl</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Credit Report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US-Schufa-Auskunft, geführt von drei privaten Auskunfteien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24,25</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Credit Score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US-Bonitätskennzahl, meist der FICO-Score, vergleichbar mit, aber nicht identisch zur Schufa</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2,13,14,25</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Credits (Quarters of Coverage)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Beitragszeiteinheiten für die US-Rente, mindestens 40 für den Leistungsanspruch nötig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24,39</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Current (Visa Bulletin)</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Status im Visa Bulletin: kein Rückstand, Green Card ohne Wartezeit verfügbar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6,7</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Curricular Practical Training (CPT)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Praktikumserlaubnis für F-1-Studierende während des Studiums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CV</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Curriculum Vitae – in den USA meist nur in Wissenschaft und Medizin üblich, sonst Resume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29</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Deductible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Selbstbehalt: der Betrag, den du vor der Erstattung durch die Versicherung selbst zahlst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1,26,33</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Designated School Official (DSO)</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autorisierte Ansprechperson der Hochschule für F-1-Studierende und das SEVIS-System</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Dog Import Form</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seit 2024 von der US-Gesundheitsbehörde CDC verlangtes Online-Formular vor der Einreise mit Hund</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22</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Dress Code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Kleiderordnung, für Schulen im Schülerhandbuch festgelegt, für Büros oft nur informell</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34</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Dry Counties</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Landkreise mit Alkoholverkaufsverbot oder -beschränkung, vor allem im Süden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35</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Dual Intent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gleichzeitig befristeter Aufenthalt und Absicht zur Green Card, bei bestimmten Visa erlaubt, etwa H-1B</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4,5,6,8</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Dual Language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zweisprachiges Schulprogramm für Kinder beider Sprachgruppen (auch Two-Way Immersion)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37</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DUI</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Driving Under the Influence, Fahren unter Alkohol- oder Drogeneinfluss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27,40</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Durable Power of Attorney</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Vollmacht, die auch bei Geschäftsunfähigkeit gültig bleibt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Earnest Money</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Anzahlung als Ernstzeichen beim Hauskauf, meist 1–3 % des Preises, im Escrow verwahrt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Elementary School</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Grundschule, Grade 1 bis 5</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ELL</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English Language Learner, offizielle Bezeichnung für Schüler mit Englisch als Zweitsprache (auch ESL)</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37</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Emergency Room (ER)</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Notaufnahme im Krankenhaus, teuerste Anlaufstelle bei Beschwerden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Employee Assistance Program (EAP)</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kostenlose, vertrauliche Beratung, auch psychologisch, über den Arbeitgeber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26,33</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Enrolled Agent (EA)</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von der US-Steuerbehörde IRS zugelassener Steuerfachmann, darf bundesweit vor dem IRS vertreten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17,28</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EOB</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Explanation of Benefits, Abrechnungsübersicht der Krankenversicherung, keine Rechnung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Equal Educational Opportunities Act (EEOA)</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Bundesgesetz von 1974, verpflichtet Schulen zur Sprachförderung für Englischlerner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37</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Escrow (Account)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Treuhandkonto, etwa beim Hauskauf oder für Grundsteuer und Versicherung in der Hypothekenrate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ESPP</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Employee Stock Purchase Plan, vergünstigter Aktienkauf über den Arbeitgeber, oft mit Rabatt bis 15 %</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29</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Exchange Visitor</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Austauschbesucher, Grundlage des J-1-Visums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Fair Housing Act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Bundesgesetz gegen Diskriminierung bei Vermietung und Verkauf von Wohnraum</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22</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Fair Labor Standards Act (FLSA)</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Bundesgesetz zu Mindestlohn, Überstunden und Kinderarbeit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29</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Federal Poverty Guidelines</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jährlich festgelegte US-Armutsgrenzen, unter anderem Grundlage für den Affidavit of Support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41</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Felony / Misdemeanor / Infraction</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aufsteigende Schwere von Verstößen: Verbrechen (über 1 Jahr Haft), Vergehen (bis 1 Jahr Haft), kleinster Verstoß wie ein Strafzettel</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Financial Assistance (Charity Care)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einkommensabhängiger Erlass von Krankenhausrechnungen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26,38</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Fiscal Year (FY)</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US-Haushaltsjahr, für Einwanderung oft 1. Oktober bis 30. September, etwa beim H-1B-Kontingent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Foreign Tax Credit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Anrechnung im Ausland gezahlter Steuern auf die US-Steuerschuld</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28</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Fraud Alert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Vermerk bei einer US-Kreditauskunft, der zusätzliche Identitätsprüfung bei neuen Krediten verlangt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Freddie Mac / Fannie Mae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staatlich unterstützte Unternehmen, die Hypotheken von Banken aufkaufen (Conforming Loans)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Freshman / Sophomore / Junior / Senior</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vier Jahrgangsstufen der High School beziehungsweise des College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Full Container Load (FCL)</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ganzer Container nur für den eigenen Umzug, schneller und teurer als LCL</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GPA</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Grade Point Average, Notendurchschnitt auf einer Skala bis 4,0</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Card</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umgangssprachlich für die unbefristete Aufenthaltserlaubnis, offiziell Lawful Permanent Residence (LPR)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Gross-up</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arbeitgeberseitige Aufstockung einer Zahlung, damit nach Steuerabzug der volle Nettobetrag ankommt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Health Plan Types (HMO / PPO / EPO / POS)</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HMO: fester Hausarzt, Überweisungspflicht, günstig. PPO: freie Arztwahl, teurer. EPO: festes Netz, keine Überweisungspflicht. POS: Mischform</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HDHP</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High Deductible Health Plan, Krankenversicherung mit hohem Selbstbehalt, oft kombiniert mit einem HSA</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High School / High School Diploma</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weiterführende Schule, Grade 9 bis 12, mit Abschlusszeugnis (Diploma)</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36,42</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HOA</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Homeowners Association, Eigentümergemeinschaft mit monatlicher Umlage für Gemeinschaftsflächen und Instandhaltung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14,22</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HSA</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Health Savings Account, steuerbegünstigtes Sparkonto für Gesundheitskosten, meist mit HDHP</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IEP</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Individualized Education Program, rechtlich bindender Förderplan für Schüler mit Behinderung oder Lernbedarf</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37</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Immediate Relatives</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Ehepartner, minderjährige Kinder und Eltern von US-Bürgern, ohne jährliches Quotenlimit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Immigrant / Nonimmigrant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Einwanderer mit unbefristetem Aufenthalt (Green Card) im Unterschied zum befristeten, zweckgebundenen Nichteinwanderer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4,9</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INA</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 and Nationality Act, zentrales US-Einwanderungsgesetz, Basis aller Visa- und Green-Card-Kategorien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International Driving Permit (IDP)</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Übersetzung des nationalen Führerscheins, ergänzt diesen, ersetzt ihn aber nicht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27</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InterNations</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internationales Netzwerk für Zugewanderte mit lokalen Stammtischen in vielen US-Städten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32</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Intracompany Transferee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konzerninterne Versetzung, Grundlage des L-1-Visums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ISO (Incentive Stock Options)</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steuerlich begünstigte Aktienoptionen, meist für Führungskräfte und Gründer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39</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Lawful Permanent Residence (LPR)</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offizielle Bezeichnung für den Green-Card-Status, unbefristeter Aufenthalt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6,7,41</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Layoff</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Stellenabbau, betriebsbedingte Kündigung ohne individuelles Fehlverhalten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30,42</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Less than Container Load (LCL)</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Sammelcontainer, in dem mehrere Umzüge zusammen verschifft werden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Loan Estimate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standardisierte, bei allen Hypothekenanbietern vergleichbare Kostenübersicht (Pflichtdokument)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Long-term Resident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Green-Card-Inhaber mit Green Card in mindestens 8 der letzten 15 Steuerjahre, Schwelle für die Wegzugsteuer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41,42</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Marketplace (Health Insurance Marketplace)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Online-Börse für private Krankenversicherungen nach dem ACA (healthcare.gov)</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Married Filing Jointly (MFJ)</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gemeinsame Steuererklärung für Ehepaare, meist der günstigste Steuertarif</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28</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Medicaid</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staatliches Krankenversicherungsprogramm für Geringverdienende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Medicare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staatliches Krankenversicherungsprogramm für Menschen ab 65 Jahren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Metro Area (Metropolitan Statistical Area)</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zusammenhängende Wirtschafts- und Pendlerregion um eine Kernstadt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12,30</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Middle School</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Mittelstufe, Grade 6 bis 8</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National Interest Waiver (NIW)</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Green-Card-Weg ohne Jobangebot und Arbeitsmarktprüfung, bei nachgewiesenem nationalem Interesse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Naturalization</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Einbürgerung, der formale Erwerb der US-Staatsbürgerschaft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41</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 Surprises Act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Bundesgesetz gegen Überraschungsrechnungen bei ungeplanter Behandlung außerhalb des Versicherungsnetzwerks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26,38</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Nor’easter</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kräftiger Nordoststurm an der US-Ostküste, oft mit Starkregen oder Schnee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Offer Letter</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schriftliches Stellenangebot des Arbeitgebers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29,30</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One Big Beautiful Bill Act (OBBBA)</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Bundesgesetz von 2025 mit weitreichenden Steuer- und Haushaltsänderungen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Open Enrollment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jährliche Wahlphase für die Krankenversicherung über den Arbeitgeber, oft im Herbst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OPT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Optional Practical Training, bis zu 12 Monate, bei MINT-Fächern 24 Monate zusätzlich, Arbeitserlaubnis nach dem Studium unter F-1</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Out-of-Pocket Maximum</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Jahreshöchstgrenze der Eigenkosten in der Krankenversicherung, danach übernimmt sie 100 %</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Out-the-Door Price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Endpreis eines Autokaufs inklusive aller Steuern und Gebühren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27</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Over-the-Counter (OTC)</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rezeptfrei erhältliche Medikamente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Parole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befristete Einreiseerlaubnis ohne Visum aus humanitären oder wichtigen öffentlichen Gründen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Permitless Carry (Constitutional Carry)</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erlaubnisfreies Führen einer Waffe in manchen Bundesstaaten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12,40</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Petition</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Antrag des Arbeitgebers, nicht des Arbeitnehmers, bei arbeitgeberbasierten Visa wie H-1B</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5,11</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Points (Discount Points)</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Vorabzahlung an den Kreditgeber zur Senkung des Hypothekenzinses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Portability</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Recht, bei laufendem Green-Card-Verfahren den Arbeitgeber zu wechseln, ohne von vorn zu beginnen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Pre-K / Preschool</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Vorschulprogramm für 3- bis 4-Jährige, kein Pflichtprogramm</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36,38</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Premium</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monatlicher Versicherungsbeitrag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Premium Processing</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kostenpflichtige beschleunigte Bearbeitung, meist 15 Kalendertage, für bestimmte USCIS-Anträge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6,11,30</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Prevailing Wage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vom Arbeitsministerium (DOL) festgelegter ortsüblicher Mindestlohn für eine Position, Grundlage für H-1B und PERM</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6,11</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Primary Care Physician (PCP)</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Hausarzt, oft erste Anlaufstelle und Überweisungsinstanz, vor allem bei HMO</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Principal &amp; Interest (P&amp;I)</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Tilgungs- und Zinsanteil der monatlichen Hypothekenrate, ohne Steuern und Versicherung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Priority Date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Datum, das die Position in der Green-Card-Warteschlange festlegt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6,7</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Private School</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Schule in freier Trägerschaft, oft mit Schulgeld, teils religiös gebunden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Property Tax</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Grundsteuer, in den USA meist deutlich höher als in Deutschland</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PTA</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Parent-Teacher Association, Eltern-Lehrer-Vereinigung an der Schule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32,36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PTO</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Paid Time Off, bezahlte freie Tage, oft Urlaub und Krankheit zusammengefasst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29</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Reciprocity</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Gegenseitigkeitsabkommen, nach dem ein Bundesstaat einen ausländischen Führerschein ohne neue Prüfung anerkennt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27</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Reentry Permit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schützt den Green-Card-Status bei einem geplanten Auslandsaufenthalt von bis zu zwei Jahren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6,7,41</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Request for Evidence (RFE)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Aufforderung der USCIS, einen Antrag mit weiteren Nachweisen zu ergänzen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5,11</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Restricted Stock Units (RSU)</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Aktienzuteilung durch den Arbeitgeber, die nach einer Sperrfrist (Vesting) ins Eigentum übergeht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29,39</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Sales Tax</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Verkaufssteuer auf Waren und Dienstleistungen, an der Kasse aufgeschlagen, Satz variiert je Bundesstaat und Kommune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12,28</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SALT (State and Local Tax Deduction)</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Möglichkeit, gezahlte Landes- und Kommunalsteuern von der Bundessteuer abzuziehen, gedeckelt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SAT / ACT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beiden gängigen standardisierten Studierfähigkeitstests für die College-Bewerbung, meist in Grade 11</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36,38</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Schedule A</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Liste von Mangelberufen mit vereinfachter Arbeitsmarktprüfung für die Green Card</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Secondary Inspection</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vertiefte Zweitkontrolle bei der Einreise in einem separaten Bereich, kein Grund zur Sorge an sich</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23</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Small Claims Court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vereinfachtes Gericht für kleinere Streitwerte, meist ohne Anwalt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13,40</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Social Security</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staatliches US-Rentenversicherungssystem, finanziert über Abgaben vom Gehalt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39</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Specialty Occupation</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Tätigkeit, die mindestens einen Bachelorabschluss im relevanten Fach voraussetzt, H-1B-Grundvoraussetzung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Status</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Aufenthalts- und Tätigkeitsberechtigung im Land nach der Einreise, dokumentiert im I-94 – zu unterscheiden vom Visum im Pass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6,11</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Substantial Presence Test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IRS-Formel zur Feststellung der US-Steueransässigkeit anhand der Aufenthaltstage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8,28</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Tax Return</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jährliche Steuererklärung, Bundesformular 1040, plus gegebenenfalls ein Formular des Bundesstaats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28</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Totalization Agreement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Sozialversicherungsabkommen Deutschland–USA, verhindert doppelte Rentenbeiträge und rechnet Versicherungszeiten zusammen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39</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Treaty Trader (E-1) / Treaty Investor (E-2)</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Visa für Handels- beziehungsweise Investitionsvertragsstaaten wie Deutschland, ohne Green-Card-Absicht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Urgent Care</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Walk-in-Klinik für dringende, aber nicht lebensbedrohliche Fälle, günstiger als die Notaufnahme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Venmo</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populäre App für Geldüberweisungen zwischen Privatpersonen, gehört zu PayPal</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Visa</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Einreisedokument im Pass, ausgestellt vom Konsulat – zu unterscheiden vom Status nach der Einreise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Visa Bulletin</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monatliche Liste des State Department mit den aktuellen Stichtagen (Priority Dates) je Green-Card-Kategorie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6,7,9,10,30</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WARN Act</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Bundesgesetz, das bei größeren Massenentlassungen eine Vorankündigungsfrist von 60 Tagen vorschreibt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Warning / Watch</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Wetter-Warnstufen: Warning bedeutet akute Gefahr, sofort handeln; Watch bedeutet, Bedingungen sind möglich, sei vorbereitet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w:t>
            </w:r>
          </w:p>
        </w:tc>
      </w:tr>
      <w:tr>
        <w:trPr>
          <w:cantSplit w:val="true"/>
        </w:trPr>
        <w:tc>
          <w:tcPr>
            <w:tcW w:w="244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Windfall Elimination Provision (WEP) / Government Pension Offset (GPO)</w:t>
            </w:r>
          </w:p>
        </w:tc>
        <w:tc>
          <w:tcPr>
            <w:tcW w:w="308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frühere Kürzungsregeln der US-Rente bei ausländischer Zusatzrente, beide 2025 durch den Social Security Fairness Act abgeschafft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39</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Kanada</w:t>
      </w:r>
    </w:p>
    <w:tbl>
      <w:tblPr>
        <w:tblW w:w="6480" w:type="dxa"/>
        <w:jc w:val="left"/>
        <w:tblInd w:w="0" w:type="dxa"/>
        <w:tblLayout w:type="fixed"/>
        <w:tblCellMar>
          <w:top w:w="50" w:type="dxa"/>
          <w:left w:w="80" w:type="dxa"/>
          <w:bottom w:w="50" w:type="dxa"/>
          <w:right w:w="80" w:type="dxa"/>
        </w:tblCellMar>
      </w:tblPr>
      <w:tblGrid>
        <w:gridCol w:w="2071"/>
        <w:gridCol w:w="2868"/>
        <w:gridCol w:w="1541"/>
      </w:tblGrid>
      <w:tr>
        <w:trPr>
          <w:tblHeader w:val="true"/>
          <w:cantSplit w:val="true"/>
        </w:trPr>
        <w:tc>
          <w:tcPr>
            <w:tcW w:w="207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Englisch</w:t>
            </w:r>
          </w:p>
        </w:tc>
        <w:tc>
          <w:tcPr>
            <w:tcW w:w="286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Deutsch/Erklärung</w:t>
            </w:r>
          </w:p>
        </w:tc>
        <w:tc>
          <w:tcPr>
            <w:tcW w:w="154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9-8-8 Suicide Crisis Helpline</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kostenlose, rund um die Uhr erreichbare kanadische Krisenhotline für Suizidprävention, per Anruf oder SMS</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Kultur</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All-Way Stop</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unbeschilderte Kreuzung mit vier Stoppschildern, wer zuerst vollständig hält, fährt zuerst</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Führerschein</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Arrima</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eigenständiges, von Express Entry komplett getrenntes Einwanderungssystem Québecs</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Basic Personal Amount</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Grundfreibetrag bei der Einkommensteuer, getrennt für Bund und Provinz festgelegt</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Beer League</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lockere Freizeit-Eishockeyliga für Erwachsene, meist über die städtische Freizeitverwaltung organisiert</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Kultur</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Big Five</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fünf großen kanadischen Retailbanken (RBC, TD, Scotiabank, BMO, CIBC) mit eigenen Newcomer-Paketen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Ankunft, Steuer</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Bill 96 (Loi 96)</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Québecs Sprachgesetz von 2022, macht Französisch zur einzigen Amts- und Schulunterrichtssprache</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Kultur, Schule</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Bridging Open Work Permit</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Überbrückungs-Arbeitsvisum ohne Arbeitgeberbindung während eines laufenden PR-Verfahrens</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Arbeit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 Border Services Agency (CBSA)</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kanadischer Grenzschutz, aktiviert bei der Einreise („Landung“) den PR-Status offiziell</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Ankunft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 Child Benefit (CCB)</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kanadisches Kindergeld, beantragt über Formular RC66</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 Health Act</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Rahmengesetz mit Mindeststandards für die öffentliche Gesundheitsversorgung, Umsetzung liegt bei den Provinzen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Gesundheit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 Pension Plan (CPP)</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bundesweite gesetzliche Altersvorsorge, Beitrag je 5,95 % von Arbeitnehmer und Arbeitgeber</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Überblick, Steuer</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 Revenue Agency (CRA)</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kanadische Bundessteuerbehörde, vergleichbar mit Finanzamt und Bundeszentralamt für Steuern zusammen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Canadian Charter of Rights and Freedoms</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kanadische Grundrechtecharta, seit 1982 verfassungsrechtlich verankert</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Recht, Kultur</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Canadian Experience Class (CEC)</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Express-Entry-Weg zur PR auf Basis bereits in Kanada gesammelter Berufserfahrung</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Canadian Language Benchmark (CLB)</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offizielle kanadische Sprachniveau-Skala für Englisch beziehungsweise Französisch</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Cannabis Act</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Bundesgesetz von 2018, macht Cannabis in ganz Kanada legal, anders als nach US-Bundesrecht</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Recht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Certificate of Eligibility</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Berechtigungsbescheinigung für englischsprachigen Schulunterricht in Québec</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Schule</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Comprehensive Ranking System (CRS)</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Punkteskala, nach der IRCC Kandidatenprofile im Express-Entry-Bewerberpool rangiert</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Confirmation of Permanent Residence (COPR)</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Bestätigungsdokument, das bei der Einreise den PR-Status offiziell aktiviert</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Ankunft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Credit Report</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kanadische Bonitätsauskunft auf einer Skala von 300 bis 900, ausländische Kredithistorie wird nicht übernommen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Wohnen, Steuer</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Demerit Points</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Strafpunkte im Führerscheinregister, von jeder Provinz eigenständig geführt</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Führerschein</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Educational Credential Assessment (ECA)</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amtlich anerkannte Bewertung eines ausländischen Bildungsabschlusses</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Employment Insurance (EI)</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kanadische Arbeitslosenversicherung</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Arbeit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Employment Standards Act</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provinzielles Arbeitsstandardgesetz, regelt Mindesturlaub, Kündigungsfrist und Feiertage</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Arbeit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eTA (Electronic Travel Authorization)</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elektronische Einreisegenehmigung für visumfreie Besuchsreisen, keine Arbeitsberechtigung</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Express Entry</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bundesweites Online-Punktesystem für die wirtschaftliche Einwanderung, bündelt FSW, CEC und FST</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Extended Health Benefits</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arbeitgeberfinanzierte Zusatzversicherung für Zahn, Medikamente, Sehhilfen und Physiotherapie</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Gesundheit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Federal Skilled Worker (FSW)</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Express-Entry-Weg für Fachkräfte ohne Kanada-Bezug, mit eigenem 67-Punkte-Zulassungsraster</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French Immersion</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optionaler zweisprachiger Schulzweig an regulären englischsprachigen Schulen, kostenlos</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Schule</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Goods and Services Tax (GST)</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bundesweite Mehrwertsteuer von 5 %, in fünf Provinzen als Harmonized Sales Tax (HST) mit Provinzanteil kombiniert</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 Medical Exam (IME)</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Pflicht-Gesundheitsuntersuchung bei einem zugelassenen Panel Physician vor PR oder Visum</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Antrag</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 Refugees and Citizenship Canada (IRCC)</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kanadische Einwanderungsbehörde</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International Mobility Program (IMP)</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befreit von der LMIA-Pflicht, wenn die Stelle einen breiteren Nutzen für Kanada hat</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Invitation to Apply (ITA)</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Einladung zur PR-Antragstellung nach ausreichendem CRS-Score</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Job Bank</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kostenlose Jobbörse des kanadischen Arbeitsministeriums</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Arbeit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Labour Market Impact Assessment (LMIA)</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Arbeitsmarkttest, mit dem ein Arbeitgeber die fehlende Verfügbarkeit kanadischer Bewerber nachweist</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 Arbeit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Land Transfer Tax</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Grunderwerbsteuer beim Immobilienkauf, gestaffelt nach Kaufpreis und Provinz</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Wohnen</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Low Income Cut-Off (LICO)</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Einkommensschwelle, Grundlage für das Mindesteinkommen beim Eltern-/Großeltern-Sponsoring</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Familie</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My Service Canada Account (MSCA)</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persönliches Online-Konto bei Service Canada, unter anderem für die SIN-Bestätigung</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Ankunft, Steuer</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National Occupational Classification (NOC)</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kanadisches Berufsklassifikationssystem, gestaffelt nach TEER-Anforderungsstufen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Arbeit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Open Work Permit</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Arbeitsvisum ohne Bindung an einen einzelnen Arbeitgeber, etwa nach PGWP oder für mitreisende Partner</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Arbeit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Parent and Grandparent Program (PGP)</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familienbasierter PR-Weg für Eltern und Großeltern, seit 2026 für Neuanträge pausiert</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Familie</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Permanent Residence (PR)</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unbefristeter Aufenthaltsstatus Kanadas, funktional vergleichbar mit der US-Green-Card</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 Staatsbürgerschaft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Post-Graduation Work Permit (PGWP)</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befristetes Arbeitsvisum für Absolventen kanadischer Hochschulen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Provincial Nominee Program (PNP)</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provinzielles Nominierungsprogramm für die PR, mit eigenen Kriterien je Provinz</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Regulated Canadian Immigration Consultant (RCIC)</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zugelassener kanadischer Einwanderungsberater</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Antrag</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Right of Permanent Residence Fee (RPRF)</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separate Zusatzgebühr für das Recht auf permanenten Aufenthalt, 600 CAD pro Erwachsenem</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Antrag</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Royal Canadian Mounted Police (RCMP)</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kanadische Bundespolizei, übernimmt in den meisten Provinzen auch die Alltagspolizei</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Recht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School Board</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lokale Schulbehörde, setzt Einschulungsalter, Notenskala und Lehrplan der Provinz um</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Schule</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Secured Credit Card</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durch Kaution gedeckte Kreditkarte zum Aufbau einer kanadischen Kredithistorie</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 Ankunft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Social Insurance Number (SIN)</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neunstellige kanadische Sozialversicherungsnummer, Pflicht für Gehalt und Steuererklärung</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Ankunft, Steuer</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Super Visa</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Mehrfacheinreise-Langzeit-Besuchervisum für Eltern und Großeltern, kein Daueraufenthaltstitel</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Familie</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Temporary Foreign Worker Program (TFWP)</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arbeitsmarktgeprüftes, LMIA-pflichtiges Programm für befristete Arbeitskräfte</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 Arbeit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Work Permit</w:t>
            </w:r>
          </w:p>
        </w:tc>
        <w:tc>
          <w:tcPr>
            <w:tcW w:w="28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befristete, meist arbeitgebergebundene kanadische Arbeitserlaubnis</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Arbeit, Einwanderung</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Australien</w:t>
      </w:r>
    </w:p>
    <w:tbl>
      <w:tblPr>
        <w:tblW w:w="6480" w:type="dxa"/>
        <w:jc w:val="left"/>
        <w:tblInd w:w="0" w:type="dxa"/>
        <w:tblLayout w:type="fixed"/>
        <w:tblCellMar>
          <w:top w:w="50" w:type="dxa"/>
          <w:left w:w="80" w:type="dxa"/>
          <w:bottom w:w="50" w:type="dxa"/>
          <w:right w:w="80" w:type="dxa"/>
        </w:tblCellMar>
      </w:tblPr>
      <w:tblGrid>
        <w:gridCol w:w="1977"/>
        <w:gridCol w:w="2962"/>
        <w:gridCol w:w="1541"/>
      </w:tblGrid>
      <w:tr>
        <w:trPr>
          <w:tblHeader w:val="true"/>
          <w:cantSplit w:val="true"/>
        </w:trPr>
        <w:tc>
          <w:tcPr>
            <w:tcW w:w="197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Englisch</w:t>
            </w:r>
          </w:p>
        </w:tc>
        <w:tc>
          <w:tcPr>
            <w:tcW w:w="296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Deutsch/Erklärung</w:t>
            </w:r>
          </w:p>
        </w:tc>
        <w:tc>
          <w:tcPr>
            <w:tcW w:w="154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Annual Market Salary Rate (AMSR)</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marktüblicher Lohn für eine Position, neben der CSIT maßgeblich für die Lohnschwelle beim Subclass 482</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Arbeit</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Apostille</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internationale Beglaubigung nach dem Haager Übereinkommen, für das deutsche Führungszeugnis bei Home Affairs zusätzlich nötig</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Antrag</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Assurance of Support</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 Services Australia für zehn Jahre hinterlegte, rückzahlbare Kaution eines Sponsors beim Contributory-Eltern-Visum</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Familie</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ATAR (Australian Tertiary Admission Rank)</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Rangzahl zwischen 0 und 99,95 für die Universitätszulassung, misst die Schülerleistung relativ zum Jahrgang</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Schule</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ATO (Australian Taxation Office)</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australische Finanzbehörde, zuständig für Einkommensteuer, TFN und Superannuation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Auction</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öffentliche Immobilienversteigerung, in Melbourne und Sydney üblich; der Zuschlag ist meist sofort bindend, ohne Rücktrittsrecht</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Wohnen</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Backpacker Tax</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Steuertarif für Working-Holiday-Visuminhaber: 15 % auf jeden verdienten Dollar bis 45.000 AUD, ohne Steuerfreibetrag</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Balance-of-Family-Test</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rein geografische Prüfung beim Eltern-Visum; bestanden nur, wenn mindestens die Hälfte der volljährigen Kinder in Australien lebt</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Familie</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Base Application Charge</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eigentliche Visumantragsgebühr, nur ein Teilposten neben Skills Assessment, Gesundheitscheck und Führungszeugnissen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Antrag</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Bond (Rental Bond)</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Mietkaution, meist vier Wochen Miete, wird bei einer staatlichen Kautionsstelle hinterlegt statt beim Vermieter</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Wohnen</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Booze Bus</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umgangssprachlich für eine mobile Polizeistation zur Alkohol- und Drogenkontrolle im Straßenverkehr</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Recht</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Bulk Billing</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Abrechnungsform, bei der ein Hausarzt direkt und ohne Zuzahlung mit Medicare abrechnet</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Gesundheit</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BYO (Bring Your Own)</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Aufforderung bei Einladungen und Barbecues, eigene Getränke (gelegentlich Fleisch) mitzubringen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Kultur</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Citizenship Test</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Staatskundetest zu australischer Geschichte, Regierungssystem und Werten, Pflichtbestandteil des Einbürgerungsverfahrens</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Staatsbürgerschaft</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Conveyancer</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 Immobilienrecht spezialisierte Fachperson, prüft den Kaufvertrag und wickelt die Übergabe ab, Ersatz für den deutschen Notar</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Wohnen</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Core Skills Income Threshold (CSIT)</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gesetzliche Mindestlohnschwelle im Core-Skills-Strom des Subclass 482</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Arbeit</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Core Skills Occupation List (CSOL)</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seit 1.7.2025 gültige, 456 Berufe umfassende Liste für Subclass 482 und den Direktweg von 186</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 Arbeit</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DASP (Departing Australia Superannuation Payment)</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Auszahlung des Superannuation-Guthabens beim endgültigen Verlassen Australiens, mit 35–65 % Abgeltungssteuer</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Demerit Points</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Punktesystem für Verkehrsverstöße, gestaffelt nach Lizenztyp und Bundesstaat; bei Erreichen der Grenze droht Führerscheinsperre</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Führerschein</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Employer Nomination Scheme (ENS, Subclass 186)</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Weg zur Daueraufenthaltserlaubnis über einen sponsernden Arbeitgeber, u. a. nach zwei Jahren im Subclass 482</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Arbeit, Einwanderung</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Established Dwellings</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Bestandsimmobilien, die Ausländer und befristete Visa-Inhaber seit 1.4.2025 bis mindestens 30.6.2029 grundsätzlich nicht kaufen dürfen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Wohnen</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Expression of Interest (EOI)</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unverbindliche Interessensbekundung über SkillSelect, Grundlage für eine spätere Einladung zum Visumantrag</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Fair Work Act</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zentrales australisches Arbeitsgesetz von 2009, gilt bundeseinheitlich für fast alle privaten Arbeitsverhältnisse</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Arbeit</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FIRB (Foreign Investment Review Board)</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australische Prüfbehörde für Auslandsinvestitionen, setzt u. a. das Established-Dwelling-Kaufverbot durch</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Wohnen</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Genuine Reason</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gesetzlich vorgeschriebener triftiger Grund für eine Waffenlizenz; Selbstverteidigung zählt ausdrücklich nicht dazu</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Recht</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GST (Goods and Services Tax)</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australische Waren- und Dienstleistungssteuer, anders als in den USA bereits im Ladenpreis enthalten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Ankunft</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HAP-ID (Health Assessment Processing ID)</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Kennnummer für die Terminbuchung bei der visumsbezogenen Gesundheitsuntersuchung beim Panel Physician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Antrag</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ImmiAccount</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zentrales Online-Portal des Department of Home Affairs für Visumanträge, Zahlungen und Behördenkommunikation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Antrag</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LITO (Low Income Tax Offset)</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Steuergutschrift für niedrige Einkommen von bis zu 700 AUD, hebt die faktische Steuerfreigrenze auf rund 22.867 AUD</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Überblick, Steuer</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Mateship</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australisches Ideal von Gleichheit und gegenseitiger Unterstützung, Grundlage der informellen Umgangsformen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Kultur</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Medicare</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staatliches australisches Krankenversicherungssystem, zugänglich für Staatsbürger und Permanent Residents</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Gesundheit</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Medicare Levy</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pauschale Abgabe von 2,0 % des zu versteuernden Einkommens zur Mitfinanzierung von Medicare</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 Gesundheit</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Medicare Levy Surcharge (MLS)</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Zusatzabgabe für Besserverdiener ohne private Krankenhausversicherung</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NAPLAN</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landesweiter Standardtest für Grundfertigkeiten in Lesen, Schreiben und Mathematik in Year 3, 5, 7 und 9</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Schule</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National Employment Standards (NES)</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elf gesetzliche Mindestansprüche aus dem Fair Work Act, u. a. zu Urlaub und Kündigungsfristen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Arbeit</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OSHC (Overseas Student Health Cover)</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für Studienvisum-Inhaber verpflichtende private Krankenzusatzversicherung</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Gesundheit</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OSHC (Outside School Hours Care)</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kostenpflichtige Vor- und Nachmittagsbetreuung an Grundschulen, gleiche Abkürzung wie die Krankenzusatzversicherung oben, aber ein anderer Begriff</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Schule</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OVHC (Overseas Visitor Health Cover)</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private Krankenzusatzversicherung für die meisten befristeten, nicht-studentischen Visa</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Gesundheit</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P-Plates</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Kennzeichnung für Fahranfänger, vergleichbar der deutschen Probezeit, mit eigener 0,00-%-Alkoholgrenze</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Führerschein</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Permanent Resident (PR)</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Inhaber einer unbefristeten Aufenthaltserlaubnis, u. a. Voraussetzung für vollen Medicare-Zugang</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Random Breath Testing (RBT)</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verdachtsunabhängige Atemalkoholkontrolle im Straßenverkehr, in Australien Routine</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Führerschein, Recht</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Random Drug Testing (RDT)</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verdachtsunabhängiger Speicheltest auf Drogen im Straßenverkehr</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Recht</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Reciprocal Health Care Agreement (RHCA)</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zwischenstaatliches Gegenseitigkeitsabkommen zur medizinischen Grundversorgung; Deutschland gehört nicht zu den elf Partnerländern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Gesundheit</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Registered Migration Agent</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 der OMARA registrierte, zur entgeltlichen Migrationsberatung befugte Fachperson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Antrag</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Right to Disconnect</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seit 2024/25 geltendes Recht, Kontaktversuche des Arbeitgebers außerhalb der Arbeitszeit abzulehnen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Arbeit</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Roadworthy Certificate</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Zustandsprüfung eines Fahrzeugs, in Victoria und Queensland beim Gebrauchtwagenverkauf gesetzlich vorgeschrieben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Führerschein</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Skilled Independent (Subclass 189)</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punktebasiertes Visum ganz ohne Sponsor, mit freier Wohnortwahl in ganz Australien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Skilling Australians Fund Levy (SAF-Levy)</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Ausbildungsabgabe, die der Arbeitgeber bei Subclass 482 und 186 zahlt, nicht auf den Arbeitnehmer abwälzbar</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Arbeit</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Skills Assessment</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fachliche Qualifikationsprüfung durch eine zuständige Berufsorganisation, oft der eigentliche Flaschenhals vor dem Visumantrag</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Arbeit, Einwanderung</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Skills in Demand (SID, Subclass 482)</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arbeitgebergesponsertes befristetes Arbeitsvisum, seit Dezember 2024 Nachfolger des Temporary Skill Shortage Visa</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Arbeit</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SkillSelect</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Online-Plattform für punktebasierte Visa: Interessensbekundung, Punkteberechnung und Einladung zur Antragstellung</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Stamp Duty</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von den Bundesstaaten erhobene Grunderwerbsteuer; Nicht-Staatsbürger ohne PR zahlen zusätzlich einen Foreign-Buyer-Zuschlag</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Wohnen</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Superannuation</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verpflichtende, kapitalgedeckte Altersvorsorge, die der Arbeitgeber neben dem Gehalt einzahlt (12,0 % seit Juli 2025)</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Tall Poppy Syndrome</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soziale Zurückhaltung gegenüber demonstrativem Erfolg oder Prahlerei</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Kultur</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TFN (Tax File Number)</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zentrale australische Steuer-Identifikationsnummer; ohne sie werden 47 % vom Lohn einbehalten</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w:t>
            </w:r>
          </w:p>
        </w:tc>
      </w:tr>
      <w:tr>
        <w:trPr>
          <w:cantSplit w:val="true"/>
        </w:trPr>
        <w:tc>
          <w:tcPr>
            <w:tcW w:w="19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Unfair Dismissal</w:t>
            </w:r>
          </w:p>
        </w:tc>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gesetzlicher Schutz vor unfairer Kündigung, greift erst nach sechs bis zwölf Monaten Beschäftigung</w:t>
            </w:r>
          </w:p>
        </w:tc>
        <w:tc>
          <w:tcPr>
            <w:tcW w:w="154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Arbeit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Neuseeland</w:t>
      </w:r>
    </w:p>
    <w:tbl>
      <w:tblPr>
        <w:tblW w:w="6480" w:type="dxa"/>
        <w:jc w:val="left"/>
        <w:tblInd w:w="0" w:type="dxa"/>
        <w:tblLayout w:type="fixed"/>
        <w:tblCellMar>
          <w:top w:w="50" w:type="dxa"/>
          <w:left w:w="80" w:type="dxa"/>
          <w:bottom w:w="50" w:type="dxa"/>
          <w:right w:w="80" w:type="dxa"/>
        </w:tblCellMar>
      </w:tblPr>
      <w:tblGrid>
        <w:gridCol w:w="1938"/>
        <w:gridCol w:w="2881"/>
        <w:gridCol w:w="1661"/>
      </w:tblGrid>
      <w:tr>
        <w:trPr>
          <w:tblHeader w:val="true"/>
          <w:cantSplit w:val="true"/>
        </w:trPr>
        <w:tc>
          <w:tcPr>
            <w:tcW w:w="193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Englisch</w:t>
            </w:r>
          </w:p>
        </w:tc>
        <w:tc>
          <w:tcPr>
            <w:tcW w:w="288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Deutsch/Erklärung</w:t>
            </w:r>
          </w:p>
        </w:tc>
        <w:tc>
          <w:tcPr>
            <w:tcW w:w="166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Accident Compensation Corporation (ACC)</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staatliche, verpflichtende No-Fault-Unfallversicherung für jede Person in Neuseeland, unabhängig vom Aufenthaltsstatus</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Gesundheit</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Accredited Employer Work Visa (AEWV)</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befristetes, arbeitgebergebundenes Fachkräfte-Arbeitsvisum; der Arbeitgeber muss vorab akkreditiert sein und einen Job Check bestehen</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 Arbeit</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Active Investor Plus Visa</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Investorenvisum für reine Kapitalanlage ohne operative Geschäftsführung, Kategorien „Growth“ (ab 5 Mio. NZD) und „Balanced“ (ab 10 Mio. NZD)</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Familie/Investor/Ruhestand</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Bond</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gesetzlich auf höchstens vier Wochenmieten gedeckelte Mietkaution, treuhänderisch bei Tenancy Services hinterlegt</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Wohnen</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Business Investor Work Visa</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Investoren-Arbeitsvisum für aktive Unternehmensführung mit Mindestbeschäftigung, löst seit 2025 die frühere Entrepreneur-Kategorie ab</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Familie/Investor/Ruhestand</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Character Requirement</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Vorgabe zum guten Leumund im Einwanderungsverfahren, geprüft ab 17 Jahren</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Antrag</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Citizenship by Descent</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Registrierung der Staatsbürgerschaft für im Ausland geborene Kinder neuseeländischer Eltern, konstitutiv statt automatisch</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Staatsbürgerschaft</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Common Law</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britisch geprägtes Fallrecht, Grundlage des neuseeländischen Rechtssystems</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Recht</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Department of Internal Affairs (DIA)</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Behörde, die Einbürgerungsanträge bearbeitet und den guten Leumund prüft</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Staatsbürgerschaft</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Direct Deduction Policy</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Regel, nach der die staatliche Rente NZ Super Dollar für Dollar um eine ausländische Sozialversicherungsrente gekürzt wird</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Familie/Investor/Ruhestand</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Earner’s Levy</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Arbeitnehmerbeitrag zur Finanzierung von ACC, ab April 2026 1,75 % des beitragspflichtigen Einkommens</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Gesundheit</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Employer Accreditation</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Vorab-Akkreditierung eines Arbeitgebers, Voraussetzung für das AEWV-System</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Arbeit</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Employment New Zealand</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Arbeitsbereich des Wirtschaftsministeriums MBIE, kostenlose Information und Beratung zum Arbeitsrecht</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Arbeit</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ESOL (English for Speakers of Other Languages)</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schulische Sprachförderung für Kinder ohne Englisch als Erstsprache, vom Bildungsministerium bezuschusst</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Schule</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Exempt Countries</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von der Verkehrsbehörde NZTA anerkannte Länderliste, deren Führerscheine ohne Prüfung umgetauscht werden können; Deutschland zählt dazu</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Führerschein</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General Practitioner (GP)</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Hausarzt, meist über eine Primary Health Organisation organisiert</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Gesundheit</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Give Way</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seit 2012 geltende Vorfahrtsregel, wonach abbiegender Verkehr nicht mehr automatisch Vorrang hat</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Führerschein</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Good Faith</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Treu und Glauben, zentraler Grundsatz des neuseeländischen Arbeitsrechts</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Arbeit</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Goods and Services Tax (GST)</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neuseeländische Verbrauchsteuer von 15 %, anders als die US-Sales-Tax bereits im Preis enthalten</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List</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Mangelberufe-Liste mit direktem (Tier 1) oder verkürztem (Tier 2) Weg zur Residency für rund 200 Berufe</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 Arbeit</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 Levy</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zusätzliche Einwanderungsabgabe, die bei fast jedem Visumantrag zur Antragsgebühr hinzukommt</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Antrag</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 New Zealand (INZ)</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neuseeländische Einwanderungsbehörde, Teil des Wirtschaftsministeriums MBIE</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Inland Revenue Department (IRD)</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neuseeländische Steuerbehörde, vergibt die kostenlose, lebenslange IRD-Nummer als Voraussetzung für Gehalt, Bankkonto und KiwiSaver</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Job Check</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behördliche Prüfung einer konkreten Stelle im AEWV-Verfahren, weist marktübliche Bezahlung und Bedingungen nach</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Arbeit</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Karakia</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kurzes einleitendes Ritual beziehungsweise stilles Gebet zur Eröffnung von Zeremonien und Besprechungen</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Kultur</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Kia ora</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Māori-Gruß, im neuseeländischen Alltagsenglisch fest für „Hallo“ verankert</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Kultur</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KiwiSaver</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freiwilliges, staatlich gefördertes Rentensparsystem mit Pflichtbeitrag des Arbeitgebers, nur für Bürger und Personen mit unbefristetem Aufenthaltsrecht offen</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Licensed Immigration Adviser (LIA)</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lizenzierter Einwanderungsberater, reguliert durch die Immigration Advisers Authority</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Antrag</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National Certificate of Educational Achievement (NCEA)</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neuseeländischer Schulabschluss über Einzelfächer und Kredit-Punkte, etwa Year 11 bis 13</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Schule</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 Zealand Bill of Rights Act 1990</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Grundrechtecharta, gilt für jeden im Land unabhängig von der Staatsangehörigkeit</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Recht</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 Zealand Transport Agency Waka Kotahi (NZTA)</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neuseeländische Verkehrsbehörde, zuständig für Führerschein-Umtausch und Verkehrsregeln</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Führerschein</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 Zealand Traveller Declaration (NZTD)</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digitale Einreise-, Zoll- und Biosecurity-Erklärung, vor der Landung Pflicht</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Ankunft</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No-notification Rate</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pauschaler Höchststeuersatz von 45 % auf Gehalt und Zinsen ohne hinterlegte IRD-Nummer</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Ordinarily Resident</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Status, der ausländischen Käufern erst den Kauf einer Bestandsimmobilie erlaubt; verlangt Resident-Visum, 12 Monate Aufenthalt, 183-Tage-Anwesenheit und Steuerresidenz gleichzeitig</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Wohnen</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Overseas Person</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rechtlicher Status nach dem Overseas Investment Act, der den Kauf von Bestandsimmobilien grundsätzlich verbietet</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Wohnen</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Pay As You Earn (PAYE)</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laufender Lohnsteuerabzug direkt vom Arbeitgeber nach den progressiven Steuerstufen</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Permanent Resident Visa (PRV)</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unbefristeter Daueraufenthaltstitel ohne Reisebeschränkung, meist im Anschluss an das zunächst reisebeschränkte Resident Visa</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Personal Grievance</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arbeitsrechtliche Beschwerde bei ungerechter Behandlung, ohne Mindestbeschäftigungszeit möglich, Frist 90 Tage</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Arbeit</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Plunket</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landesweite gemeinnützige Organisation für frühkindliche Gesundheit und Krabbelgruppen, guter Ort für erste Kontakte</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Kultur</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Police Certificate</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Führungszeugnis, für den Visumantrag höchstens sechs Monate alt, ohne Apostille, nur mit beglaubigter Übersetzung</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Antrag</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Pōwhiri</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traditionelle Māori-Willkommenszeremonie mit Reden, Gesang und Ritual</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Kultur</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Redundancy</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betriebsbedingte Kündigung; anders als in Deutschland keine automatische gesetzliche Abfindungspflicht</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Arbeit</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Resident Visa</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neuseeländischer Daueraufenthaltstitel, funktional vergleichbar mit der Green Card, zunächst zwei Jahre reisebeschränkt</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She’ll Be Right</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entspannte Redewendung im Sinne von „wird schon werden“, typisch für die neuseeländische Gelassenheit</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Kultur</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Skilled Migrant Category (SMC)</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punktebasiertes Hauptvisum für Fachkräfte zum Daueraufenthalt, seit der Reform 2025/26 mit einer Schwelle von 6 Punkten</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 Arbeit</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Smoko</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informelle Kaffee- oder Teepause während der Arbeitszeit, ursprünglich die Raucherpause</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Kultur</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 Ao Māori</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die Māori-Weltsicht, prägt zunehmend Alltag und Arbeitswelt Neuseelands</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Kultur</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Temporary Retirement Visitor Visa</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befristeter Ruhestandsweg ohne dort lebendes Kind, verlangt hohe Investitions- und Einkommensschwellen</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Familie/Investor/Ruhestand</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Tenancy Services</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staatliche Stelle, die Mietkautionen treuhänderisch verwaltet und bei Mietstreitigkeiten vermittelt</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Wohnen</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Toka Tū Ake (Natural Hazards Commission)</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staatliche Naturgefahrenversicherung, deckt die ersten 300.000 NZD Erdbebenschaden am Wohngebäude</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Wohnen, Recht</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Tramping</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mehrtägiges Wandern mit Hüttenübernachtung, eigenständiger neuseeländischer Begriff</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Kultur</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Transitional Resident</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steuerliche Befreiung für Neuankömmlinge auf die meisten ausländischen Kapital-, Miet- und Beteiligungseinkünfte, 48 Monate lang</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Trial Period</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bis zu 90-tägige Probezeit ohne Kündigungsschutz, seit 2023 für jeden Arbeitgeber unabhängig von der Betriebsgröße möglich</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Arbeit</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Warrant of Fitness (WoF)</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neuseeländisches Pendant zum TÜV, bei Verkauf höchstens einen Monat alt</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Führerschein</w:t>
            </w:r>
          </w:p>
        </w:tc>
      </w:tr>
      <w:tr>
        <w:trPr>
          <w:cantSplit w:val="true"/>
        </w:trPr>
        <w:tc>
          <w:tcPr>
            <w:tcW w:w="19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Working Holiday Visa</w:t>
            </w:r>
          </w:p>
        </w:tc>
        <w:tc>
          <w:tcPr>
            <w:tcW w:w="288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befristetes Visum für 18- bis 30-jährige Deutsche ohne Jobangebot, bis zu 12 Monate, kein Weg zum Daueraufenthalt</w:t>
            </w:r>
          </w:p>
        </w:tc>
        <w:tc>
          <w:tcPr>
            <w:tcW w:w="16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Gesetze, Formularnummern und Programmdetails ändern sich; prüfe bei einem konkreten Vorhaben die aktuelle Fassung auf der zuständigen Behördenseite.</w:t>
            </w:r>
          </w:p>
        </w:tc>
      </w:tr>
    </w:tbl>
    <w:p>
      <w:pPr>
        <w:pStyle w:val="Normal"/>
        <w:spacing w:lineRule="exact" w:line="220" w:before="0" w:after="0"/>
        <w:rPr/>
      </w:pPr>
      <w:r>
        <w:rPr/>
      </w:r>
      <w:r>
        <w:br w:type="page"/>
      </w:r>
    </w:p>
    <w:p>
      <w:pPr>
        <w:pStyle w:val="Heading2"/>
        <w:keepNext w:val="true"/>
        <w:spacing w:before="0" w:after="300"/>
        <w:jc w:val="center"/>
        <w:rPr/>
      </w:pPr>
      <w:bookmarkStart w:id="206" w:name="__RefHeading___Toc56637_3769931028"/>
      <w:bookmarkStart w:id="207" w:name="anhang_c"/>
      <w:bookmarkEnd w:id="206"/>
      <w:r>
        <w:rPr>
          <w:rFonts w:eastAsia="Amazon Ember" w:cs="Amazon Ember" w:ascii="Amazon Ember" w:hAnsi="Amazon Ember"/>
          <w:b/>
          <w:bCs/>
          <w:color w:val="0000FF"/>
          <w:sz w:val="36"/>
          <w:szCs w:val="36"/>
        </w:rPr>
        <w:t>Anhang C: Umrechnungstabellen</w:t>
      </w:r>
      <w:bookmarkEnd w:id="207"/>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Dieser Anhang sammelt die Umrechnungen, die im Alltag in den vier Zielländern am häufigsten gebraucht werden: Temperatur, Länge, Gewicht, Küchenmaße, Kleider- und Bettgrößen, Papierformat, Datum und Strom. Er ersetzt nicht die Maßtabelle der jeweiligen Marke oder das Typenschild des Geräts, liefert aber einen schnellen Ausgangswert.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Wichtig: Nur die USA messen nicht metrisch – dort brauchst du für fast alles eine Umrechnung, deshalb ist der folgende Abschnitt entsprechend ausführlich. Kanada, Australien und Neuseeland sind, wie Deutschland, metrische Länder. Ihre Abschnitte fallen deshalb deutlich kürzer aus und konzentrieren sich auf das, was tatsächlich abweicht – vor allem Steckertyp/Spannung sowie Kleider- und Schuhgrößen.</w:t>
      </w:r>
    </w:p>
    <w:p>
      <w:pPr>
        <w:pStyle w:val="Heading3"/>
        <w:keepNext w:val="true"/>
        <w:spacing w:before="280" w:after="100"/>
        <w:jc w:val="center"/>
        <w:rPr/>
      </w:pPr>
      <w:r>
        <w:rPr>
          <w:rFonts w:eastAsia="Amazon Ember" w:cs="Amazon Ember" w:ascii="Amazon Ember" w:hAnsi="Amazon Ember"/>
          <w:b/>
          <w:bCs/>
          <w:color w:val="0000FF"/>
          <w:sz w:val="36"/>
          <w:szCs w:val="36"/>
        </w:rPr>
        <w:t>USA</w:t>
      </w:r>
    </w:p>
    <w:p>
      <w:pPr>
        <w:pStyle w:val="Heading3"/>
        <w:keepNext w:val="true"/>
        <w:spacing w:before="280" w:after="100"/>
        <w:jc w:val="center"/>
        <w:rPr/>
      </w:pPr>
      <w:r>
        <w:rPr>
          <w:rFonts w:eastAsia="Amazon Ember" w:cs="Amazon Ember" w:ascii="Amazon Ember" w:hAnsi="Amazon Ember"/>
          <w:b/>
          <w:bCs/>
          <w:color w:val="0000FF"/>
          <w:sz w:val="36"/>
          <w:szCs w:val="36"/>
        </w:rPr>
        <w:t>Temperatur</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Formel: °C = (°F − 32) × 5/9. Umgekehrt: °F = °C × 9/5 + 32.</w:t>
      </w:r>
    </w:p>
    <w:tbl>
      <w:tblPr>
        <w:tblW w:w="6480" w:type="dxa"/>
        <w:jc w:val="left"/>
        <w:tblInd w:w="0" w:type="dxa"/>
        <w:tblLayout w:type="fixed"/>
        <w:tblCellMar>
          <w:top w:w="50" w:type="dxa"/>
          <w:left w:w="80" w:type="dxa"/>
          <w:bottom w:w="50" w:type="dxa"/>
          <w:right w:w="80" w:type="dxa"/>
        </w:tblCellMar>
      </w:tblPr>
      <w:tblGrid>
        <w:gridCol w:w="1763"/>
        <w:gridCol w:w="1764"/>
        <w:gridCol w:w="2953"/>
      </w:tblGrid>
      <w:tr>
        <w:trPr>
          <w:tblHeader w:val="true"/>
          <w:cantSplit w:val="true"/>
        </w:trPr>
        <w:tc>
          <w:tcPr>
            <w:tcW w:w="176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w:t>
            </w:r>
          </w:p>
        </w:tc>
        <w:tc>
          <w:tcPr>
            <w:tcW w:w="176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°C</w:t>
            </w:r>
          </w:p>
        </w:tc>
        <w:tc>
          <w:tcPr>
            <w:tcW w:w="295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Typischer Wert</w:t>
            </w:r>
          </w:p>
        </w:tc>
      </w:tr>
      <w:tr>
        <w:trPr>
          <w:cantSplit w:val="true"/>
        </w:trPr>
        <w:tc>
          <w:tcPr>
            <w:tcW w:w="1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w:t>
            </w:r>
          </w:p>
        </w:tc>
        <w:tc>
          <w:tcPr>
            <w:tcW w:w="17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t>
            </w:r>
            <w:r>
              <w:rPr>
                <w:rFonts w:eastAsia="Cambria" w:cs="Cambria"/>
                <w:b w:val="false"/>
                <w:bCs w:val="false"/>
                <w:i w:val="false"/>
                <w:iCs w:val="false"/>
                <w:sz w:val="18"/>
                <w:szCs w:val="18"/>
              </w:rPr>
              <w:t>18</w:t>
            </w:r>
          </w:p>
        </w:tc>
        <w:tc>
          <w:tcPr>
            <w:tcW w:w="29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Extreme Kälte</w:t>
            </w:r>
          </w:p>
        </w:tc>
      </w:tr>
      <w:tr>
        <w:trPr>
          <w:cantSplit w:val="true"/>
        </w:trPr>
        <w:tc>
          <w:tcPr>
            <w:tcW w:w="1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32</w:t>
            </w:r>
          </w:p>
        </w:tc>
        <w:tc>
          <w:tcPr>
            <w:tcW w:w="17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w:t>
            </w:r>
          </w:p>
        </w:tc>
        <w:tc>
          <w:tcPr>
            <w:tcW w:w="29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Gefrierpunkt Wasser</w:t>
            </w:r>
          </w:p>
        </w:tc>
      </w:tr>
      <w:tr>
        <w:trPr>
          <w:cantSplit w:val="true"/>
        </w:trPr>
        <w:tc>
          <w:tcPr>
            <w:tcW w:w="1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50</w:t>
            </w:r>
          </w:p>
        </w:tc>
        <w:tc>
          <w:tcPr>
            <w:tcW w:w="17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w:t>
            </w:r>
          </w:p>
        </w:tc>
        <w:tc>
          <w:tcPr>
            <w:tcW w:w="29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Kühl</w:t>
            </w:r>
          </w:p>
        </w:tc>
      </w:tr>
      <w:tr>
        <w:trPr>
          <w:cantSplit w:val="true"/>
        </w:trPr>
        <w:tc>
          <w:tcPr>
            <w:tcW w:w="1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68</w:t>
            </w:r>
          </w:p>
        </w:tc>
        <w:tc>
          <w:tcPr>
            <w:tcW w:w="17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w:t>
            </w:r>
          </w:p>
        </w:tc>
        <w:tc>
          <w:tcPr>
            <w:tcW w:w="29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Angenehme Raumtemperatur</w:t>
            </w:r>
          </w:p>
        </w:tc>
      </w:tr>
      <w:tr>
        <w:trPr>
          <w:cantSplit w:val="true"/>
        </w:trPr>
        <w:tc>
          <w:tcPr>
            <w:tcW w:w="1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77</w:t>
            </w:r>
          </w:p>
        </w:tc>
        <w:tc>
          <w:tcPr>
            <w:tcW w:w="17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w:t>
            </w:r>
          </w:p>
        </w:tc>
        <w:tc>
          <w:tcPr>
            <w:tcW w:w="29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Warm</w:t>
            </w:r>
          </w:p>
        </w:tc>
      </w:tr>
      <w:tr>
        <w:trPr>
          <w:cantSplit w:val="true"/>
        </w:trPr>
        <w:tc>
          <w:tcPr>
            <w:tcW w:w="1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86</w:t>
            </w:r>
          </w:p>
        </w:tc>
        <w:tc>
          <w:tcPr>
            <w:tcW w:w="17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w:t>
            </w:r>
          </w:p>
        </w:tc>
        <w:tc>
          <w:tcPr>
            <w:tcW w:w="29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Heiß</w:t>
            </w:r>
          </w:p>
        </w:tc>
      </w:tr>
      <w:tr>
        <w:trPr>
          <w:cantSplit w:val="true"/>
        </w:trPr>
        <w:tc>
          <w:tcPr>
            <w:tcW w:w="1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95</w:t>
            </w:r>
          </w:p>
        </w:tc>
        <w:tc>
          <w:tcPr>
            <w:tcW w:w="17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35</w:t>
            </w:r>
          </w:p>
        </w:tc>
        <w:tc>
          <w:tcPr>
            <w:tcW w:w="29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Sehr heiß</w:t>
            </w:r>
          </w:p>
        </w:tc>
      </w:tr>
      <w:tr>
        <w:trPr>
          <w:cantSplit w:val="true"/>
        </w:trPr>
        <w:tc>
          <w:tcPr>
            <w:tcW w:w="17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104</w:t>
            </w:r>
          </w:p>
        </w:tc>
        <w:tc>
          <w:tcPr>
            <w:tcW w:w="176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w:t>
            </w:r>
          </w:p>
        </w:tc>
        <w:tc>
          <w:tcPr>
            <w:tcW w:w="295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Hitzewelle</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Längen und Distanzen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1 Meile (</w:t>
      </w:r>
      <w:r>
        <w:rPr>
          <w:rFonts w:eastAsia="Cambria" w:cs="Cambria"/>
          <w:b w:val="false"/>
          <w:bCs w:val="false"/>
          <w:i/>
          <w:iCs/>
          <w:sz w:val="22"/>
          <w:szCs w:val="22"/>
        </w:rPr>
        <w:t>mile</w:t>
      </w:r>
      <w:r>
        <w:rPr>
          <w:rFonts w:eastAsia="Cambria" w:cs="Cambria"/>
          <w:b w:val="false"/>
          <w:bCs w:val="false"/>
          <w:i w:val="false"/>
          <w:iCs w:val="false"/>
          <w:sz w:val="22"/>
          <w:szCs w:val="22"/>
        </w:rPr>
        <w:t>) = 1,61 km. 1 Fuß (</w:t>
      </w:r>
      <w:r>
        <w:rPr>
          <w:rFonts w:eastAsia="Cambria" w:cs="Cambria"/>
          <w:b w:val="false"/>
          <w:bCs w:val="false"/>
          <w:i/>
          <w:iCs/>
          <w:sz w:val="22"/>
          <w:szCs w:val="22"/>
        </w:rPr>
        <w:t>foot</w:t>
      </w:r>
      <w:r>
        <w:rPr>
          <w:rFonts w:eastAsia="Cambria" w:cs="Cambria"/>
          <w:b w:val="false"/>
          <w:bCs w:val="false"/>
          <w:i w:val="false"/>
          <w:iCs w:val="false"/>
          <w:sz w:val="22"/>
          <w:szCs w:val="22"/>
        </w:rPr>
        <w:t>, ft) = 30,48 cm. 1 Zoll (</w:t>
      </w:r>
      <w:r>
        <w:rPr>
          <w:rFonts w:eastAsia="Cambria" w:cs="Cambria"/>
          <w:b w:val="false"/>
          <w:bCs w:val="false"/>
          <w:i/>
          <w:iCs/>
          <w:sz w:val="22"/>
          <w:szCs w:val="22"/>
        </w:rPr>
        <w:t>inch</w:t>
      </w:r>
      <w:r>
        <w:rPr>
          <w:rFonts w:eastAsia="Cambria" w:cs="Cambria"/>
          <w:b w:val="false"/>
          <w:bCs w:val="false"/>
          <w:i w:val="false"/>
          <w:iCs w:val="false"/>
          <w:sz w:val="22"/>
          <w:szCs w:val="22"/>
        </w:rPr>
        <w:t>, in) = 2,54 cm.</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Meilen</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Kilometer</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50</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80</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100</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161</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Körpergröße (Fuß und Zoll zu cm):</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 (ft/in)</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cm</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5’0“</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152</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5’2“</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157</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5’4“</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163</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5’6“</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168</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5’8“</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173</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5’10“</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178</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6’0“</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183</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6’2“</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188</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Gewicht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1 Pfund (</w:t>
      </w:r>
      <w:r>
        <w:rPr>
          <w:rFonts w:eastAsia="Cambria" w:cs="Cambria"/>
          <w:b w:val="false"/>
          <w:bCs w:val="false"/>
          <w:i/>
          <w:iCs/>
          <w:sz w:val="22"/>
          <w:szCs w:val="22"/>
        </w:rPr>
        <w:t>pound</w:t>
      </w:r>
      <w:r>
        <w:rPr>
          <w:rFonts w:eastAsia="Cambria" w:cs="Cambria"/>
          <w:b w:val="false"/>
          <w:bCs w:val="false"/>
          <w:i w:val="false"/>
          <w:iCs w:val="false"/>
          <w:sz w:val="22"/>
          <w:szCs w:val="22"/>
        </w:rPr>
        <w:t>, lb) = 0,4536 kg. 1 kg = 2,2046 lb.</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Pfund</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Kilogramm</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100</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45</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125</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57</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150</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68</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175</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79</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200</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91</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250</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113</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Küche und Backen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Hohlmaße (</w:t>
      </w:r>
      <w:r>
        <w:rPr>
          <w:rFonts w:eastAsia="Cambria" w:cs="Cambria"/>
          <w:b w:val="false"/>
          <w:bCs w:val="false"/>
          <w:i/>
          <w:iCs/>
          <w:sz w:val="22"/>
          <w:szCs w:val="22"/>
        </w:rPr>
        <w:t>teaspoon</w:t>
      </w:r>
      <w:r>
        <w:rPr>
          <w:rFonts w:eastAsia="Cambria" w:cs="Cambria"/>
          <w:b w:val="false"/>
          <w:bCs w:val="false"/>
          <w:i w:val="false"/>
          <w:iCs w:val="false"/>
          <w:sz w:val="22"/>
          <w:szCs w:val="22"/>
        </w:rPr>
        <w:t xml:space="preserve">, tsp; </w:t>
      </w:r>
      <w:r>
        <w:rPr>
          <w:rFonts w:eastAsia="Cambria" w:cs="Cambria"/>
          <w:b w:val="false"/>
          <w:bCs w:val="false"/>
          <w:i/>
          <w:iCs/>
          <w:sz w:val="22"/>
          <w:szCs w:val="22"/>
        </w:rPr>
        <w:t>tablespoon</w:t>
      </w:r>
      <w:r>
        <w:rPr>
          <w:rFonts w:eastAsia="Cambria" w:cs="Cambria"/>
          <w:b w:val="false"/>
          <w:bCs w:val="false"/>
          <w:i w:val="false"/>
          <w:iCs w:val="false"/>
          <w:sz w:val="22"/>
          <w:szCs w:val="22"/>
        </w:rPr>
        <w:t xml:space="preserve">, tbsp; </w:t>
      </w:r>
      <w:r>
        <w:rPr>
          <w:rFonts w:eastAsia="Cambria" w:cs="Cambria"/>
          <w:b w:val="false"/>
          <w:bCs w:val="false"/>
          <w:i/>
          <w:iCs/>
          <w:sz w:val="22"/>
          <w:szCs w:val="22"/>
        </w:rPr>
        <w:t>cup</w:t>
      </w:r>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US-Maß</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ml</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 tsp</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 tbsp (3 tsp)</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¼ cup</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60</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⅓ </w:t>
            </w:r>
            <w:r>
              <w:rPr>
                <w:rFonts w:eastAsia="Cambria" w:cs="Cambria"/>
                <w:b w:val="false"/>
                <w:bCs w:val="false"/>
                <w:i w:val="false"/>
                <w:iCs w:val="false"/>
                <w:sz w:val="18"/>
                <w:szCs w:val="18"/>
              </w:rPr>
              <w:t>cup</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80</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½ cup</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120</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 xml:space="preserve">⅔ </w:t>
            </w:r>
            <w:r>
              <w:rPr>
                <w:rFonts w:eastAsia="Cambria" w:cs="Cambria"/>
                <w:b w:val="false"/>
                <w:bCs w:val="false"/>
                <w:i w:val="false"/>
                <w:iCs w:val="false"/>
                <w:sz w:val="18"/>
                <w:szCs w:val="18"/>
              </w:rPr>
              <w:t>cup</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160</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¾ cup</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180</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 cup</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240</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Gewichte (</w:t>
      </w:r>
      <w:r>
        <w:rPr>
          <w:rFonts w:eastAsia="Cambria" w:cs="Cambria"/>
          <w:b w:val="false"/>
          <w:bCs w:val="false"/>
          <w:i/>
          <w:iCs/>
          <w:sz w:val="22"/>
          <w:szCs w:val="22"/>
        </w:rPr>
        <w:t>ounce</w:t>
      </w:r>
      <w:r>
        <w:rPr>
          <w:rFonts w:eastAsia="Cambria" w:cs="Cambria"/>
          <w:b w:val="false"/>
          <w:bCs w:val="false"/>
          <w:i w:val="false"/>
          <w:iCs w:val="false"/>
          <w:sz w:val="22"/>
          <w:szCs w:val="22"/>
        </w:rPr>
        <w:t>, oz):</w:t>
      </w:r>
    </w:p>
    <w:tbl>
      <w:tblPr>
        <w:tblW w:w="6480" w:type="dxa"/>
        <w:jc w:val="left"/>
        <w:tblInd w:w="0" w:type="dxa"/>
        <w:tblLayout w:type="fixed"/>
        <w:tblCellMar>
          <w:top w:w="50" w:type="dxa"/>
          <w:left w:w="80" w:type="dxa"/>
          <w:bottom w:w="50" w:type="dxa"/>
          <w:right w:w="80" w:type="dxa"/>
        </w:tblCellMar>
      </w:tblPr>
      <w:tblGrid>
        <w:gridCol w:w="3240"/>
        <w:gridCol w:w="3239"/>
      </w:tblGrid>
      <w:tr>
        <w:trPr>
          <w:tblHeader w:val="true"/>
          <w:cantSplit w:val="true"/>
        </w:trPr>
        <w:tc>
          <w:tcPr>
            <w:tcW w:w="32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US-Maß</w:t>
            </w:r>
          </w:p>
        </w:tc>
        <w:tc>
          <w:tcPr>
            <w:tcW w:w="32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Gramm</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 oz</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28</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 oz</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113</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 oz</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227</w:t>
            </w:r>
          </w:p>
        </w:tc>
      </w:tr>
      <w:tr>
        <w:trPr>
          <w:cantSplit w:val="true"/>
        </w:trPr>
        <w:tc>
          <w:tcPr>
            <w:tcW w:w="32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 oz (1 lb)</w:t>
            </w:r>
          </w:p>
        </w:tc>
        <w:tc>
          <w:tcPr>
            <w:tcW w:w="32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454</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Backofentemperaturen:</w:t>
      </w:r>
    </w:p>
    <w:tbl>
      <w:tblPr>
        <w:tblW w:w="6480" w:type="dxa"/>
        <w:jc w:val="left"/>
        <w:tblInd w:w="0" w:type="dxa"/>
        <w:tblLayout w:type="fixed"/>
        <w:tblCellMar>
          <w:top w:w="50" w:type="dxa"/>
          <w:left w:w="80" w:type="dxa"/>
          <w:bottom w:w="50" w:type="dxa"/>
          <w:right w:w="80" w:type="dxa"/>
        </w:tblCellMar>
      </w:tblPr>
      <w:tblGrid>
        <w:gridCol w:w="2160"/>
        <w:gridCol w:w="2160"/>
        <w:gridCol w:w="2160"/>
      </w:tblGrid>
      <w:tr>
        <w:trPr>
          <w:tblHeader w:val="true"/>
          <w:cantSplit w:val="true"/>
        </w:trPr>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w:t>
            </w:r>
          </w:p>
        </w:tc>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°C</w:t>
            </w:r>
          </w:p>
        </w:tc>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Gasstufe</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275</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135</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325</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165</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350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375</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190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425</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220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450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230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475</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245</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Kleidergrößen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US-Größen weichen von deutschen ab und schwanken zusätzlich je Marke (</w:t>
      </w:r>
      <w:r>
        <w:rPr>
          <w:rFonts w:eastAsia="Cambria" w:cs="Cambria"/>
          <w:b w:val="false"/>
          <w:bCs w:val="false"/>
          <w:i/>
          <w:iCs/>
          <w:sz w:val="22"/>
          <w:szCs w:val="22"/>
        </w:rPr>
        <w:t>Vanity Sizing</w:t>
      </w:r>
      <w:r>
        <w:rPr>
          <w:rFonts w:eastAsia="Cambria" w:cs="Cambria"/>
          <w:b w:val="false"/>
          <w:bCs w:val="false"/>
          <w:i w:val="false"/>
          <w:iCs w:val="false"/>
          <w:sz w:val="22"/>
          <w:szCs w:val="22"/>
        </w:rPr>
        <w:t>). Die folgenden Tabellen sind Näherungswerte; maßgeblich bleibt die Maßtabelle der Marke, bei der du kaufst (ausführlich: Kapitel </w:t>
      </w:r>
      <w:hyperlink w:anchor="k34">
        <w:r>
          <w:rPr>
            <w:rStyle w:val="ListLabel115"/>
            <w:rFonts w:eastAsia="Cambria" w:cs="Cambria"/>
            <w:b w:val="false"/>
            <w:bCs w:val="false"/>
            <w:i w:val="false"/>
            <w:iCs w:val="false"/>
            <w:sz w:val="22"/>
            <w:szCs w:val="22"/>
          </w:rPr>
          <w:t>34</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bCs/>
          <w:i w:val="false"/>
          <w:iCs w:val="false"/>
          <w:sz w:val="22"/>
          <w:szCs w:val="22"/>
        </w:rPr>
        <w:t>Damen</w:t>
      </w:r>
      <w:r>
        <w:rPr>
          <w:rFonts w:eastAsia="Cambria" w:cs="Cambria"/>
          <w:b w:val="false"/>
          <w:bCs w:val="false"/>
          <w:i w:val="false"/>
          <w:iCs w:val="false"/>
          <w:sz w:val="22"/>
          <w:szCs w:val="22"/>
        </w:rPr>
        <w:t xml:space="preserve"> (Faustformel: US-Größe plus 30 ergibt die deutsche Größe; in Frankreich und Italien fallen die Zahlen höher aus)</w:t>
      </w:r>
    </w:p>
    <w:tbl>
      <w:tblPr>
        <w:tblW w:w="6480" w:type="dxa"/>
        <w:jc w:val="left"/>
        <w:tblInd w:w="0" w:type="dxa"/>
        <w:tblLayout w:type="fixed"/>
        <w:tblCellMar>
          <w:top w:w="50" w:type="dxa"/>
          <w:left w:w="80" w:type="dxa"/>
          <w:bottom w:w="50" w:type="dxa"/>
          <w:right w:w="80" w:type="dxa"/>
        </w:tblCellMar>
      </w:tblPr>
      <w:tblGrid>
        <w:gridCol w:w="2160"/>
        <w:gridCol w:w="2160"/>
        <w:gridCol w:w="2160"/>
      </w:tblGrid>
      <w:tr>
        <w:trPr>
          <w:tblHeader w:val="true"/>
          <w:cantSplit w:val="true"/>
        </w:trPr>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w:t>
            </w:r>
          </w:p>
        </w:tc>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Deutschland</w:t>
            </w:r>
          </w:p>
        </w:tc>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Buchstabe (US-Handel)</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0–2</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30–32</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XS</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34</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36</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38</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42</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44</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46</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XL</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Herren</w:t>
      </w:r>
      <w:r>
        <w:rPr>
          <w:rFonts w:eastAsia="Cambria" w:cs="Cambria"/>
          <w:b w:val="false"/>
          <w:bCs w:val="false"/>
          <w:i w:val="false"/>
          <w:iCs w:val="false"/>
          <w:sz w:val="22"/>
          <w:szCs w:val="22"/>
        </w:rPr>
        <w:t xml:space="preserve"> (Anzüge und Jacken nach Brustumfang, Hemden nach Kragenweite, Jeans nach Bundweite/Schrittlänge, jeweils in Zoll)</w:t>
      </w:r>
    </w:p>
    <w:tbl>
      <w:tblPr>
        <w:tblW w:w="6480" w:type="dxa"/>
        <w:jc w:val="left"/>
        <w:tblInd w:w="0" w:type="dxa"/>
        <w:tblLayout w:type="fixed"/>
        <w:tblCellMar>
          <w:top w:w="50" w:type="dxa"/>
          <w:left w:w="80" w:type="dxa"/>
          <w:bottom w:w="50" w:type="dxa"/>
          <w:right w:w="80" w:type="dxa"/>
        </w:tblCellMar>
      </w:tblPr>
      <w:tblGrid>
        <w:gridCol w:w="1318"/>
        <w:gridCol w:w="2533"/>
        <w:gridCol w:w="2629"/>
      </w:tblGrid>
      <w:tr>
        <w:trPr>
          <w:tblHeader w:val="true"/>
          <w:cantSplit w:val="true"/>
        </w:trPr>
        <w:tc>
          <w:tcPr>
            <w:tcW w:w="131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Herren</w:t>
            </w:r>
          </w:p>
        </w:tc>
        <w:tc>
          <w:tcPr>
            <w:tcW w:w="253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Deutschland</w:t>
            </w:r>
          </w:p>
        </w:tc>
        <w:tc>
          <w:tcPr>
            <w:tcW w:w="262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USA</w:t>
            </w:r>
          </w:p>
        </w:tc>
      </w:tr>
      <w:tr>
        <w:trPr>
          <w:cantSplit w:val="true"/>
        </w:trPr>
        <w:tc>
          <w:tcPr>
            <w:tcW w:w="13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Anzug, Sakko</w:t>
            </w:r>
          </w:p>
        </w:tc>
        <w:tc>
          <w:tcPr>
            <w:tcW w:w="25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46 / 48 / 50 / 52 / 54</w:t>
            </w:r>
          </w:p>
        </w:tc>
        <w:tc>
          <w:tcPr>
            <w:tcW w:w="26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36 / 38 / 40 / 42 / 44</w:t>
            </w:r>
          </w:p>
        </w:tc>
      </w:tr>
      <w:tr>
        <w:trPr>
          <w:cantSplit w:val="true"/>
        </w:trPr>
        <w:tc>
          <w:tcPr>
            <w:tcW w:w="13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Hemdkragen</w:t>
            </w:r>
          </w:p>
        </w:tc>
        <w:tc>
          <w:tcPr>
            <w:tcW w:w="25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38 / 40 / 42 / 44 cm</w:t>
            </w:r>
          </w:p>
        </w:tc>
        <w:tc>
          <w:tcPr>
            <w:tcW w:w="26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 / 15¾ / 16½ / 17½ Zoll</w:t>
            </w:r>
          </w:p>
        </w:tc>
      </w:tr>
      <w:tr>
        <w:trPr>
          <w:cantSplit w:val="true"/>
        </w:trPr>
        <w:tc>
          <w:tcPr>
            <w:tcW w:w="13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Hosenbund</w:t>
            </w:r>
          </w:p>
        </w:tc>
        <w:tc>
          <w:tcPr>
            <w:tcW w:w="253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76 / 81 / 86 / 91 cm</w:t>
            </w:r>
          </w:p>
        </w:tc>
        <w:tc>
          <w:tcPr>
            <w:tcW w:w="26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 / 32 / 34 / 36 Zoll</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Kinder</w:t>
      </w:r>
      <w:r>
        <w:rPr>
          <w:rFonts w:eastAsia="Cambria" w:cs="Cambria"/>
          <w:b w:val="false"/>
          <w:bCs w:val="false"/>
          <w:i w:val="false"/>
          <w:iCs w:val="false"/>
          <w:sz w:val="22"/>
          <w:szCs w:val="22"/>
        </w:rPr>
        <w:t xml:space="preserve"> (US-Größe folgt grob dem Lebensjahr; „T“ steht für </w:t>
      </w:r>
      <w:r>
        <w:rPr>
          <w:rFonts w:eastAsia="Cambria" w:cs="Cambria"/>
          <w:b w:val="false"/>
          <w:bCs w:val="false"/>
          <w:i/>
          <w:iCs/>
          <w:sz w:val="22"/>
          <w:szCs w:val="22"/>
        </w:rPr>
        <w:t>Toddler</w:t>
      </w:r>
      <w:r>
        <w:rPr>
          <w:rFonts w:eastAsia="Cambria" w:cs="Cambria"/>
          <w:b w:val="false"/>
          <w:bCs w:val="false"/>
          <w:i w:val="false"/>
          <w:iCs w:val="false"/>
          <w:sz w:val="22"/>
          <w:szCs w:val="22"/>
        </w:rPr>
        <w:t>, Kleinkind)</w:t>
      </w:r>
    </w:p>
    <w:tbl>
      <w:tblPr>
        <w:tblW w:w="6480" w:type="dxa"/>
        <w:jc w:val="left"/>
        <w:tblInd w:w="0" w:type="dxa"/>
        <w:tblLayout w:type="fixed"/>
        <w:tblCellMar>
          <w:top w:w="50" w:type="dxa"/>
          <w:left w:w="80" w:type="dxa"/>
          <w:bottom w:w="50" w:type="dxa"/>
          <w:right w:w="80" w:type="dxa"/>
        </w:tblCellMar>
      </w:tblPr>
      <w:tblGrid>
        <w:gridCol w:w="2160"/>
        <w:gridCol w:w="2160"/>
        <w:gridCol w:w="2160"/>
      </w:tblGrid>
      <w:tr>
        <w:trPr>
          <w:tblHeader w:val="true"/>
          <w:cantSplit w:val="true"/>
        </w:trPr>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Deutschland (cm)</w:t>
            </w:r>
          </w:p>
        </w:tc>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US-Größe</w:t>
            </w:r>
          </w:p>
        </w:tc>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Jahre (ca.)</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92</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2T</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104</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4T</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116</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128</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152</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bCs/>
          <w:i w:val="false"/>
          <w:iCs w:val="false"/>
          <w:sz w:val="22"/>
          <w:szCs w:val="22"/>
        </w:rPr>
        <w:t>Schuhe</w:t>
      </w:r>
      <w:r>
        <w:rPr>
          <w:rFonts w:eastAsia="Cambria" w:cs="Cambria"/>
          <w:b w:val="false"/>
          <w:bCs w:val="false"/>
          <w:i w:val="false"/>
          <w:iCs w:val="false"/>
          <w:sz w:val="22"/>
          <w:szCs w:val="22"/>
        </w:rPr>
        <w:t xml:space="preserve"> (Damen- und Herrengrößen laufen getrennt)</w:t>
      </w:r>
    </w:p>
    <w:tbl>
      <w:tblPr>
        <w:tblW w:w="6480" w:type="dxa"/>
        <w:jc w:val="left"/>
        <w:tblInd w:w="0" w:type="dxa"/>
        <w:tblLayout w:type="fixed"/>
        <w:tblCellMar>
          <w:top w:w="50" w:type="dxa"/>
          <w:left w:w="80" w:type="dxa"/>
          <w:bottom w:w="50" w:type="dxa"/>
          <w:right w:w="80" w:type="dxa"/>
        </w:tblCellMar>
      </w:tblPr>
      <w:tblGrid>
        <w:gridCol w:w="2160"/>
        <w:gridCol w:w="2160"/>
        <w:gridCol w:w="2160"/>
      </w:tblGrid>
      <w:tr>
        <w:trPr>
          <w:tblHeader w:val="true"/>
          <w:cantSplit w:val="true"/>
        </w:trPr>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EU</w:t>
            </w:r>
          </w:p>
        </w:tc>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 Damen</w:t>
            </w:r>
          </w:p>
        </w:tc>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 Herren</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38</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5,5</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39</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6,5</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8,5</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41</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9,5</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42</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8,5</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43</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9,5</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44</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11,5</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45</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12,5</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46</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13,5</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Kinderschuhe haben ein eigenes System: „C“ (</w:t>
      </w:r>
      <w:r>
        <w:rPr>
          <w:rFonts w:eastAsia="Cambria" w:cs="Cambria"/>
          <w:b w:val="false"/>
          <w:bCs w:val="false"/>
          <w:i/>
          <w:iCs/>
          <w:sz w:val="22"/>
          <w:szCs w:val="22"/>
        </w:rPr>
        <w:t>Children</w:t>
      </w:r>
      <w:r>
        <w:rPr>
          <w:rFonts w:eastAsia="Cambria" w:cs="Cambria"/>
          <w:b w:val="false"/>
          <w:bCs w:val="false"/>
          <w:i w:val="false"/>
          <w:iCs w:val="false"/>
          <w:sz w:val="22"/>
          <w:szCs w:val="22"/>
        </w:rPr>
        <w:t>) bis 13,5, danach „Y“ (</w:t>
      </w:r>
      <w:r>
        <w:rPr>
          <w:rFonts w:eastAsia="Cambria" w:cs="Cambria"/>
          <w:b w:val="false"/>
          <w:bCs w:val="false"/>
          <w:i/>
          <w:iCs/>
          <w:sz w:val="22"/>
          <w:szCs w:val="22"/>
        </w:rPr>
        <w:t>Youth</w:t>
      </w:r>
      <w:r>
        <w:rPr>
          <w:rFonts w:eastAsia="Cambria" w:cs="Cambria"/>
          <w:b w:val="false"/>
          <w:bCs w:val="false"/>
          <w:i w:val="false"/>
          <w:iCs w:val="false"/>
          <w:sz w:val="22"/>
          <w:szCs w:val="22"/>
        </w:rPr>
        <w:t>), etwa EU 27 = 10C, EU 31 = 13C, EU 35 = 3Y.</w:t>
      </w:r>
    </w:p>
    <w:p>
      <w:pPr>
        <w:pStyle w:val="Heading3"/>
        <w:keepNext w:val="true"/>
        <w:spacing w:before="280" w:after="100"/>
        <w:jc w:val="center"/>
        <w:rPr/>
      </w:pPr>
      <w:r>
        <w:rPr>
          <w:rFonts w:eastAsia="Amazon Ember" w:cs="Amazon Ember" w:ascii="Amazon Ember" w:hAnsi="Amazon Ember"/>
          <w:b/>
          <w:bCs/>
          <w:color w:val="0000FF"/>
          <w:sz w:val="36"/>
          <w:szCs w:val="36"/>
        </w:rPr>
        <w:t>Bettgrößen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US-Matratzen sind anders genormt als deutsche; Bettwäsche kaufst du deshalb in den USA neu (ausführlich: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1310"/>
        <w:gridCol w:w="1287"/>
        <w:gridCol w:w="1517"/>
        <w:gridCol w:w="2365"/>
      </w:tblGrid>
      <w:tr>
        <w:trPr>
          <w:tblHeader w:val="true"/>
          <w:cantSplit w:val="true"/>
        </w:trPr>
        <w:tc>
          <w:tcPr>
            <w:tcW w:w="131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US-Größe</w:t>
            </w:r>
          </w:p>
        </w:tc>
        <w:tc>
          <w:tcPr>
            <w:tcW w:w="128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Zoll</w:t>
            </w:r>
          </w:p>
        </w:tc>
        <w:tc>
          <w:tcPr>
            <w:tcW w:w="151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Zentimeter</w:t>
            </w:r>
          </w:p>
        </w:tc>
        <w:tc>
          <w:tcPr>
            <w:tcW w:w="236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Deutsche Entsprechung</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Twin</w:t>
            </w:r>
          </w:p>
        </w:tc>
        <w:tc>
          <w:tcPr>
            <w:tcW w:w="12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38 × 75</w:t>
            </w:r>
          </w:p>
        </w:tc>
        <w:tc>
          <w:tcPr>
            <w:tcW w:w="15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96,5 × 190,5</w:t>
            </w:r>
          </w:p>
        </w:tc>
        <w:tc>
          <w:tcPr>
            <w:tcW w:w="23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90 × 200</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Full</w:t>
            </w:r>
          </w:p>
        </w:tc>
        <w:tc>
          <w:tcPr>
            <w:tcW w:w="12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54 × 75</w:t>
            </w:r>
          </w:p>
        </w:tc>
        <w:tc>
          <w:tcPr>
            <w:tcW w:w="15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137 × 190,5</w:t>
            </w:r>
          </w:p>
        </w:tc>
        <w:tc>
          <w:tcPr>
            <w:tcW w:w="23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140 × 200</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Queen</w:t>
            </w:r>
          </w:p>
        </w:tc>
        <w:tc>
          <w:tcPr>
            <w:tcW w:w="12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60 × 80</w:t>
            </w:r>
          </w:p>
        </w:tc>
        <w:tc>
          <w:tcPr>
            <w:tcW w:w="15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152 × 203</w:t>
            </w:r>
          </w:p>
        </w:tc>
        <w:tc>
          <w:tcPr>
            <w:tcW w:w="23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160 × 200</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King</w:t>
            </w:r>
          </w:p>
        </w:tc>
        <w:tc>
          <w:tcPr>
            <w:tcW w:w="12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76 × 80</w:t>
            </w:r>
          </w:p>
        </w:tc>
        <w:tc>
          <w:tcPr>
            <w:tcW w:w="15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193 × 203</w:t>
            </w:r>
          </w:p>
        </w:tc>
        <w:tc>
          <w:tcPr>
            <w:tcW w:w="23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180 × 200 oder 200 × 200</w:t>
            </w:r>
          </w:p>
        </w:tc>
      </w:tr>
      <w:tr>
        <w:trPr>
          <w:cantSplit w:val="true"/>
        </w:trPr>
        <w:tc>
          <w:tcPr>
            <w:tcW w:w="1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California King</w:t>
            </w:r>
          </w:p>
        </w:tc>
        <w:tc>
          <w:tcPr>
            <w:tcW w:w="12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72 × 84</w:t>
            </w:r>
          </w:p>
        </w:tc>
        <w:tc>
          <w:tcPr>
            <w:tcW w:w="15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183 × 213</w:t>
            </w:r>
          </w:p>
        </w:tc>
        <w:tc>
          <w:tcPr>
            <w:tcW w:w="23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180 × 200</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Papierformat</w:t>
      </w:r>
    </w:p>
    <w:tbl>
      <w:tblPr>
        <w:tblW w:w="6480" w:type="dxa"/>
        <w:jc w:val="left"/>
        <w:tblInd w:w="0" w:type="dxa"/>
        <w:tblLayout w:type="fixed"/>
        <w:tblCellMar>
          <w:top w:w="50" w:type="dxa"/>
          <w:left w:w="80" w:type="dxa"/>
          <w:bottom w:w="50" w:type="dxa"/>
          <w:right w:w="80" w:type="dxa"/>
        </w:tblCellMar>
      </w:tblPr>
      <w:tblGrid>
        <w:gridCol w:w="1102"/>
        <w:gridCol w:w="1125"/>
        <w:gridCol w:w="1325"/>
        <w:gridCol w:w="2927"/>
      </w:tblGrid>
      <w:tr>
        <w:trPr>
          <w:tblHeader w:val="true"/>
          <w:cantSplit w:val="true"/>
        </w:trPr>
        <w:tc>
          <w:tcPr>
            <w:tcW w:w="110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Format</w:t>
            </w:r>
          </w:p>
        </w:tc>
        <w:tc>
          <w:tcPr>
            <w:tcW w:w="112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Zoll</w:t>
            </w:r>
          </w:p>
        </w:tc>
        <w:tc>
          <w:tcPr>
            <w:tcW w:w="132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Zentimeter</w:t>
            </w:r>
          </w:p>
        </w:tc>
        <w:tc>
          <w:tcPr>
            <w:tcW w:w="292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Verbreitung</w:t>
            </w:r>
          </w:p>
        </w:tc>
      </w:tr>
      <w:tr>
        <w:trPr>
          <w:cantSplit w:val="true"/>
        </w:trPr>
        <w:tc>
          <w:tcPr>
            <w:tcW w:w="11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Letter</w:t>
            </w:r>
          </w:p>
        </w:tc>
        <w:tc>
          <w:tcPr>
            <w:tcW w:w="112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8,5 × 11</w:t>
            </w:r>
          </w:p>
        </w:tc>
        <w:tc>
          <w:tcPr>
            <w:tcW w:w="132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21,6 × 27,9</w:t>
            </w:r>
          </w:p>
        </w:tc>
        <w:tc>
          <w:tcPr>
            <w:tcW w:w="29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USA (Standard)</w:t>
            </w:r>
          </w:p>
        </w:tc>
      </w:tr>
      <w:tr>
        <w:trPr>
          <w:cantSplit w:val="true"/>
        </w:trPr>
        <w:tc>
          <w:tcPr>
            <w:tcW w:w="11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Legal</w:t>
            </w:r>
          </w:p>
        </w:tc>
        <w:tc>
          <w:tcPr>
            <w:tcW w:w="112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8,5 × 14</w:t>
            </w:r>
          </w:p>
        </w:tc>
        <w:tc>
          <w:tcPr>
            <w:tcW w:w="132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21,6 × 35,6</w:t>
            </w:r>
          </w:p>
        </w:tc>
        <w:tc>
          <w:tcPr>
            <w:tcW w:w="29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USA (Verträge, Gerichtsdokumente)</w:t>
            </w:r>
          </w:p>
        </w:tc>
      </w:tr>
      <w:tr>
        <w:trPr>
          <w:cantSplit w:val="true"/>
        </w:trPr>
        <w:tc>
          <w:tcPr>
            <w:tcW w:w="11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A4</w:t>
            </w:r>
          </w:p>
        </w:tc>
        <w:tc>
          <w:tcPr>
            <w:tcW w:w="112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8,27 × 11,69</w:t>
            </w:r>
          </w:p>
        </w:tc>
        <w:tc>
          <w:tcPr>
            <w:tcW w:w="132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21,0 × 29,7</w:t>
            </w:r>
          </w:p>
        </w:tc>
        <w:tc>
          <w:tcPr>
            <w:tcW w:w="29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Deutschland (Standard)</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Ordner und Locher folgen in den USA einer anderen Lochung als in Deutschland; beides kaufst du vor Ort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Datumsformat und Wochenstart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In den USA steht der Monat vor dem Tag, in Deutschland der Tag vor dem Monat. Dieselbe Zahlenfolge kann deshalb zwei verschiedene Daten bedeuten.</w:t>
      </w:r>
    </w:p>
    <w:tbl>
      <w:tblPr>
        <w:tblW w:w="6480" w:type="dxa"/>
        <w:jc w:val="left"/>
        <w:tblInd w:w="0" w:type="dxa"/>
        <w:tblLayout w:type="fixed"/>
        <w:tblCellMar>
          <w:top w:w="50" w:type="dxa"/>
          <w:left w:w="80" w:type="dxa"/>
          <w:bottom w:w="50" w:type="dxa"/>
          <w:right w:w="80" w:type="dxa"/>
        </w:tblCellMar>
      </w:tblPr>
      <w:tblGrid>
        <w:gridCol w:w="2798"/>
        <w:gridCol w:w="1380"/>
        <w:gridCol w:w="2302"/>
      </w:tblGrid>
      <w:tr>
        <w:trPr>
          <w:tblHeader w:val="true"/>
          <w:cantSplit w:val="true"/>
        </w:trPr>
        <w:tc>
          <w:tcPr>
            <w:tcW w:w="279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Schreibweise</w:t>
            </w:r>
          </w:p>
        </w:tc>
        <w:tc>
          <w:tcPr>
            <w:tcW w:w="138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Beispiel</w:t>
            </w:r>
          </w:p>
        </w:tc>
        <w:tc>
          <w:tcPr>
            <w:tcW w:w="230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Bedeutung</w:t>
            </w:r>
          </w:p>
        </w:tc>
      </w:tr>
      <w:tr>
        <w:trPr>
          <w:cantSplit w:val="true"/>
        </w:trPr>
        <w:tc>
          <w:tcPr>
            <w:tcW w:w="27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MM/DD/YYYY (USA)</w:t>
            </w:r>
          </w:p>
        </w:tc>
        <w:tc>
          <w:tcPr>
            <w:tcW w:w="1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09/23/2026</w:t>
            </w:r>
          </w:p>
        </w:tc>
        <w:tc>
          <w:tcPr>
            <w:tcW w:w="23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23. September 2026</w:t>
            </w:r>
          </w:p>
        </w:tc>
      </w:tr>
      <w:tr>
        <w:trPr>
          <w:cantSplit w:val="true"/>
        </w:trPr>
        <w:tc>
          <w:tcPr>
            <w:tcW w:w="27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TT.MM.JJJJ (Deutschland)</w:t>
            </w:r>
          </w:p>
        </w:tc>
        <w:tc>
          <w:tcPr>
            <w:tcW w:w="138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23.09.2026</w:t>
            </w:r>
          </w:p>
        </w:tc>
        <w:tc>
          <w:tcPr>
            <w:tcW w:w="230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23. September 2026</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Formularen und Terminen hilft es, den Monat auszuschreiben (4. März statt 03/04) oder das eindeutige Format JJJJ-MM-TT zu nutzen. Kalender und Apps zeigen in den USA meist den Sonntag als ersten Wochentag, in Deutschland nach internationaler Norm den Montag; Arbeitswoche und Wochenende ändert das nicht.</w:t>
      </w:r>
    </w:p>
    <w:p>
      <w:pPr>
        <w:pStyle w:val="Heading3"/>
        <w:keepNext w:val="true"/>
        <w:spacing w:before="280" w:after="100"/>
        <w:jc w:val="center"/>
        <w:rPr/>
      </w:pPr>
      <w:r>
        <w:rPr>
          <w:rFonts w:eastAsia="Amazon Ember" w:cs="Amazon Ember" w:ascii="Amazon Ember" w:hAnsi="Amazon Ember"/>
          <w:b/>
          <w:bCs/>
          <w:color w:val="0000FF"/>
          <w:sz w:val="36"/>
          <w:szCs w:val="36"/>
        </w:rPr>
        <w:t>Strom</w:t>
      </w:r>
    </w:p>
    <w:tbl>
      <w:tblPr>
        <w:tblW w:w="6480" w:type="dxa"/>
        <w:jc w:val="left"/>
        <w:tblInd w:w="0" w:type="dxa"/>
        <w:tblLayout w:type="fixed"/>
        <w:tblCellMar>
          <w:top w:w="50" w:type="dxa"/>
          <w:left w:w="80" w:type="dxa"/>
          <w:bottom w:w="50" w:type="dxa"/>
          <w:right w:w="80" w:type="dxa"/>
        </w:tblCellMar>
      </w:tblPr>
      <w:tblGrid>
        <w:gridCol w:w="1003"/>
        <w:gridCol w:w="3903"/>
        <w:gridCol w:w="1574"/>
      </w:tblGrid>
      <w:tr>
        <w:trPr>
          <w:tblHeader w:val="true"/>
          <w:cantSplit w:val="true"/>
        </w:trPr>
        <w:tc>
          <w:tcPr>
            <w:tcW w:w="100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Merkmal</w:t>
            </w:r>
          </w:p>
        </w:tc>
        <w:tc>
          <w:tcPr>
            <w:tcW w:w="390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USA</w:t>
            </w:r>
          </w:p>
        </w:tc>
        <w:tc>
          <w:tcPr>
            <w:tcW w:w="157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Deutschland</w:t>
            </w:r>
          </w:p>
        </w:tc>
      </w:tr>
      <w:tr>
        <w:trPr>
          <w:cantSplit w:val="true"/>
        </w:trPr>
        <w:tc>
          <w:tcPr>
            <w:tcW w:w="10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Spannung</w:t>
            </w:r>
          </w:p>
        </w:tc>
        <w:tc>
          <w:tcPr>
            <w:tcW w:w="39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120 V (nominal, schwankt zwischen ca. 100 und 127 V)</w:t>
            </w:r>
          </w:p>
        </w:tc>
        <w:tc>
          <w:tcPr>
            <w:tcW w:w="15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230 V</w:t>
            </w:r>
          </w:p>
        </w:tc>
      </w:tr>
      <w:tr>
        <w:trPr>
          <w:cantSplit w:val="true"/>
        </w:trPr>
        <w:tc>
          <w:tcPr>
            <w:tcW w:w="10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Frequenz</w:t>
            </w:r>
          </w:p>
        </w:tc>
        <w:tc>
          <w:tcPr>
            <w:tcW w:w="39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60 Hz</w:t>
            </w:r>
          </w:p>
        </w:tc>
        <w:tc>
          <w:tcPr>
            <w:tcW w:w="15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50 Hz</w:t>
            </w:r>
          </w:p>
        </w:tc>
      </w:tr>
      <w:tr>
        <w:trPr>
          <w:cantSplit w:val="true"/>
        </w:trPr>
        <w:tc>
          <w:tcPr>
            <w:tcW w:w="10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Steckertyp</w:t>
            </w:r>
          </w:p>
        </w:tc>
        <w:tc>
          <w:tcPr>
            <w:tcW w:w="39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Typ A (zwei Flachstifte) / Typ B (mit Erdungsstift)</w:t>
            </w:r>
          </w:p>
        </w:tc>
        <w:tc>
          <w:tcPr>
            <w:tcW w:w="15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Typ C / Typ F (Schuko)</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Großverbraucher wie Herd, Trockner und Klimaanlage gibt es im US-Haushalt zusätzlich eine 240-V-Leitung; normale Steckdosen bleiben bei 120 V. Ein Adapter ändert nur die Steckerform, nicht die Spannung (ausführlich, inklusive Regeln für mitgebrachte Geräte: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w:t>
      </w:r>
    </w:p>
    <w:p>
      <w:pPr>
        <w:pStyle w:val="Heading3"/>
        <w:keepNext w:val="true"/>
        <w:spacing w:before="280" w:after="100"/>
        <w:jc w:val="center"/>
        <w:rPr/>
      </w:pPr>
      <w:r>
        <w:rPr>
          <w:rFonts w:eastAsia="Amazon Ember" w:cs="Amazon Ember" w:ascii="Amazon Ember" w:hAnsi="Amazon Ember"/>
          <w:b/>
          <w:bCs/>
          <w:color w:val="0000FF"/>
          <w:sz w:val="36"/>
          <w:szCs w:val="36"/>
        </w:rPr>
        <w:t>Kanada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Kanada misst wie Deutschland metrisch: Grad Celsius, Kilometer, Kilogramm, Milliliter und Liter gelten im Alltag, in Wetterberichten und auf Supermarkt-Etiketten. Bei Temperatur, Entfernung, Gewicht und Küchenmaßen brauchst du deshalb – anders als in den USA – keine eigene Umrechnungstabelle; die deutschen Gewohnheiten übertragen sich fast eins zu eins.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Trotzdem tauchen imperiale Einheiten gelegentlich noch auf: in Kochrezepten (</w:t>
      </w:r>
      <w:r>
        <w:rPr>
          <w:rFonts w:eastAsia="Cambria" w:cs="Cambria"/>
          <w:b w:val="false"/>
          <w:bCs w:val="false"/>
          <w:i/>
          <w:iCs/>
          <w:sz w:val="22"/>
          <w:szCs w:val="22"/>
        </w:rPr>
        <w:t>cups</w:t>
      </w:r>
      <w:r>
        <w:rPr>
          <w:rFonts w:eastAsia="Cambria" w:cs="Cambria"/>
          <w:b w:val="false"/>
          <w:bCs w:val="false"/>
          <w:i w:val="false"/>
          <w:iCs w:val="false"/>
          <w:sz w:val="22"/>
          <w:szCs w:val="22"/>
        </w:rPr>
        <w:t>, °F), in manchen umgangssprachlichen Wetterangaben und vor allem bei Körpergröße und Gewicht im lockeren Gespräch („5 foot 10“, „180 pounds“) – häufiger bei älteren Generationen und in Grenznähe zu den USA, wo US-Fernsehen und US-Handel den Sprachgebrauch prägen. Behörden, Wetterdienst und Handel bleiben in offiziellen Angaben durchgehend metrisch.</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Kleidergrößen folgen im kanadischen Handel meist dem US-System (siehe Tabellen im Abschnitt USA oben); die meisten dort verkauften Marken sind ohnehin US-amerikanisch oder international.</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Beim Strom gilt trotz metrischem Alltag der nordamerikanische Standard – wie in den USA, nicht wie in Deutschland:</w:t>
      </w:r>
    </w:p>
    <w:tbl>
      <w:tblPr>
        <w:tblW w:w="6480" w:type="dxa"/>
        <w:jc w:val="left"/>
        <w:tblInd w:w="0" w:type="dxa"/>
        <w:tblLayout w:type="fixed"/>
        <w:tblCellMar>
          <w:top w:w="50" w:type="dxa"/>
          <w:left w:w="80" w:type="dxa"/>
          <w:bottom w:w="50" w:type="dxa"/>
          <w:right w:w="80" w:type="dxa"/>
        </w:tblCellMar>
      </w:tblPr>
      <w:tblGrid>
        <w:gridCol w:w="1874"/>
        <w:gridCol w:w="4605"/>
      </w:tblGrid>
      <w:tr>
        <w:trPr>
          <w:tblHeader w:val="true"/>
          <w:cantSplit w:val="true"/>
        </w:trPr>
        <w:tc>
          <w:tcPr>
            <w:tcW w:w="187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Merkmal</w:t>
            </w:r>
          </w:p>
        </w:tc>
        <w:tc>
          <w:tcPr>
            <w:tcW w:w="460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Kanada</w:t>
            </w:r>
          </w:p>
        </w:tc>
      </w:tr>
      <w:tr>
        <w:trPr>
          <w:cantSplit w:val="true"/>
        </w:trPr>
        <w:tc>
          <w:tcPr>
            <w:tcW w:w="18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Spannung</w:t>
            </w:r>
          </w:p>
        </w:tc>
        <w:tc>
          <w:tcPr>
            <w:tcW w:w="46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120 V (nominal)</w:t>
            </w:r>
          </w:p>
        </w:tc>
      </w:tr>
      <w:tr>
        <w:trPr>
          <w:cantSplit w:val="true"/>
        </w:trPr>
        <w:tc>
          <w:tcPr>
            <w:tcW w:w="18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Frequenz</w:t>
            </w:r>
          </w:p>
        </w:tc>
        <w:tc>
          <w:tcPr>
            <w:tcW w:w="46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60 Hz</w:t>
            </w:r>
          </w:p>
        </w:tc>
      </w:tr>
      <w:tr>
        <w:trPr>
          <w:cantSplit w:val="true"/>
        </w:trPr>
        <w:tc>
          <w:tcPr>
            <w:tcW w:w="18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Steckertyp</w:t>
            </w:r>
          </w:p>
        </w:tc>
        <w:tc>
          <w:tcPr>
            <w:tcW w:w="460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Typ A / Typ B (identisch mit den USA)</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Meter und Kilogramm gelten in Kanada wie zu Hause – die Steckdose tut es nicht. Wer nur an die Maßeinheiten denkt und keinen Adapter für nordamerikanische Stecker einpackt, steht mit dem deutschen Ladegerät vor einer Typ-A-Dose (mehr dazu in Kapitel </w:t>
            </w:r>
            <w:hyperlink w:anchor="k21">
              <w:r>
                <w:rPr>
                  <w:rStyle w:val="ListLabel114"/>
                  <w:rFonts w:eastAsia="Cambria" w:cs="Cambria"/>
                  <w:b w:val="false"/>
                  <w:bCs w:val="false"/>
                  <w:i w:val="false"/>
                  <w:iCs w:val="false"/>
                  <w:sz w:val="20"/>
                  <w:szCs w:val="20"/>
                </w:rPr>
                <w:t>21</w:t>
              </w:r>
            </w:hyperlink>
            <w:r>
              <w:rPr>
                <w:rFonts w:eastAsia="Cambria" w:cs="Cambria"/>
                <w:b w:val="false"/>
                <w:bCs w:val="false"/>
                <w:i w:val="false"/>
                <w:iCs w:val="false"/>
                <w:sz w:val="20"/>
                <w:szCs w:val="20"/>
              </w:rPr>
              <w:t>).</w:t>
            </w:r>
          </w:p>
        </w:tc>
      </w:tr>
    </w:tbl>
    <w:p>
      <w:pPr>
        <w:pStyle w:val="Normal"/>
        <w:spacing w:lineRule="exact" w:line="22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Beim Datum ist Kanada uneinheitlich: Im Alltag sind sowohl MM/DD/YYYY (US-Einfluss) als auch DD/MM/YYYY (britisch-französisch geprägt, vor allem in Québec) gebräuchlich. Behörden und offizielle Formulare nutzen meist das eindeutige Format JJJJ-MM-TT.</w:t>
      </w:r>
    </w:p>
    <w:p>
      <w:pPr>
        <w:pStyle w:val="Heading3"/>
        <w:keepNext w:val="true"/>
        <w:spacing w:before="280" w:after="100"/>
        <w:jc w:val="center"/>
        <w:rPr/>
      </w:pPr>
      <w:r>
        <w:rPr>
          <w:rFonts w:eastAsia="Amazon Ember" w:cs="Amazon Ember" w:ascii="Amazon Ember" w:hAnsi="Amazon Ember"/>
          <w:b/>
          <w:bCs/>
          <w:color w:val="0000FF"/>
          <w:sz w:val="36"/>
          <w:szCs w:val="36"/>
        </w:rPr>
        <w:t>Australien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Australien misst durchgehend metrisch wie Deutschland: Grad Celsius, Kilometer, Kilogramm, Milliliter und Liter gelten ausnahmslos. Für Temperatur, Länge und Gewicht brauchst du in Australien keine einzige Tabelle – eine echte Erleichterung gegenüber den USA: Was 22 °C, 5 km oder 2 kg bedeuten, weißt du bereits.</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Was wirklich abweicht, ist der Stecker: Australien nutzt Typ I (zwei schräg gestellte Flachstifte, oft mit geradem Erdungsstift) – bei Spannung und Frequenz wie in Deutschland.</w:t>
      </w:r>
    </w:p>
    <w:tbl>
      <w:tblPr>
        <w:tblW w:w="6480" w:type="dxa"/>
        <w:jc w:val="left"/>
        <w:tblInd w:w="0" w:type="dxa"/>
        <w:tblLayout w:type="fixed"/>
        <w:tblCellMar>
          <w:top w:w="50" w:type="dxa"/>
          <w:left w:w="80" w:type="dxa"/>
          <w:bottom w:w="50" w:type="dxa"/>
          <w:right w:w="80" w:type="dxa"/>
        </w:tblCellMar>
      </w:tblPr>
      <w:tblGrid>
        <w:gridCol w:w="1815"/>
        <w:gridCol w:w="1815"/>
        <w:gridCol w:w="2850"/>
      </w:tblGrid>
      <w:tr>
        <w:trPr>
          <w:tblHeader w:val="true"/>
          <w:cantSplit w:val="true"/>
        </w:trPr>
        <w:tc>
          <w:tcPr>
            <w:tcW w:w="181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Merkmal</w:t>
            </w:r>
          </w:p>
        </w:tc>
        <w:tc>
          <w:tcPr>
            <w:tcW w:w="181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Australien</w:t>
            </w:r>
          </w:p>
        </w:tc>
        <w:tc>
          <w:tcPr>
            <w:tcW w:w="28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Deutschland</w:t>
            </w:r>
          </w:p>
        </w:tc>
      </w:tr>
      <w:tr>
        <w:trPr>
          <w:cantSplit w:val="true"/>
        </w:trPr>
        <w:tc>
          <w:tcPr>
            <w:tcW w:w="18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Spannung</w:t>
            </w:r>
          </w:p>
        </w:tc>
        <w:tc>
          <w:tcPr>
            <w:tcW w:w="18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230 V</w:t>
            </w:r>
          </w:p>
        </w:tc>
        <w:tc>
          <w:tcPr>
            <w:tcW w:w="28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230 V</w:t>
            </w:r>
          </w:p>
        </w:tc>
      </w:tr>
      <w:tr>
        <w:trPr>
          <w:cantSplit w:val="true"/>
        </w:trPr>
        <w:tc>
          <w:tcPr>
            <w:tcW w:w="18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Frequenz</w:t>
            </w:r>
          </w:p>
        </w:tc>
        <w:tc>
          <w:tcPr>
            <w:tcW w:w="18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50 Hz</w:t>
            </w:r>
          </w:p>
        </w:tc>
        <w:tc>
          <w:tcPr>
            <w:tcW w:w="28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50 Hz</w:t>
            </w:r>
          </w:p>
        </w:tc>
      </w:tr>
      <w:tr>
        <w:trPr>
          <w:cantSplit w:val="true"/>
        </w:trPr>
        <w:tc>
          <w:tcPr>
            <w:tcW w:w="18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Steckertyp</w:t>
            </w:r>
          </w:p>
        </w:tc>
        <w:tc>
          <w:tcPr>
            <w:tcW w:w="181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Typ I</w:t>
            </w:r>
          </w:p>
        </w:tc>
        <w:tc>
          <w:tcPr>
            <w:tcW w:w="28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Typ C / Typ F (Schuko)</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deutsches Gerät läuft an australischem Strom also ohne Spannungswandler; ein einfacher Steckeradapter genügt (ausführlich: Kapitel </w:t>
      </w:r>
      <w:hyperlink w:anchor="k21">
        <w:r>
          <w:rPr>
            <w:rStyle w:val="ListLabel115"/>
            <w:rFonts w:eastAsia="Cambria" w:cs="Cambria"/>
            <w:b w:val="false"/>
            <w:bCs w:val="false"/>
            <w:i w:val="false"/>
            <w:iCs w:val="false"/>
            <w:sz w:val="22"/>
            <w:szCs w:val="22"/>
          </w:rPr>
          <w:t>21</w:t>
        </w:r>
      </w:hyperlink>
      <w:r>
        <w:rPr>
          <w:rFonts w:eastAsia="Cambria" w:cs="Cambria"/>
          <w:b w:val="false"/>
          <w:bCs w:val="false"/>
          <w:i w:val="false"/>
          <w:iCs w:val="false"/>
          <w:sz w:val="22"/>
          <w:szCs w:val="22"/>
        </w:rPr>
        <w: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Kleidung und Schuhen hat Australien dagegen ein eigenes System, das weder der deutschen noch der US-Größe entspricht, sondern der britischen ähnelt.</w:t>
      </w:r>
    </w:p>
    <w:p>
      <w:pPr>
        <w:pStyle w:val="Normal"/>
        <w:keepNext w:val="false"/>
        <w:keepLines w:val="false"/>
        <w:spacing w:lineRule="exact" w:line="288" w:before="0" w:after="140"/>
        <w:jc w:val="left"/>
        <w:rPr/>
      </w:pPr>
      <w:r>
        <w:rPr>
          <w:rFonts w:eastAsia="Cambria" w:cs="Cambria"/>
          <w:b/>
          <w:bCs/>
          <w:i w:val="false"/>
          <w:iCs w:val="false"/>
          <w:sz w:val="22"/>
          <w:szCs w:val="22"/>
        </w:rPr>
        <w:t>Damen</w:t>
      </w:r>
      <w:r>
        <w:rPr>
          <w:rFonts w:eastAsia="Cambria" w:cs="Cambria"/>
          <w:b w:val="false"/>
          <w:bCs w:val="false"/>
          <w:i w:val="false"/>
          <w:iCs w:val="false"/>
          <w:sz w:val="22"/>
          <w:szCs w:val="22"/>
        </w:rPr>
        <w:t xml:space="preserve"> (Kleidung; AU entspricht der britischen Größe)</w:t>
      </w:r>
    </w:p>
    <w:tbl>
      <w:tblPr>
        <w:tblW w:w="6480" w:type="dxa"/>
        <w:jc w:val="left"/>
        <w:tblInd w:w="0" w:type="dxa"/>
        <w:tblLayout w:type="fixed"/>
        <w:tblCellMar>
          <w:top w:w="50" w:type="dxa"/>
          <w:left w:w="80" w:type="dxa"/>
          <w:bottom w:w="50" w:type="dxa"/>
          <w:right w:w="80" w:type="dxa"/>
        </w:tblCellMar>
      </w:tblPr>
      <w:tblGrid>
        <w:gridCol w:w="2160"/>
        <w:gridCol w:w="2160"/>
        <w:gridCol w:w="2160"/>
      </w:tblGrid>
      <w:tr>
        <w:trPr>
          <w:tblHeader w:val="true"/>
          <w:cantSplit w:val="true"/>
        </w:trPr>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AU/UK</w:t>
            </w:r>
          </w:p>
        </w:tc>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Deutschland (EU)</w:t>
            </w:r>
          </w:p>
        </w:tc>
        <w:tc>
          <w:tcPr>
            <w:tcW w:w="21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USA</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36</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38</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42</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w:t>
            </w:r>
          </w:p>
        </w:tc>
      </w:tr>
      <w:tr>
        <w:trPr>
          <w:cantSplit w:val="true"/>
        </w:trPr>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44</w:t>
            </w:r>
          </w:p>
        </w:tc>
        <w:tc>
          <w:tcPr>
            <w:tcW w:w="21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Herrenanzügen und -hemden gelten in Australien dieselben Zoll-Nummern wie in den USA (siehe Tabelle im Abschnitt USA); die deutsche Entsprechung ist identisch.</w:t>
      </w:r>
    </w:p>
    <w:p>
      <w:pPr>
        <w:pStyle w:val="Normal"/>
        <w:keepNext w:val="false"/>
        <w:keepLines w:val="false"/>
        <w:spacing w:lineRule="exact" w:line="288" w:before="0" w:after="140"/>
        <w:jc w:val="left"/>
        <w:rPr/>
      </w:pPr>
      <w:r>
        <w:rPr>
          <w:rFonts w:eastAsia="Cambria" w:cs="Cambria"/>
          <w:b/>
          <w:bCs/>
          <w:i w:val="false"/>
          <w:iCs w:val="false"/>
          <w:sz w:val="22"/>
          <w:szCs w:val="22"/>
        </w:rPr>
        <w:t>Schuhe</w:t>
      </w:r>
      <w:r>
        <w:rPr>
          <w:rFonts w:eastAsia="Cambria" w:cs="Cambria"/>
          <w:b w:val="false"/>
          <w:bCs w:val="false"/>
          <w:i w:val="false"/>
          <w:iCs w:val="false"/>
          <w:sz w:val="22"/>
          <w:szCs w:val="22"/>
        </w:rPr>
        <w:t xml:space="preserve"> (Damen- und Herrengrößen laufen unterschiedlich zur EU-Skala versetzt)</w:t>
      </w:r>
    </w:p>
    <w:tbl>
      <w:tblPr>
        <w:tblW w:w="6480" w:type="dxa"/>
        <w:jc w:val="left"/>
        <w:tblInd w:w="0" w:type="dxa"/>
        <w:tblLayout w:type="fixed"/>
        <w:tblCellMar>
          <w:top w:w="50" w:type="dxa"/>
          <w:left w:w="80" w:type="dxa"/>
          <w:bottom w:w="50" w:type="dxa"/>
          <w:right w:w="80" w:type="dxa"/>
        </w:tblCellMar>
      </w:tblPr>
      <w:tblGrid>
        <w:gridCol w:w="1620"/>
        <w:gridCol w:w="1620"/>
        <w:gridCol w:w="1620"/>
        <w:gridCol w:w="1619"/>
      </w:tblGrid>
      <w:tr>
        <w:trPr>
          <w:tblHeader w:val="true"/>
          <w:cantSplit w:val="true"/>
        </w:trPr>
        <w:tc>
          <w:tcPr>
            <w:tcW w:w="162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EU</w:t>
            </w:r>
          </w:p>
        </w:tc>
        <w:tc>
          <w:tcPr>
            <w:tcW w:w="162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Damen (AU = US)</w:t>
            </w:r>
          </w:p>
        </w:tc>
        <w:tc>
          <w:tcPr>
            <w:tcW w:w="162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Herren AU/UK</w:t>
            </w:r>
          </w:p>
        </w:tc>
        <w:tc>
          <w:tcPr>
            <w:tcW w:w="161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Herren US</w:t>
            </w:r>
          </w:p>
        </w:tc>
      </w:tr>
      <w:tr>
        <w:trPr>
          <w:cantSplit w:val="true"/>
        </w:trPr>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37</w:t>
            </w:r>
          </w:p>
        </w:tc>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w:t>
            </w:r>
          </w:p>
        </w:tc>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w:t>
            </w:r>
          </w:p>
        </w:tc>
        <w:tc>
          <w:tcPr>
            <w:tcW w:w="1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w:t>
            </w:r>
          </w:p>
        </w:tc>
      </w:tr>
      <w:tr>
        <w:trPr>
          <w:cantSplit w:val="true"/>
        </w:trPr>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38</w:t>
            </w:r>
          </w:p>
        </w:tc>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w:t>
            </w:r>
          </w:p>
        </w:tc>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w:t>
            </w:r>
          </w:p>
        </w:tc>
        <w:tc>
          <w:tcPr>
            <w:tcW w:w="1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w:t>
            </w:r>
          </w:p>
        </w:tc>
      </w:tr>
      <w:tr>
        <w:trPr>
          <w:cantSplit w:val="true"/>
        </w:trPr>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39</w:t>
            </w:r>
          </w:p>
        </w:tc>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w:t>
            </w:r>
          </w:p>
        </w:tc>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w:t>
            </w:r>
          </w:p>
        </w:tc>
        <w:tc>
          <w:tcPr>
            <w:tcW w:w="1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w:t>
            </w:r>
          </w:p>
        </w:tc>
      </w:tr>
      <w:tr>
        <w:trPr>
          <w:cantSplit w:val="true"/>
        </w:trPr>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w:t>
            </w:r>
          </w:p>
        </w:tc>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w:t>
            </w:r>
          </w:p>
        </w:tc>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7</w:t>
            </w:r>
          </w:p>
        </w:tc>
        <w:tc>
          <w:tcPr>
            <w:tcW w:w="1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w:t>
            </w:r>
          </w:p>
        </w:tc>
      </w:tr>
      <w:tr>
        <w:trPr>
          <w:cantSplit w:val="true"/>
        </w:trPr>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41</w:t>
            </w:r>
          </w:p>
        </w:tc>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w:t>
            </w:r>
          </w:p>
        </w:tc>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w:t>
            </w:r>
          </w:p>
        </w:tc>
        <w:tc>
          <w:tcPr>
            <w:tcW w:w="1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w:t>
            </w:r>
          </w:p>
        </w:tc>
      </w:tr>
      <w:tr>
        <w:trPr>
          <w:cantSplit w:val="true"/>
        </w:trPr>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42</w:t>
            </w:r>
          </w:p>
        </w:tc>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w:t>
            </w:r>
          </w:p>
        </w:tc>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w:t>
            </w:r>
          </w:p>
        </w:tc>
        <w:tc>
          <w:tcPr>
            <w:tcW w:w="1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w:t>
            </w:r>
          </w:p>
        </w:tc>
      </w:tr>
      <w:tr>
        <w:trPr>
          <w:cantSplit w:val="true"/>
        </w:trPr>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43</w:t>
            </w:r>
          </w:p>
        </w:tc>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w:t>
            </w:r>
          </w:p>
        </w:tc>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w:t>
            </w:r>
          </w:p>
        </w:tc>
        <w:tc>
          <w:tcPr>
            <w:tcW w:w="1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w:t>
            </w:r>
          </w:p>
        </w:tc>
      </w:tr>
      <w:tr>
        <w:trPr>
          <w:cantSplit w:val="true"/>
        </w:trPr>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44</w:t>
            </w:r>
          </w:p>
        </w:tc>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13</w:t>
            </w:r>
          </w:p>
        </w:tc>
        <w:tc>
          <w:tcPr>
            <w:tcW w:w="1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11</w:t>
            </w:r>
          </w:p>
        </w:tc>
        <w:tc>
          <w:tcPr>
            <w:tcW w:w="16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w:t>
            </w:r>
          </w:p>
        </w:tc>
      </w:tr>
    </w:tbl>
    <w:p>
      <w:pPr>
        <w:pStyle w:val="Normal"/>
        <w:spacing w:lineRule="exact" w:line="180" w:before="0" w:after="0"/>
        <w:rPr/>
      </w:pPr>
      <w:r>
        <w:rPr/>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Damenschuhen entspricht die australische Größe der US-Größe, bei Herrenschuhen der britischen – die US-Größe liegt dort eine Nummer höher. Wie überall gilt: Näherungswerte, im Zweifel nach Fußlänge in Zentimetern kaufen.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Papierformat und Datum folgen ebenfalls dem deutschen Muster: Australien nutzt A4 als Standardformat (kein Letter oder Legal), und das Datum wird TT/MM/JJJJ geschrieben – wie in Deutschland, nur mit Schrägstrich statt Punkt (23/09/2026 statt 23.09.2026).</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8A6212"/>
            </w:tcBorders>
            <w:shd w:color="auto" w:fill="FBF5E4" w:val="clear"/>
          </w:tcPr>
          <w:p>
            <w:pPr>
              <w:pStyle w:val="Normal"/>
              <w:keepNext w:val="true"/>
              <w:spacing w:lineRule="exact" w:line="240" w:before="0" w:after="70"/>
              <w:rPr/>
            </w:pPr>
            <w:r>
              <w:rPr>
                <w:rFonts w:eastAsia="Cambria" w:cs="Cambria"/>
                <w:b/>
                <w:bCs/>
                <w:color w:val="8A6212"/>
                <w:spacing w:val="24"/>
                <w:sz w:val="16"/>
                <w:szCs w:val="16"/>
              </w:rPr>
              <w:t>MERKE</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Australien ist beim Messen praktisch ein zweites Deutschland. Die einzige Umstellung, die wirklich zählt, betrifft Stecker und Kleidergröße – nicht Kilo, Meter oder Grad.</w:t>
            </w:r>
          </w:p>
        </w:tc>
      </w:tr>
    </w:tbl>
    <w:p>
      <w:pPr>
        <w:pStyle w:val="Normal"/>
        <w:spacing w:lineRule="exact" w:line="2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Neuseeland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Neuseeland misst wie Australien vollständig metrisch (Grad Celsius, Kilometer, Kilogramm, Milliliter und Liter) und nutzt denselben Steckertyp I bei 230 V und 50 Hz. Auch Papierformat (A4) und Datumsformat (TT/MM/JJJJ) folgen derselben Logik wie in Australien und Deutschland – ausführliche Tabellen dazu stehen im Abschnitt Australien oben.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Kleider- und Schuhgrößen orientiert sich Neuseeland eng an Australien, mit einer Abweichung: Während australische Herrenschuhe der britischen Größe folgen, rechnen viele neuseeländische Marken und Händler inzwischen direkt in US-Größen. Ein neuseeländischer Herren-„9“ ist damit oft schon die US-Größe, nicht die eine Nummer kleinere australische. Bei Damenschuhen und bei Kleidung gilt dagegen dieselbe Skala wie in Australien (siehe Tabellen oben).</w:t>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9B2C2C"/>
            </w:tcBorders>
            <w:shd w:color="auto" w:fill="FAEEEE" w:val="clear"/>
          </w:tcPr>
          <w:p>
            <w:pPr>
              <w:pStyle w:val="Normal"/>
              <w:keepNext w:val="true"/>
              <w:spacing w:lineRule="exact" w:line="240" w:before="0" w:after="70"/>
              <w:rPr/>
            </w:pPr>
            <w:r>
              <w:rPr>
                <w:rFonts w:eastAsia="Cambria" w:cs="Cambria"/>
                <w:b/>
                <w:bCs/>
                <w:color w:val="9B2C2C"/>
                <w:spacing w:val="24"/>
                <w:sz w:val="16"/>
                <w:szCs w:val="16"/>
              </w:rPr>
              <w:t>ACHTUNG</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Frag beim Schuhkauf in Neuseeland im Zweifel nach, ob die angegebene Größe „AU“ oder „US“ meint. Beide Systeme sind im Umlauf, und bei Herrenschuhen liegt genau eine Nummer dazwischen.</w:t>
            </w:r>
          </w:p>
        </w:tc>
      </w:tr>
    </w:tbl>
    <w:p>
      <w:pPr>
        <w:pStyle w:val="Normal"/>
        <w:spacing w:lineRule="exact" w:line="22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Physikalische Umrechnungen (Temperatur, Länge, Gewicht, Volumen) sind zeitlos. Kleider- und Schuhgrößen bleiben markenabhängige Näherungswerte; prüfe vor dem Kauf immer die Maßtabelle des Anbieters. Für Kanada gilt bei Stecker und Spannung dieselbe Logik wie für die USA (Typ A/B, 120 V, 60 Hz); für Australien und Neuseeland der eigene Steckertyp I (230 V, 50 Hz).</w:t>
            </w:r>
          </w:p>
        </w:tc>
      </w:tr>
    </w:tbl>
    <w:p>
      <w:pPr>
        <w:pStyle w:val="Normal"/>
        <w:spacing w:lineRule="exact" w:line="220" w:before="0" w:after="0"/>
        <w:rPr/>
      </w:pPr>
      <w:r>
        <w:rPr/>
      </w:r>
      <w:r>
        <w:br w:type="page"/>
      </w:r>
    </w:p>
    <w:p>
      <w:pPr>
        <w:pStyle w:val="Heading2"/>
        <w:keepNext w:val="true"/>
        <w:spacing w:before="0" w:after="300"/>
        <w:jc w:val="center"/>
        <w:rPr/>
      </w:pPr>
      <w:bookmarkStart w:id="208" w:name="__RefHeading___Toc56639_3769931028"/>
      <w:bookmarkStart w:id="209" w:name="anhang_d"/>
      <w:bookmarkEnd w:id="208"/>
      <w:r>
        <w:rPr>
          <w:rFonts w:eastAsia="Amazon Ember" w:cs="Amazon Ember" w:ascii="Amazon Ember" w:hAnsi="Amazon Ember"/>
          <w:b/>
          <w:bCs/>
          <w:color w:val="0000FF"/>
          <w:sz w:val="36"/>
          <w:szCs w:val="36"/>
        </w:rPr>
        <w:t>Anhang D: Formulare und Abkürzungen</w:t>
      </w:r>
      <w:bookmarkEnd w:id="209"/>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Dieses Buch nennt für die USA, Kanada, Australien und Neuseeland eine Reihe von Formularnummern, Behörden und Kürzeln, meist nur einmal im jeweiligen Kapitel erklärt. Dieser Anhang sammelt sie an einem Ort – als schnelles Nachschlagewerk, wenn ein Kürzel im Text wieder auftaucht und die Erklärung nicht mehr präsent ist. Er ersetzt nicht die ausführliche Einordnung im Kapitel oder Länderteil, auf den jede Zeile verweist.</w:t>
      </w:r>
    </w:p>
    <w:p>
      <w:pPr>
        <w:pStyle w:val="Heading3"/>
        <w:keepNext w:val="true"/>
        <w:spacing w:before="280" w:after="100"/>
        <w:jc w:val="center"/>
        <w:rPr/>
      </w:pPr>
      <w:r>
        <w:rPr>
          <w:rFonts w:eastAsia="Amazon Ember" w:cs="Amazon Ember" w:ascii="Amazon Ember" w:hAnsi="Amazon Ember"/>
          <w:b/>
          <w:bCs/>
          <w:color w:val="0000FF"/>
          <w:sz w:val="36"/>
          <w:szCs w:val="36"/>
        </w:rPr>
        <w:t>USA — Formulare</w:t>
      </w:r>
    </w:p>
    <w:tbl>
      <w:tblPr>
        <w:tblW w:w="6480" w:type="dxa"/>
        <w:jc w:val="left"/>
        <w:tblInd w:w="0" w:type="dxa"/>
        <w:tblLayout w:type="fixed"/>
        <w:tblCellMar>
          <w:top w:w="50" w:type="dxa"/>
          <w:left w:w="80" w:type="dxa"/>
          <w:bottom w:w="50" w:type="dxa"/>
          <w:right w:w="80" w:type="dxa"/>
        </w:tblCellMar>
      </w:tblPr>
      <w:tblGrid>
        <w:gridCol w:w="949"/>
        <w:gridCol w:w="3235"/>
        <w:gridCol w:w="950"/>
        <w:gridCol w:w="1345"/>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Formular</w:t>
            </w:r>
          </w:p>
        </w:tc>
        <w:tc>
          <w:tcPr>
            <w:tcW w:w="323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Zweck</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w:t>
            </w:r>
          </w:p>
        </w:tc>
        <w:tc>
          <w:tcPr>
            <w:tcW w:w="134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1040</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Jährliche US-Einkommensteuererklärung für Ansässige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28</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1040-NR</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US-Steuererklärung für nicht ansässige Ausländer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8, 28</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3520</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Meldung ausländischer Schenkungen, Erbschaften und Trusts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27, 28, 39</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8621</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Meldung von Anteilen an PFIC-Fonds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17, 28, 39</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8843</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Befreiungserklärung für Studierende und Austauschgäste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8, 28</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8938</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FATCA-Meldung ausländischer Konten und Depots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 6, 17, 28, 39, 41–42</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AR-11</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Meldung der neuen Adresse an die USCIS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5–7, 23, 30–31, 40–41</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DS-160</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Online-Antrag für ein Nichteinwanderungsvisum</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 8, 10–11, 15, 19</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DS-260</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Online-Antrag für ein Einwanderungsvisum</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6, 24</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G-1055</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Aktuelle Übersicht aller USCIS-Gebühren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5–7, 9–11, 30, 41</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I-9</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Nachweis der Arbeitsberechtigung beim Arbeitgeber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23–24, 29, 38, 40</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I-90</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Ersatz oder Verlängerung der Green-Card-Karte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6–7, 41</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I-94</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Elektronischer Nachweis von Einreise und Aufenthaltsstatus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CBP</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4–5, 7–11, 13, 20, 23–25, 27, 30, 40</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I-129</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Arbeitgeberpetition für Nichteinwanderungs-Arbeitsvisa wie H-1B</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 8–9, 11, 30</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I-129F</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Antrag auf ein Verlobtenvisum (K-1)</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I-129S</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Zusatzantrag zur konzerninternen Blanket-L-1-Petition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I-130</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Petition für Familienangehörige zur Green Card</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6, 9</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I-131</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Reisedokument: Advance Parole oder Wiedereinreiseerlaubnis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6, 42</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I-140</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Arbeitgeberpetition für die Green Card (Arbeitsmigration)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2–8, 10, 30</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I-407</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Freiwillige Aufgabe der Green Card</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USCIS/CBP</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6–7, 40–42</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I-485</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Antrag auf Green Card im Inland (Statusanpassung)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3–10, 19, 24, 30</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I-526E</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Investorenpetition für die EB-5-Green-Card (Regional Center)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I-539</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Verlängerung oder Wechsel des Nichteinwanderungsstatus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5, 8, 10</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I-693</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Ärztliche Untersuchung und Impfnachweis für die Green Card</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I-751</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Aufhebung der Bedingungen einer befristeten Green Card</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I-765</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Antrag auf Arbeitserlaubnis (EAD)</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5–6, 8–10, 24</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I-797 / I-797A</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USCIS-Bescheid; I-797A enthält zugleich die I-94</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 11, 19, 23–24, 30, 40</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I-829</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Aufhebung der Bedingungen einer EB-5-Green-Card</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6, 9</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I-864</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Finanzielle Verpflichtungserklärung für nachziehende Angehörige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6, 9</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I-901</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Gebühr für die Studierendendatenbank SEVIS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ICE (SEVP)</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I-907</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Antrag auf beschleunigte Bearbeitung (Premium Processing)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5–6</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I-941</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Antrag auf befristete Einreise für Start-up-Gründer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I-983</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Ausbildungsplan für die STEM-OPT-Verlängerung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8</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N-400</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Antrag auf die Einbürgerung (Naturalization)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6, 41</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N-470</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Erhalt der Aufenthaltszeit bei längerem Auslandsaufenthalt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41</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N-600</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Nachweis der Staatsbürgerschaft durch Abstammung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41</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SS-5</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Antrag auf die Sozialversicherungsnummer (SSN)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SSA</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24, 38</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W-2</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Jährliche Lohnsteuerbescheinigung des Arbeitgebers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20, 28, 30</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W-4</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Angaben zum Steuerabzug beim Arbeitgeber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23–24, 28</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W-7</w:t>
            </w:r>
          </w:p>
        </w:tc>
        <w:tc>
          <w:tcPr>
            <w:tcW w:w="32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Antrag auf die Steuernummer ITIN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w:t>
            </w:r>
          </w:p>
        </w:tc>
        <w:tc>
          <w:tcPr>
            <w:tcW w:w="13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13, 24</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USA — Abkürzungen</w:t>
      </w:r>
    </w:p>
    <w:tbl>
      <w:tblPr>
        <w:tblW w:w="6480" w:type="dxa"/>
        <w:jc w:val="left"/>
        <w:tblInd w:w="0" w:type="dxa"/>
        <w:tblLayout w:type="fixed"/>
        <w:tblCellMar>
          <w:top w:w="50" w:type="dxa"/>
          <w:left w:w="80" w:type="dxa"/>
          <w:bottom w:w="50" w:type="dxa"/>
          <w:right w:w="80" w:type="dxa"/>
        </w:tblCellMar>
      </w:tblPr>
      <w:tblGrid>
        <w:gridCol w:w="949"/>
        <w:gridCol w:w="2618"/>
        <w:gridCol w:w="2913"/>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Kürzel</w:t>
            </w:r>
          </w:p>
        </w:tc>
        <w:tc>
          <w:tcPr>
            <w:tcW w:w="261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Ausgeschrieben</w:t>
            </w:r>
          </w:p>
        </w:tc>
        <w:tc>
          <w:tcPr>
            <w:tcW w:w="291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Kurzerklärung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 Citizenship and Immigration Services</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Einwanderungsbehörde, entscheidet über Anträge im Inland</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CBP</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Customs and Border Protection</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Grenzschutz, entscheidet über die Einreise selbst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DOS</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Department of State</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Außenministerium; seine Konsulate stellen Visa aus</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DOL</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Department of Labor</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Arbeitsministerium, prüft Löhne und Arbeitsbedingungen (LCA, PERM)</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SSA</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Social Security Administration</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Sozialversicherungsbehörde, vergibt die SSN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Internal Revenue Service</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Bundessteuerbehörde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DHS</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Department of Homeland Security</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Heimatschutzministerium, Dachbehörde von USCIS, CBP und ICE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CMS</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Centers for Medicare &amp; Medicaid Services</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Bundesbehörde für Medicare/Medicaid; nimmt Beschwerden zum No Surprises Act entgegen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ICE</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 and Customs Enforcement</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Zoll- und Einwanderungsfahndung; verwaltet über die SEVP auch Studierendenstatus</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DMV</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Department of Motor Vehicles</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Kfz-Zulassungs- und Führerscheinstelle des jeweiligen Bundesstaats</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HOA</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Homeowners Association</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Eigentümergemeinschaft mit monatlicher Umlage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PMI</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Private Mortgage Insurance</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Kreditausfallversicherung bei Anzahlung unter 20 %</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FICA</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Federal Insurance Contributions Act</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Lohnabgabe für Social Security und Medicare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FBAR</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Foreign Bank Account Report</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Meldepflicht für ausländische Konten ab 10.000 $</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FATCA</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Foreign Account Tax Compliance Act</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Meldepflicht ausländischer Finanzinstitute an den IRS</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PFIC</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Passive Foreign Investment Company</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Steuerlich nachteilige Einstufung ausländischer Fonds und ETFs</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ITIN</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Individual Taxpayer Identification Number</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Steuernummer für Personen ohne Anspruch auf eine SSN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SSN</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Social Security Number</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Sozialversicherungsnummer, zentrale US-Identifikationsnummer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EAD</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Employment Authorization Document</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Arbeitserlaubniskarte, ausgestellt nach Form I-765</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LCA</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Labor Condition Application</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Erklärung des Arbeitgebers zu Lohn und Arbeitsbedingungen vor H-1B-Petitionen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PERM</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Program Electronic Review Management</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Arbeitsmarktprüfung des DOL vor der arbeitgebergestützten Green-Card-Petition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AC21</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American Competitiveness in the Twenty-First Century Act</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Erlaubt Arbeitgeberwechsel bei lange anhängigem Green-Card-Verfahren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CSPA</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Child Status Protection Act</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Schützt Kinder vor dem Verlust des Antragsalters bei Verfahrensverzögerungen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COBRA</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Consolidated Omnibus Budget Reconciliation Act</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Befristete Fortführung der Arbeitgeber-Krankenversicherung nach Jobverlust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FMLA</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Family and Medical Leave Act</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Unbezahlter, arbeitsplatzgeschützter Familien- und Pflegeurlaub (Bund)</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GKV</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Gesetzliche Krankenversicherung</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gesetzliche Krankenkasse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PKV</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Private Krankenversicherung</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private Krankenkasse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AStG</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Außensteuergesetz</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Deutsches Gesetz, regelt unter anderem die Wegzugsteuer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EStG</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Einkommensteuergesetz</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Deutsches Einkommensteuerrecht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BGB</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Bürgerliches Gesetzbuch</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Deutsches Zivilrecht, etwa Miet- und Maklerrecht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SGB</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Sozialgesetzbuch</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Deutsches Sozialrecht; SGB V regelt die Krankenversicherung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DBA</w:t>
            </w:r>
          </w:p>
        </w:tc>
        <w:tc>
          <w:tcPr>
            <w:tcW w:w="26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Doppelbesteuerungsabkommen</w:t>
            </w:r>
          </w:p>
        </w:tc>
        <w:tc>
          <w:tcPr>
            <w:tcW w:w="29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Abkommen Deutschland–USA gegen doppelte Besteuerung</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Kanada — Formulare und Abkürzungen</w:t>
      </w:r>
    </w:p>
    <w:tbl>
      <w:tblPr>
        <w:tblW w:w="6480" w:type="dxa"/>
        <w:jc w:val="left"/>
        <w:tblInd w:w="0" w:type="dxa"/>
        <w:tblLayout w:type="fixed"/>
        <w:tblCellMar>
          <w:top w:w="50" w:type="dxa"/>
          <w:left w:w="80" w:type="dxa"/>
          <w:bottom w:w="50" w:type="dxa"/>
          <w:right w:w="80" w:type="dxa"/>
        </w:tblCellMar>
      </w:tblPr>
      <w:tblGrid>
        <w:gridCol w:w="949"/>
        <w:gridCol w:w="3165"/>
        <w:gridCol w:w="1023"/>
        <w:gridCol w:w="1342"/>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Formular/Kürzel</w:t>
            </w:r>
          </w:p>
        </w:tc>
        <w:tc>
          <w:tcPr>
            <w:tcW w:w="316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Zweck</w:t>
            </w:r>
          </w:p>
        </w:tc>
        <w:tc>
          <w:tcPr>
            <w:tcW w:w="102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w:t>
            </w:r>
          </w:p>
        </w:tc>
        <w:tc>
          <w:tcPr>
            <w:tcW w:w="134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SIN</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Kanadische Sozialversicherungs- und Steuer-Identifikationsnummer</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Service Canada</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Ankunft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IRCC</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 Refugees and Citizenship Canada – kanadische Einwanderungsbehörde</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IRCC</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Express Entry</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Online-Verwaltungssystem für die wichtigsten PR-Wege (FSW, CEC, FST, viele PNP)</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IRCC</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CRS</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Comprehensive Ranking System – Punktewert, der über die Einladung zum PR-Antrag entscheidet</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IRCC</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FSW</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Federal Skilled Worker Program – Bundesprogramm für Fachkräfte innerhalb Express Entry</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IRCC</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CEC</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Canadian Experience Class – Bundesprogramm für bereits in Kanada Berufstätige</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IRCC</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FST</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Federal Skilled Trades Program – Bundesprogramm für Handwerksberufe</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IRCC</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PNP</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Provincial Nominee Program – Nominierungsprogramm der einzelnen Provinzen</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jeweilige Provinzbehörde</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LMIA</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Labour Market Impact Assessment – Arbeitsmarktprüfung vor arbeitgebergebundenem Arbeitsvisum</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ESDC</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Arbeit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NOC</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National Occupational Classification – Berufscode-System für Visa und Punktetest</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ESDC/Statistics Canada</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Arbeit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PGWP</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Post-Graduation Work Permit – offenes Arbeitsvisum nach kanadischem Studienabschluss</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IRCC</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ECA</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Educational Credential Assessment – Bewertung eines ausländischen Bildungsabschlusses</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anerkannte Bewertungsstelle</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CLB/NCLC</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Canadian Language Benchmark – Sprachniveau-Skala für Englisch beziehungsweise Französisch</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IRCC</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RC151</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Antrag auf den GST/HST-Credit für Neuankömmlinge</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CRA</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RC66</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Antrag auf die Canada Child Benefit</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CRA</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CRA</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 Revenue Agency – kanadische Steuerbehörde</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CRA</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CPP</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 Pension Plan – gesetzliche Rentenversicherung</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Service Canada</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MSCA</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My Service Canada Account – Online-Konto für SIN, Employment Insurance und CPP</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Service Canada</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Ankunft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RCIC</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Regulated Canadian Immigration Consultant – zugelassene Einwanderungsberaterin oder zugelassener Einwanderungsberater</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CICC</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CICC</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College of Immigration and Citizenship Consultants – Aufsichtsstelle für RCIC</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CICC</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PGP</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Parents and Grandparents Program – Familiennachzugsprogramm für Eltern und Großeltern</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IRCC</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Familie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CBSA</w:t>
            </w:r>
          </w:p>
        </w:tc>
        <w:tc>
          <w:tcPr>
            <w:tcW w:w="31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 Border Services Agency – kanadischer Grenzschutz</w:t>
            </w:r>
          </w:p>
        </w:tc>
        <w:tc>
          <w:tcPr>
            <w:tcW w:w="10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CBSA</w:t>
            </w:r>
          </w:p>
        </w:tc>
        <w:tc>
          <w:tcPr>
            <w:tcW w:w="1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Ankunft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Australien — Formulare und Abkürzungen</w:t>
      </w:r>
    </w:p>
    <w:tbl>
      <w:tblPr>
        <w:tblW w:w="6480" w:type="dxa"/>
        <w:jc w:val="left"/>
        <w:tblInd w:w="0" w:type="dxa"/>
        <w:tblLayout w:type="fixed"/>
        <w:tblCellMar>
          <w:top w:w="50" w:type="dxa"/>
          <w:left w:w="80" w:type="dxa"/>
          <w:bottom w:w="50" w:type="dxa"/>
          <w:right w:w="80" w:type="dxa"/>
        </w:tblCellMar>
      </w:tblPr>
      <w:tblGrid>
        <w:gridCol w:w="949"/>
        <w:gridCol w:w="2694"/>
        <w:gridCol w:w="1347"/>
        <w:gridCol w:w="1489"/>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Formular/Kürzel</w:t>
            </w:r>
          </w:p>
        </w:tc>
        <w:tc>
          <w:tcPr>
            <w:tcW w:w="269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Zweck</w:t>
            </w:r>
          </w:p>
        </w:tc>
        <w:tc>
          <w:tcPr>
            <w:tcW w:w="134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w:t>
            </w:r>
          </w:p>
        </w:tc>
        <w:tc>
          <w:tcPr>
            <w:tcW w:w="148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TFN</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Tax File Number – australische Steuer-Identifikationsnummer</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ATO</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ATO</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Australian Taxation Office – australische Steuerbehörde</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ATO</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ImmiAccount</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Online-Antragsportal für praktisch alle australischen Visa</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Department of Home Affairs</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SkillSelect</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Plattform für Interessensbekundungen bei punktebasierten Visa</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Department of Home Affairs</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EOI</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Expression of Interest – Interessensbekundung vor der Einladung zum Visumantrag</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Department of Home Affairs</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Subclass 189</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Skilled Independent – unabhängiges Punkte-Daueraufenthaltsvisum ohne Sponsor</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Department of Home Affairs</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Subclass 190</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Skilled Nominated – Punktevisum mit Nominierung durch einen Bundesstaat</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Department of Home Affairs</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Subclass 491</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Skilled Work Regional – befristetes Punktevisum mit Regionalbindung</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Department of Home Affairs</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Subclass 482</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Skills in Demand (SID) – befristetes, arbeitgebergesponsertes Arbeitsvisum</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Department of Home Affairs</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Arbeit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Subclass 186</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Employer Nomination Scheme (ENS) – arbeitgebergesponserte Daueraufenthaltserlaubnis</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Department of Home Affairs</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Arbeit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Subclass 417</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Working-Holiday-Visum; für deutsche Staatsangehörige der einschlägige Weg (nicht 462)</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Department of Home Affairs</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Subclass 500</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Student Visa – Aufenthaltstitel für ein Studium in Australien</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Department of Home Affairs</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Subclass 820/801</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Partnervisum: befristete, dann dauerhafte Aufenthaltserlaubnis (Antragstellung in Australien)</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Department of Home Affairs</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Familie</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CSOL</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Core Skills Occupation List – Berufsliste für Subclass 482 (Core Skills) und 186 (Direct Entry)</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Jobs and Skills Australia</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Arbeit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Medicare</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Staatliches Krankenversicherungssystem für Berechtigte</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Services Australia</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Gesundheit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Medicare Levy</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Pflichtabgabe zur Mitfinanzierung von Medicare (2,0 % des zu versteuernden Einkommens)</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ATO</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MLS</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Medicare Levy Surcharge – Zuschlag für Besserverdiener ohne private Krankenhausversicherung</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ATO</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OVHC</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Overseas Visitor Health Cover – private Krankenversicherung für die meisten befristeten Visa</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private Versicherer</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Gesundheit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OSHC</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Overseas Student Health Cover – Pflichtkrankenversicherung für Studierende (Subclass 500)</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private Versicherer</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Gesundheit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Superannuation</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Betriebliche Pflicht-Altersvorsorge („Super“)</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ATO/Fondsanbieter</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Arbeit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FIRB</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Foreign Investment Review Board – prüft Immobilienkäufe durch Ausländer</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FIRB</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Wohnen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SAF-Levy</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Skilling Australians Fund – Arbeitgeberabgabe bei Sponsoring-Visa (Subclass 482/186)</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Department of Home Affairs</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Arbeit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Citizenship Test</w:t>
            </w:r>
          </w:p>
        </w:tc>
        <w:tc>
          <w:tcPr>
            <w:tcW w:w="26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Staatskundetest vor der Einbürgerung</w:t>
            </w:r>
          </w:p>
        </w:tc>
        <w:tc>
          <w:tcPr>
            <w:tcW w:w="13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Department of Home Affairs</w:t>
            </w:r>
          </w:p>
        </w:tc>
        <w:tc>
          <w:tcPr>
            <w:tcW w:w="14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Staatsbürgerschaft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Neuseeland — Formulare und Abkürzungen</w:t>
      </w:r>
    </w:p>
    <w:tbl>
      <w:tblPr>
        <w:tblW w:w="6480" w:type="dxa"/>
        <w:jc w:val="left"/>
        <w:tblInd w:w="0" w:type="dxa"/>
        <w:tblLayout w:type="fixed"/>
        <w:tblCellMar>
          <w:top w:w="50" w:type="dxa"/>
          <w:left w:w="80" w:type="dxa"/>
          <w:bottom w:w="50" w:type="dxa"/>
          <w:right w:w="80" w:type="dxa"/>
        </w:tblCellMar>
      </w:tblPr>
      <w:tblGrid>
        <w:gridCol w:w="949"/>
        <w:gridCol w:w="2940"/>
        <w:gridCol w:w="989"/>
        <w:gridCol w:w="1601"/>
      </w:tblGrid>
      <w:tr>
        <w:trPr>
          <w:tblHeader w:val="true"/>
          <w:cantSplit w:val="true"/>
        </w:trPr>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Formular/Kürzel</w:t>
            </w:r>
          </w:p>
        </w:tc>
        <w:tc>
          <w:tcPr>
            <w:tcW w:w="29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Zweck</w:t>
            </w:r>
          </w:p>
        </w:tc>
        <w:tc>
          <w:tcPr>
            <w:tcW w:w="98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w:t>
            </w:r>
          </w:p>
        </w:tc>
        <w:tc>
          <w:tcPr>
            <w:tcW w:w="160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IRD-Nummer</w:t>
            </w:r>
          </w:p>
        </w:tc>
        <w:tc>
          <w:tcPr>
            <w:tcW w:w="2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Neuseeländische Steuer-Identifikationsnummer</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Inland Revenue Department (IRD)</w:t>
            </w:r>
          </w:p>
        </w:tc>
        <w:tc>
          <w:tcPr>
            <w:tcW w:w="16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IR330</w:t>
            </w:r>
          </w:p>
        </w:tc>
        <w:tc>
          <w:tcPr>
            <w:tcW w:w="2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Formular zur Angabe des Steuercodes beim Arbeitgeber (Tax Code Declaration)</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IRD</w:t>
            </w:r>
          </w:p>
        </w:tc>
        <w:tc>
          <w:tcPr>
            <w:tcW w:w="16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myIR</w:t>
            </w:r>
          </w:p>
        </w:tc>
        <w:tc>
          <w:tcPr>
            <w:tcW w:w="2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Online-Konto für Steuerangelegenheiten beim IRD</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IRD</w:t>
            </w:r>
          </w:p>
        </w:tc>
        <w:tc>
          <w:tcPr>
            <w:tcW w:w="16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INZ</w:t>
            </w:r>
          </w:p>
        </w:tc>
        <w:tc>
          <w:tcPr>
            <w:tcW w:w="2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 New Zealand – neuseeländische Einwanderungsbehörde</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INZ</w:t>
            </w:r>
          </w:p>
        </w:tc>
        <w:tc>
          <w:tcPr>
            <w:tcW w:w="16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MBIE</w:t>
            </w:r>
          </w:p>
        </w:tc>
        <w:tc>
          <w:tcPr>
            <w:tcW w:w="2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Ministry of Business, Innovation &amp; Employment – Mutterministerium von INZ</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MBIE</w:t>
            </w:r>
          </w:p>
        </w:tc>
        <w:tc>
          <w:tcPr>
            <w:tcW w:w="16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AEWV</w:t>
            </w:r>
          </w:p>
        </w:tc>
        <w:tc>
          <w:tcPr>
            <w:tcW w:w="2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Accredited Employer Work Visa – befristetes Arbeitsvisum bei akkreditiertem Arbeitgeber</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INZ</w:t>
            </w:r>
          </w:p>
        </w:tc>
        <w:tc>
          <w:tcPr>
            <w:tcW w:w="16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Arbeit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SMC</w:t>
            </w:r>
          </w:p>
        </w:tc>
        <w:tc>
          <w:tcPr>
            <w:tcW w:w="2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Skilled Migrant Category – Punktesystem für den Daueraufenthalt (Resident Visa)</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INZ</w:t>
            </w:r>
          </w:p>
        </w:tc>
        <w:tc>
          <w:tcPr>
            <w:tcW w:w="16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List</w:t>
            </w:r>
          </w:p>
        </w:tc>
        <w:tc>
          <w:tcPr>
            <w:tcW w:w="2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Berufsliste mit direktem oder verkürztem Zugang zur Residency</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INZ</w:t>
            </w:r>
          </w:p>
        </w:tc>
        <w:tc>
          <w:tcPr>
            <w:tcW w:w="16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Arbeit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INZ 1028</w:t>
            </w:r>
          </w:p>
        </w:tc>
        <w:tc>
          <w:tcPr>
            <w:tcW w:w="2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Fees Guide – offizielle Gebührenübersicht für alle Visumkategorien</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INZ</w:t>
            </w:r>
          </w:p>
        </w:tc>
        <w:tc>
          <w:tcPr>
            <w:tcW w:w="16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 Levy</w:t>
            </w:r>
          </w:p>
        </w:tc>
        <w:tc>
          <w:tcPr>
            <w:tcW w:w="2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Separater Gebührenaufschlag, der bei den meisten Visa zur Antragsgebühr hinzukommt</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INZ</w:t>
            </w:r>
          </w:p>
        </w:tc>
        <w:tc>
          <w:tcPr>
            <w:tcW w:w="16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NZTD</w:t>
            </w:r>
          </w:p>
        </w:tc>
        <w:tc>
          <w:tcPr>
            <w:tcW w:w="2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 Zealand Traveller Declaration – digitale Einreiseerklärung vor Abflug</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 Zealand Customs Service</w:t>
            </w:r>
          </w:p>
        </w:tc>
        <w:tc>
          <w:tcPr>
            <w:tcW w:w="16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Ankunft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ACC</w:t>
            </w:r>
          </w:p>
        </w:tc>
        <w:tc>
          <w:tcPr>
            <w:tcW w:w="2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Accident Compensation Corporation – staatliche Unfallversicherung für jede Person in Neuseeland</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ACC</w:t>
            </w:r>
          </w:p>
        </w:tc>
        <w:tc>
          <w:tcPr>
            <w:tcW w:w="16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Gesundheit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Earner’s Levy</w:t>
            </w:r>
          </w:p>
        </w:tc>
        <w:tc>
          <w:tcPr>
            <w:tcW w:w="2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Arbeitnehmerbeitrag zur Finanzierung der ACC-Unfallversicherung</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ACC</w:t>
            </w:r>
          </w:p>
        </w:tc>
        <w:tc>
          <w:tcPr>
            <w:tcW w:w="16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KiwiSaver</w:t>
            </w:r>
          </w:p>
        </w:tc>
        <w:tc>
          <w:tcPr>
            <w:tcW w:w="2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Staatlich gefördertes, freiwilliges Altersvorsorge-Sparsystem</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IRD/Fondsanbieter</w:t>
            </w:r>
          </w:p>
        </w:tc>
        <w:tc>
          <w:tcPr>
            <w:tcW w:w="16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GST</w:t>
            </w:r>
          </w:p>
        </w:tc>
        <w:tc>
          <w:tcPr>
            <w:tcW w:w="2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Goods and Services Tax – neuseeländische Verbrauchsteuer</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IRD</w:t>
            </w:r>
          </w:p>
        </w:tc>
        <w:tc>
          <w:tcPr>
            <w:tcW w:w="16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PAYE</w:t>
            </w:r>
          </w:p>
        </w:tc>
        <w:tc>
          <w:tcPr>
            <w:tcW w:w="2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Pay As You Earn – laufender Lohnsteuerabzug durch den Arbeitgeber</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IRD</w:t>
            </w:r>
          </w:p>
        </w:tc>
        <w:tc>
          <w:tcPr>
            <w:tcW w:w="16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DIA</w:t>
            </w:r>
          </w:p>
        </w:tc>
        <w:tc>
          <w:tcPr>
            <w:tcW w:w="2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Department of Internal Affairs – zuständig für die Einbürgerung</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DIA</w:t>
            </w:r>
          </w:p>
        </w:tc>
        <w:tc>
          <w:tcPr>
            <w:tcW w:w="16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Staatsbürgerschaft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LINZ</w:t>
            </w:r>
          </w:p>
        </w:tc>
        <w:tc>
          <w:tcPr>
            <w:tcW w:w="2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Land Information New Zealand – Grundbuchbehörde, prüft Immobilienkäufe durch Ausländer</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LINZ</w:t>
            </w:r>
          </w:p>
        </w:tc>
        <w:tc>
          <w:tcPr>
            <w:tcW w:w="16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Wohnen</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ANZSCO</w:t>
            </w:r>
          </w:p>
        </w:tc>
        <w:tc>
          <w:tcPr>
            <w:tcW w:w="2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Berufsklassifikationscode, maßgeblich für Green List und AEWV-Lohnschwellen</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INZ/Stats NZ</w:t>
            </w:r>
          </w:p>
        </w:tc>
        <w:tc>
          <w:tcPr>
            <w:tcW w:w="16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Arbeit</w:t>
            </w:r>
          </w:p>
        </w:tc>
      </w:tr>
      <w:tr>
        <w:trPr>
          <w:cantSplit w:val="true"/>
        </w:trPr>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Job Check</w:t>
            </w:r>
          </w:p>
        </w:tc>
        <w:tc>
          <w:tcPr>
            <w:tcW w:w="29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Prüfverfahren des Arbeitgebers vor jedem AEWV-Antrag</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INZ</w:t>
            </w:r>
          </w:p>
        </w:tc>
        <w:tc>
          <w:tcPr>
            <w:tcW w:w="160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Arbeit</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Formularnummern, Gebühren und Zuständigkeiten ändern USCIS, DOS und IRS für die USA sowie IRCC, ATO/INZ und die jeweiligen Steuerbehörden für Kanada, Australien und Neuseeland regelmäßig; prüfe vor jeder Antragstellung die aktuelle Fassung auf der jeweiligen Behördenseite.</w:t>
            </w:r>
          </w:p>
        </w:tc>
      </w:tr>
    </w:tbl>
    <w:p>
      <w:pPr>
        <w:pStyle w:val="Normal"/>
        <w:spacing w:lineRule="exact" w:line="220" w:before="0" w:after="0"/>
        <w:rPr/>
      </w:pPr>
      <w:r>
        <w:rPr/>
      </w:r>
      <w:r>
        <w:br w:type="page"/>
      </w:r>
    </w:p>
    <w:p>
      <w:pPr>
        <w:pStyle w:val="Heading2"/>
        <w:keepNext w:val="true"/>
        <w:spacing w:before="0" w:after="300"/>
        <w:jc w:val="center"/>
        <w:rPr/>
      </w:pPr>
      <w:bookmarkStart w:id="210" w:name="__RefHeading___Toc56641_3769931028"/>
      <w:bookmarkStart w:id="211" w:name="anhang_e"/>
      <w:bookmarkEnd w:id="210"/>
      <w:r>
        <w:rPr>
          <w:rFonts w:eastAsia="Amazon Ember" w:cs="Amazon Ember" w:ascii="Amazon Ember" w:hAnsi="Amazon Ember"/>
          <w:b/>
          <w:bCs/>
          <w:color w:val="0000FF"/>
          <w:sz w:val="36"/>
          <w:szCs w:val="36"/>
        </w:rPr>
        <w:t>Anhang E: Budgetbeispiele</w:t>
      </w:r>
      <w:bookmarkEnd w:id="211"/>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folgenden drei Monatsbudgets bauen auf den Netto-Vergleichsrechnungen aus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 xml:space="preserve"> und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xml:space="preserve"> sowie den Wohn-, Lebensmittel- und Fahrzeugkosten aus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xml:space="preserve"> bis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Kapitel </w:t>
      </w:r>
      <w:hyperlink w:anchor="k27">
        <w:r>
          <w:rPr>
            <w:rStyle w:val="ListLabel115"/>
            <w:rFonts w:eastAsia="Cambria" w:cs="Cambria"/>
            <w:b w:val="false"/>
            <w:bCs w:val="false"/>
            <w:i w:val="false"/>
            <w:iCs w:val="false"/>
            <w:sz w:val="22"/>
            <w:szCs w:val="22"/>
          </w:rPr>
          <w:t>27</w:t>
        </w:r>
      </w:hyperlink>
      <w:r>
        <w:rPr>
          <w:rFonts w:eastAsia="Cambria" w:cs="Cambria"/>
          <w:b w:val="false"/>
          <w:bCs w:val="false"/>
          <w:i w:val="false"/>
          <w:iCs w:val="false"/>
          <w:sz w:val="22"/>
          <w:szCs w:val="22"/>
        </w:rPr>
        <w:t>, Kapitel </w:t>
      </w:r>
      <w:hyperlink w:anchor="k35">
        <w:r>
          <w:rPr>
            <w:rStyle w:val="ListLabel115"/>
            <w:rFonts w:eastAsia="Cambria" w:cs="Cambria"/>
            <w:b w:val="false"/>
            <w:bCs w:val="false"/>
            <w:i w:val="false"/>
            <w:iCs w:val="false"/>
            <w:sz w:val="22"/>
            <w:szCs w:val="22"/>
          </w:rPr>
          <w:t>35</w:t>
        </w:r>
      </w:hyperlink>
      <w:r>
        <w:rPr>
          <w:rFonts w:eastAsia="Cambria" w:cs="Cambria"/>
          <w:b w:val="false"/>
          <w:bCs w:val="false"/>
          <w:i w:val="false"/>
          <w:iCs w:val="false"/>
          <w:sz w:val="22"/>
          <w:szCs w:val="22"/>
        </w:rPr>
        <w:t xml:space="preserve"> und Kapitel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 xml:space="preserve"> auf. Sie zeigen für dieselbe vierköpfige Familie mit demselben Bruttogehalt, wie unterschiedlich viel am Monatsende übrig bleibt – je nachdem, ob sie in eine günstige, mittlere oder teure Metropolregion zieht.</w:t>
      </w:r>
    </w:p>
    <w:p>
      <w:pPr>
        <w:pStyle w:val="Heading3"/>
        <w:keepNext w:val="true"/>
        <w:spacing w:before="280" w:after="100"/>
        <w:jc w:val="center"/>
        <w:rPr/>
      </w:pPr>
      <w:r>
        <w:rPr>
          <w:rFonts w:eastAsia="Amazon Ember" w:cs="Amazon Ember" w:ascii="Amazon Ember" w:hAnsi="Amazon Ember"/>
          <w:b/>
          <w:bCs/>
          <w:color w:val="0000FF"/>
          <w:sz w:val="36"/>
          <w:szCs w:val="36"/>
        </w:rPr>
        <w:t>Annahmen für alle drei Budgets</w:t>
      </w:r>
    </w:p>
    <w:p>
      <w:pPr>
        <w:pStyle w:val="ListParagraph"/>
        <w:numPr>
          <w:ilvl w:val="0"/>
          <w:numId w:val="1"/>
        </w:numPr>
        <w:spacing w:lineRule="exact" w:line="288" w:before="0" w:after="60"/>
        <w:rPr/>
      </w:pPr>
      <w:r>
        <w:rPr>
          <w:rFonts w:eastAsia="Cambria" w:cs="Cambria"/>
          <w:b w:val="false"/>
          <w:bCs w:val="false"/>
          <w:i w:val="false"/>
          <w:iCs w:val="false"/>
          <w:sz w:val="22"/>
          <w:szCs w:val="22"/>
        </w:rPr>
        <w:t>Gleiche Familie in allen drei Beispielen: Ehepaar mit zwei Kindern unter 17 Jahren, ein Einkommen von 150.000 $ im Jahr, Kinder mit ITIN statt Sozialversicherungsnummer – der in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 xml:space="preserve"> und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xml:space="preserve"> durchgerechnete Fall, typisch bei H-4- oder L-2-Status (Kapitel </w:t>
      </w:r>
      <w:hyperlink w:anchor="k10">
        <w:r>
          <w:rPr>
            <w:rStyle w:val="ListLabel115"/>
            <w:rFonts w:eastAsia="Cambria" w:cs="Cambria"/>
            <w:b w:val="false"/>
            <w:bCs w:val="false"/>
            <w:i w:val="false"/>
            <w:iCs w:val="false"/>
            <w:sz w:val="22"/>
            <w:szCs w:val="22"/>
          </w:rPr>
          <w:t>10</w:t>
        </w:r>
      </w:hyperlink>
      <w:r>
        <w:rPr>
          <w:rFonts w:eastAsia="Cambria" w:cs="Cambria"/>
          <w:b w:val="false"/>
          <w:bCs w:val="false"/>
          <w:i w:val="false"/>
          <w:iCs w:val="false"/>
          <w:sz w:val="22"/>
          <w:szCs w:val="22"/>
        </w:rPr>
        <w:t>).</w:t>
      </w:r>
    </w:p>
    <w:p>
      <w:pPr>
        <w:pStyle w:val="ListParagraph"/>
        <w:numPr>
          <w:ilvl w:val="0"/>
          <w:numId w:val="1"/>
        </w:numPr>
        <w:spacing w:lineRule="exact" w:line="288" w:before="0" w:after="60"/>
        <w:rPr/>
      </w:pPr>
      <w:r>
        <w:rPr>
          <w:rFonts w:eastAsia="Cambria" w:cs="Cambria"/>
          <w:b w:val="false"/>
          <w:bCs w:val="false"/>
          <w:i w:val="false"/>
          <w:iCs w:val="false"/>
          <w:sz w:val="22"/>
          <w:szCs w:val="22"/>
        </w:rPr>
        <w:t>Alle drei Budgets rechnen mit Miete, nicht mit einer Hypothek; für das erste Jahr empfehlen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xml:space="preserve"> bis </w:t>
      </w:r>
      <w:hyperlink w:anchor="k14">
        <w:r>
          <w:rPr>
            <w:rStyle w:val="ListLabel115"/>
            <w:rFonts w:eastAsia="Cambria" w:cs="Cambria"/>
            <w:b w:val="false"/>
            <w:bCs w:val="false"/>
            <w:i w:val="false"/>
            <w:iCs w:val="false"/>
            <w:sz w:val="22"/>
            <w:szCs w:val="22"/>
          </w:rPr>
          <w:t>14</w:t>
        </w:r>
      </w:hyperlink>
      <w:r>
        <w:rPr>
          <w:rFonts w:eastAsia="Cambria" w:cs="Cambria"/>
          <w:b w:val="false"/>
          <w:bCs w:val="false"/>
          <w:i w:val="false"/>
          <w:iCs w:val="false"/>
          <w:sz w:val="22"/>
          <w:szCs w:val="22"/>
        </w:rPr>
        <w:t xml:space="preserve"> ohnehin das Mieten.</w:t>
      </w:r>
    </w:p>
    <w:p>
      <w:pPr>
        <w:pStyle w:val="ListParagraph"/>
        <w:numPr>
          <w:ilvl w:val="0"/>
          <w:numId w:val="1"/>
        </w:numPr>
        <w:spacing w:lineRule="exact" w:line="288" w:before="0" w:after="60"/>
        <w:rPr/>
      </w:pPr>
      <w:r>
        <w:rPr>
          <w:rFonts w:eastAsia="Cambria" w:cs="Cambria"/>
          <w:b w:val="false"/>
          <w:bCs w:val="false"/>
          <w:i w:val="false"/>
          <w:iCs w:val="false"/>
          <w:sz w:val="22"/>
          <w:szCs w:val="22"/>
        </w:rPr>
        <w:t>Krankenversicherung (571 $), Auto und Versicherung (662 $) sowie Nebenkosten (285 $) sind bundesweite Durchschnittswerte aus den gelesenen Kapiteln; städtespezifische Zahlen liegen dort nicht vor.</w:t>
      </w:r>
    </w:p>
    <w:p>
      <w:pPr>
        <w:pStyle w:val="ListParagraph"/>
        <w:numPr>
          <w:ilvl w:val="0"/>
          <w:numId w:val="1"/>
        </w:numPr>
        <w:spacing w:lineRule="exact" w:line="288" w:before="0" w:after="60"/>
        <w:rPr/>
      </w:pPr>
      <w:r>
        <w:rPr>
          <w:rFonts w:eastAsia="Cambria" w:cs="Cambria"/>
          <w:b w:val="false"/>
          <w:bCs w:val="false"/>
          <w:i w:val="false"/>
          <w:iCs w:val="false"/>
          <w:sz w:val="22"/>
          <w:szCs w:val="22"/>
        </w:rPr>
        <w:t>Weil in allen drei Beispielen ein Elternteil zu Hause bleibt, fällt keine Fremdbetreuung an. Arbeiten beide Eltern, kommen im Schnitt 13.184 $ je Kind und Jahr hinzu (Kapitel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 – bei zwei Kindern mehr als 2.000 $ im Monat.</w:t>
      </w:r>
    </w:p>
    <w:p>
      <w:pPr>
        <w:pStyle w:val="ListParagraph"/>
        <w:numPr>
          <w:ilvl w:val="0"/>
          <w:numId w:val="1"/>
        </w:numPr>
        <w:spacing w:lineRule="exact" w:line="288" w:before="0" w:after="60"/>
        <w:rPr/>
      </w:pPr>
      <w:r>
        <w:rPr>
          <w:rFonts w:eastAsia="Cambria" w:cs="Cambria"/>
          <w:b w:val="false"/>
          <w:bCs w:val="false"/>
          <w:i w:val="false"/>
          <w:iCs w:val="false"/>
          <w:sz w:val="22"/>
          <w:szCs w:val="22"/>
        </w:rPr>
        <w:t>Alle Beträge sind gerundet und vereinfacht, wie die Beispiele in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 sie ersetzen keine eigene Rechnung mit deinem tatsächlichen Gehalt und Wohnort.</w:t>
      </w:r>
    </w:p>
    <w:p>
      <w:pPr>
        <w:pStyle w:val="Normal"/>
        <w:spacing w:lineRule="exact" w:line="12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USA</w:t>
      </w:r>
    </w:p>
    <w:p>
      <w:pPr>
        <w:pStyle w:val="Heading3"/>
        <w:keepNext w:val="true"/>
        <w:spacing w:before="280" w:after="100"/>
        <w:jc w:val="center"/>
        <w:rPr/>
      </w:pPr>
      <w:r>
        <w:rPr>
          <w:rFonts w:eastAsia="Amazon Ember" w:cs="Amazon Ember" w:ascii="Amazon Ember" w:hAnsi="Amazon Ember"/>
          <w:b/>
          <w:bCs/>
          <w:color w:val="0000FF"/>
          <w:sz w:val="36"/>
          <w:szCs w:val="36"/>
        </w:rPr>
        <w:t>Großraum Detroit, Michigan – günstige Region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Michigan erhebt 4,25 % Einkommensteuer, dazu in Detroit selbst eine Stadtsteuer (hier nicht enthalten,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Wohnkosten und Miete gehören zu den niedrigsten der im Buch behandelten Metropolregionen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1988"/>
        <w:gridCol w:w="950"/>
        <w:gridCol w:w="3542"/>
      </w:tblGrid>
      <w:tr>
        <w:trPr>
          <w:tblHeader w:val="true"/>
          <w:cantSplit w:val="true"/>
        </w:trPr>
        <w:tc>
          <w:tcPr>
            <w:tcW w:w="198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Posten</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Betrag pro Monat</w:t>
            </w:r>
          </w:p>
        </w:tc>
        <w:tc>
          <w:tcPr>
            <w:tcW w:w="354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Anmerkung</w:t>
            </w:r>
          </w:p>
        </w:tc>
      </w:tr>
      <w:tr>
        <w:trPr>
          <w:cantSplit w:val="true"/>
        </w:trPr>
        <w:tc>
          <w:tcPr>
            <w:tcW w:w="19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Bruttogehalt (Familie)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12.500 $</w:t>
            </w:r>
          </w:p>
        </w:tc>
        <w:tc>
          <w:tcPr>
            <w:tcW w:w="3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Ehepaar, ein Einkommen (Kapitel </w:t>
            </w:r>
            <w:hyperlink w:anchor="k3">
              <w:r>
                <w:rPr>
                  <w:rStyle w:val="ListLabel112"/>
                  <w:rFonts w:eastAsia="Cambria" w:cs="Cambria"/>
                  <w:b w:val="false"/>
                  <w:bCs w:val="false"/>
                  <w:i w:val="false"/>
                  <w:iCs w:val="false"/>
                  <w:sz w:val="18"/>
                  <w:szCs w:val="18"/>
                </w:rPr>
                <w:t>3</w:t>
              </w:r>
            </w:hyperlink>
            <w:r>
              <w:rPr>
                <w:rFonts w:eastAsia="Cambria" w:cs="Cambria"/>
                <w:b w:val="false"/>
                <w:bCs w:val="false"/>
                <w:i w:val="false"/>
                <w:iCs w:val="false"/>
                <w:sz w:val="18"/>
                <w:szCs w:val="18"/>
              </w:rPr>
              <w:t>, Kapitel </w:t>
            </w:r>
            <w:hyperlink w:anchor="k28">
              <w:r>
                <w:rPr>
                  <w:rStyle w:val="ListLabel112"/>
                  <w:rFonts w:eastAsia="Cambria" w:cs="Cambria"/>
                  <w:b w:val="false"/>
                  <w:bCs w:val="false"/>
                  <w:i w:val="false"/>
                  <w:iCs w:val="false"/>
                  <w:sz w:val="18"/>
                  <w:szCs w:val="18"/>
                </w:rPr>
                <w:t>28</w:t>
              </w:r>
            </w:hyperlink>
            <w:r>
              <w:rPr>
                <w:rFonts w:eastAsia="Cambria" w:cs="Cambria"/>
                <w:b w:val="false"/>
                <w:bCs w:val="false"/>
                <w:i w:val="false"/>
                <w:iCs w:val="false"/>
                <w:sz w:val="18"/>
                <w:szCs w:val="18"/>
              </w:rPr>
              <w:t>)</w:t>
            </w:r>
          </w:p>
        </w:tc>
      </w:tr>
      <w:tr>
        <w:trPr>
          <w:cantSplit w:val="true"/>
        </w:trPr>
        <w:tc>
          <w:tcPr>
            <w:tcW w:w="19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Steuern und Sozialabgaben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2.600 $</w:t>
            </w:r>
          </w:p>
        </w:tc>
        <w:tc>
          <w:tcPr>
            <w:tcW w:w="3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 FICA, Michigan-Steuer; Kinder mit ITIN; ohne mögliche Detroit-Stadtsteuer (Kapitel </w:t>
            </w:r>
            <w:hyperlink w:anchor="k28">
              <w:r>
                <w:rPr>
                  <w:rStyle w:val="ListLabel112"/>
                  <w:rFonts w:eastAsia="Cambria" w:cs="Cambria"/>
                  <w:b w:val="false"/>
                  <w:bCs w:val="false"/>
                  <w:i w:val="false"/>
                  <w:iCs w:val="false"/>
                  <w:sz w:val="18"/>
                  <w:szCs w:val="18"/>
                </w:rPr>
                <w:t>28</w:t>
              </w:r>
            </w:hyperlink>
            <w:r>
              <w:rPr>
                <w:rFonts w:eastAsia="Cambria" w:cs="Cambria"/>
                <w:b w:val="false"/>
                <w:bCs w:val="false"/>
                <w:i w:val="false"/>
                <w:iCs w:val="false"/>
                <w:sz w:val="18"/>
                <w:szCs w:val="18"/>
              </w:rPr>
              <w:t>)</w:t>
            </w:r>
          </w:p>
        </w:tc>
      </w:tr>
      <w:tr>
        <w:trPr>
          <w:cantSplit w:val="true"/>
        </w:trPr>
        <w:tc>
          <w:tcPr>
            <w:tcW w:w="19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Netto nach Steuern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9.900 $</w:t>
            </w:r>
          </w:p>
        </w:tc>
        <w:tc>
          <w:tcPr>
            <w:tcW w:w="3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8">
              <w:r>
                <w:rPr>
                  <w:rStyle w:val="ListLabel112"/>
                  <w:rFonts w:eastAsia="Cambria" w:cs="Cambria"/>
                  <w:b w:val="false"/>
                  <w:bCs w:val="false"/>
                  <w:i w:val="false"/>
                  <w:iCs w:val="false"/>
                  <w:sz w:val="18"/>
                  <w:szCs w:val="18"/>
                </w:rPr>
                <w:t>28</w:t>
              </w:r>
            </w:hyperlink>
          </w:p>
        </w:tc>
      </w:tr>
      <w:tr>
        <w:trPr>
          <w:cantSplit w:val="true"/>
        </w:trPr>
        <w:tc>
          <w:tcPr>
            <w:tcW w:w="19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Miete (Reihenhaus, 3 Schlafzimmer)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2.400 $</w:t>
            </w:r>
          </w:p>
        </w:tc>
        <w:tc>
          <w:tcPr>
            <w:tcW w:w="3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3">
              <w:r>
                <w:rPr>
                  <w:rStyle w:val="ListLabel112"/>
                  <w:rFonts w:eastAsia="Cambria" w:cs="Cambria"/>
                  <w:b w:val="false"/>
                  <w:bCs w:val="false"/>
                  <w:i w:val="false"/>
                  <w:iCs w:val="false"/>
                  <w:sz w:val="18"/>
                  <w:szCs w:val="18"/>
                </w:rPr>
                <w:t>13</w:t>
              </w:r>
            </w:hyperlink>
          </w:p>
        </w:tc>
      </w:tr>
      <w:tr>
        <w:trPr>
          <w:cantSplit w:val="true"/>
        </w:trPr>
        <w:tc>
          <w:tcPr>
            <w:tcW w:w="19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Nebenkosten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285 $</w:t>
            </w:r>
          </w:p>
        </w:tc>
        <w:tc>
          <w:tcPr>
            <w:tcW w:w="3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Strom, Gas, Wasser, Müll, Internet (Kapitel </w:t>
            </w:r>
            <w:hyperlink w:anchor="k13">
              <w:r>
                <w:rPr>
                  <w:rStyle w:val="ListLabel112"/>
                  <w:rFonts w:eastAsia="Cambria" w:cs="Cambria"/>
                  <w:b w:val="false"/>
                  <w:bCs w:val="false"/>
                  <w:i w:val="false"/>
                  <w:iCs w:val="false"/>
                  <w:sz w:val="18"/>
                  <w:szCs w:val="18"/>
                </w:rPr>
                <w:t>13</w:t>
              </w:r>
            </w:hyperlink>
            <w:r>
              <w:rPr>
                <w:rFonts w:eastAsia="Cambria" w:cs="Cambria"/>
                <w:b w:val="false"/>
                <w:bCs w:val="false"/>
                <w:i w:val="false"/>
                <w:iCs w:val="false"/>
                <w:sz w:val="18"/>
                <w:szCs w:val="18"/>
              </w:rPr>
              <w:t>)</w:t>
            </w:r>
          </w:p>
        </w:tc>
      </w:tr>
      <w:tr>
        <w:trPr>
          <w:cantSplit w:val="true"/>
        </w:trPr>
        <w:tc>
          <w:tcPr>
            <w:tcW w:w="19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Krankenversicherung (Familientarif)</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571 $</w:t>
            </w:r>
          </w:p>
        </w:tc>
        <w:tc>
          <w:tcPr>
            <w:tcW w:w="3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Eigenanteil, bundesweiter Schnitt (Kapitel </w:t>
            </w:r>
            <w:hyperlink w:anchor="k26">
              <w:r>
                <w:rPr>
                  <w:rStyle w:val="ListLabel112"/>
                  <w:rFonts w:eastAsia="Cambria" w:cs="Cambria"/>
                  <w:b w:val="false"/>
                  <w:bCs w:val="false"/>
                  <w:i w:val="false"/>
                  <w:iCs w:val="false"/>
                  <w:sz w:val="18"/>
                  <w:szCs w:val="18"/>
                </w:rPr>
                <w:t>26</w:t>
              </w:r>
            </w:hyperlink>
            <w:r>
              <w:rPr>
                <w:rFonts w:eastAsia="Cambria" w:cs="Cambria"/>
                <w:b w:val="false"/>
                <w:bCs w:val="false"/>
                <w:i w:val="false"/>
                <w:iCs w:val="false"/>
                <w:sz w:val="18"/>
                <w:szCs w:val="18"/>
              </w:rPr>
              <w:t>, Kapitel </w:t>
            </w:r>
            <w:hyperlink w:anchor="k28">
              <w:r>
                <w:rPr>
                  <w:rStyle w:val="ListLabel112"/>
                  <w:rFonts w:eastAsia="Cambria" w:cs="Cambria"/>
                  <w:b w:val="false"/>
                  <w:bCs w:val="false"/>
                  <w:i w:val="false"/>
                  <w:iCs w:val="false"/>
                  <w:sz w:val="18"/>
                  <w:szCs w:val="18"/>
                </w:rPr>
                <w:t>28</w:t>
              </w:r>
            </w:hyperlink>
            <w:r>
              <w:rPr>
                <w:rFonts w:eastAsia="Cambria" w:cs="Cambria"/>
                <w:b w:val="false"/>
                <w:bCs w:val="false"/>
                <w:i w:val="false"/>
                <w:iCs w:val="false"/>
                <w:sz w:val="18"/>
                <w:szCs w:val="18"/>
              </w:rPr>
              <w:t>)</w:t>
            </w:r>
          </w:p>
        </w:tc>
      </w:tr>
      <w:tr>
        <w:trPr>
          <w:cantSplit w:val="true"/>
        </w:trPr>
        <w:tc>
          <w:tcPr>
            <w:tcW w:w="19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Lebensmittel</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1.290 $</w:t>
            </w:r>
          </w:p>
        </w:tc>
        <w:tc>
          <w:tcPr>
            <w:tcW w:w="3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5">
              <w:r>
                <w:rPr>
                  <w:rStyle w:val="ListLabel112"/>
                  <w:rFonts w:eastAsia="Cambria" w:cs="Cambria"/>
                  <w:b w:val="false"/>
                  <w:bCs w:val="false"/>
                  <w:i w:val="false"/>
                  <w:iCs w:val="false"/>
                  <w:sz w:val="18"/>
                  <w:szCs w:val="18"/>
                </w:rPr>
                <w:t>35</w:t>
              </w:r>
            </w:hyperlink>
          </w:p>
        </w:tc>
      </w:tr>
      <w:tr>
        <w:trPr>
          <w:cantSplit w:val="true"/>
        </w:trPr>
        <w:tc>
          <w:tcPr>
            <w:tcW w:w="19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Auto und Versicherung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662 $</w:t>
            </w:r>
          </w:p>
        </w:tc>
        <w:tc>
          <w:tcPr>
            <w:tcW w:w="3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Kreditrate und Versicherung (Kapitel </w:t>
            </w:r>
            <w:hyperlink w:anchor="k27">
              <w:r>
                <w:rPr>
                  <w:rStyle w:val="ListLabel112"/>
                  <w:rFonts w:eastAsia="Cambria" w:cs="Cambria"/>
                  <w:b w:val="false"/>
                  <w:bCs w:val="false"/>
                  <w:i w:val="false"/>
                  <w:iCs w:val="false"/>
                  <w:sz w:val="18"/>
                  <w:szCs w:val="18"/>
                </w:rPr>
                <w:t>27</w:t>
              </w:r>
            </w:hyperlink>
            <w:r>
              <w:rPr>
                <w:rFonts w:eastAsia="Cambria" w:cs="Cambria"/>
                <w:b w:val="false"/>
                <w:bCs w:val="false"/>
                <w:i w:val="false"/>
                <w:iCs w:val="false"/>
                <w:sz w:val="18"/>
                <w:szCs w:val="18"/>
              </w:rPr>
              <w:t>)</w:t>
            </w:r>
          </w:p>
        </w:tc>
      </w:tr>
      <w:tr>
        <w:trPr>
          <w:cantSplit w:val="true"/>
        </w:trPr>
        <w:tc>
          <w:tcPr>
            <w:tcW w:w="19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Kinderbetreuung/Schule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0 $</w:t>
            </w:r>
          </w:p>
        </w:tc>
        <w:tc>
          <w:tcPr>
            <w:tcW w:w="3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Elternteil betreut die Kinder; öffentliche Schule kostenfrei (Kapitel </w:t>
            </w:r>
            <w:hyperlink w:anchor="k3">
              <w:r>
                <w:rPr>
                  <w:rStyle w:val="ListLabel112"/>
                  <w:rFonts w:eastAsia="Cambria" w:cs="Cambria"/>
                  <w:b w:val="false"/>
                  <w:bCs w:val="false"/>
                  <w:i w:val="false"/>
                  <w:iCs w:val="false"/>
                  <w:sz w:val="18"/>
                  <w:szCs w:val="18"/>
                </w:rPr>
                <w:t>3</w:t>
              </w:r>
            </w:hyperlink>
            <w:r>
              <w:rPr>
                <w:rFonts w:eastAsia="Cambria" w:cs="Cambria"/>
                <w:b w:val="false"/>
                <w:bCs w:val="false"/>
                <w:i w:val="false"/>
                <w:iCs w:val="false"/>
                <w:sz w:val="18"/>
                <w:szCs w:val="18"/>
              </w:rPr>
              <w:t>, Kapitel </w:t>
            </w:r>
            <w:hyperlink w:anchor="k38">
              <w:r>
                <w:rPr>
                  <w:rStyle w:val="ListLabel112"/>
                  <w:rFonts w:eastAsia="Cambria" w:cs="Cambria"/>
                  <w:b w:val="false"/>
                  <w:bCs w:val="false"/>
                  <w:i w:val="false"/>
                  <w:iCs w:val="false"/>
                  <w:sz w:val="18"/>
                  <w:szCs w:val="18"/>
                </w:rPr>
                <w:t>38</w:t>
              </w:r>
            </w:hyperlink>
            <w:r>
              <w:rPr>
                <w:rFonts w:eastAsia="Cambria" w:cs="Cambria"/>
                <w:b w:val="false"/>
                <w:bCs w:val="false"/>
                <w:i w:val="false"/>
                <w:iCs w:val="false"/>
                <w:sz w:val="18"/>
                <w:szCs w:val="18"/>
              </w:rPr>
              <w:t>)</w:t>
            </w:r>
          </w:p>
        </w:tc>
      </w:tr>
      <w:tr>
        <w:trPr>
          <w:cantSplit w:val="true"/>
        </w:trPr>
        <w:tc>
          <w:tcPr>
            <w:tcW w:w="19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Sonstiges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250 $</w:t>
            </w:r>
          </w:p>
        </w:tc>
        <w:tc>
          <w:tcPr>
            <w:tcW w:w="3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Mietversicherung, Restaurant/Lieferdienst (Kapitel </w:t>
            </w:r>
            <w:hyperlink w:anchor="k13">
              <w:r>
                <w:rPr>
                  <w:rStyle w:val="ListLabel112"/>
                  <w:rFonts w:eastAsia="Cambria" w:cs="Cambria"/>
                  <w:b w:val="false"/>
                  <w:bCs w:val="false"/>
                  <w:i w:val="false"/>
                  <w:iCs w:val="false"/>
                  <w:sz w:val="18"/>
                  <w:szCs w:val="18"/>
                </w:rPr>
                <w:t>13</w:t>
              </w:r>
            </w:hyperlink>
            <w:r>
              <w:rPr>
                <w:rFonts w:eastAsia="Cambria" w:cs="Cambria"/>
                <w:b w:val="false"/>
                <w:bCs w:val="false"/>
                <w:i w:val="false"/>
                <w:iCs w:val="false"/>
                <w:sz w:val="18"/>
                <w:szCs w:val="18"/>
              </w:rPr>
              <w:t>, Kapitel </w:t>
            </w:r>
            <w:hyperlink w:anchor="k35">
              <w:r>
                <w:rPr>
                  <w:rStyle w:val="ListLabel112"/>
                  <w:rFonts w:eastAsia="Cambria" w:cs="Cambria"/>
                  <w:b w:val="false"/>
                  <w:bCs w:val="false"/>
                  <w:i w:val="false"/>
                  <w:iCs w:val="false"/>
                  <w:sz w:val="18"/>
                  <w:szCs w:val="18"/>
                </w:rPr>
                <w:t>35</w:t>
              </w:r>
            </w:hyperlink>
            <w:r>
              <w:rPr>
                <w:rFonts w:eastAsia="Cambria" w:cs="Cambria"/>
                <w:b w:val="false"/>
                <w:bCs w:val="false"/>
                <w:i w:val="false"/>
                <w:iCs w:val="false"/>
                <w:sz w:val="18"/>
                <w:szCs w:val="18"/>
              </w:rPr>
              <w:t>)</w:t>
            </w:r>
          </w:p>
        </w:tc>
      </w:tr>
      <w:tr>
        <w:trPr>
          <w:cantSplit w:val="true"/>
        </w:trPr>
        <w:tc>
          <w:tcPr>
            <w:tcW w:w="19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Netto verfügbares Einkommen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4.442 $</w:t>
            </w:r>
          </w:p>
        </w:tc>
        <w:tc>
          <w:tcPr>
            <w:tcW w:w="3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entspricht 44,9 % des Nettos nach Steuern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Austin, Texas – mittlere Region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Texas erhebt keine Einkommensteuer, gleicht das aber über höhere Grundsteuer und Sales Tax aus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Die Wohnkosten liegen über Detroit, aber deutlich unter denen der Westküste.</w:t>
      </w:r>
    </w:p>
    <w:tbl>
      <w:tblPr>
        <w:tblW w:w="6480" w:type="dxa"/>
        <w:jc w:val="left"/>
        <w:tblInd w:w="0" w:type="dxa"/>
        <w:tblLayout w:type="fixed"/>
        <w:tblCellMar>
          <w:top w:w="50" w:type="dxa"/>
          <w:left w:w="80" w:type="dxa"/>
          <w:bottom w:w="50" w:type="dxa"/>
          <w:right w:w="80" w:type="dxa"/>
        </w:tblCellMar>
      </w:tblPr>
      <w:tblGrid>
        <w:gridCol w:w="1955"/>
        <w:gridCol w:w="949"/>
        <w:gridCol w:w="3576"/>
      </w:tblGrid>
      <w:tr>
        <w:trPr>
          <w:tblHeader w:val="true"/>
          <w:cantSplit w:val="true"/>
        </w:trPr>
        <w:tc>
          <w:tcPr>
            <w:tcW w:w="195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Posten</w:t>
            </w:r>
          </w:p>
        </w:tc>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Betrag pro Monat</w:t>
            </w:r>
          </w:p>
        </w:tc>
        <w:tc>
          <w:tcPr>
            <w:tcW w:w="357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Anmerkung</w:t>
            </w:r>
          </w:p>
        </w:tc>
      </w:tr>
      <w:tr>
        <w:trPr>
          <w:cantSplit w:val="true"/>
        </w:trPr>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Bruttogehalt (Familie)</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12.500 $</w:t>
            </w:r>
          </w:p>
        </w:tc>
        <w:tc>
          <w:tcPr>
            <w:tcW w:w="35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Ehepaar, ein Einkommen (Kapitel </w:t>
            </w:r>
            <w:hyperlink w:anchor="k3">
              <w:r>
                <w:rPr>
                  <w:rStyle w:val="ListLabel112"/>
                  <w:rFonts w:eastAsia="Cambria" w:cs="Cambria"/>
                  <w:b w:val="false"/>
                  <w:bCs w:val="false"/>
                  <w:i w:val="false"/>
                  <w:iCs w:val="false"/>
                  <w:sz w:val="18"/>
                  <w:szCs w:val="18"/>
                </w:rPr>
                <w:t>3</w:t>
              </w:r>
            </w:hyperlink>
            <w:r>
              <w:rPr>
                <w:rFonts w:eastAsia="Cambria" w:cs="Cambria"/>
                <w:b w:val="false"/>
                <w:bCs w:val="false"/>
                <w:i w:val="false"/>
                <w:iCs w:val="false"/>
                <w:sz w:val="18"/>
                <w:szCs w:val="18"/>
              </w:rPr>
              <w:t>, Kapitel </w:t>
            </w:r>
            <w:hyperlink w:anchor="k28">
              <w:r>
                <w:rPr>
                  <w:rStyle w:val="ListLabel112"/>
                  <w:rFonts w:eastAsia="Cambria" w:cs="Cambria"/>
                  <w:b w:val="false"/>
                  <w:bCs w:val="false"/>
                  <w:i w:val="false"/>
                  <w:iCs w:val="false"/>
                  <w:sz w:val="18"/>
                  <w:szCs w:val="18"/>
                </w:rPr>
                <w:t>28</w:t>
              </w:r>
            </w:hyperlink>
            <w:r>
              <w:rPr>
                <w:rFonts w:eastAsia="Cambria" w:cs="Cambria"/>
                <w:b w:val="false"/>
                <w:bCs w:val="false"/>
                <w:i w:val="false"/>
                <w:iCs w:val="false"/>
                <w:sz w:val="18"/>
                <w:szCs w:val="18"/>
              </w:rPr>
              <w:t>)</w:t>
            </w:r>
          </w:p>
        </w:tc>
      </w:tr>
      <w:tr>
        <w:trPr>
          <w:cantSplit w:val="true"/>
        </w:trPr>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Steuern und Sozialabgaben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2.151 $</w:t>
            </w:r>
          </w:p>
        </w:tc>
        <w:tc>
          <w:tcPr>
            <w:tcW w:w="35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 FICA; Texas ohne Einkommensteuer; Kinder mit ITIN (Kapitel </w:t>
            </w:r>
            <w:hyperlink w:anchor="k28">
              <w:r>
                <w:rPr>
                  <w:rStyle w:val="ListLabel112"/>
                  <w:rFonts w:eastAsia="Cambria" w:cs="Cambria"/>
                  <w:b w:val="false"/>
                  <w:bCs w:val="false"/>
                  <w:i w:val="false"/>
                  <w:iCs w:val="false"/>
                  <w:sz w:val="18"/>
                  <w:szCs w:val="18"/>
                </w:rPr>
                <w:t>28</w:t>
              </w:r>
            </w:hyperlink>
            <w:r>
              <w:rPr>
                <w:rFonts w:eastAsia="Cambria" w:cs="Cambria"/>
                <w:b w:val="false"/>
                <w:bCs w:val="false"/>
                <w:i w:val="false"/>
                <w:iCs w:val="false"/>
                <w:sz w:val="18"/>
                <w:szCs w:val="18"/>
              </w:rPr>
              <w:t>)</w:t>
            </w:r>
          </w:p>
        </w:tc>
      </w:tr>
      <w:tr>
        <w:trPr>
          <w:cantSplit w:val="true"/>
        </w:trPr>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Netto nach Steuern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10.349 $</w:t>
            </w:r>
          </w:p>
        </w:tc>
        <w:tc>
          <w:tcPr>
            <w:tcW w:w="35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8">
              <w:r>
                <w:rPr>
                  <w:rStyle w:val="ListLabel112"/>
                  <w:rFonts w:eastAsia="Cambria" w:cs="Cambria"/>
                  <w:b w:val="false"/>
                  <w:bCs w:val="false"/>
                  <w:i w:val="false"/>
                  <w:iCs w:val="false"/>
                  <w:sz w:val="18"/>
                  <w:szCs w:val="18"/>
                </w:rPr>
                <w:t>28</w:t>
              </w:r>
            </w:hyperlink>
          </w:p>
        </w:tc>
      </w:tr>
      <w:tr>
        <w:trPr>
          <w:cantSplit w:val="true"/>
        </w:trPr>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Miete (2-Zimmer-Wohnung)</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1.812 $</w:t>
            </w:r>
          </w:p>
        </w:tc>
        <w:tc>
          <w:tcPr>
            <w:tcW w:w="35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3">
              <w:r>
                <w:rPr>
                  <w:rStyle w:val="ListLabel112"/>
                  <w:rFonts w:eastAsia="Cambria" w:cs="Cambria"/>
                  <w:b w:val="false"/>
                  <w:bCs w:val="false"/>
                  <w:i w:val="false"/>
                  <w:iCs w:val="false"/>
                  <w:sz w:val="18"/>
                  <w:szCs w:val="18"/>
                </w:rPr>
                <w:t>13</w:t>
              </w:r>
            </w:hyperlink>
          </w:p>
        </w:tc>
      </w:tr>
      <w:tr>
        <w:trPr>
          <w:cantSplit w:val="true"/>
        </w:trPr>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Nebenkosten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285 $</w:t>
            </w:r>
          </w:p>
        </w:tc>
        <w:tc>
          <w:tcPr>
            <w:tcW w:w="35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Strom, Gas, Wasser, Müll, Internet (Kapitel </w:t>
            </w:r>
            <w:hyperlink w:anchor="k13">
              <w:r>
                <w:rPr>
                  <w:rStyle w:val="ListLabel112"/>
                  <w:rFonts w:eastAsia="Cambria" w:cs="Cambria"/>
                  <w:b w:val="false"/>
                  <w:bCs w:val="false"/>
                  <w:i w:val="false"/>
                  <w:iCs w:val="false"/>
                  <w:sz w:val="18"/>
                  <w:szCs w:val="18"/>
                </w:rPr>
                <w:t>13</w:t>
              </w:r>
            </w:hyperlink>
            <w:r>
              <w:rPr>
                <w:rFonts w:eastAsia="Cambria" w:cs="Cambria"/>
                <w:b w:val="false"/>
                <w:bCs w:val="false"/>
                <w:i w:val="false"/>
                <w:iCs w:val="false"/>
                <w:sz w:val="18"/>
                <w:szCs w:val="18"/>
              </w:rPr>
              <w:t>)</w:t>
            </w:r>
          </w:p>
        </w:tc>
      </w:tr>
      <w:tr>
        <w:trPr>
          <w:cantSplit w:val="true"/>
        </w:trPr>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Krankenversicherung (Familientarif)</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571 $</w:t>
            </w:r>
          </w:p>
        </w:tc>
        <w:tc>
          <w:tcPr>
            <w:tcW w:w="35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Eigenanteil, bundesweiter Schnitt (Kapitel </w:t>
            </w:r>
            <w:hyperlink w:anchor="k26">
              <w:r>
                <w:rPr>
                  <w:rStyle w:val="ListLabel112"/>
                  <w:rFonts w:eastAsia="Cambria" w:cs="Cambria"/>
                  <w:b w:val="false"/>
                  <w:bCs w:val="false"/>
                  <w:i w:val="false"/>
                  <w:iCs w:val="false"/>
                  <w:sz w:val="18"/>
                  <w:szCs w:val="18"/>
                </w:rPr>
                <w:t>26</w:t>
              </w:r>
            </w:hyperlink>
            <w:r>
              <w:rPr>
                <w:rFonts w:eastAsia="Cambria" w:cs="Cambria"/>
                <w:b w:val="false"/>
                <w:bCs w:val="false"/>
                <w:i w:val="false"/>
                <w:iCs w:val="false"/>
                <w:sz w:val="18"/>
                <w:szCs w:val="18"/>
              </w:rPr>
              <w:t>, Kapitel </w:t>
            </w:r>
            <w:hyperlink w:anchor="k28">
              <w:r>
                <w:rPr>
                  <w:rStyle w:val="ListLabel112"/>
                  <w:rFonts w:eastAsia="Cambria" w:cs="Cambria"/>
                  <w:b w:val="false"/>
                  <w:bCs w:val="false"/>
                  <w:i w:val="false"/>
                  <w:iCs w:val="false"/>
                  <w:sz w:val="18"/>
                  <w:szCs w:val="18"/>
                </w:rPr>
                <w:t>28</w:t>
              </w:r>
            </w:hyperlink>
            <w:r>
              <w:rPr>
                <w:rFonts w:eastAsia="Cambria" w:cs="Cambria"/>
                <w:b w:val="false"/>
                <w:bCs w:val="false"/>
                <w:i w:val="false"/>
                <w:iCs w:val="false"/>
                <w:sz w:val="18"/>
                <w:szCs w:val="18"/>
              </w:rPr>
              <w:t>)</w:t>
            </w:r>
          </w:p>
        </w:tc>
      </w:tr>
      <w:tr>
        <w:trPr>
          <w:cantSplit w:val="true"/>
        </w:trPr>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Lebensmittel</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1.380 $</w:t>
            </w:r>
          </w:p>
        </w:tc>
        <w:tc>
          <w:tcPr>
            <w:tcW w:w="35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USDA-Richtwert „Moderate“ für Paar mit zwei Grundschulkindern (Kapitel </w:t>
            </w:r>
            <w:hyperlink w:anchor="k35">
              <w:r>
                <w:rPr>
                  <w:rStyle w:val="ListLabel112"/>
                  <w:rFonts w:eastAsia="Cambria" w:cs="Cambria"/>
                  <w:b w:val="false"/>
                  <w:bCs w:val="false"/>
                  <w:i w:val="false"/>
                  <w:iCs w:val="false"/>
                  <w:sz w:val="18"/>
                  <w:szCs w:val="18"/>
                </w:rPr>
                <w:t>35</w:t>
              </w:r>
            </w:hyperlink>
            <w:r>
              <w:rPr>
                <w:rFonts w:eastAsia="Cambria" w:cs="Cambria"/>
                <w:b w:val="false"/>
                <w:bCs w:val="false"/>
                <w:i w:val="false"/>
                <w:iCs w:val="false"/>
                <w:sz w:val="18"/>
                <w:szCs w:val="18"/>
              </w:rPr>
              <w:t>)</w:t>
            </w:r>
          </w:p>
        </w:tc>
      </w:tr>
      <w:tr>
        <w:trPr>
          <w:cantSplit w:val="true"/>
        </w:trPr>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Auto und Versicherung</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662 $</w:t>
            </w:r>
          </w:p>
        </w:tc>
        <w:tc>
          <w:tcPr>
            <w:tcW w:w="35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Kreditrate und Versicherung (Kapitel </w:t>
            </w:r>
            <w:hyperlink w:anchor="k27">
              <w:r>
                <w:rPr>
                  <w:rStyle w:val="ListLabel112"/>
                  <w:rFonts w:eastAsia="Cambria" w:cs="Cambria"/>
                  <w:b w:val="false"/>
                  <w:bCs w:val="false"/>
                  <w:i w:val="false"/>
                  <w:iCs w:val="false"/>
                  <w:sz w:val="18"/>
                  <w:szCs w:val="18"/>
                </w:rPr>
                <w:t>27</w:t>
              </w:r>
            </w:hyperlink>
            <w:r>
              <w:rPr>
                <w:rFonts w:eastAsia="Cambria" w:cs="Cambria"/>
                <w:b w:val="false"/>
                <w:bCs w:val="false"/>
                <w:i w:val="false"/>
                <w:iCs w:val="false"/>
                <w:sz w:val="18"/>
                <w:szCs w:val="18"/>
              </w:rPr>
              <w:t>)</w:t>
            </w:r>
          </w:p>
        </w:tc>
      </w:tr>
      <w:tr>
        <w:trPr>
          <w:cantSplit w:val="true"/>
        </w:trPr>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Kinderbetreuung/Schule</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0 $</w:t>
            </w:r>
          </w:p>
        </w:tc>
        <w:tc>
          <w:tcPr>
            <w:tcW w:w="35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Elternteil betreut die Kinder; öffentliche Schule kostenfrei (Kapitel </w:t>
            </w:r>
            <w:hyperlink w:anchor="k3">
              <w:r>
                <w:rPr>
                  <w:rStyle w:val="ListLabel112"/>
                  <w:rFonts w:eastAsia="Cambria" w:cs="Cambria"/>
                  <w:b w:val="false"/>
                  <w:bCs w:val="false"/>
                  <w:i w:val="false"/>
                  <w:iCs w:val="false"/>
                  <w:sz w:val="18"/>
                  <w:szCs w:val="18"/>
                </w:rPr>
                <w:t>3</w:t>
              </w:r>
            </w:hyperlink>
            <w:r>
              <w:rPr>
                <w:rFonts w:eastAsia="Cambria" w:cs="Cambria"/>
                <w:b w:val="false"/>
                <w:bCs w:val="false"/>
                <w:i w:val="false"/>
                <w:iCs w:val="false"/>
                <w:sz w:val="18"/>
                <w:szCs w:val="18"/>
              </w:rPr>
              <w:t>, Kapitel </w:t>
            </w:r>
            <w:hyperlink w:anchor="k38">
              <w:r>
                <w:rPr>
                  <w:rStyle w:val="ListLabel112"/>
                  <w:rFonts w:eastAsia="Cambria" w:cs="Cambria"/>
                  <w:b w:val="false"/>
                  <w:bCs w:val="false"/>
                  <w:i w:val="false"/>
                  <w:iCs w:val="false"/>
                  <w:sz w:val="18"/>
                  <w:szCs w:val="18"/>
                </w:rPr>
                <w:t>38</w:t>
              </w:r>
            </w:hyperlink>
            <w:r>
              <w:rPr>
                <w:rFonts w:eastAsia="Cambria" w:cs="Cambria"/>
                <w:b w:val="false"/>
                <w:bCs w:val="false"/>
                <w:i w:val="false"/>
                <w:iCs w:val="false"/>
                <w:sz w:val="18"/>
                <w:szCs w:val="18"/>
              </w:rPr>
              <w:t>)</w:t>
            </w:r>
          </w:p>
        </w:tc>
      </w:tr>
      <w:tr>
        <w:trPr>
          <w:cantSplit w:val="true"/>
        </w:trPr>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Sonstiges</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250 $</w:t>
            </w:r>
          </w:p>
        </w:tc>
        <w:tc>
          <w:tcPr>
            <w:tcW w:w="35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Mietversicherung, Restaurant/Lieferdienst (Kapitel </w:t>
            </w:r>
            <w:hyperlink w:anchor="k13">
              <w:r>
                <w:rPr>
                  <w:rStyle w:val="ListLabel112"/>
                  <w:rFonts w:eastAsia="Cambria" w:cs="Cambria"/>
                  <w:b w:val="false"/>
                  <w:bCs w:val="false"/>
                  <w:i w:val="false"/>
                  <w:iCs w:val="false"/>
                  <w:sz w:val="18"/>
                  <w:szCs w:val="18"/>
                </w:rPr>
                <w:t>13</w:t>
              </w:r>
            </w:hyperlink>
            <w:r>
              <w:rPr>
                <w:rFonts w:eastAsia="Cambria" w:cs="Cambria"/>
                <w:b w:val="false"/>
                <w:bCs w:val="false"/>
                <w:i w:val="false"/>
                <w:iCs w:val="false"/>
                <w:sz w:val="18"/>
                <w:szCs w:val="18"/>
              </w:rPr>
              <w:t>, Kapitel </w:t>
            </w:r>
            <w:hyperlink w:anchor="k35">
              <w:r>
                <w:rPr>
                  <w:rStyle w:val="ListLabel112"/>
                  <w:rFonts w:eastAsia="Cambria" w:cs="Cambria"/>
                  <w:b w:val="false"/>
                  <w:bCs w:val="false"/>
                  <w:i w:val="false"/>
                  <w:iCs w:val="false"/>
                  <w:sz w:val="18"/>
                  <w:szCs w:val="18"/>
                </w:rPr>
                <w:t>35</w:t>
              </w:r>
            </w:hyperlink>
            <w:r>
              <w:rPr>
                <w:rFonts w:eastAsia="Cambria" w:cs="Cambria"/>
                <w:b w:val="false"/>
                <w:bCs w:val="false"/>
                <w:i w:val="false"/>
                <w:iCs w:val="false"/>
                <w:sz w:val="18"/>
                <w:szCs w:val="18"/>
              </w:rPr>
              <w:t>)</w:t>
            </w:r>
          </w:p>
        </w:tc>
      </w:tr>
      <w:tr>
        <w:trPr>
          <w:cantSplit w:val="true"/>
        </w:trPr>
        <w:tc>
          <w:tcPr>
            <w:tcW w:w="195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Netto verfügbares Einkommen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5.389 $</w:t>
            </w:r>
          </w:p>
        </w:tc>
        <w:tc>
          <w:tcPr>
            <w:tcW w:w="35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entspricht 52,1 % des Nettos nach Steuern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San Francisco Bay Area, Kalifornien – teure Region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Kalifornien hat mit bis zu 13,3 % den höchsten Spitzensteuersatz im Buch, dazu die zusätzliche Staatsumlage SDI (Kapitel </w:t>
      </w:r>
      <w:hyperlink w:anchor="k28">
        <w:r>
          <w:rPr>
            <w:rStyle w:val="ListLabel115"/>
            <w:rFonts w:eastAsia="Cambria" w:cs="Cambria"/>
            <w:b w:val="false"/>
            <w:bCs w:val="false"/>
            <w:i w:val="false"/>
            <w:iCs w:val="false"/>
            <w:sz w:val="22"/>
            <w:szCs w:val="22"/>
          </w:rPr>
          <w:t>28</w:t>
        </w:r>
      </w:hyperlink>
      <w:r>
        <w:rPr>
          <w:rFonts w:eastAsia="Cambria" w:cs="Cambria"/>
          <w:b w:val="false"/>
          <w:bCs w:val="false"/>
          <w:i w:val="false"/>
          <w:iCs w:val="false"/>
          <w:sz w:val="22"/>
          <w:szCs w:val="22"/>
        </w:rPr>
        <w:t>). Miete und Kaufpreise zählen zu den höchsten aller im Buch behandelten Metropolregionen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w:t>
      </w:r>
    </w:p>
    <w:tbl>
      <w:tblPr>
        <w:tblW w:w="6480" w:type="dxa"/>
        <w:jc w:val="left"/>
        <w:tblInd w:w="0" w:type="dxa"/>
        <w:tblLayout w:type="fixed"/>
        <w:tblCellMar>
          <w:top w:w="50" w:type="dxa"/>
          <w:left w:w="80" w:type="dxa"/>
          <w:bottom w:w="50" w:type="dxa"/>
          <w:right w:w="80" w:type="dxa"/>
        </w:tblCellMar>
      </w:tblPr>
      <w:tblGrid>
        <w:gridCol w:w="2071"/>
        <w:gridCol w:w="949"/>
        <w:gridCol w:w="3460"/>
      </w:tblGrid>
      <w:tr>
        <w:trPr>
          <w:tblHeader w:val="true"/>
          <w:cantSplit w:val="true"/>
        </w:trPr>
        <w:tc>
          <w:tcPr>
            <w:tcW w:w="207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Posten</w:t>
            </w:r>
          </w:p>
        </w:tc>
        <w:tc>
          <w:tcPr>
            <w:tcW w:w="9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Betrag pro Monat</w:t>
            </w:r>
          </w:p>
        </w:tc>
        <w:tc>
          <w:tcPr>
            <w:tcW w:w="34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Anmerkung</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Bruttogehalt (Familie)</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12.500 $</w:t>
            </w:r>
          </w:p>
        </w:tc>
        <w:tc>
          <w:tcPr>
            <w:tcW w:w="34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Ehepaar, ein Einkommen (Kapitel </w:t>
            </w:r>
            <w:hyperlink w:anchor="k3">
              <w:r>
                <w:rPr>
                  <w:rStyle w:val="ListLabel112"/>
                  <w:rFonts w:eastAsia="Cambria" w:cs="Cambria"/>
                  <w:b w:val="false"/>
                  <w:bCs w:val="false"/>
                  <w:i w:val="false"/>
                  <w:iCs w:val="false"/>
                  <w:sz w:val="18"/>
                  <w:szCs w:val="18"/>
                </w:rPr>
                <w:t>3</w:t>
              </w:r>
            </w:hyperlink>
            <w:r>
              <w:rPr>
                <w:rFonts w:eastAsia="Cambria" w:cs="Cambria"/>
                <w:b w:val="false"/>
                <w:bCs w:val="false"/>
                <w:i w:val="false"/>
                <w:iCs w:val="false"/>
                <w:sz w:val="18"/>
                <w:szCs w:val="18"/>
              </w:rPr>
              <w:t>, Kapitel </w:t>
            </w:r>
            <w:hyperlink w:anchor="k28">
              <w:r>
                <w:rPr>
                  <w:rStyle w:val="ListLabel112"/>
                  <w:rFonts w:eastAsia="Cambria" w:cs="Cambria"/>
                  <w:b w:val="false"/>
                  <w:bCs w:val="false"/>
                  <w:i w:val="false"/>
                  <w:iCs w:val="false"/>
                  <w:sz w:val="18"/>
                  <w:szCs w:val="18"/>
                </w:rPr>
                <w:t>28</w:t>
              </w:r>
            </w:hyperlink>
            <w:r>
              <w:rPr>
                <w:rFonts w:eastAsia="Cambria" w:cs="Cambria"/>
                <w:b w:val="false"/>
                <w:bCs w:val="false"/>
                <w:i w:val="false"/>
                <w:iCs w:val="false"/>
                <w:sz w:val="18"/>
                <w:szCs w:val="18"/>
              </w:rPr>
              <w: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Steuern und Sozialabgaben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2.697 $</w:t>
            </w:r>
          </w:p>
        </w:tc>
        <w:tc>
          <w:tcPr>
            <w:tcW w:w="34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 FICA, Kalifornien-Steuer inklusive SDI; Kinder mit ITIN (Kapitel </w:t>
            </w:r>
            <w:hyperlink w:anchor="k28">
              <w:r>
                <w:rPr>
                  <w:rStyle w:val="ListLabel112"/>
                  <w:rFonts w:eastAsia="Cambria" w:cs="Cambria"/>
                  <w:b w:val="false"/>
                  <w:bCs w:val="false"/>
                  <w:i w:val="false"/>
                  <w:iCs w:val="false"/>
                  <w:sz w:val="18"/>
                  <w:szCs w:val="18"/>
                </w:rPr>
                <w:t>28</w:t>
              </w:r>
            </w:hyperlink>
            <w:r>
              <w:rPr>
                <w:rFonts w:eastAsia="Cambria" w:cs="Cambria"/>
                <w:b w:val="false"/>
                <w:bCs w:val="false"/>
                <w:i w:val="false"/>
                <w:iCs w:val="false"/>
                <w:sz w:val="18"/>
                <w:szCs w:val="18"/>
              </w:rPr>
              <w: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Netto nach Steuern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9.803 $</w:t>
            </w:r>
          </w:p>
        </w:tc>
        <w:tc>
          <w:tcPr>
            <w:tcW w:w="34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8">
              <w:r>
                <w:rPr>
                  <w:rStyle w:val="ListLabel112"/>
                  <w:rFonts w:eastAsia="Cambria" w:cs="Cambria"/>
                  <w:b w:val="false"/>
                  <w:bCs w:val="false"/>
                  <w:i w:val="false"/>
                  <w:iCs w:val="false"/>
                  <w:sz w:val="18"/>
                  <w:szCs w:val="18"/>
                </w:rPr>
                <w:t>28</w:t>
              </w:r>
            </w:hyperlink>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Miete (2-Zimmer-Wohnung, San Francisco)</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4.998 $</w:t>
            </w:r>
          </w:p>
        </w:tc>
        <w:tc>
          <w:tcPr>
            <w:tcW w:w="34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3">
              <w:r>
                <w:rPr>
                  <w:rStyle w:val="ListLabel112"/>
                  <w:rFonts w:eastAsia="Cambria" w:cs="Cambria"/>
                  <w:b w:val="false"/>
                  <w:bCs w:val="false"/>
                  <w:i w:val="false"/>
                  <w:iCs w:val="false"/>
                  <w:sz w:val="18"/>
                  <w:szCs w:val="18"/>
                </w:rPr>
                <w:t>13</w:t>
              </w:r>
            </w:hyperlink>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Nebenkosten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285 $</w:t>
            </w:r>
          </w:p>
        </w:tc>
        <w:tc>
          <w:tcPr>
            <w:tcW w:w="34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Strom, Gas, Wasser, Müll, Internet (Kapitel </w:t>
            </w:r>
            <w:hyperlink w:anchor="k13">
              <w:r>
                <w:rPr>
                  <w:rStyle w:val="ListLabel112"/>
                  <w:rFonts w:eastAsia="Cambria" w:cs="Cambria"/>
                  <w:b w:val="false"/>
                  <w:bCs w:val="false"/>
                  <w:i w:val="false"/>
                  <w:iCs w:val="false"/>
                  <w:sz w:val="18"/>
                  <w:szCs w:val="18"/>
                </w:rPr>
                <w:t>13</w:t>
              </w:r>
            </w:hyperlink>
            <w:r>
              <w:rPr>
                <w:rFonts w:eastAsia="Cambria" w:cs="Cambria"/>
                <w:b w:val="false"/>
                <w:bCs w:val="false"/>
                <w:i w:val="false"/>
                <w:iCs w:val="false"/>
                <w:sz w:val="18"/>
                <w:szCs w:val="18"/>
              </w:rPr>
              <w: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Krankenversicherung (Familientarif)</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571 $</w:t>
            </w:r>
          </w:p>
        </w:tc>
        <w:tc>
          <w:tcPr>
            <w:tcW w:w="34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Eigenanteil, bundesweiter Schnitt (Kapitel </w:t>
            </w:r>
            <w:hyperlink w:anchor="k26">
              <w:r>
                <w:rPr>
                  <w:rStyle w:val="ListLabel112"/>
                  <w:rFonts w:eastAsia="Cambria" w:cs="Cambria"/>
                  <w:b w:val="false"/>
                  <w:bCs w:val="false"/>
                  <w:i w:val="false"/>
                  <w:iCs w:val="false"/>
                  <w:sz w:val="18"/>
                  <w:szCs w:val="18"/>
                </w:rPr>
                <w:t>26</w:t>
              </w:r>
            </w:hyperlink>
            <w:r>
              <w:rPr>
                <w:rFonts w:eastAsia="Cambria" w:cs="Cambria"/>
                <w:b w:val="false"/>
                <w:bCs w:val="false"/>
                <w:i w:val="false"/>
                <w:iCs w:val="false"/>
                <w:sz w:val="18"/>
                <w:szCs w:val="18"/>
              </w:rPr>
              <w:t>, Kapitel </w:t>
            </w:r>
            <w:hyperlink w:anchor="k28">
              <w:r>
                <w:rPr>
                  <w:rStyle w:val="ListLabel112"/>
                  <w:rFonts w:eastAsia="Cambria" w:cs="Cambria"/>
                  <w:b w:val="false"/>
                  <w:bCs w:val="false"/>
                  <w:i w:val="false"/>
                  <w:iCs w:val="false"/>
                  <w:sz w:val="18"/>
                  <w:szCs w:val="18"/>
                </w:rPr>
                <w:t>28</w:t>
              </w:r>
            </w:hyperlink>
            <w:r>
              <w:rPr>
                <w:rFonts w:eastAsia="Cambria" w:cs="Cambria"/>
                <w:b w:val="false"/>
                <w:bCs w:val="false"/>
                <w:i w:val="false"/>
                <w:iCs w:val="false"/>
                <w:sz w:val="18"/>
                <w:szCs w:val="18"/>
              </w:rPr>
              <w: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Lebensmittel</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1.670 $</w:t>
            </w:r>
          </w:p>
        </w:tc>
        <w:tc>
          <w:tcPr>
            <w:tcW w:w="34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USDA-Richtwert „Liberal“ für Paar mit zwei Grundschulkindern (Kapitel </w:t>
            </w:r>
            <w:hyperlink w:anchor="k35">
              <w:r>
                <w:rPr>
                  <w:rStyle w:val="ListLabel112"/>
                  <w:rFonts w:eastAsia="Cambria" w:cs="Cambria"/>
                  <w:b w:val="false"/>
                  <w:bCs w:val="false"/>
                  <w:i w:val="false"/>
                  <w:iCs w:val="false"/>
                  <w:sz w:val="18"/>
                  <w:szCs w:val="18"/>
                </w:rPr>
                <w:t>35</w:t>
              </w:r>
            </w:hyperlink>
            <w:r>
              <w:rPr>
                <w:rFonts w:eastAsia="Cambria" w:cs="Cambria"/>
                <w:b w:val="false"/>
                <w:bCs w:val="false"/>
                <w:i w:val="false"/>
                <w:iCs w:val="false"/>
                <w:sz w:val="18"/>
                <w:szCs w:val="18"/>
              </w:rPr>
              <w: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Auto und Versicherung</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662 $</w:t>
            </w:r>
          </w:p>
        </w:tc>
        <w:tc>
          <w:tcPr>
            <w:tcW w:w="34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Kreditrate und Versicherung (Kapitel </w:t>
            </w:r>
            <w:hyperlink w:anchor="k27">
              <w:r>
                <w:rPr>
                  <w:rStyle w:val="ListLabel112"/>
                  <w:rFonts w:eastAsia="Cambria" w:cs="Cambria"/>
                  <w:b w:val="false"/>
                  <w:bCs w:val="false"/>
                  <w:i w:val="false"/>
                  <w:iCs w:val="false"/>
                  <w:sz w:val="18"/>
                  <w:szCs w:val="18"/>
                </w:rPr>
                <w:t>27</w:t>
              </w:r>
            </w:hyperlink>
            <w:r>
              <w:rPr>
                <w:rFonts w:eastAsia="Cambria" w:cs="Cambria"/>
                <w:b w:val="false"/>
                <w:bCs w:val="false"/>
                <w:i w:val="false"/>
                <w:iCs w:val="false"/>
                <w:sz w:val="18"/>
                <w:szCs w:val="18"/>
              </w:rPr>
              <w: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Kinderbetreuung/Schule</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0 $</w:t>
            </w:r>
          </w:p>
        </w:tc>
        <w:tc>
          <w:tcPr>
            <w:tcW w:w="34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Elternteil betreut die Kinder; öffentliche Schule kostenfrei (Kapitel </w:t>
            </w:r>
            <w:hyperlink w:anchor="k3">
              <w:r>
                <w:rPr>
                  <w:rStyle w:val="ListLabel112"/>
                  <w:rFonts w:eastAsia="Cambria" w:cs="Cambria"/>
                  <w:b w:val="false"/>
                  <w:bCs w:val="false"/>
                  <w:i w:val="false"/>
                  <w:iCs w:val="false"/>
                  <w:sz w:val="18"/>
                  <w:szCs w:val="18"/>
                </w:rPr>
                <w:t>3</w:t>
              </w:r>
            </w:hyperlink>
            <w:r>
              <w:rPr>
                <w:rFonts w:eastAsia="Cambria" w:cs="Cambria"/>
                <w:b w:val="false"/>
                <w:bCs w:val="false"/>
                <w:i w:val="false"/>
                <w:iCs w:val="false"/>
                <w:sz w:val="18"/>
                <w:szCs w:val="18"/>
              </w:rPr>
              <w:t>, Kapitel </w:t>
            </w:r>
            <w:hyperlink w:anchor="k38">
              <w:r>
                <w:rPr>
                  <w:rStyle w:val="ListLabel112"/>
                  <w:rFonts w:eastAsia="Cambria" w:cs="Cambria"/>
                  <w:b w:val="false"/>
                  <w:bCs w:val="false"/>
                  <w:i w:val="false"/>
                  <w:iCs w:val="false"/>
                  <w:sz w:val="18"/>
                  <w:szCs w:val="18"/>
                </w:rPr>
                <w:t>38</w:t>
              </w:r>
            </w:hyperlink>
            <w:r>
              <w:rPr>
                <w:rFonts w:eastAsia="Cambria" w:cs="Cambria"/>
                <w:b w:val="false"/>
                <w:bCs w:val="false"/>
                <w:i w:val="false"/>
                <w:iCs w:val="false"/>
                <w:sz w:val="18"/>
                <w:szCs w:val="18"/>
              </w:rPr>
              <w: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Sonstiges</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250 $</w:t>
            </w:r>
          </w:p>
        </w:tc>
        <w:tc>
          <w:tcPr>
            <w:tcW w:w="34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Mietversicherung, Restaurant/Lieferdienst (Kapitel </w:t>
            </w:r>
            <w:hyperlink w:anchor="k13">
              <w:r>
                <w:rPr>
                  <w:rStyle w:val="ListLabel112"/>
                  <w:rFonts w:eastAsia="Cambria" w:cs="Cambria"/>
                  <w:b w:val="false"/>
                  <w:bCs w:val="false"/>
                  <w:i w:val="false"/>
                  <w:iCs w:val="false"/>
                  <w:sz w:val="18"/>
                  <w:szCs w:val="18"/>
                </w:rPr>
                <w:t>13</w:t>
              </w:r>
            </w:hyperlink>
            <w:r>
              <w:rPr>
                <w:rFonts w:eastAsia="Cambria" w:cs="Cambria"/>
                <w:b w:val="false"/>
                <w:bCs w:val="false"/>
                <w:i w:val="false"/>
                <w:iCs w:val="false"/>
                <w:sz w:val="18"/>
                <w:szCs w:val="18"/>
              </w:rPr>
              <w:t>, Kapitel </w:t>
            </w:r>
            <w:hyperlink w:anchor="k35">
              <w:r>
                <w:rPr>
                  <w:rStyle w:val="ListLabel112"/>
                  <w:rFonts w:eastAsia="Cambria" w:cs="Cambria"/>
                  <w:b w:val="false"/>
                  <w:bCs w:val="false"/>
                  <w:i w:val="false"/>
                  <w:iCs w:val="false"/>
                  <w:sz w:val="18"/>
                  <w:szCs w:val="18"/>
                </w:rPr>
                <w:t>35</w:t>
              </w:r>
            </w:hyperlink>
            <w:r>
              <w:rPr>
                <w:rFonts w:eastAsia="Cambria" w:cs="Cambria"/>
                <w:b w:val="false"/>
                <w:bCs w:val="false"/>
                <w:i w:val="false"/>
                <w:iCs w:val="false"/>
                <w:sz w:val="18"/>
                <w:szCs w:val="18"/>
              </w:rPr>
              <w:t>)</w:t>
            </w:r>
          </w:p>
        </w:tc>
      </w:tr>
      <w:tr>
        <w:trPr>
          <w:cantSplit w:val="true"/>
        </w:trPr>
        <w:tc>
          <w:tcPr>
            <w:tcW w:w="20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Netto verfügbares Einkommen</w:t>
            </w:r>
          </w:p>
        </w:tc>
        <w:tc>
          <w:tcPr>
            <w:tcW w:w="9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1.367 $</w:t>
            </w:r>
          </w:p>
        </w:tc>
        <w:tc>
          <w:tcPr>
            <w:tcW w:w="34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entspricht 13,9 % des Nettos nach Steuern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Was der Vergleich zeigt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Bei identischem Bruttogehalt bleibt der Familie in Texas mit 5.389 $ am meisten, in Michigan mit 4.442 $ deutlich weniger und in Kalifornien mit 1.367 $ nur ein kleiner Rest – nicht wegen der Steuer allein, sondern vor allem wegen der Miete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 xml:space="preserve"> und Kapitel </w:t>
      </w:r>
      <w:hyperlink w:anchor="k12">
        <w:r>
          <w:rPr>
            <w:rStyle w:val="ListLabel115"/>
            <w:rFonts w:eastAsia="Cambria" w:cs="Cambria"/>
            <w:b w:val="false"/>
            <w:bCs w:val="false"/>
            <w:i w:val="false"/>
            <w:iCs w:val="false"/>
            <w:sz w:val="22"/>
            <w:szCs w:val="22"/>
          </w:rPr>
          <w:t>12</w:t>
        </w:r>
      </w:hyperlink>
      <w:r>
        <w:rPr>
          <w:rFonts w:eastAsia="Cambria" w:cs="Cambria"/>
          <w:b w:val="false"/>
          <w:bCs w:val="false"/>
          <w:i w:val="false"/>
          <w:iCs w:val="false"/>
          <w:sz w:val="22"/>
          <w:szCs w:val="22"/>
        </w:rPr>
        <w:t xml:space="preserve"> zeigen denselben Effekt). Ein zweites Einkommen würde das verfügbare Geld erhöhen, aber gleichzeitig Kinderbetreuungskosten auslösen, die einen Teil des Zugewinns aufzehren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 Kapitel </w:t>
      </w:r>
      <w:hyperlink w:anchor="k38">
        <w:r>
          <w:rPr>
            <w:rStyle w:val="ListLabel115"/>
            <w:rFonts w:eastAsia="Cambria" w:cs="Cambria"/>
            <w:b w:val="false"/>
            <w:bCs w:val="false"/>
            <w:i w:val="false"/>
            <w:iCs w:val="false"/>
            <w:sz w:val="22"/>
            <w:szCs w:val="22"/>
          </w:rPr>
          <w:t>38</w:t>
        </w:r>
      </w:hyperlink>
      <w:r>
        <w:rPr>
          <w:rFonts w:eastAsia="Cambria" w:cs="Cambria"/>
          <w:b w:val="false"/>
          <w:bCs w:val="false"/>
          <w:i w:val="false"/>
          <w:iCs w:val="false"/>
          <w:sz w:val="22"/>
          <w:szCs w:val="22"/>
        </w:rPr>
        <w:t>). Baue mit dem Modell aus Kapitel </w:t>
      </w:r>
      <w:hyperlink w:anchor="k3">
        <w:r>
          <w:rPr>
            <w:rStyle w:val="ListLabel115"/>
            <w:rFonts w:eastAsia="Cambria" w:cs="Cambria"/>
            <w:b w:val="false"/>
            <w:bCs w:val="false"/>
            <w:i w:val="false"/>
            <w:iCs w:val="false"/>
            <w:sz w:val="22"/>
            <w:szCs w:val="22"/>
          </w:rPr>
          <w:t>3</w:t>
        </w:r>
      </w:hyperlink>
      <w:r>
        <w:rPr>
          <w:rFonts w:eastAsia="Cambria" w:cs="Cambria"/>
          <w:b w:val="false"/>
          <w:bCs w:val="false"/>
          <w:i w:val="false"/>
          <w:iCs w:val="false"/>
          <w:sz w:val="22"/>
          <w:szCs w:val="22"/>
        </w:rPr>
        <w:t xml:space="preserve"> deine eigene Version mit deinem tatsächlichen Gehalt, Wohnort und deiner Familiengröße.</w:t>
      </w:r>
    </w:p>
    <w:p>
      <w:pPr>
        <w:pStyle w:val="Heading3"/>
        <w:keepNext w:val="true"/>
        <w:spacing w:before="280" w:after="100"/>
        <w:jc w:val="center"/>
        <w:rPr/>
      </w:pPr>
      <w:r>
        <w:rPr>
          <w:rFonts w:eastAsia="Amazon Ember" w:cs="Amazon Ember" w:ascii="Amazon Ember" w:hAnsi="Amazon Ember"/>
          <w:b/>
          <w:bCs/>
          <w:color w:val="0000FF"/>
          <w:sz w:val="36"/>
          <w:szCs w:val="36"/>
        </w:rPr>
        <w:t>Kanada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kanadische Referenzfamilie folgt demselben Muster wie die USA-Beispiele: Ehepaar mit zwei Kindern unter 17 Jahren, ein Einkommen, ein Elternteil betreut die Kinder zu Hause, öffentliche Schule kostenfrei. Die Familie lebt mit Permanent Residence in Vancouver, British Columbia – der teuersten Stadt Kanadas (Kanada: Wohnen) – und ist damit beim seit 2020 beitragsfreien Provinz-Gesundheitssystem MSP versichert, ohne die Wartefrist, die Neuankömmlinge in BC sonst betrifft (Kanada: Gesundheitssystem). Das Bruttogehalt orientiert sich an einem in Vancouver üblichen Softwareentwickler-Gehalt (Kanada: Wohnen); Steuern und CPP-Beiträge sind vereinfacht nach den Bundes- und British-Columbia-Tabellen berechnet, ohne einzelne Steuergutschriften (Kanada: Steuern).</w:t>
      </w:r>
    </w:p>
    <w:tbl>
      <w:tblPr>
        <w:tblW w:w="6480" w:type="dxa"/>
        <w:jc w:val="left"/>
        <w:tblInd w:w="0" w:type="dxa"/>
        <w:tblLayout w:type="fixed"/>
        <w:tblCellMar>
          <w:top w:w="50" w:type="dxa"/>
          <w:left w:w="80" w:type="dxa"/>
          <w:bottom w:w="50" w:type="dxa"/>
          <w:right w:w="80" w:type="dxa"/>
        </w:tblCellMar>
      </w:tblPr>
      <w:tblGrid>
        <w:gridCol w:w="1936"/>
        <w:gridCol w:w="950"/>
        <w:gridCol w:w="3594"/>
      </w:tblGrid>
      <w:tr>
        <w:trPr>
          <w:tblHeader w:val="true"/>
          <w:cantSplit w:val="true"/>
        </w:trPr>
        <w:tc>
          <w:tcPr>
            <w:tcW w:w="193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Posten</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Betrag pro Monat</w:t>
            </w:r>
          </w:p>
        </w:tc>
        <w:tc>
          <w:tcPr>
            <w:tcW w:w="359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Anmerkung</w:t>
            </w:r>
          </w:p>
        </w:tc>
      </w:tr>
      <w:tr>
        <w:trPr>
          <w:cantSplit w:val="true"/>
        </w:trPr>
        <w:tc>
          <w:tcPr>
            <w:tcW w:w="19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Bruttogehalt (Familie)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9.080 CAD</w:t>
            </w:r>
          </w:p>
        </w:tc>
        <w:tc>
          <w:tcPr>
            <w:tcW w:w="35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Vergleichbares Softwareentwickler-Gehalt, Vancouver (Kanada: Wohnen)</w:t>
            </w:r>
          </w:p>
        </w:tc>
      </w:tr>
      <w:tr>
        <w:trPr>
          <w:cantSplit w:val="true"/>
        </w:trPr>
        <w:tc>
          <w:tcPr>
            <w:tcW w:w="19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Steuern und Sozialabgaben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2.370 CAD</w:t>
            </w:r>
          </w:p>
        </w:tc>
        <w:tc>
          <w:tcPr>
            <w:tcW w:w="35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 British-Columbia-Steuer, CPP; vereinfacht (Kanada: Steuern)</w:t>
            </w:r>
          </w:p>
        </w:tc>
      </w:tr>
      <w:tr>
        <w:trPr>
          <w:cantSplit w:val="true"/>
        </w:trPr>
        <w:tc>
          <w:tcPr>
            <w:tcW w:w="19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Netto nach Steuern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6.710 CAD</w:t>
            </w:r>
          </w:p>
        </w:tc>
        <w:tc>
          <w:tcPr>
            <w:tcW w:w="35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Eigene Berechnung nach Bundes- und Provinztabelle (Kanada: Steuern)</w:t>
            </w:r>
          </w:p>
        </w:tc>
      </w:tr>
      <w:tr>
        <w:trPr>
          <w:cantSplit w:val="true"/>
        </w:trPr>
        <w:tc>
          <w:tcPr>
            <w:tcW w:w="19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Miete (Wohnung, Vancouver)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3.100 CAD</w:t>
            </w:r>
          </w:p>
        </w:tc>
        <w:tc>
          <w:tcPr>
            <w:tcW w:w="35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Durchschnittsmiete, teuerste Stadt Kanadas (Kanada: Wohnen)</w:t>
            </w:r>
          </w:p>
        </w:tc>
      </w:tr>
      <w:tr>
        <w:trPr>
          <w:cantSplit w:val="true"/>
        </w:trPr>
        <w:tc>
          <w:tcPr>
            <w:tcW w:w="19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Nebenkosten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300 CAD</w:t>
            </w:r>
          </w:p>
        </w:tc>
        <w:tc>
          <w:tcPr>
            <w:tcW w:w="35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Grobe Schätzung, keine Kanada-spezifische Zahl vorhanden</w:t>
            </w:r>
          </w:p>
        </w:tc>
      </w:tr>
      <w:tr>
        <w:trPr>
          <w:cantSplit w:val="true"/>
        </w:trPr>
        <w:tc>
          <w:tcPr>
            <w:tcW w:w="19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Krankenversicherung (Familientarif)</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 CAD</w:t>
            </w:r>
          </w:p>
        </w:tc>
        <w:tc>
          <w:tcPr>
            <w:tcW w:w="35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MSP beitragsfrei seit 2020 (Kanada: Gesundheitssystem); Zahn/Medikamente ggf. über Extended Health Benefits des Arbeitgebers</w:t>
            </w:r>
          </w:p>
        </w:tc>
      </w:tr>
      <w:tr>
        <w:trPr>
          <w:cantSplit w:val="true"/>
        </w:trPr>
        <w:tc>
          <w:tcPr>
            <w:tcW w:w="19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Lebensmittel</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1.300 CAD</w:t>
            </w:r>
          </w:p>
        </w:tc>
        <w:tc>
          <w:tcPr>
            <w:tcW w:w="35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Grobe Schätzung, keine Kanada-spezifische Zahl vorhanden</w:t>
            </w:r>
          </w:p>
        </w:tc>
      </w:tr>
      <w:tr>
        <w:trPr>
          <w:cantSplit w:val="true"/>
        </w:trPr>
        <w:tc>
          <w:tcPr>
            <w:tcW w:w="19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Auto und Versicherung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125 CAD</w:t>
            </w:r>
          </w:p>
        </w:tc>
        <w:tc>
          <w:tcPr>
            <w:tcW w:w="35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Nur Kfz-Versicherung, British Columbia (Kanada: Führerschein und Auto)</w:t>
            </w:r>
          </w:p>
        </w:tc>
      </w:tr>
      <w:tr>
        <w:trPr>
          <w:cantSplit w:val="true"/>
        </w:trPr>
        <w:tc>
          <w:tcPr>
            <w:tcW w:w="19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Kinderbetreuung/Schule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 CAD</w:t>
            </w:r>
          </w:p>
        </w:tc>
        <w:tc>
          <w:tcPr>
            <w:tcW w:w="35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Elternteil betreut die Kinder; öffentliche Schule kostenfrei (Kanada: Kinder, Schule und Sprache)</w:t>
            </w:r>
          </w:p>
        </w:tc>
      </w:tr>
      <w:tr>
        <w:trPr>
          <w:cantSplit w:val="true"/>
        </w:trPr>
        <w:tc>
          <w:tcPr>
            <w:tcW w:w="19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Sonstiges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250 CAD</w:t>
            </w:r>
          </w:p>
        </w:tc>
        <w:tc>
          <w:tcPr>
            <w:tcW w:w="35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Schätzung: Haftpflicht, Freizeit, freiwillige Schulbeiträge</w:t>
            </w:r>
          </w:p>
        </w:tc>
      </w:tr>
      <w:tr>
        <w:trPr>
          <w:cantSplit w:val="true"/>
        </w:trPr>
        <w:tc>
          <w:tcPr>
            <w:tcW w:w="19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Netto verfügbares Einkommen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1.635 CAD</w:t>
            </w:r>
          </w:p>
        </w:tc>
        <w:tc>
          <w:tcPr>
            <w:tcW w:w="35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entspricht 24,4 % des Nettos nach Steuern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Australien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australische Referenzfamilie hält dieselbe Konstellation: Ehepaar mit zwei Kindern unter 17 Jahren, ein Einkommen, ein Elternteil betreut die Kinder zu Hause, öffentliche Schule kostenlos. Die Familie lebt mit einem Permanent-Visum wie dem Skilled Independent Visa (Subclass 189) in Sydney, New South Wales – der teuersten Stadt Australiens (Australien: Wohnen) – und ist damit ab der Einreise bei Medicare versichert; die Medicare Levy von 2 % steckt bereits in der Steuerzeile, eine Medicare Levy Surcharge fällt unterhalb der Familien-Schwelle von 210.000 AUD nicht an (Australien: Gesundheitssystem). Das Bruttogehalt orientiert sich an den genannten Ingenieursgehältern (Australien: Wohnen); Steuern sind vereinfacht nach der australischen Einkommensteuertabelle 2026/27 berechnet (Australien: Steuern).</w:t>
      </w:r>
    </w:p>
    <w:tbl>
      <w:tblPr>
        <w:tblW w:w="6480" w:type="dxa"/>
        <w:jc w:val="left"/>
        <w:tblInd w:w="0" w:type="dxa"/>
        <w:tblLayout w:type="fixed"/>
        <w:tblCellMar>
          <w:top w:w="50" w:type="dxa"/>
          <w:left w:w="80" w:type="dxa"/>
          <w:bottom w:w="50" w:type="dxa"/>
          <w:right w:w="80" w:type="dxa"/>
        </w:tblCellMar>
      </w:tblPr>
      <w:tblGrid>
        <w:gridCol w:w="1717"/>
        <w:gridCol w:w="950"/>
        <w:gridCol w:w="3813"/>
      </w:tblGrid>
      <w:tr>
        <w:trPr>
          <w:tblHeader w:val="true"/>
          <w:cantSplit w:val="true"/>
        </w:trPr>
        <w:tc>
          <w:tcPr>
            <w:tcW w:w="171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Posten</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Betrag pro Monat</w:t>
            </w:r>
          </w:p>
        </w:tc>
        <w:tc>
          <w:tcPr>
            <w:tcW w:w="381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Anmerkung</w:t>
            </w:r>
          </w:p>
        </w:tc>
      </w:tr>
      <w:tr>
        <w:trPr>
          <w:cantSplit w:val="true"/>
        </w:trPr>
        <w:tc>
          <w:tcPr>
            <w:tcW w:w="17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Bruttogehalt (Familie)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12.500 AUD</w:t>
            </w:r>
          </w:p>
        </w:tc>
        <w:tc>
          <w:tcPr>
            <w:tcW w:w="38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Vergleichbares Ingenieursgehalt (Australien: Wohnen)</w:t>
            </w:r>
          </w:p>
        </w:tc>
      </w:tr>
      <w:tr>
        <w:trPr>
          <w:cantSplit w:val="true"/>
        </w:trPr>
        <w:tc>
          <w:tcPr>
            <w:tcW w:w="17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Steuern und Sozialabgaben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3.298 AUD</w:t>
            </w:r>
          </w:p>
        </w:tc>
        <w:tc>
          <w:tcPr>
            <w:tcW w:w="38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Einkommensteuer plus Medicare Levy; vereinfacht (Australien: Steuern)</w:t>
            </w:r>
          </w:p>
        </w:tc>
      </w:tr>
      <w:tr>
        <w:trPr>
          <w:cantSplit w:val="true"/>
        </w:trPr>
        <w:tc>
          <w:tcPr>
            <w:tcW w:w="17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Netto nach Steuern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9.202 AUD</w:t>
            </w:r>
          </w:p>
        </w:tc>
        <w:tc>
          <w:tcPr>
            <w:tcW w:w="38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Eigene Berechnung nach der Steuertabelle 2026/27 (Australien: Steuern)</w:t>
            </w:r>
          </w:p>
        </w:tc>
      </w:tr>
      <w:tr>
        <w:trPr>
          <w:cantSplit w:val="true"/>
        </w:trPr>
        <w:tc>
          <w:tcPr>
            <w:tcW w:w="17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Miete (Haus, Sydney)</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3.683 AUD</w:t>
            </w:r>
          </w:p>
        </w:tc>
        <w:tc>
          <w:tcPr>
            <w:tcW w:w="38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Durchschnittsmiete Haus, teuerste Stadt Australiens (Australien: Wohnen)</w:t>
            </w:r>
          </w:p>
        </w:tc>
      </w:tr>
      <w:tr>
        <w:trPr>
          <w:cantSplit w:val="true"/>
        </w:trPr>
        <w:tc>
          <w:tcPr>
            <w:tcW w:w="17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Nebenkosten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300 AUD</w:t>
            </w:r>
          </w:p>
        </w:tc>
        <w:tc>
          <w:tcPr>
            <w:tcW w:w="38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Grobe Schätzung, keine Australien-spezifische Zahl vorhanden</w:t>
            </w:r>
          </w:p>
        </w:tc>
      </w:tr>
      <w:tr>
        <w:trPr>
          <w:cantSplit w:val="true"/>
        </w:trPr>
        <w:tc>
          <w:tcPr>
            <w:tcW w:w="17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Krankenversicherung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 AUD</w:t>
            </w:r>
          </w:p>
        </w:tc>
        <w:tc>
          <w:tcPr>
            <w:tcW w:w="38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Medicare Levy bereits in der Steuerzeile; keine Surcharge unterhalb der Familien-Schwelle (Australien: Gesundheitssystem)</w:t>
            </w:r>
          </w:p>
        </w:tc>
      </w:tr>
      <w:tr>
        <w:trPr>
          <w:cantSplit w:val="true"/>
        </w:trPr>
        <w:tc>
          <w:tcPr>
            <w:tcW w:w="17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Lebensmittel</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1.400 AUD</w:t>
            </w:r>
          </w:p>
        </w:tc>
        <w:tc>
          <w:tcPr>
            <w:tcW w:w="38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Grobe Schätzung, keine Australien-spezifische Zahl vorhanden</w:t>
            </w:r>
          </w:p>
        </w:tc>
      </w:tr>
      <w:tr>
        <w:trPr>
          <w:cantSplit w:val="true"/>
        </w:trPr>
        <w:tc>
          <w:tcPr>
            <w:tcW w:w="17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Auto und Versicherung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150 AUD</w:t>
            </w:r>
          </w:p>
        </w:tc>
        <w:tc>
          <w:tcPr>
            <w:tcW w:w="38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Zulassung inkl. CTP plus Kfz-Versicherung, grobe Schätzung (Australien: Führerschein und Auto)</w:t>
            </w:r>
          </w:p>
        </w:tc>
      </w:tr>
      <w:tr>
        <w:trPr>
          <w:cantSplit w:val="true"/>
        </w:trPr>
        <w:tc>
          <w:tcPr>
            <w:tcW w:w="17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Kinderbetreuung/Schule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 AUD</w:t>
            </w:r>
          </w:p>
        </w:tc>
        <w:tc>
          <w:tcPr>
            <w:tcW w:w="38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Elternteil betreut die Kinder; öffentliche Schule kostenlos (Australien: Kinder, Schule und Sprache)</w:t>
            </w:r>
          </w:p>
        </w:tc>
      </w:tr>
      <w:tr>
        <w:trPr>
          <w:cantSplit w:val="true"/>
        </w:trPr>
        <w:tc>
          <w:tcPr>
            <w:tcW w:w="17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Sonstiges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300 AUD</w:t>
            </w:r>
          </w:p>
        </w:tc>
        <w:tc>
          <w:tcPr>
            <w:tcW w:w="38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Schätzung: Haftpflicht, Freizeit, freiwillige Schulbeiträge</w:t>
            </w:r>
          </w:p>
        </w:tc>
      </w:tr>
      <w:tr>
        <w:trPr>
          <w:cantSplit w:val="true"/>
        </w:trPr>
        <w:tc>
          <w:tcPr>
            <w:tcW w:w="171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Netto verfügbares Einkommen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3.369 AUD</w:t>
            </w:r>
          </w:p>
        </w:tc>
        <w:tc>
          <w:tcPr>
            <w:tcW w:w="381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entspricht 36,6 % des Nettos nach Steuern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Neuseeland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Auch die neuseeländische Referenzfamilie hält dieselbe Konstellation: Ehepaar mit zwei Kindern unter 17 Jahren, ein Einkommen, ein Elternteil betreut die Kinder zu Hause, öffentliche Schule gebührenfrei. Die Familie zieht mit einem Resident-Visum wie dem Skilled Migrant Category Resident Visa nach Auckland – der teuersten Stadt Neuseelands (Neuseeland: Wohnen) – und hat damit ab dem ersten Tag Zugang zum öffentlichen Gesundheitssystem, ohne die Zwei-Jahres-Wartefrist befristeter Arbeitsvisa (Neuseeland: Gesundheitssystem). Das Bruttogehalt orientiert sich an den für Auckland genannten Senior-Ingenieursgehältern von 140.000 bis 170.000 NZD (Neuseeland: Wohnen); Steuern und ACC-Arbeitnehmerbeitrag sind vereinfacht nach der neuseeländischen Steuertabelle 2026/27 berechnet (Neuseeland: Steuern).</w:t>
      </w:r>
    </w:p>
    <w:tbl>
      <w:tblPr>
        <w:tblW w:w="6480" w:type="dxa"/>
        <w:jc w:val="left"/>
        <w:tblInd w:w="0" w:type="dxa"/>
        <w:tblLayout w:type="fixed"/>
        <w:tblCellMar>
          <w:top w:w="50" w:type="dxa"/>
          <w:left w:w="80" w:type="dxa"/>
          <w:bottom w:w="50" w:type="dxa"/>
          <w:right w:w="80" w:type="dxa"/>
        </w:tblCellMar>
      </w:tblPr>
      <w:tblGrid>
        <w:gridCol w:w="1724"/>
        <w:gridCol w:w="950"/>
        <w:gridCol w:w="3806"/>
      </w:tblGrid>
      <w:tr>
        <w:trPr>
          <w:tblHeader w:val="true"/>
          <w:cantSplit w:val="true"/>
        </w:trPr>
        <w:tc>
          <w:tcPr>
            <w:tcW w:w="172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Posten</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Betrag pro Monat</w:t>
            </w:r>
          </w:p>
        </w:tc>
        <w:tc>
          <w:tcPr>
            <w:tcW w:w="380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Anmerkung</w:t>
            </w:r>
          </w:p>
        </w:tc>
      </w:tr>
      <w:tr>
        <w:trPr>
          <w:cantSplit w:val="true"/>
        </w:trPr>
        <w:tc>
          <w:tcPr>
            <w:tcW w:w="17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Bruttogehalt (Familie)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12.500 NZD</w:t>
            </w:r>
          </w:p>
        </w:tc>
        <w:tc>
          <w:tcPr>
            <w:tcW w:w="38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Senior-Ingenieursgehalt, Auckland, 140.000–170.000 NZD Spanne (Neuseeland: Wohnen)</w:t>
            </w:r>
          </w:p>
        </w:tc>
      </w:tr>
      <w:tr>
        <w:trPr>
          <w:cantSplit w:val="true"/>
        </w:trPr>
        <w:tc>
          <w:tcPr>
            <w:tcW w:w="17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Steuern und Sozialabgaben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3.500 NZD</w:t>
            </w:r>
          </w:p>
        </w:tc>
        <w:tc>
          <w:tcPr>
            <w:tcW w:w="38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Einkommensteuer ohne Grundfreibetrag plus ACC Earner’s Levy; vereinfacht (Neuseeland: Steuern)</w:t>
            </w:r>
          </w:p>
        </w:tc>
      </w:tr>
      <w:tr>
        <w:trPr>
          <w:cantSplit w:val="true"/>
        </w:trPr>
        <w:tc>
          <w:tcPr>
            <w:tcW w:w="17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Netto nach Steuern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9.000 NZD</w:t>
            </w:r>
          </w:p>
        </w:tc>
        <w:tc>
          <w:tcPr>
            <w:tcW w:w="38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Eigene Berechnung nach der Steuertabelle 2026/27 (Neuseeland: Steuern)</w:t>
            </w:r>
          </w:p>
        </w:tc>
      </w:tr>
      <w:tr>
        <w:trPr>
          <w:cantSplit w:val="true"/>
        </w:trPr>
        <w:tc>
          <w:tcPr>
            <w:tcW w:w="17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Miete (Haus, Auckland)</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2.752 NZD</w:t>
            </w:r>
          </w:p>
        </w:tc>
        <w:tc>
          <w:tcPr>
            <w:tcW w:w="38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Durchschnittsmiete, teuerste Stadt Neuseelands (Neuseeland: Wohnen)</w:t>
            </w:r>
          </w:p>
        </w:tc>
      </w:tr>
      <w:tr>
        <w:trPr>
          <w:cantSplit w:val="true"/>
        </w:trPr>
        <w:tc>
          <w:tcPr>
            <w:tcW w:w="17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Nebenkosten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300 NZD</w:t>
            </w:r>
          </w:p>
        </w:tc>
        <w:tc>
          <w:tcPr>
            <w:tcW w:w="38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Grobe Schätzung, keine Neuseeland-spezifische Zahl vorhanden</w:t>
            </w:r>
          </w:p>
        </w:tc>
      </w:tr>
      <w:tr>
        <w:trPr>
          <w:cantSplit w:val="true"/>
        </w:trPr>
        <w:tc>
          <w:tcPr>
            <w:tcW w:w="17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Krankenversicherung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 NZD</w:t>
            </w:r>
          </w:p>
        </w:tc>
        <w:tc>
          <w:tcPr>
            <w:tcW w:w="38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Öffentliches System ab Tag 1 bei Resident-Visum (Neuseeland: Gesundheitssystem); Zahn/Augenoptik zusätzlich privat</w:t>
            </w:r>
          </w:p>
        </w:tc>
      </w:tr>
      <w:tr>
        <w:trPr>
          <w:cantSplit w:val="true"/>
        </w:trPr>
        <w:tc>
          <w:tcPr>
            <w:tcW w:w="17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Lebensmittel</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1.300 NZD</w:t>
            </w:r>
          </w:p>
        </w:tc>
        <w:tc>
          <w:tcPr>
            <w:tcW w:w="38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Grobe Schätzung, keine Neuseeland-spezifische Zahl vorhanden</w:t>
            </w:r>
          </w:p>
        </w:tc>
      </w:tr>
      <w:tr>
        <w:trPr>
          <w:cantSplit w:val="true"/>
        </w:trPr>
        <w:tc>
          <w:tcPr>
            <w:tcW w:w="17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Auto und Versicherung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109 NZD</w:t>
            </w:r>
          </w:p>
        </w:tc>
        <w:tc>
          <w:tcPr>
            <w:tcW w:w="38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Durchschnittliche Vollkaskoprämie (Neuseeland: Führerschein und Auto)</w:t>
            </w:r>
          </w:p>
        </w:tc>
      </w:tr>
      <w:tr>
        <w:trPr>
          <w:cantSplit w:val="true"/>
        </w:trPr>
        <w:tc>
          <w:tcPr>
            <w:tcW w:w="17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Kinderbetreuung/Schule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0 NZD</w:t>
            </w:r>
          </w:p>
        </w:tc>
        <w:tc>
          <w:tcPr>
            <w:tcW w:w="38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 Elternteil betreut die Kinder; öffentliche Schule gebührenfrei (Neuseeland: Kinder, Schule und Sprache)</w:t>
            </w:r>
          </w:p>
        </w:tc>
      </w:tr>
      <w:tr>
        <w:trPr>
          <w:cantSplit w:val="true"/>
        </w:trPr>
        <w:tc>
          <w:tcPr>
            <w:tcW w:w="17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Sonstiges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300 NZD</w:t>
            </w:r>
          </w:p>
        </w:tc>
        <w:tc>
          <w:tcPr>
            <w:tcW w:w="38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Schätzung: Haftpflicht, Freizeit, freiwillige Schulspende</w:t>
            </w:r>
          </w:p>
        </w:tc>
      </w:tr>
      <w:tr>
        <w:trPr>
          <w:cantSplit w:val="true"/>
        </w:trPr>
        <w:tc>
          <w:tcPr>
            <w:tcW w:w="17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Netto verfügbares Einkommen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bCs/>
                <w:i w:val="false"/>
                <w:iCs w:val="false"/>
                <w:sz w:val="18"/>
                <w:szCs w:val="18"/>
              </w:rPr>
              <w:t>4.239 NZD</w:t>
            </w:r>
          </w:p>
        </w:tc>
        <w:tc>
          <w:tcPr>
            <w:tcW w:w="38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entspricht 47,1 % des Nettos nach Steuern</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Diese Budgets sind vereinfachte Näherungen auf Basis der in Kapitel </w:t>
            </w:r>
            <w:hyperlink w:anchor="k3">
              <w:r>
                <w:rPr>
                  <w:rStyle w:val="ListLabel114"/>
                  <w:rFonts w:eastAsia="Cambria" w:cs="Cambria"/>
                  <w:b w:val="false"/>
                  <w:bCs w:val="false"/>
                  <w:i w:val="false"/>
                  <w:iCs w:val="false"/>
                  <w:sz w:val="20"/>
                  <w:szCs w:val="20"/>
                </w:rPr>
                <w:t>3</w:t>
              </w:r>
            </w:hyperlink>
            <w:r>
              <w:rPr>
                <w:rFonts w:eastAsia="Cambria" w:cs="Cambria"/>
                <w:b w:val="false"/>
                <w:bCs w:val="false"/>
                <w:i w:val="false"/>
                <w:iCs w:val="false"/>
                <w:sz w:val="20"/>
                <w:szCs w:val="20"/>
              </w:rPr>
              <w:t xml:space="preserve">, </w:t>
            </w:r>
            <w:hyperlink w:anchor="k12">
              <w:r>
                <w:rPr>
                  <w:rStyle w:val="ListLabel114"/>
                  <w:rFonts w:eastAsia="Cambria" w:cs="Cambria"/>
                  <w:b w:val="false"/>
                  <w:bCs w:val="false"/>
                  <w:i w:val="false"/>
                  <w:iCs w:val="false"/>
                  <w:sz w:val="20"/>
                  <w:szCs w:val="20"/>
                </w:rPr>
                <w:t>12</w:t>
              </w:r>
            </w:hyperlink>
            <w:r>
              <w:rPr>
                <w:rFonts w:eastAsia="Cambria" w:cs="Cambria"/>
                <w:b w:val="false"/>
                <w:bCs w:val="false"/>
                <w:i w:val="false"/>
                <w:iCs w:val="false"/>
                <w:sz w:val="20"/>
                <w:szCs w:val="20"/>
              </w:rPr>
              <w:t xml:space="preserve">, </w:t>
            </w:r>
            <w:hyperlink w:anchor="k13">
              <w:r>
                <w:rPr>
                  <w:rStyle w:val="ListLabel114"/>
                  <w:rFonts w:eastAsia="Cambria" w:cs="Cambria"/>
                  <w:b w:val="false"/>
                  <w:bCs w:val="false"/>
                  <w:i w:val="false"/>
                  <w:iCs w:val="false"/>
                  <w:sz w:val="20"/>
                  <w:szCs w:val="20"/>
                </w:rPr>
                <w:t>13</w:t>
              </w:r>
            </w:hyperlink>
            <w:r>
              <w:rPr>
                <w:rFonts w:eastAsia="Cambria" w:cs="Cambria"/>
                <w:b w:val="false"/>
                <w:bCs w:val="false"/>
                <w:i w:val="false"/>
                <w:iCs w:val="false"/>
                <w:sz w:val="20"/>
                <w:szCs w:val="20"/>
              </w:rPr>
              <w:t xml:space="preserve">, </w:t>
            </w:r>
            <w:hyperlink w:anchor="k14">
              <w:r>
                <w:rPr>
                  <w:rStyle w:val="ListLabel114"/>
                  <w:rFonts w:eastAsia="Cambria" w:cs="Cambria"/>
                  <w:b w:val="false"/>
                  <w:bCs w:val="false"/>
                  <w:i w:val="false"/>
                  <w:iCs w:val="false"/>
                  <w:sz w:val="20"/>
                  <w:szCs w:val="20"/>
                </w:rPr>
                <w:t>14</w:t>
              </w:r>
            </w:hyperlink>
            <w:r>
              <w:rPr>
                <w:rFonts w:eastAsia="Cambria" w:cs="Cambria"/>
                <w:b w:val="false"/>
                <w:bCs w:val="false"/>
                <w:i w:val="false"/>
                <w:iCs w:val="false"/>
                <w:sz w:val="20"/>
                <w:szCs w:val="20"/>
              </w:rPr>
              <w:t xml:space="preserve">, </w:t>
            </w:r>
            <w:hyperlink w:anchor="k27">
              <w:r>
                <w:rPr>
                  <w:rStyle w:val="ListLabel114"/>
                  <w:rFonts w:eastAsia="Cambria" w:cs="Cambria"/>
                  <w:b w:val="false"/>
                  <w:bCs w:val="false"/>
                  <w:i w:val="false"/>
                  <w:iCs w:val="false"/>
                  <w:sz w:val="20"/>
                  <w:szCs w:val="20"/>
                </w:rPr>
                <w:t>27</w:t>
              </w:r>
            </w:hyperlink>
            <w:r>
              <w:rPr>
                <w:rFonts w:eastAsia="Cambria" w:cs="Cambria"/>
                <w:b w:val="false"/>
                <w:bCs w:val="false"/>
                <w:i w:val="false"/>
                <w:iCs w:val="false"/>
                <w:sz w:val="20"/>
                <w:szCs w:val="20"/>
              </w:rPr>
              <w:t xml:space="preserve">, </w:t>
            </w:r>
            <w:hyperlink w:anchor="k28">
              <w:r>
                <w:rPr>
                  <w:rStyle w:val="ListLabel114"/>
                  <w:rFonts w:eastAsia="Cambria" w:cs="Cambria"/>
                  <w:b w:val="false"/>
                  <w:bCs w:val="false"/>
                  <w:i w:val="false"/>
                  <w:iCs w:val="false"/>
                  <w:sz w:val="20"/>
                  <w:szCs w:val="20"/>
                </w:rPr>
                <w:t>28</w:t>
              </w:r>
            </w:hyperlink>
            <w:r>
              <w:rPr>
                <w:rFonts w:eastAsia="Cambria" w:cs="Cambria"/>
                <w:b w:val="false"/>
                <w:bCs w:val="false"/>
                <w:i w:val="false"/>
                <w:iCs w:val="false"/>
                <w:sz w:val="20"/>
                <w:szCs w:val="20"/>
              </w:rPr>
              <w:t xml:space="preserve">, </w:t>
            </w:r>
            <w:hyperlink w:anchor="k35">
              <w:r>
                <w:rPr>
                  <w:rStyle w:val="ListLabel114"/>
                  <w:rFonts w:eastAsia="Cambria" w:cs="Cambria"/>
                  <w:b w:val="false"/>
                  <w:bCs w:val="false"/>
                  <w:i w:val="false"/>
                  <w:iCs w:val="false"/>
                  <w:sz w:val="20"/>
                  <w:szCs w:val="20"/>
                </w:rPr>
                <w:t>35</w:t>
              </w:r>
            </w:hyperlink>
            <w:r>
              <w:rPr>
                <w:rFonts w:eastAsia="Cambria" w:cs="Cambria"/>
                <w:b w:val="false"/>
                <w:bCs w:val="false"/>
                <w:i w:val="false"/>
                <w:iCs w:val="false"/>
                <w:sz w:val="20"/>
                <w:szCs w:val="20"/>
              </w:rPr>
              <w:t xml:space="preserve"> und </w:t>
            </w:r>
            <w:hyperlink w:anchor="k38">
              <w:r>
                <w:rPr>
                  <w:rStyle w:val="ListLabel114"/>
                  <w:rFonts w:eastAsia="Cambria" w:cs="Cambria"/>
                  <w:b w:val="false"/>
                  <w:bCs w:val="false"/>
                  <w:i w:val="false"/>
                  <w:iCs w:val="false"/>
                  <w:sz w:val="20"/>
                  <w:szCs w:val="20"/>
                </w:rPr>
                <w:t>38</w:t>
              </w:r>
            </w:hyperlink>
            <w:r>
              <w:rPr>
                <w:rFonts w:eastAsia="Cambria" w:cs="Cambria"/>
                <w:b w:val="false"/>
                <w:bCs w:val="false"/>
                <w:i w:val="false"/>
                <w:iCs w:val="false"/>
                <w:sz w:val="20"/>
                <w:szCs w:val="20"/>
              </w:rPr>
              <w:t xml:space="preserve"> geprüften Zahlen; sie ersetzen keine individuelle Berechnung mit dem eigenen Gehalt, Wohnort und der eigenen Familiengröße. Mieten, Krankenversicherungsprämien, Lebensmittelpreise und Steuersätze ändern sich laufend – rechne vor jeder Entscheidung mit aktuellen Zahlen. Die Budgets für Kanada, Australien und Neuseeland beruhen ebenso vereinfacht auf den Steuer-, Gesundheits- und Wohnen-Kapiteln der jeweiligen Länderteile; Nebenkosten und Lebensmittel sind dort mangels landesspezifischer Zahlen grobe, gekennzeichnete Schätzungen.</w:t>
            </w:r>
          </w:p>
        </w:tc>
      </w:tr>
    </w:tbl>
    <w:p>
      <w:pPr>
        <w:pStyle w:val="Normal"/>
        <w:spacing w:lineRule="exact" w:line="220" w:before="0" w:after="0"/>
        <w:rPr/>
      </w:pPr>
      <w:r>
        <w:rPr/>
      </w:r>
      <w:r>
        <w:br w:type="page"/>
      </w:r>
    </w:p>
    <w:p>
      <w:pPr>
        <w:pStyle w:val="Heading2"/>
        <w:keepNext w:val="true"/>
        <w:spacing w:before="0" w:after="300"/>
        <w:jc w:val="center"/>
        <w:rPr/>
      </w:pPr>
      <w:bookmarkStart w:id="212" w:name="__RefHeading___Toc56643_3769931028"/>
      <w:bookmarkStart w:id="213" w:name="anhang_f"/>
      <w:bookmarkEnd w:id="212"/>
      <w:r>
        <w:rPr>
          <w:rFonts w:eastAsia="Amazon Ember" w:cs="Amazon Ember" w:ascii="Amazon Ember" w:hAnsi="Amazon Ember"/>
          <w:b/>
          <w:bCs/>
          <w:color w:val="0000FF"/>
          <w:sz w:val="36"/>
          <w:szCs w:val="36"/>
        </w:rPr>
        <w:t>Anhang F: Offizielle Quellen und Adressen</w:t>
      </w:r>
      <w:bookmarkEnd w:id="213"/>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Diese Liste bündelt die offiziellen und seriösen Adressen aus allen Kapiteln der vier Länderteile — USA, Kanada, Australien, Neuseeland — an einem Ort, dedupliziert und nach Land und Themenbereich geordnet. Für die USA zeigt die Spalte „Kapitel“, wo eine Quelle im Buch vertieft erklärt wird. Bei Kanada, Australien und Neuseeland steht dort statt einer Kapitelzahl eine kurze Referenz auf den Themenbereich (z. B. „Kanada: Einwanderung“), da die Kapitelzählung dieser drei Länderteile eigenständig ist. Die ausführliche Quellenliste mit Kontext steht zusätzlich am Ende jedes Kapitels. Kurzadressen stehen ohne „https://“.</w:t>
      </w:r>
      <w:r>
        <w:br w:type="page"/>
      </w:r>
    </w:p>
    <w:p>
      <w:pPr>
        <w:pStyle w:val="Heading2"/>
        <w:keepNext w:val="true"/>
        <w:spacing w:before="0" w:after="300"/>
        <w:jc w:val="center"/>
        <w:rPr/>
      </w:pPr>
      <w:bookmarkStart w:id="214" w:name="__RefHeading___Toc56645_3769931028"/>
      <w:bookmarkStart w:id="215" w:name="s101"/>
      <w:bookmarkEnd w:id="214"/>
      <w:r>
        <w:rPr>
          <w:rFonts w:eastAsia="Amazon Ember" w:cs="Amazon Ember" w:ascii="Amazon Ember" w:hAnsi="Amazon Ember"/>
          <w:b/>
          <w:bCs/>
          <w:color w:val="0000FF"/>
          <w:sz w:val="36"/>
          <w:szCs w:val="36"/>
        </w:rPr>
        <w:t>USA</w:t>
      </w:r>
      <w:bookmarkEnd w:id="215"/>
    </w:p>
    <w:p>
      <w:pPr>
        <w:pStyle w:val="Heading3"/>
        <w:keepNext w:val="true"/>
        <w:spacing w:before="280" w:after="100"/>
        <w:jc w:val="center"/>
        <w:rPr/>
      </w:pPr>
      <w:r>
        <w:rPr>
          <w:rFonts w:eastAsia="Amazon Ember" w:cs="Amazon Ember" w:ascii="Amazon Ember" w:hAnsi="Amazon Ember"/>
          <w:b/>
          <w:bCs/>
          <w:color w:val="0000FF"/>
          <w:sz w:val="36"/>
          <w:szCs w:val="36"/>
        </w:rPr>
        <w:t>US-Einwanderungsbehörden</w:t>
      </w:r>
    </w:p>
    <w:tbl>
      <w:tblPr>
        <w:tblW w:w="6480" w:type="dxa"/>
        <w:jc w:val="left"/>
        <w:tblInd w:w="0" w:type="dxa"/>
        <w:tblLayout w:type="fixed"/>
        <w:tblCellMar>
          <w:top w:w="50" w:type="dxa"/>
          <w:left w:w="80" w:type="dxa"/>
          <w:bottom w:w="50" w:type="dxa"/>
          <w:right w:w="80" w:type="dxa"/>
        </w:tblCellMar>
      </w:tblPr>
      <w:tblGrid>
        <w:gridCol w:w="2695"/>
        <w:gridCol w:w="2697"/>
        <w:gridCol w:w="1088"/>
      </w:tblGrid>
      <w:tr>
        <w:trPr>
          <w:tblHeader w:val="true"/>
          <w:cantSplit w:val="true"/>
        </w:trPr>
        <w:tc>
          <w:tcPr>
            <w:tcW w:w="269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269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08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ceac.state.gov/genniv</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DS-160 ausfüllen, Statusabfrage</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1">
              <w:r>
                <w:rPr>
                  <w:rStyle w:val="ListLabel112"/>
                  <w:rFonts w:eastAsia="Cambria" w:cs="Cambria"/>
                  <w:b w:val="false"/>
                  <w:bCs w:val="false"/>
                  <w:i w:val="false"/>
                  <w:iCs w:val="false"/>
                  <w:sz w:val="18"/>
                  <w:szCs w:val="18"/>
                </w:rPr>
                <w:t>11</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cbp.gov/travel (auch esta.cbp.dhs.gov, cbp.gov/travel/international-visitors/visa-waiver-program)</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ESTA und Visa Waiver Program</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
              <w:r>
                <w:rPr>
                  <w:rStyle w:val="ListLabel112"/>
                  <w:rFonts w:eastAsia="Cambria" w:cs="Cambria"/>
                  <w:b w:val="false"/>
                  <w:bCs w:val="false"/>
                  <w:i w:val="false"/>
                  <w:iCs w:val="false"/>
                  <w:sz w:val="18"/>
                  <w:szCs w:val="18"/>
                </w:rPr>
                <w:t>4</w:t>
              </w:r>
            </w:hyperlink>
            <w:r>
              <w:rPr>
                <w:rFonts w:eastAsia="Cambria" w:cs="Cambria"/>
                <w:b w:val="false"/>
                <w:bCs w:val="false"/>
                <w:i w:val="false"/>
                <w:iCs w:val="false"/>
                <w:sz w:val="18"/>
                <w:szCs w:val="18"/>
              </w:rPr>
              <w:t xml:space="preserve">, </w:t>
            </w:r>
            <w:hyperlink w:anchor="k9">
              <w:r>
                <w:rPr>
                  <w:rStyle w:val="ListLabel112"/>
                  <w:rFonts w:eastAsia="Cambria" w:cs="Cambria"/>
                  <w:b w:val="false"/>
                  <w:bCs w:val="false"/>
                  <w:i w:val="false"/>
                  <w:iCs w:val="false"/>
                  <w:sz w:val="18"/>
                  <w:szCs w:val="18"/>
                </w:rPr>
                <w:t>9</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cbp.gov/travel/international-visitors/i-94 (auch i94.cbp.dhs.gov)</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Einreisenachweis I-94, elektronischer Abruf</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0">
              <w:r>
                <w:rPr>
                  <w:rStyle w:val="ListLabel112"/>
                  <w:rFonts w:eastAsia="Cambria" w:cs="Cambria"/>
                  <w:b w:val="false"/>
                  <w:bCs w:val="false"/>
                  <w:i w:val="false"/>
                  <w:iCs w:val="false"/>
                  <w:sz w:val="18"/>
                  <w:szCs w:val="18"/>
                </w:rPr>
                <w:t>10</w:t>
              </w:r>
            </w:hyperlink>
            <w:r>
              <w:rPr>
                <w:rFonts w:eastAsia="Cambria" w:cs="Cambria"/>
                <w:b w:val="false"/>
                <w:bCs w:val="false"/>
                <w:i w:val="false"/>
                <w:iCs w:val="false"/>
                <w:sz w:val="18"/>
                <w:szCs w:val="18"/>
              </w:rPr>
              <w:t xml:space="preserve">, </w:t>
            </w:r>
            <w:hyperlink w:anchor="k23">
              <w:r>
                <w:rPr>
                  <w:rStyle w:val="ListLabel112"/>
                  <w:rFonts w:eastAsia="Cambria" w:cs="Cambria"/>
                  <w:b w:val="false"/>
                  <w:bCs w:val="false"/>
                  <w:i w:val="false"/>
                  <w:iCs w:val="false"/>
                  <w:sz w:val="18"/>
                  <w:szCs w:val="18"/>
                </w:rPr>
                <w:t>23</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cbp.gov/document/forms/form-3299-declaration-free-entry-unaccompanied-articles (auch cbp.gov, Suche „household effects“)</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Zollerklärung für Umzugsgut, Form 3299</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0">
              <w:r>
                <w:rPr>
                  <w:rStyle w:val="ListLabel112"/>
                  <w:rFonts w:eastAsia="Cambria" w:cs="Cambria"/>
                  <w:b w:val="false"/>
                  <w:bCs w:val="false"/>
                  <w:i w:val="false"/>
                  <w:iCs w:val="false"/>
                  <w:sz w:val="18"/>
                  <w:szCs w:val="18"/>
                </w:rPr>
                <w:t>20</w:t>
              </w:r>
            </w:hyperlink>
            <w:r>
              <w:rPr>
                <w:rFonts w:eastAsia="Cambria" w:cs="Cambria"/>
                <w:b w:val="false"/>
                <w:bCs w:val="false"/>
                <w:i w:val="false"/>
                <w:iCs w:val="false"/>
                <w:sz w:val="18"/>
                <w:szCs w:val="18"/>
              </w:rPr>
              <w:t xml:space="preserve">, </w:t>
            </w:r>
            <w:hyperlink w:anchor="k21">
              <w:r>
                <w:rPr>
                  <w:rStyle w:val="ListLabel112"/>
                  <w:rFonts w:eastAsia="Cambria" w:cs="Cambria"/>
                  <w:b w:val="false"/>
                  <w:bCs w:val="false"/>
                  <w:i w:val="false"/>
                  <w:iCs w:val="false"/>
                  <w:sz w:val="18"/>
                  <w:szCs w:val="18"/>
                </w:rPr>
                <w:t>21</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cbp.gov/trade/basic-import-export/importing-car</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Fahrzeuge in die USA einführen</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7">
              <w:r>
                <w:rPr>
                  <w:rStyle w:val="ListLabel112"/>
                  <w:rFonts w:eastAsia="Cambria" w:cs="Cambria"/>
                  <w:b w:val="false"/>
                  <w:bCs w:val="false"/>
                  <w:i w:val="false"/>
                  <w:iCs w:val="false"/>
                  <w:sz w:val="18"/>
                  <w:szCs w:val="18"/>
                </w:rPr>
                <w:t>27</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cbp.gov</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Einfuhr von Lebensmitteln (Suche: prohibited and restricted items), Reisen mit Medikamenten</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8">
              <w:r>
                <w:rPr>
                  <w:rStyle w:val="ListLabel112"/>
                  <w:rFonts w:eastAsia="Cambria" w:cs="Cambria"/>
                  <w:b w:val="false"/>
                  <w:bCs w:val="false"/>
                  <w:i w:val="false"/>
                  <w:iCs w:val="false"/>
                  <w:sz w:val="18"/>
                  <w:szCs w:val="18"/>
                </w:rPr>
                <w:t>18</w:t>
              </w:r>
            </w:hyperlink>
            <w:r>
              <w:rPr>
                <w:rFonts w:eastAsia="Cambria" w:cs="Cambria"/>
                <w:b w:val="false"/>
                <w:bCs w:val="false"/>
                <w:i w:val="false"/>
                <w:iCs w:val="false"/>
                <w:sz w:val="18"/>
                <w:szCs w:val="18"/>
              </w:rPr>
              <w:t xml:space="preserve">, </w:t>
            </w:r>
            <w:hyperlink w:anchor="k35">
              <w:r>
                <w:rPr>
                  <w:rStyle w:val="ListLabel112"/>
                  <w:rFonts w:eastAsia="Cambria" w:cs="Cambria"/>
                  <w:b w:val="false"/>
                  <w:bCs w:val="false"/>
                  <w:i w:val="false"/>
                  <w:iCs w:val="false"/>
                  <w:sz w:val="18"/>
                  <w:szCs w:val="18"/>
                </w:rPr>
                <w:t>35</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de.usembassy.gov/visas</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US-Botschaft und Konsulate in Deutschland, Visaverfahren und Terminportal</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5">
              <w:r>
                <w:rPr>
                  <w:rStyle w:val="ListLabel112"/>
                  <w:rFonts w:eastAsia="Cambria" w:cs="Cambria"/>
                  <w:b w:val="false"/>
                  <w:bCs w:val="false"/>
                  <w:i w:val="false"/>
                  <w:iCs w:val="false"/>
                  <w:sz w:val="18"/>
                  <w:szCs w:val="18"/>
                </w:rPr>
                <w:t>5</w:t>
              </w:r>
            </w:hyperlink>
            <w:r>
              <w:rPr>
                <w:rFonts w:eastAsia="Cambria" w:cs="Cambria"/>
                <w:b w:val="false"/>
                <w:bCs w:val="false"/>
                <w:i w:val="false"/>
                <w:iCs w:val="false"/>
                <w:sz w:val="18"/>
                <w:szCs w:val="18"/>
              </w:rPr>
              <w:t xml:space="preserve">, </w:t>
            </w:r>
            <w:hyperlink w:anchor="k6">
              <w:r>
                <w:rPr>
                  <w:rStyle w:val="ListLabel112"/>
                  <w:rFonts w:eastAsia="Cambria" w:cs="Cambria"/>
                  <w:b w:val="false"/>
                  <w:bCs w:val="false"/>
                  <w:i w:val="false"/>
                  <w:iCs w:val="false"/>
                  <w:sz w:val="18"/>
                  <w:szCs w:val="18"/>
                </w:rPr>
                <w:t>6</w:t>
              </w:r>
            </w:hyperlink>
            <w:r>
              <w:rPr>
                <w:rFonts w:eastAsia="Cambria" w:cs="Cambria"/>
                <w:b w:val="false"/>
                <w:bCs w:val="false"/>
                <w:i w:val="false"/>
                <w:iCs w:val="false"/>
                <w:sz w:val="18"/>
                <w:szCs w:val="18"/>
              </w:rPr>
              <w:t xml:space="preserve">, </w:t>
            </w:r>
            <w:hyperlink w:anchor="k9">
              <w:r>
                <w:rPr>
                  <w:rStyle w:val="ListLabel112"/>
                  <w:rFonts w:eastAsia="Cambria" w:cs="Cambria"/>
                  <w:b w:val="false"/>
                  <w:bCs w:val="false"/>
                  <w:i w:val="false"/>
                  <w:iCs w:val="false"/>
                  <w:sz w:val="18"/>
                  <w:szCs w:val="18"/>
                </w:rPr>
                <w:t>9</w:t>
              </w:r>
            </w:hyperlink>
            <w:r>
              <w:rPr>
                <w:rFonts w:eastAsia="Cambria" w:cs="Cambria"/>
                <w:b w:val="false"/>
                <w:bCs w:val="false"/>
                <w:i w:val="false"/>
                <w:iCs w:val="false"/>
                <w:sz w:val="18"/>
                <w:szCs w:val="18"/>
              </w:rPr>
              <w:t xml:space="preserve">, </w:t>
            </w:r>
            <w:hyperlink w:anchor="k11">
              <w:r>
                <w:rPr>
                  <w:rStyle w:val="ListLabel112"/>
                  <w:rFonts w:eastAsia="Cambria" w:cs="Cambria"/>
                  <w:b w:val="false"/>
                  <w:bCs w:val="false"/>
                  <w:i w:val="false"/>
                  <w:iCs w:val="false"/>
                  <w:sz w:val="18"/>
                  <w:szCs w:val="18"/>
                </w:rPr>
                <w:t>11</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dol.gov/agencies/eta/foreign-labor/programs/h-1b</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H-1B, Lohnbescheid (LCA) und Prevailing Wage</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5">
              <w:r>
                <w:rPr>
                  <w:rStyle w:val="ListLabel112"/>
                  <w:rFonts w:eastAsia="Cambria" w:cs="Cambria"/>
                  <w:b w:val="false"/>
                  <w:bCs w:val="false"/>
                  <w:i w:val="false"/>
                  <w:iCs w:val="false"/>
                  <w:sz w:val="18"/>
                  <w:szCs w:val="18"/>
                </w:rPr>
                <w:t>5</w:t>
              </w:r>
            </w:hyperlink>
            <w:r>
              <w:rPr>
                <w:rFonts w:eastAsia="Cambria" w:cs="Cambria"/>
                <w:b w:val="false"/>
                <w:bCs w:val="false"/>
                <w:i w:val="false"/>
                <w:iCs w:val="false"/>
                <w:sz w:val="18"/>
                <w:szCs w:val="18"/>
              </w:rPr>
              <w:t xml:space="preserve">, </w:t>
            </w:r>
            <w:hyperlink w:anchor="k29">
              <w:r>
                <w:rPr>
                  <w:rStyle w:val="ListLabel112"/>
                  <w:rFonts w:eastAsia="Cambria" w:cs="Cambria"/>
                  <w:b w:val="false"/>
                  <w:bCs w:val="false"/>
                  <w:i w:val="false"/>
                  <w:iCs w:val="false"/>
                  <w:sz w:val="18"/>
                  <w:szCs w:val="18"/>
                </w:rPr>
                <w:t>29</w:t>
              </w:r>
            </w:hyperlink>
            <w:r>
              <w:rPr>
                <w:rFonts w:eastAsia="Cambria" w:cs="Cambria"/>
                <w:b w:val="false"/>
                <w:bCs w:val="false"/>
                <w:i w:val="false"/>
                <w:iCs w:val="false"/>
                <w:sz w:val="18"/>
                <w:szCs w:val="18"/>
              </w:rPr>
              <w:t xml:space="preserve">, </w:t>
            </w:r>
            <w:hyperlink w:anchor="k30">
              <w:r>
                <w:rPr>
                  <w:rStyle w:val="ListLabel112"/>
                  <w:rFonts w:eastAsia="Cambria" w:cs="Cambria"/>
                  <w:b w:val="false"/>
                  <w:bCs w:val="false"/>
                  <w:i w:val="false"/>
                  <w:iCs w:val="false"/>
                  <w:sz w:val="18"/>
                  <w:szCs w:val="18"/>
                </w:rPr>
                <w:t>30</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dol.gov/agencies/whd/immigration/h1b/projectfirewall</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Project Firewall, H-1B-Kontrollen</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5">
              <w:r>
                <w:rPr>
                  <w:rStyle w:val="ListLabel112"/>
                  <w:rFonts w:eastAsia="Cambria" w:cs="Cambria"/>
                  <w:b w:val="false"/>
                  <w:bCs w:val="false"/>
                  <w:i w:val="false"/>
                  <w:iCs w:val="false"/>
                  <w:sz w:val="18"/>
                  <w:szCs w:val="18"/>
                </w:rPr>
                <w:t>5</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dvprogram.state.gov</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Anmeldung zur Green-Card-Lotterie</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9">
              <w:r>
                <w:rPr>
                  <w:rStyle w:val="ListLabel112"/>
                  <w:rFonts w:eastAsia="Cambria" w:cs="Cambria"/>
                  <w:b w:val="false"/>
                  <w:bCs w:val="false"/>
                  <w:i w:val="false"/>
                  <w:iCs w:val="false"/>
                  <w:sz w:val="18"/>
                  <w:szCs w:val="18"/>
                </w:rPr>
                <w:t>9</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ecfr.gov (Suche „20 CFR 656.12“)</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 der Arbeitserlaubnis-Zertifizierung (PERM)</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7">
              <w:r>
                <w:rPr>
                  <w:rStyle w:val="ListLabel112"/>
                  <w:rFonts w:eastAsia="Cambria" w:cs="Cambria"/>
                  <w:b w:val="false"/>
                  <w:bCs w:val="false"/>
                  <w:i w:val="false"/>
                  <w:iCs w:val="false"/>
                  <w:sz w:val="18"/>
                  <w:szCs w:val="18"/>
                </w:rPr>
                <w:t>7</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exchanges.state.gov</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J-1-Austauschprogramme</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9">
              <w:r>
                <w:rPr>
                  <w:rStyle w:val="ListLabel112"/>
                  <w:rFonts w:eastAsia="Cambria" w:cs="Cambria"/>
                  <w:b w:val="false"/>
                  <w:bCs w:val="false"/>
                  <w:i w:val="false"/>
                  <w:iCs w:val="false"/>
                  <w:sz w:val="18"/>
                  <w:szCs w:val="18"/>
                </w:rPr>
                <w:t>9</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federalregister.gov</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Regelentwürfe und Endregeln: H-1B, Public Charge, Biometrie bei Ein- und Ausreise, 60-Tage-Frist, Section-232-Zölle auf Holzprodukte u. a.</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5">
              <w:r>
                <w:rPr>
                  <w:rStyle w:val="ListLabel112"/>
                  <w:rFonts w:eastAsia="Cambria" w:cs="Cambria"/>
                  <w:b w:val="false"/>
                  <w:bCs w:val="false"/>
                  <w:i w:val="false"/>
                  <w:iCs w:val="false"/>
                  <w:sz w:val="18"/>
                  <w:szCs w:val="18"/>
                </w:rPr>
                <w:t>5</w:t>
              </w:r>
            </w:hyperlink>
            <w:r>
              <w:rPr>
                <w:rFonts w:eastAsia="Cambria" w:cs="Cambria"/>
                <w:b w:val="false"/>
                <w:bCs w:val="false"/>
                <w:i w:val="false"/>
                <w:iCs w:val="false"/>
                <w:sz w:val="18"/>
                <w:szCs w:val="18"/>
              </w:rPr>
              <w:t xml:space="preserve">, </w:t>
            </w:r>
            <w:hyperlink w:anchor="k6">
              <w:r>
                <w:rPr>
                  <w:rStyle w:val="ListLabel112"/>
                  <w:rFonts w:eastAsia="Cambria" w:cs="Cambria"/>
                  <w:b w:val="false"/>
                  <w:bCs w:val="false"/>
                  <w:i w:val="false"/>
                  <w:iCs w:val="false"/>
                  <w:sz w:val="18"/>
                  <w:szCs w:val="18"/>
                </w:rPr>
                <w:t>6</w:t>
              </w:r>
            </w:hyperlink>
            <w:r>
              <w:rPr>
                <w:rFonts w:eastAsia="Cambria" w:cs="Cambria"/>
                <w:b w:val="false"/>
                <w:bCs w:val="false"/>
                <w:i w:val="false"/>
                <w:iCs w:val="false"/>
                <w:sz w:val="18"/>
                <w:szCs w:val="18"/>
              </w:rPr>
              <w:t xml:space="preserve">, </w:t>
            </w:r>
            <w:hyperlink w:anchor="k7">
              <w:r>
                <w:rPr>
                  <w:rStyle w:val="ListLabel112"/>
                  <w:rFonts w:eastAsia="Cambria" w:cs="Cambria"/>
                  <w:b w:val="false"/>
                  <w:bCs w:val="false"/>
                  <w:i w:val="false"/>
                  <w:iCs w:val="false"/>
                  <w:sz w:val="18"/>
                  <w:szCs w:val="18"/>
                </w:rPr>
                <w:t>7</w:t>
              </w:r>
            </w:hyperlink>
            <w:r>
              <w:rPr>
                <w:rFonts w:eastAsia="Cambria" w:cs="Cambria"/>
                <w:b w:val="false"/>
                <w:bCs w:val="false"/>
                <w:i w:val="false"/>
                <w:iCs w:val="false"/>
                <w:sz w:val="18"/>
                <w:szCs w:val="18"/>
              </w:rPr>
              <w:t xml:space="preserve">, </w:t>
            </w:r>
            <w:hyperlink w:anchor="k10">
              <w:r>
                <w:rPr>
                  <w:rStyle w:val="ListLabel112"/>
                  <w:rFonts w:eastAsia="Cambria" w:cs="Cambria"/>
                  <w:b w:val="false"/>
                  <w:bCs w:val="false"/>
                  <w:i w:val="false"/>
                  <w:iCs w:val="false"/>
                  <w:sz w:val="18"/>
                  <w:szCs w:val="18"/>
                </w:rPr>
                <w:t>10</w:t>
              </w:r>
            </w:hyperlink>
            <w:r>
              <w:rPr>
                <w:rFonts w:eastAsia="Cambria" w:cs="Cambria"/>
                <w:b w:val="false"/>
                <w:bCs w:val="false"/>
                <w:i w:val="false"/>
                <w:iCs w:val="false"/>
                <w:sz w:val="18"/>
                <w:szCs w:val="18"/>
              </w:rPr>
              <w:t xml:space="preserve">, </w:t>
            </w:r>
            <w:hyperlink w:anchor="k21">
              <w:r>
                <w:rPr>
                  <w:rStyle w:val="ListLabel112"/>
                  <w:rFonts w:eastAsia="Cambria" w:cs="Cambria"/>
                  <w:b w:val="false"/>
                  <w:bCs w:val="false"/>
                  <w:i w:val="false"/>
                  <w:iCs w:val="false"/>
                  <w:sz w:val="18"/>
                  <w:szCs w:val="18"/>
                </w:rPr>
                <w:t>21</w:t>
              </w:r>
            </w:hyperlink>
            <w:r>
              <w:rPr>
                <w:rFonts w:eastAsia="Cambria" w:cs="Cambria"/>
                <w:b w:val="false"/>
                <w:bCs w:val="false"/>
                <w:i w:val="false"/>
                <w:iCs w:val="false"/>
                <w:sz w:val="18"/>
                <w:szCs w:val="18"/>
              </w:rPr>
              <w:t xml:space="preserve">, </w:t>
            </w:r>
            <w:hyperlink w:anchor="k23">
              <w:r>
                <w:rPr>
                  <w:rStyle w:val="ListLabel112"/>
                  <w:rFonts w:eastAsia="Cambria" w:cs="Cambria"/>
                  <w:b w:val="false"/>
                  <w:bCs w:val="false"/>
                  <w:i w:val="false"/>
                  <w:iCs w:val="false"/>
                  <w:sz w:val="18"/>
                  <w:szCs w:val="18"/>
                </w:rPr>
                <w:t>23</w:t>
              </w:r>
            </w:hyperlink>
            <w:r>
              <w:rPr>
                <w:rFonts w:eastAsia="Cambria" w:cs="Cambria"/>
                <w:b w:val="false"/>
                <w:bCs w:val="false"/>
                <w:i w:val="false"/>
                <w:iCs w:val="false"/>
                <w:sz w:val="18"/>
                <w:szCs w:val="18"/>
              </w:rPr>
              <w:t xml:space="preserve">, </w:t>
            </w:r>
            <w:hyperlink w:anchor="k30">
              <w:r>
                <w:rPr>
                  <w:rStyle w:val="ListLabel112"/>
                  <w:rFonts w:eastAsia="Cambria" w:cs="Cambria"/>
                  <w:b w:val="false"/>
                  <w:bCs w:val="false"/>
                  <w:i w:val="false"/>
                  <w:iCs w:val="false"/>
                  <w:sz w:val="18"/>
                  <w:szCs w:val="18"/>
                </w:rPr>
                <w:t>30</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flag.dol.gov/processingtimes</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Bearbeitungszeiten für Lohnbescheid und PERM</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6">
              <w:r>
                <w:rPr>
                  <w:rStyle w:val="ListLabel112"/>
                  <w:rFonts w:eastAsia="Cambria" w:cs="Cambria"/>
                  <w:b w:val="false"/>
                  <w:bCs w:val="false"/>
                  <w:i w:val="false"/>
                  <w:iCs w:val="false"/>
                  <w:sz w:val="18"/>
                  <w:szCs w:val="18"/>
                </w:rPr>
                <w:t>6</w:t>
              </w:r>
            </w:hyperlink>
            <w:r>
              <w:rPr>
                <w:rFonts w:eastAsia="Cambria" w:cs="Cambria"/>
                <w:b w:val="false"/>
                <w:bCs w:val="false"/>
                <w:i w:val="false"/>
                <w:iCs w:val="false"/>
                <w:sz w:val="18"/>
                <w:szCs w:val="18"/>
              </w:rPr>
              <w:t xml:space="preserve">, </w:t>
            </w:r>
            <w:hyperlink w:anchor="k7">
              <w:r>
                <w:rPr>
                  <w:rStyle w:val="ListLabel112"/>
                  <w:rFonts w:eastAsia="Cambria" w:cs="Cambria"/>
                  <w:b w:val="false"/>
                  <w:bCs w:val="false"/>
                  <w:i w:val="false"/>
                  <w:iCs w:val="false"/>
                  <w:sz w:val="18"/>
                  <w:szCs w:val="18"/>
                </w:rPr>
                <w:t>7</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ice.gov/sevis (auch /sevis/i901)</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SEVIS-Gebühr (Form I-901) und Studierendenstatus</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
              <w:r>
                <w:rPr>
                  <w:rStyle w:val="ListLabel112"/>
                  <w:rFonts w:eastAsia="Cambria" w:cs="Cambria"/>
                  <w:b w:val="false"/>
                  <w:bCs w:val="false"/>
                  <w:i w:val="false"/>
                  <w:iCs w:val="false"/>
                  <w:sz w:val="18"/>
                  <w:szCs w:val="18"/>
                </w:rPr>
                <w:t>4</w:t>
              </w:r>
            </w:hyperlink>
            <w:r>
              <w:rPr>
                <w:rFonts w:eastAsia="Cambria" w:cs="Cambria"/>
                <w:b w:val="false"/>
                <w:bCs w:val="false"/>
                <w:i w:val="false"/>
                <w:iCs w:val="false"/>
                <w:sz w:val="18"/>
                <w:szCs w:val="18"/>
              </w:rPr>
              <w:t xml:space="preserve">, </w:t>
            </w:r>
            <w:hyperlink w:anchor="k8">
              <w:r>
                <w:rPr>
                  <w:rStyle w:val="ListLabel112"/>
                  <w:rFonts w:eastAsia="Cambria" w:cs="Cambria"/>
                  <w:b w:val="false"/>
                  <w:bCs w:val="false"/>
                  <w:i w:val="false"/>
                  <w:iCs w:val="false"/>
                  <w:sz w:val="18"/>
                  <w:szCs w:val="18"/>
                </w:rPr>
                <w:t>8</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j1visa.state.gov/programs/au-pair</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Au-pair-Programm</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8">
              <w:r>
                <w:rPr>
                  <w:rStyle w:val="ListLabel112"/>
                  <w:rFonts w:eastAsia="Cambria" w:cs="Cambria"/>
                  <w:b w:val="false"/>
                  <w:bCs w:val="false"/>
                  <w:i w:val="false"/>
                  <w:iCs w:val="false"/>
                  <w:sz w:val="18"/>
                  <w:szCs w:val="18"/>
                </w:rPr>
                <w:t>38</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law.cornell.edu/cfr/text/8/103.2</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Übersetzungen und Nachweise (8 CFR 103.2)</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9">
              <w:r>
                <w:rPr>
                  <w:rStyle w:val="ListLabel112"/>
                  <w:rFonts w:eastAsia="Cambria" w:cs="Cambria"/>
                  <w:b w:val="false"/>
                  <w:bCs w:val="false"/>
                  <w:i w:val="false"/>
                  <w:iCs w:val="false"/>
                  <w:sz w:val="18"/>
                  <w:szCs w:val="18"/>
                </w:rPr>
                <w:t>19</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reginfo.gov</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Regelungsagenda der US-Regierung</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0">
              <w:r>
                <w:rPr>
                  <w:rStyle w:val="ListLabel112"/>
                  <w:rFonts w:eastAsia="Cambria" w:cs="Cambria"/>
                  <w:b w:val="false"/>
                  <w:bCs w:val="false"/>
                  <w:i w:val="false"/>
                  <w:iCs w:val="false"/>
                  <w:sz w:val="18"/>
                  <w:szCs w:val="18"/>
                </w:rPr>
                <w:t>10</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sss.gov</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Selective Service, Registrierungspflicht</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6">
              <w:r>
                <w:rPr>
                  <w:rStyle w:val="ListLabel112"/>
                  <w:rFonts w:eastAsia="Cambria" w:cs="Cambria"/>
                  <w:b w:val="false"/>
                  <w:bCs w:val="false"/>
                  <w:i w:val="false"/>
                  <w:iCs w:val="false"/>
                  <w:sz w:val="18"/>
                  <w:szCs w:val="18"/>
                </w:rPr>
                <w:t>6</w:t>
              </w:r>
            </w:hyperlink>
            <w:r>
              <w:rPr>
                <w:rFonts w:eastAsia="Cambria" w:cs="Cambria"/>
                <w:b w:val="false"/>
                <w:bCs w:val="false"/>
                <w:i w:val="false"/>
                <w:iCs w:val="false"/>
                <w:sz w:val="18"/>
                <w:szCs w:val="18"/>
              </w:rPr>
              <w:t xml:space="preserve">, </w:t>
            </w:r>
            <w:hyperlink w:anchor="k40">
              <w:r>
                <w:rPr>
                  <w:rStyle w:val="ListLabel112"/>
                  <w:rFonts w:eastAsia="Cambria" w:cs="Cambria"/>
                  <w:b w:val="false"/>
                  <w:bCs w:val="false"/>
                  <w:i w:val="false"/>
                  <w:iCs w:val="false"/>
                  <w:sz w:val="18"/>
                  <w:szCs w:val="18"/>
                </w:rPr>
                <w:t>40</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studyinthestates.dhs.gov</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F-1, CPT, OPT, Cap-Gap</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8">
              <w:r>
                <w:rPr>
                  <w:rStyle w:val="ListLabel112"/>
                  <w:rFonts w:eastAsia="Cambria" w:cs="Cambria"/>
                  <w:b w:val="false"/>
                  <w:bCs w:val="false"/>
                  <w:i w:val="false"/>
                  <w:iCs w:val="false"/>
                  <w:sz w:val="18"/>
                  <w:szCs w:val="18"/>
                </w:rPr>
                <w:t>8</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supremecourt.gov/opinions/25pdf/25-365_4hdj.pdf</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Trump v. Barbara, Staatsangehörigkeit von Geburt</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8">
              <w:r>
                <w:rPr>
                  <w:rStyle w:val="ListLabel112"/>
                  <w:rFonts w:eastAsia="Cambria" w:cs="Cambria"/>
                  <w:b w:val="false"/>
                  <w:bCs w:val="false"/>
                  <w:i w:val="false"/>
                  <w:iCs w:val="false"/>
                  <w:sz w:val="18"/>
                  <w:szCs w:val="18"/>
                </w:rPr>
                <w:t>38</w:t>
              </w:r>
            </w:hyperlink>
            <w:r>
              <w:rPr>
                <w:rFonts w:eastAsia="Cambria" w:cs="Cambria"/>
                <w:b w:val="false"/>
                <w:bCs w:val="false"/>
                <w:i w:val="false"/>
                <w:iCs w:val="false"/>
                <w:sz w:val="18"/>
                <w:szCs w:val="18"/>
              </w:rPr>
              <w:t xml:space="preserve">, </w:t>
            </w:r>
            <w:hyperlink w:anchor="k41">
              <w:r>
                <w:rPr>
                  <w:rStyle w:val="ListLabel112"/>
                  <w:rFonts w:eastAsia="Cambria" w:cs="Cambria"/>
                  <w:b w:val="false"/>
                  <w:bCs w:val="false"/>
                  <w:i w:val="false"/>
                  <w:iCs w:val="false"/>
                  <w:sz w:val="18"/>
                  <w:szCs w:val="18"/>
                </w:rPr>
                <w:t>41</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travel.state.gov (auch /visa)</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Visakategorien, Gebühren, Wartezeiten</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
              <w:r>
                <w:rPr>
                  <w:rStyle w:val="ListLabel112"/>
                  <w:rFonts w:eastAsia="Cambria" w:cs="Cambria"/>
                  <w:b w:val="false"/>
                  <w:bCs w:val="false"/>
                  <w:i w:val="false"/>
                  <w:iCs w:val="false"/>
                  <w:sz w:val="18"/>
                  <w:szCs w:val="18"/>
                </w:rPr>
                <w:t>4</w:t>
              </w:r>
            </w:hyperlink>
            <w:r>
              <w:rPr>
                <w:rFonts w:eastAsia="Cambria" w:cs="Cambria"/>
                <w:b w:val="false"/>
                <w:bCs w:val="false"/>
                <w:i w:val="false"/>
                <w:iCs w:val="false"/>
                <w:sz w:val="18"/>
                <w:szCs w:val="18"/>
              </w:rPr>
              <w:t xml:space="preserve">, </w:t>
            </w:r>
            <w:hyperlink w:anchor="k5">
              <w:r>
                <w:rPr>
                  <w:rStyle w:val="ListLabel112"/>
                  <w:rFonts w:eastAsia="Cambria" w:cs="Cambria"/>
                  <w:b w:val="false"/>
                  <w:bCs w:val="false"/>
                  <w:i w:val="false"/>
                  <w:iCs w:val="false"/>
                  <w:sz w:val="18"/>
                  <w:szCs w:val="18"/>
                </w:rPr>
                <w:t>5</w:t>
              </w:r>
            </w:hyperlink>
            <w:r>
              <w:rPr>
                <w:rFonts w:eastAsia="Cambria" w:cs="Cambria"/>
                <w:b w:val="false"/>
                <w:bCs w:val="false"/>
                <w:i w:val="false"/>
                <w:iCs w:val="false"/>
                <w:sz w:val="18"/>
                <w:szCs w:val="18"/>
              </w:rPr>
              <w:t xml:space="preserve">, </w:t>
            </w:r>
            <w:hyperlink w:anchor="k9">
              <w:r>
                <w:rPr>
                  <w:rStyle w:val="ListLabel112"/>
                  <w:rFonts w:eastAsia="Cambria" w:cs="Cambria"/>
                  <w:b w:val="false"/>
                  <w:bCs w:val="false"/>
                  <w:i w:val="false"/>
                  <w:iCs w:val="false"/>
                  <w:sz w:val="18"/>
                  <w:szCs w:val="18"/>
                </w:rPr>
                <w:t>9</w:t>
              </w:r>
            </w:hyperlink>
            <w:r>
              <w:rPr>
                <w:rFonts w:eastAsia="Cambria" w:cs="Cambria"/>
                <w:b w:val="false"/>
                <w:bCs w:val="false"/>
                <w:i w:val="false"/>
                <w:iCs w:val="false"/>
                <w:sz w:val="18"/>
                <w:szCs w:val="18"/>
              </w:rPr>
              <w:t xml:space="preserve">, </w:t>
            </w:r>
            <w:hyperlink w:anchor="k11">
              <w:r>
                <w:rPr>
                  <w:rStyle w:val="ListLabel112"/>
                  <w:rFonts w:eastAsia="Cambria" w:cs="Cambria"/>
                  <w:b w:val="false"/>
                  <w:bCs w:val="false"/>
                  <w:i w:val="false"/>
                  <w:iCs w:val="false"/>
                  <w:sz w:val="18"/>
                  <w:szCs w:val="18"/>
                </w:rPr>
                <w:t>11</w:t>
              </w:r>
            </w:hyperlink>
            <w:r>
              <w:rPr>
                <w:rFonts w:eastAsia="Cambria" w:cs="Cambria"/>
                <w:b w:val="false"/>
                <w:bCs w:val="false"/>
                <w:i w:val="false"/>
                <w:iCs w:val="false"/>
                <w:sz w:val="18"/>
                <w:szCs w:val="18"/>
              </w:rPr>
              <w:t xml:space="preserve">, </w:t>
            </w:r>
            <w:hyperlink w:anchor="k15">
              <w:r>
                <w:rPr>
                  <w:rStyle w:val="ListLabel112"/>
                  <w:rFonts w:eastAsia="Cambria" w:cs="Cambria"/>
                  <w:b w:val="false"/>
                  <w:bCs w:val="false"/>
                  <w:i w:val="false"/>
                  <w:iCs w:val="false"/>
                  <w:sz w:val="18"/>
                  <w:szCs w:val="18"/>
                </w:rPr>
                <w:t>15</w:t>
              </w:r>
            </w:hyperlink>
            <w:r>
              <w:rPr>
                <w:rFonts w:eastAsia="Cambria" w:cs="Cambria"/>
                <w:b w:val="false"/>
                <w:bCs w:val="false"/>
                <w:i w:val="false"/>
                <w:iCs w:val="false"/>
                <w:sz w:val="18"/>
                <w:szCs w:val="18"/>
              </w:rPr>
              <w:t xml:space="preserve">, </w:t>
            </w:r>
            <w:hyperlink w:anchor="k41">
              <w:r>
                <w:rPr>
                  <w:rStyle w:val="ListLabel112"/>
                  <w:rFonts w:eastAsia="Cambria" w:cs="Cambria"/>
                  <w:b w:val="false"/>
                  <w:bCs w:val="false"/>
                  <w:i w:val="false"/>
                  <w:iCs w:val="false"/>
                  <w:sz w:val="18"/>
                  <w:szCs w:val="18"/>
                </w:rPr>
                <w:t>41</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travel.state.gov/visa-bulletin</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Stichtage für die Green Card</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
              <w:r>
                <w:rPr>
                  <w:rStyle w:val="ListLabel112"/>
                  <w:rFonts w:eastAsia="Cambria" w:cs="Cambria"/>
                  <w:b w:val="false"/>
                  <w:bCs w:val="false"/>
                  <w:i w:val="false"/>
                  <w:iCs w:val="false"/>
                  <w:sz w:val="18"/>
                  <w:szCs w:val="18"/>
                </w:rPr>
                <w:t>4</w:t>
              </w:r>
            </w:hyperlink>
            <w:r>
              <w:rPr>
                <w:rFonts w:eastAsia="Cambria" w:cs="Cambria"/>
                <w:b w:val="false"/>
                <w:bCs w:val="false"/>
                <w:i w:val="false"/>
                <w:iCs w:val="false"/>
                <w:sz w:val="18"/>
                <w:szCs w:val="18"/>
              </w:rPr>
              <w:t xml:space="preserve">, </w:t>
            </w:r>
            <w:hyperlink w:anchor="k6">
              <w:r>
                <w:rPr>
                  <w:rStyle w:val="ListLabel112"/>
                  <w:rFonts w:eastAsia="Cambria" w:cs="Cambria"/>
                  <w:b w:val="false"/>
                  <w:bCs w:val="false"/>
                  <w:i w:val="false"/>
                  <w:iCs w:val="false"/>
                  <w:sz w:val="18"/>
                  <w:szCs w:val="18"/>
                </w:rPr>
                <w:t>6</w:t>
              </w:r>
            </w:hyperlink>
            <w:r>
              <w:rPr>
                <w:rFonts w:eastAsia="Cambria" w:cs="Cambria"/>
                <w:b w:val="false"/>
                <w:bCs w:val="false"/>
                <w:i w:val="false"/>
                <w:iCs w:val="false"/>
                <w:sz w:val="18"/>
                <w:szCs w:val="18"/>
              </w:rPr>
              <w:t xml:space="preserve">, </w:t>
            </w:r>
            <w:hyperlink w:anchor="k7">
              <w:r>
                <w:rPr>
                  <w:rStyle w:val="ListLabel112"/>
                  <w:rFonts w:eastAsia="Cambria" w:cs="Cambria"/>
                  <w:b w:val="false"/>
                  <w:bCs w:val="false"/>
                  <w:i w:val="false"/>
                  <w:iCs w:val="false"/>
                  <w:sz w:val="18"/>
                  <w:szCs w:val="18"/>
                </w:rPr>
                <w:t>7</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uscis.gov</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Formulare, Statusfragen; Suchbegriffe für Spezialthemen: „H-4 employment authorization“ (Arbeitserlaubnis für H-4-Ehepartner), „marijuana“ im Policy Manual (Cannabis und Einwanderungsrecht)</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
              <w:r>
                <w:rPr>
                  <w:rStyle w:val="ListLabel112"/>
                  <w:rFonts w:eastAsia="Cambria" w:cs="Cambria"/>
                  <w:b w:val="false"/>
                  <w:bCs w:val="false"/>
                  <w:i w:val="false"/>
                  <w:iCs w:val="false"/>
                  <w:sz w:val="18"/>
                  <w:szCs w:val="18"/>
                </w:rPr>
                <w:t>2</w:t>
              </w:r>
            </w:hyperlink>
            <w:r>
              <w:rPr>
                <w:rFonts w:eastAsia="Cambria" w:cs="Cambria"/>
                <w:b w:val="false"/>
                <w:bCs w:val="false"/>
                <w:i w:val="false"/>
                <w:iCs w:val="false"/>
                <w:sz w:val="18"/>
                <w:szCs w:val="18"/>
              </w:rPr>
              <w:t xml:space="preserve">, </w:t>
            </w:r>
            <w:hyperlink w:anchor="k11">
              <w:r>
                <w:rPr>
                  <w:rStyle w:val="ListLabel112"/>
                  <w:rFonts w:eastAsia="Cambria" w:cs="Cambria"/>
                  <w:b w:val="false"/>
                  <w:bCs w:val="false"/>
                  <w:i w:val="false"/>
                  <w:iCs w:val="false"/>
                  <w:sz w:val="18"/>
                  <w:szCs w:val="18"/>
                </w:rPr>
                <w:t>11</w:t>
              </w:r>
            </w:hyperlink>
            <w:r>
              <w:rPr>
                <w:rFonts w:eastAsia="Cambria" w:cs="Cambria"/>
                <w:b w:val="false"/>
                <w:bCs w:val="false"/>
                <w:i w:val="false"/>
                <w:iCs w:val="false"/>
                <w:sz w:val="18"/>
                <w:szCs w:val="18"/>
              </w:rPr>
              <w:t xml:space="preserve">, </w:t>
            </w:r>
            <w:hyperlink w:anchor="k31">
              <w:r>
                <w:rPr>
                  <w:rStyle w:val="ListLabel112"/>
                  <w:rFonts w:eastAsia="Cambria" w:cs="Cambria"/>
                  <w:b w:val="false"/>
                  <w:bCs w:val="false"/>
                  <w:i w:val="false"/>
                  <w:iCs w:val="false"/>
                  <w:sz w:val="18"/>
                  <w:szCs w:val="18"/>
                </w:rPr>
                <w:t>31</w:t>
              </w:r>
            </w:hyperlink>
            <w:r>
              <w:rPr>
                <w:rFonts w:eastAsia="Cambria" w:cs="Cambria"/>
                <w:b w:val="false"/>
                <w:bCs w:val="false"/>
                <w:i w:val="false"/>
                <w:iCs w:val="false"/>
                <w:sz w:val="18"/>
                <w:szCs w:val="18"/>
              </w:rPr>
              <w:t xml:space="preserve">, </w:t>
            </w:r>
            <w:hyperlink w:anchor="k32">
              <w:r>
                <w:rPr>
                  <w:rStyle w:val="ListLabel112"/>
                  <w:rFonts w:eastAsia="Cambria" w:cs="Cambria"/>
                  <w:b w:val="false"/>
                  <w:bCs w:val="false"/>
                  <w:i w:val="false"/>
                  <w:iCs w:val="false"/>
                  <w:sz w:val="18"/>
                  <w:szCs w:val="18"/>
                </w:rPr>
                <w:t>32</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uscis.gov/alienregistration</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Registrierungspflicht, Mitführen von Dokumenten</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0">
              <w:r>
                <w:rPr>
                  <w:rStyle w:val="ListLabel112"/>
                  <w:rFonts w:eastAsia="Cambria" w:cs="Cambria"/>
                  <w:b w:val="false"/>
                  <w:bCs w:val="false"/>
                  <w:i w:val="false"/>
                  <w:iCs w:val="false"/>
                  <w:sz w:val="18"/>
                  <w:szCs w:val="18"/>
                </w:rPr>
                <w:t>40</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uscis.gov/ar-11</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Adressänderung melden</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0">
              <w:r>
                <w:rPr>
                  <w:rStyle w:val="ListLabel112"/>
                  <w:rFonts w:eastAsia="Cambria" w:cs="Cambria"/>
                  <w:b w:val="false"/>
                  <w:bCs w:val="false"/>
                  <w:i w:val="false"/>
                  <w:iCs w:val="false"/>
                  <w:sz w:val="18"/>
                  <w:szCs w:val="18"/>
                </w:rPr>
                <w:t>30</w:t>
              </w:r>
            </w:hyperlink>
            <w:r>
              <w:rPr>
                <w:rFonts w:eastAsia="Cambria" w:cs="Cambria"/>
                <w:b w:val="false"/>
                <w:bCs w:val="false"/>
                <w:i w:val="false"/>
                <w:iCs w:val="false"/>
                <w:sz w:val="18"/>
                <w:szCs w:val="18"/>
              </w:rPr>
              <w:t xml:space="preserve">, </w:t>
            </w:r>
            <w:hyperlink w:anchor="k40">
              <w:r>
                <w:rPr>
                  <w:rStyle w:val="ListLabel112"/>
                  <w:rFonts w:eastAsia="Cambria" w:cs="Cambria"/>
                  <w:b w:val="false"/>
                  <w:bCs w:val="false"/>
                  <w:i w:val="false"/>
                  <w:iCs w:val="false"/>
                  <w:sz w:val="18"/>
                  <w:szCs w:val="18"/>
                </w:rPr>
                <w:t>40</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uscis.gov/avoid-scams</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Betrug erkennen und vermeiden</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1">
              <w:r>
                <w:rPr>
                  <w:rStyle w:val="ListLabel112"/>
                  <w:rFonts w:eastAsia="Cambria" w:cs="Cambria"/>
                  <w:b w:val="false"/>
                  <w:bCs w:val="false"/>
                  <w:i w:val="false"/>
                  <w:iCs w:val="false"/>
                  <w:sz w:val="18"/>
                  <w:szCs w:val="18"/>
                </w:rPr>
                <w:t>11</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uscis.gov/citizenship (auch /n-400)</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Einbürgerung, Staatskundetest</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1">
              <w:r>
                <w:rPr>
                  <w:rStyle w:val="ListLabel112"/>
                  <w:rFonts w:eastAsia="Cambria" w:cs="Cambria"/>
                  <w:b w:val="false"/>
                  <w:bCs w:val="false"/>
                  <w:i w:val="false"/>
                  <w:iCs w:val="false"/>
                  <w:sz w:val="18"/>
                  <w:szCs w:val="18"/>
                </w:rPr>
                <w:t>41</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uscis.gov/g-1055</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Gebührenverzeichnis aller Formulare</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5">
              <w:r>
                <w:rPr>
                  <w:rStyle w:val="ListLabel112"/>
                  <w:rFonts w:eastAsia="Cambria" w:cs="Cambria"/>
                  <w:b w:val="false"/>
                  <w:bCs w:val="false"/>
                  <w:i w:val="false"/>
                  <w:iCs w:val="false"/>
                  <w:sz w:val="18"/>
                  <w:szCs w:val="18"/>
                </w:rPr>
                <w:t>5</w:t>
              </w:r>
            </w:hyperlink>
            <w:r>
              <w:rPr>
                <w:rFonts w:eastAsia="Cambria" w:cs="Cambria"/>
                <w:b w:val="false"/>
                <w:bCs w:val="false"/>
                <w:i w:val="false"/>
                <w:iCs w:val="false"/>
                <w:sz w:val="18"/>
                <w:szCs w:val="18"/>
              </w:rPr>
              <w:t>–</w:t>
            </w:r>
            <w:hyperlink w:anchor="k11">
              <w:r>
                <w:rPr>
                  <w:rStyle w:val="ListLabel112"/>
                  <w:rFonts w:eastAsia="Cambria" w:cs="Cambria"/>
                  <w:b w:val="false"/>
                  <w:bCs w:val="false"/>
                  <w:i w:val="false"/>
                  <w:iCs w:val="false"/>
                  <w:sz w:val="18"/>
                  <w:szCs w:val="18"/>
                </w:rPr>
                <w:t>11</w:t>
              </w:r>
            </w:hyperlink>
            <w:r>
              <w:rPr>
                <w:rFonts w:eastAsia="Cambria" w:cs="Cambria"/>
                <w:b w:val="false"/>
                <w:bCs w:val="false"/>
                <w:i w:val="false"/>
                <w:iCs w:val="false"/>
                <w:sz w:val="18"/>
                <w:szCs w:val="18"/>
              </w:rPr>
              <w:t xml:space="preserve">, </w:t>
            </w:r>
            <w:hyperlink w:anchor="k30">
              <w:r>
                <w:rPr>
                  <w:rStyle w:val="ListLabel112"/>
                  <w:rFonts w:eastAsia="Cambria" w:cs="Cambria"/>
                  <w:b w:val="false"/>
                  <w:bCs w:val="false"/>
                  <w:i w:val="false"/>
                  <w:iCs w:val="false"/>
                  <w:sz w:val="18"/>
                  <w:szCs w:val="18"/>
                </w:rPr>
                <w:t>30</w:t>
              </w:r>
            </w:hyperlink>
            <w:r>
              <w:rPr>
                <w:rFonts w:eastAsia="Cambria" w:cs="Cambria"/>
                <w:b w:val="false"/>
                <w:bCs w:val="false"/>
                <w:i w:val="false"/>
                <w:iCs w:val="false"/>
                <w:sz w:val="18"/>
                <w:szCs w:val="18"/>
              </w:rPr>
              <w:t xml:space="preserve">, </w:t>
            </w:r>
            <w:hyperlink w:anchor="k41">
              <w:r>
                <w:rPr>
                  <w:rStyle w:val="ListLabel112"/>
                  <w:rFonts w:eastAsia="Cambria" w:cs="Cambria"/>
                  <w:b w:val="false"/>
                  <w:bCs w:val="false"/>
                  <w:i w:val="false"/>
                  <w:iCs w:val="false"/>
                  <w:sz w:val="18"/>
                  <w:szCs w:val="18"/>
                </w:rPr>
                <w:t>41</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uscis.gov/green-card</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Card: Wege, Kategorien, Formular I-485</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
              <w:r>
                <w:rPr>
                  <w:rStyle w:val="ListLabel112"/>
                  <w:rFonts w:eastAsia="Cambria" w:cs="Cambria"/>
                  <w:b w:val="false"/>
                  <w:bCs w:val="false"/>
                  <w:i w:val="false"/>
                  <w:iCs w:val="false"/>
                  <w:sz w:val="18"/>
                  <w:szCs w:val="18"/>
                </w:rPr>
                <w:t>4</w:t>
              </w:r>
            </w:hyperlink>
            <w:r>
              <w:rPr>
                <w:rFonts w:eastAsia="Cambria" w:cs="Cambria"/>
                <w:b w:val="false"/>
                <w:bCs w:val="false"/>
                <w:i w:val="false"/>
                <w:iCs w:val="false"/>
                <w:sz w:val="18"/>
                <w:szCs w:val="18"/>
              </w:rPr>
              <w:t xml:space="preserve">, </w:t>
            </w:r>
            <w:hyperlink w:anchor="k6">
              <w:r>
                <w:rPr>
                  <w:rStyle w:val="ListLabel112"/>
                  <w:rFonts w:eastAsia="Cambria" w:cs="Cambria"/>
                  <w:b w:val="false"/>
                  <w:bCs w:val="false"/>
                  <w:i w:val="false"/>
                  <w:iCs w:val="false"/>
                  <w:sz w:val="18"/>
                  <w:szCs w:val="18"/>
                </w:rPr>
                <w:t>6</w:t>
              </w:r>
            </w:hyperlink>
            <w:r>
              <w:rPr>
                <w:rFonts w:eastAsia="Cambria" w:cs="Cambria"/>
                <w:b w:val="false"/>
                <w:bCs w:val="false"/>
                <w:i w:val="false"/>
                <w:iCs w:val="false"/>
                <w:sz w:val="18"/>
                <w:szCs w:val="18"/>
              </w:rPr>
              <w:t xml:space="preserve">, </w:t>
            </w:r>
            <w:hyperlink w:anchor="k42">
              <w:r>
                <w:rPr>
                  <w:rStyle w:val="ListLabel112"/>
                  <w:rFonts w:eastAsia="Cambria" w:cs="Cambria"/>
                  <w:b w:val="false"/>
                  <w:bCs w:val="false"/>
                  <w:i w:val="false"/>
                  <w:iCs w:val="false"/>
                  <w:sz w:val="18"/>
                  <w:szCs w:val="18"/>
                </w:rPr>
                <w:t>42</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uscis.gov/i-131</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Wiedereinreisegenehmigung</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2">
              <w:r>
                <w:rPr>
                  <w:rStyle w:val="ListLabel112"/>
                  <w:rFonts w:eastAsia="Cambria" w:cs="Cambria"/>
                  <w:b w:val="false"/>
                  <w:bCs w:val="false"/>
                  <w:i w:val="false"/>
                  <w:iCs w:val="false"/>
                  <w:sz w:val="18"/>
                  <w:szCs w:val="18"/>
                </w:rPr>
                <w:t>42</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uscis.gov/i-765</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Arbeitserlaubnis (Form I-765)</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0">
              <w:r>
                <w:rPr>
                  <w:rStyle w:val="ListLabel112"/>
                  <w:rFonts w:eastAsia="Cambria" w:cs="Cambria"/>
                  <w:b w:val="false"/>
                  <w:bCs w:val="false"/>
                  <w:i w:val="false"/>
                  <w:iCs w:val="false"/>
                  <w:sz w:val="18"/>
                  <w:szCs w:val="18"/>
                </w:rPr>
                <w:t>10</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uscis.gov/i-9</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Form I-9, Beschäftigungsnachweis</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3">
              <w:r>
                <w:rPr>
                  <w:rStyle w:val="ListLabel112"/>
                  <w:rFonts w:eastAsia="Cambria" w:cs="Cambria"/>
                  <w:b w:val="false"/>
                  <w:bCs w:val="false"/>
                  <w:i w:val="false"/>
                  <w:iCs w:val="false"/>
                  <w:sz w:val="18"/>
                  <w:szCs w:val="18"/>
                </w:rPr>
                <w:t>23</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uscis.gov/policy-manual/volume-6-part-b-chapter-6 (auch .../volume-7-part-a-chapter-7, .../volume-7-part-e-chapter-5)</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Ehe und Ehepartner, Child Status Protection Act, Job-Portabilität (AC21)</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0">
              <w:r>
                <w:rPr>
                  <w:rStyle w:val="ListLabel112"/>
                  <w:rFonts w:eastAsia="Cambria" w:cs="Cambria"/>
                  <w:b w:val="false"/>
                  <w:bCs w:val="false"/>
                  <w:i w:val="false"/>
                  <w:iCs w:val="false"/>
                  <w:sz w:val="18"/>
                  <w:szCs w:val="18"/>
                </w:rPr>
                <w:t>10</w:t>
              </w:r>
            </w:hyperlink>
            <w:r>
              <w:rPr>
                <w:rFonts w:eastAsia="Cambria" w:cs="Cambria"/>
                <w:b w:val="false"/>
                <w:bCs w:val="false"/>
                <w:i w:val="false"/>
                <w:iCs w:val="false"/>
                <w:sz w:val="18"/>
                <w:szCs w:val="18"/>
              </w:rPr>
              <w:t xml:space="preserve">, </w:t>
            </w:r>
            <w:hyperlink w:anchor="k30">
              <w:r>
                <w:rPr>
                  <w:rStyle w:val="ListLabel112"/>
                  <w:rFonts w:eastAsia="Cambria" w:cs="Cambria"/>
                  <w:b w:val="false"/>
                  <w:bCs w:val="false"/>
                  <w:i w:val="false"/>
                  <w:iCs w:val="false"/>
                  <w:sz w:val="18"/>
                  <w:szCs w:val="18"/>
                </w:rPr>
                <w:t>30</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uscis.gov/processing-times (auch egov.uscis.gov/processing-times)</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Bearbeitungszeiten</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1">
              <w:r>
                <w:rPr>
                  <w:rStyle w:val="ListLabel112"/>
                  <w:rFonts w:eastAsia="Cambria" w:cs="Cambria"/>
                  <w:b w:val="false"/>
                  <w:bCs w:val="false"/>
                  <w:i w:val="false"/>
                  <w:iCs w:val="false"/>
                  <w:sz w:val="18"/>
                  <w:szCs w:val="18"/>
                </w:rPr>
                <w:t>11</w:t>
              </w:r>
            </w:hyperlink>
            <w:r>
              <w:rPr>
                <w:rFonts w:eastAsia="Cambria" w:cs="Cambria"/>
                <w:b w:val="false"/>
                <w:bCs w:val="false"/>
                <w:i w:val="false"/>
                <w:iCs w:val="false"/>
                <w:sz w:val="18"/>
                <w:szCs w:val="18"/>
              </w:rPr>
              <w:t xml:space="preserve">, </w:t>
            </w:r>
            <w:hyperlink w:anchor="k15">
              <w:r>
                <w:rPr>
                  <w:rStyle w:val="ListLabel112"/>
                  <w:rFonts w:eastAsia="Cambria" w:cs="Cambria"/>
                  <w:b w:val="false"/>
                  <w:bCs w:val="false"/>
                  <w:i w:val="false"/>
                  <w:iCs w:val="false"/>
                  <w:sz w:val="18"/>
                  <w:szCs w:val="18"/>
                </w:rPr>
                <w:t>15</w:t>
              </w:r>
            </w:hyperlink>
            <w:r>
              <w:rPr>
                <w:rFonts w:eastAsia="Cambria" w:cs="Cambria"/>
                <w:b w:val="false"/>
                <w:bCs w:val="false"/>
                <w:i w:val="false"/>
                <w:iCs w:val="false"/>
                <w:sz w:val="18"/>
                <w:szCs w:val="18"/>
              </w:rPr>
              <w:t xml:space="preserve">, </w:t>
            </w:r>
            <w:hyperlink w:anchor="k41">
              <w:r>
                <w:rPr>
                  <w:rStyle w:val="ListLabel112"/>
                  <w:rFonts w:eastAsia="Cambria" w:cs="Cambria"/>
                  <w:b w:val="false"/>
                  <w:bCs w:val="false"/>
                  <w:i w:val="false"/>
                  <w:iCs w:val="false"/>
                  <w:sz w:val="18"/>
                  <w:szCs w:val="18"/>
                </w:rPr>
                <w:t>41</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uscis.gov/working-in-the-united-states</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Arbeitsvisa im Überblick</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
              <w:r>
                <w:rPr>
                  <w:rStyle w:val="ListLabel112"/>
                  <w:rFonts w:eastAsia="Cambria" w:cs="Cambria"/>
                  <w:b w:val="false"/>
                  <w:bCs w:val="false"/>
                  <w:i w:val="false"/>
                  <w:iCs w:val="false"/>
                  <w:sz w:val="18"/>
                  <w:szCs w:val="18"/>
                </w:rPr>
                <w:t>1</w:t>
              </w:r>
            </w:hyperlink>
            <w:r>
              <w:rPr>
                <w:rFonts w:eastAsia="Cambria" w:cs="Cambria"/>
                <w:b w:val="false"/>
                <w:bCs w:val="false"/>
                <w:i w:val="false"/>
                <w:iCs w:val="false"/>
                <w:sz w:val="18"/>
                <w:szCs w:val="18"/>
              </w:rPr>
              <w:t xml:space="preserve">, </w:t>
            </w:r>
            <w:hyperlink w:anchor="k4">
              <w:r>
                <w:rPr>
                  <w:rStyle w:val="ListLabel112"/>
                  <w:rFonts w:eastAsia="Cambria" w:cs="Cambria"/>
                  <w:b w:val="false"/>
                  <w:bCs w:val="false"/>
                  <w:i w:val="false"/>
                  <w:iCs w:val="false"/>
                  <w:sz w:val="18"/>
                  <w:szCs w:val="18"/>
                </w:rPr>
                <w:t>4</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uscis.gov/working-in-the-united-states/h-1b-specialty-occupations</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H-1B, Specialty Occupations, aktuelle FAQ zur Zahlungspflicht</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5">
              <w:r>
                <w:rPr>
                  <w:rStyle w:val="ListLabel112"/>
                  <w:rFonts w:eastAsia="Cambria" w:cs="Cambria"/>
                  <w:b w:val="false"/>
                  <w:bCs w:val="false"/>
                  <w:i w:val="false"/>
                  <w:iCs w:val="false"/>
                  <w:sz w:val="18"/>
                  <w:szCs w:val="18"/>
                </w:rPr>
                <w:t>5</w:t>
              </w:r>
            </w:hyperlink>
            <w:r>
              <w:rPr>
                <w:rFonts w:eastAsia="Cambria" w:cs="Cambria"/>
                <w:b w:val="false"/>
                <w:bCs w:val="false"/>
                <w:i w:val="false"/>
                <w:iCs w:val="false"/>
                <w:sz w:val="18"/>
                <w:szCs w:val="18"/>
              </w:rPr>
              <w:t xml:space="preserve">, </w:t>
            </w:r>
            <w:hyperlink w:anchor="k11">
              <w:r>
                <w:rPr>
                  <w:rStyle w:val="ListLabel112"/>
                  <w:rFonts w:eastAsia="Cambria" w:cs="Cambria"/>
                  <w:b w:val="false"/>
                  <w:bCs w:val="false"/>
                  <w:i w:val="false"/>
                  <w:iCs w:val="false"/>
                  <w:sz w:val="18"/>
                  <w:szCs w:val="18"/>
                </w:rPr>
                <w:t>11</w:t>
              </w:r>
            </w:hyperlink>
            <w:r>
              <w:rPr>
                <w:rFonts w:eastAsia="Cambria" w:cs="Cambria"/>
                <w:b w:val="false"/>
                <w:bCs w:val="false"/>
                <w:i w:val="false"/>
                <w:iCs w:val="false"/>
                <w:sz w:val="18"/>
                <w:szCs w:val="18"/>
              </w:rPr>
              <w:t xml:space="preserve">, </w:t>
            </w:r>
            <w:hyperlink w:anchor="k15">
              <w:r>
                <w:rPr>
                  <w:rStyle w:val="ListLabel112"/>
                  <w:rFonts w:eastAsia="Cambria" w:cs="Cambria"/>
                  <w:b w:val="false"/>
                  <w:bCs w:val="false"/>
                  <w:i w:val="false"/>
                  <w:iCs w:val="false"/>
                  <w:sz w:val="18"/>
                  <w:szCs w:val="18"/>
                </w:rPr>
                <w:t>15</w:t>
              </w:r>
            </w:hyperlink>
            <w:r>
              <w:rPr>
                <w:rFonts w:eastAsia="Cambria" w:cs="Cambria"/>
                <w:b w:val="false"/>
                <w:bCs w:val="false"/>
                <w:i w:val="false"/>
                <w:iCs w:val="false"/>
                <w:sz w:val="18"/>
                <w:szCs w:val="18"/>
              </w:rPr>
              <w:t xml:space="preserve">, </w:t>
            </w:r>
            <w:hyperlink w:anchor="k30">
              <w:r>
                <w:rPr>
                  <w:rStyle w:val="ListLabel112"/>
                  <w:rFonts w:eastAsia="Cambria" w:cs="Cambria"/>
                  <w:b w:val="false"/>
                  <w:bCs w:val="false"/>
                  <w:i w:val="false"/>
                  <w:iCs w:val="false"/>
                  <w:sz w:val="18"/>
                  <w:szCs w:val="18"/>
                </w:rPr>
                <w:t>30</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uscis.gov/working-in-the-united-states/international-entrepreneur-rule</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Gründervisum</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9">
              <w:r>
                <w:rPr>
                  <w:rStyle w:val="ListLabel112"/>
                  <w:rFonts w:eastAsia="Cambria" w:cs="Cambria"/>
                  <w:b w:val="false"/>
                  <w:bCs w:val="false"/>
                  <w:i w:val="false"/>
                  <w:iCs w:val="false"/>
                  <w:sz w:val="18"/>
                  <w:szCs w:val="18"/>
                </w:rPr>
                <w:t>9</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uscis.gov/working-in-the-united-states/students-and-exchange-visitors</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OPT, STEM-OPT, Statuswechsel</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8">
              <w:r>
                <w:rPr>
                  <w:rStyle w:val="ListLabel112"/>
                  <w:rFonts w:eastAsia="Cambria" w:cs="Cambria"/>
                  <w:b w:val="false"/>
                  <w:bCs w:val="false"/>
                  <w:i w:val="false"/>
                  <w:iCs w:val="false"/>
                  <w:sz w:val="18"/>
                  <w:szCs w:val="18"/>
                </w:rPr>
                <w:t>8</w:t>
              </w:r>
            </w:hyperlink>
          </w:p>
        </w:tc>
      </w:tr>
      <w:tr>
        <w:trPr>
          <w:cantSplit w:val="true"/>
        </w:trPr>
        <w:tc>
          <w:tcPr>
            <w:tcW w:w="26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uscis.gov/working-in-the-united-states/temporary-workers (auch .../l-1a-intracompany-transferee-executive-or-manager)</w:t>
            </w:r>
          </w:p>
        </w:tc>
        <w:tc>
          <w:tcPr>
            <w:tcW w:w="26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L-1, O-1, E-1/E-2, Arbeitserlaubnis der L-2-Ehepartner</w:t>
            </w:r>
          </w:p>
        </w:tc>
        <w:tc>
          <w:tcPr>
            <w:tcW w:w="108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9">
              <w:r>
                <w:rPr>
                  <w:rStyle w:val="ListLabel112"/>
                  <w:rFonts w:eastAsia="Cambria" w:cs="Cambria"/>
                  <w:b w:val="false"/>
                  <w:bCs w:val="false"/>
                  <w:i w:val="false"/>
                  <w:iCs w:val="false"/>
                  <w:sz w:val="18"/>
                  <w:szCs w:val="18"/>
                </w:rPr>
                <w:t>9</w:t>
              </w:r>
            </w:hyperlink>
            <w:r>
              <w:rPr>
                <w:rFonts w:eastAsia="Cambria" w:cs="Cambria"/>
                <w:b w:val="false"/>
                <w:bCs w:val="false"/>
                <w:i w:val="false"/>
                <w:iCs w:val="false"/>
                <w:sz w:val="18"/>
                <w:szCs w:val="18"/>
              </w:rPr>
              <w:t xml:space="preserve">, </w:t>
            </w:r>
            <w:hyperlink w:anchor="k10">
              <w:r>
                <w:rPr>
                  <w:rStyle w:val="ListLabel112"/>
                  <w:rFonts w:eastAsia="Cambria" w:cs="Cambria"/>
                  <w:b w:val="false"/>
                  <w:bCs w:val="false"/>
                  <w:i w:val="false"/>
                  <w:iCs w:val="false"/>
                  <w:sz w:val="18"/>
                  <w:szCs w:val="18"/>
                </w:rPr>
                <w:t>10</w:t>
              </w:r>
            </w:hyperlink>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US-Steuern und Sozialversicherung</w:t>
      </w:r>
    </w:p>
    <w:tbl>
      <w:tblPr>
        <w:tblW w:w="6480" w:type="dxa"/>
        <w:jc w:val="left"/>
        <w:tblInd w:w="0" w:type="dxa"/>
        <w:tblLayout w:type="fixed"/>
        <w:tblCellMar>
          <w:top w:w="50" w:type="dxa"/>
          <w:left w:w="80" w:type="dxa"/>
          <w:bottom w:w="50" w:type="dxa"/>
          <w:right w:w="80" w:type="dxa"/>
        </w:tblCellMar>
      </w:tblPr>
      <w:tblGrid>
        <w:gridCol w:w="2696"/>
        <w:gridCol w:w="2834"/>
        <w:gridCol w:w="950"/>
      </w:tblGrid>
      <w:tr>
        <w:trPr>
          <w:tblHeader w:val="true"/>
          <w:cantSplit w:val="true"/>
        </w:trPr>
        <w:tc>
          <w:tcPr>
            <w:tcW w:w="269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283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Steuersätze, Standardabzug, Startseite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
              <w:r>
                <w:rPr>
                  <w:rStyle w:val="ListLabel112"/>
                  <w:rFonts w:eastAsia="Cambria" w:cs="Cambria"/>
                  <w:b w:val="false"/>
                  <w:bCs w:val="false"/>
                  <w:i w:val="false"/>
                  <w:iCs w:val="false"/>
                  <w:sz w:val="18"/>
                  <w:szCs w:val="18"/>
                </w:rPr>
                <w:t>1</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irs.gov/individuals/tax-withholding-estimator</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Tax Withholding Estimator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
              <w:r>
                <w:rPr>
                  <w:rStyle w:val="ListLabel112"/>
                  <w:rFonts w:eastAsia="Cambria" w:cs="Cambria"/>
                  <w:b w:val="false"/>
                  <w:bCs w:val="false"/>
                  <w:i w:val="false"/>
                  <w:iCs w:val="false"/>
                  <w:sz w:val="18"/>
                  <w:szCs w:val="18"/>
                </w:rPr>
                <w:t>3</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irs.gov/pub/irs-trty/germany.pdf</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Doppelbesteuerungsabkommen Deutschland–USA</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
              <w:r>
                <w:rPr>
                  <w:rStyle w:val="ListLabel112"/>
                  <w:rFonts w:eastAsia="Cambria" w:cs="Cambria"/>
                  <w:b w:val="false"/>
                  <w:bCs w:val="false"/>
                  <w:i w:val="false"/>
                  <w:iCs w:val="false"/>
                  <w:sz w:val="18"/>
                  <w:szCs w:val="18"/>
                </w:rPr>
                <w:t>2</w:t>
              </w:r>
            </w:hyperlink>
            <w:r>
              <w:rPr>
                <w:rFonts w:eastAsia="Cambria" w:cs="Cambria"/>
                <w:b w:val="false"/>
                <w:bCs w:val="false"/>
                <w:i w:val="false"/>
                <w:iCs w:val="false"/>
                <w:sz w:val="18"/>
                <w:szCs w:val="18"/>
              </w:rPr>
              <w:t xml:space="preserve">, </w:t>
            </w:r>
            <w:hyperlink w:anchor="k17">
              <w:r>
                <w:rPr>
                  <w:rStyle w:val="ListLabel112"/>
                  <w:rFonts w:eastAsia="Cambria" w:cs="Cambria"/>
                  <w:b w:val="false"/>
                  <w:bCs w:val="false"/>
                  <w:i w:val="false"/>
                  <w:iCs w:val="false"/>
                  <w:sz w:val="18"/>
                  <w:szCs w:val="18"/>
                </w:rPr>
                <w:t>17</w:t>
              </w:r>
            </w:hyperlink>
            <w:r>
              <w:rPr>
                <w:rFonts w:eastAsia="Cambria" w:cs="Cambria"/>
                <w:b w:val="false"/>
                <w:bCs w:val="false"/>
                <w:i w:val="false"/>
                <w:iCs w:val="false"/>
                <w:sz w:val="18"/>
                <w:szCs w:val="18"/>
              </w:rPr>
              <w:t xml:space="preserve">, </w:t>
            </w:r>
            <w:hyperlink w:anchor="k28">
              <w:r>
                <w:rPr>
                  <w:rStyle w:val="ListLabel112"/>
                  <w:rFonts w:eastAsia="Cambria" w:cs="Cambria"/>
                  <w:b w:val="false"/>
                  <w:bCs w:val="false"/>
                  <w:i w:val="false"/>
                  <w:iCs w:val="false"/>
                  <w:sz w:val="18"/>
                  <w:szCs w:val="18"/>
                </w:rPr>
                <w:t>28</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irs.gov/businesses/comparison-of-form-8938-and-fbar-requirements</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Vergleich Form 8938 und FBAR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
              <w:r>
                <w:rPr>
                  <w:rStyle w:val="ListLabel112"/>
                  <w:rFonts w:eastAsia="Cambria" w:cs="Cambria"/>
                  <w:b w:val="false"/>
                  <w:bCs w:val="false"/>
                  <w:i w:val="false"/>
                  <w:iCs w:val="false"/>
                  <w:sz w:val="18"/>
                  <w:szCs w:val="18"/>
                </w:rPr>
                <w:t>2</w:t>
              </w:r>
            </w:hyperlink>
            <w:r>
              <w:rPr>
                <w:rFonts w:eastAsia="Cambria" w:cs="Cambria"/>
                <w:b w:val="false"/>
                <w:bCs w:val="false"/>
                <w:i w:val="false"/>
                <w:iCs w:val="false"/>
                <w:sz w:val="18"/>
                <w:szCs w:val="18"/>
              </w:rPr>
              <w:t xml:space="preserve">, </w:t>
            </w:r>
            <w:hyperlink w:anchor="k28">
              <w:r>
                <w:rPr>
                  <w:rStyle w:val="ListLabel112"/>
                  <w:rFonts w:eastAsia="Cambria" w:cs="Cambria"/>
                  <w:b w:val="false"/>
                  <w:bCs w:val="false"/>
                  <w:i w:val="false"/>
                  <w:iCs w:val="false"/>
                  <w:sz w:val="18"/>
                  <w:szCs w:val="18"/>
                </w:rPr>
                <w:t>28</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irs.gov/businesses/small-businesses-self-employed/report-of-foreign-bank-and-financial-accounts-fbar</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FBAR, Meldepflicht für Auslandskonten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8">
              <w:r>
                <w:rPr>
                  <w:rStyle w:val="ListLabel112"/>
                  <w:rFonts w:eastAsia="Cambria" w:cs="Cambria"/>
                  <w:b w:val="false"/>
                  <w:bCs w:val="false"/>
                  <w:i w:val="false"/>
                  <w:iCs w:val="false"/>
                  <w:sz w:val="18"/>
                  <w:szCs w:val="18"/>
                </w:rPr>
                <w:t>28</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irs.gov/individuals/international-taxpayers</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Steuerpflicht für Auslandsansässige, Exit Tax</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6">
              <w:r>
                <w:rPr>
                  <w:rStyle w:val="ListLabel112"/>
                  <w:rFonts w:eastAsia="Cambria" w:cs="Cambria"/>
                  <w:b w:val="false"/>
                  <w:bCs w:val="false"/>
                  <w:i w:val="false"/>
                  <w:iCs w:val="false"/>
                  <w:sz w:val="18"/>
                  <w:szCs w:val="18"/>
                </w:rPr>
                <w:t>6</w:t>
              </w:r>
            </w:hyperlink>
            <w:r>
              <w:rPr>
                <w:rFonts w:eastAsia="Cambria" w:cs="Cambria"/>
                <w:b w:val="false"/>
                <w:bCs w:val="false"/>
                <w:i w:val="false"/>
                <w:iCs w:val="false"/>
                <w:sz w:val="18"/>
                <w:szCs w:val="18"/>
              </w:rPr>
              <w:t xml:space="preserve">, </w:t>
            </w:r>
            <w:hyperlink w:anchor="k8">
              <w:r>
                <w:rPr>
                  <w:rStyle w:val="ListLabel112"/>
                  <w:rFonts w:eastAsia="Cambria" w:cs="Cambria"/>
                  <w:b w:val="false"/>
                  <w:bCs w:val="false"/>
                  <w:i w:val="false"/>
                  <w:iCs w:val="false"/>
                  <w:sz w:val="18"/>
                  <w:szCs w:val="18"/>
                </w:rPr>
                <w:t>8</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irs.gov/individuals/international-taxpayers/taxation-of-nonresident-aliens</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Besteuerung von Nichtansässigen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8">
              <w:r>
                <w:rPr>
                  <w:rStyle w:val="ListLabel112"/>
                  <w:rFonts w:eastAsia="Cambria" w:cs="Cambria"/>
                  <w:b w:val="false"/>
                  <w:bCs w:val="false"/>
                  <w:i w:val="false"/>
                  <w:iCs w:val="false"/>
                  <w:sz w:val="18"/>
                  <w:szCs w:val="18"/>
                </w:rPr>
                <w:t>28</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irs.gov/publications/p519</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Publication 519, Steuerleitfaden für Ausländer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8">
              <w:r>
                <w:rPr>
                  <w:rStyle w:val="ListLabel112"/>
                  <w:rFonts w:eastAsia="Cambria" w:cs="Cambria"/>
                  <w:b w:val="false"/>
                  <w:bCs w:val="false"/>
                  <w:i w:val="false"/>
                  <w:iCs w:val="false"/>
                  <w:sz w:val="18"/>
                  <w:szCs w:val="18"/>
                </w:rPr>
                <w:t>28</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irs.gov/credits-deductions/individuals/child-tax-credit</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Child Tax Credit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8">
              <w:r>
                <w:rPr>
                  <w:rStyle w:val="ListLabel112"/>
                  <w:rFonts w:eastAsia="Cambria" w:cs="Cambria"/>
                  <w:b w:val="false"/>
                  <w:bCs w:val="false"/>
                  <w:i w:val="false"/>
                  <w:iCs w:val="false"/>
                  <w:sz w:val="18"/>
                  <w:szCs w:val="18"/>
                </w:rPr>
                <w:t>28</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irs.gov/payments/failure-to-file-penalty</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Strafen bei verspäteter Erklärung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8">
              <w:r>
                <w:rPr>
                  <w:rStyle w:val="ListLabel112"/>
                  <w:rFonts w:eastAsia="Cambria" w:cs="Cambria"/>
                  <w:b w:val="false"/>
                  <w:bCs w:val="false"/>
                  <w:i w:val="false"/>
                  <w:iCs w:val="false"/>
                  <w:sz w:val="18"/>
                  <w:szCs w:val="18"/>
                </w:rPr>
                <w:t>28</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irs.gov/tax-professionals/choosing-a-tax-professional (auch /newsroom/tax-scams-consumer-alerts)</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Steuerberater finden, Betrugswarnungen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8">
              <w:r>
                <w:rPr>
                  <w:rStyle w:val="ListLabel112"/>
                  <w:rFonts w:eastAsia="Cambria" w:cs="Cambria"/>
                  <w:b w:val="false"/>
                  <w:bCs w:val="false"/>
                  <w:i w:val="false"/>
                  <w:iCs w:val="false"/>
                  <w:sz w:val="18"/>
                  <w:szCs w:val="18"/>
                </w:rPr>
                <w:t>28</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irs.gov/retirement-plans/401k-plans</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401(k)-Pläne und Grenzen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9">
              <w:r>
                <w:rPr>
                  <w:rStyle w:val="ListLabel112"/>
                  <w:rFonts w:eastAsia="Cambria" w:cs="Cambria"/>
                  <w:b w:val="false"/>
                  <w:bCs w:val="false"/>
                  <w:i w:val="false"/>
                  <w:iCs w:val="false"/>
                  <w:sz w:val="18"/>
                  <w:szCs w:val="18"/>
                </w:rPr>
                <w:t>29</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irs.gov/instructions/i8621</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Formular 8621, PFIC</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7">
              <w:r>
                <w:rPr>
                  <w:rStyle w:val="ListLabel112"/>
                  <w:rFonts w:eastAsia="Cambria" w:cs="Cambria"/>
                  <w:b w:val="false"/>
                  <w:bCs w:val="false"/>
                  <w:i w:val="false"/>
                  <w:iCs w:val="false"/>
                  <w:sz w:val="18"/>
                  <w:szCs w:val="18"/>
                </w:rPr>
                <w:t>17</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irs.gov/publications/p936 (auch /taxtopics/tc701)</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Hypothekenzinsen und Hausverkauf</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4">
              <w:r>
                <w:rPr>
                  <w:rStyle w:val="ListLabel112"/>
                  <w:rFonts w:eastAsia="Cambria" w:cs="Cambria"/>
                  <w:b w:val="false"/>
                  <w:bCs w:val="false"/>
                  <w:i w:val="false"/>
                  <w:iCs w:val="false"/>
                  <w:sz w:val="18"/>
                  <w:szCs w:val="18"/>
                </w:rPr>
                <w:t>14</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irs.gov/individuals/how-do-i-apply-for-an-itin</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ITIN beantragen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4">
              <w:r>
                <w:rPr>
                  <w:rStyle w:val="ListLabel112"/>
                  <w:rFonts w:eastAsia="Cambria" w:cs="Cambria"/>
                  <w:b w:val="false"/>
                  <w:bCs w:val="false"/>
                  <w:i w:val="false"/>
                  <w:iCs w:val="false"/>
                  <w:sz w:val="18"/>
                  <w:szCs w:val="18"/>
                </w:rPr>
                <w:t>24</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irs.gov/identity-theft-fraud-scams/get-an-identity-protection-pin</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Identity Protection PIN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4">
              <w:r>
                <w:rPr>
                  <w:rStyle w:val="ListLabel112"/>
                  <w:rFonts w:eastAsia="Cambria" w:cs="Cambria"/>
                  <w:b w:val="false"/>
                  <w:bCs w:val="false"/>
                  <w:i w:val="false"/>
                  <w:iCs w:val="false"/>
                  <w:sz w:val="18"/>
                  <w:szCs w:val="18"/>
                </w:rPr>
                <w:t>24</w:t>
              </w:r>
            </w:hyperlink>
            <w:r>
              <w:rPr>
                <w:rFonts w:eastAsia="Cambria" w:cs="Cambria"/>
                <w:b w:val="false"/>
                <w:bCs w:val="false"/>
                <w:i w:val="false"/>
                <w:iCs w:val="false"/>
                <w:sz w:val="18"/>
                <w:szCs w:val="18"/>
              </w:rPr>
              <w:t xml:space="preserve">, </w:t>
            </w:r>
            <w:hyperlink w:anchor="k25">
              <w:r>
                <w:rPr>
                  <w:rStyle w:val="ListLabel112"/>
                  <w:rFonts w:eastAsia="Cambria" w:cs="Cambria"/>
                  <w:b w:val="false"/>
                  <w:bCs w:val="false"/>
                  <w:i w:val="false"/>
                  <w:iCs w:val="false"/>
                  <w:sz w:val="18"/>
                  <w:szCs w:val="18"/>
                </w:rPr>
                <w:t>25</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irs.gov/forms-pubs/about-form-w-4</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Form W-4, Lohnsteuerabzug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3">
              <w:r>
                <w:rPr>
                  <w:rStyle w:val="ListLabel112"/>
                  <w:rFonts w:eastAsia="Cambria" w:cs="Cambria"/>
                  <w:b w:val="false"/>
                  <w:bCs w:val="false"/>
                  <w:i w:val="false"/>
                  <w:iCs w:val="false"/>
                  <w:sz w:val="18"/>
                  <w:szCs w:val="18"/>
                </w:rPr>
                <w:t>23</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irs.gov/businesses/small-businesses-self-employed/whats-new-estate-and-gift-tax</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Nachlass- und Schenkungsteuer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9">
              <w:r>
                <w:rPr>
                  <w:rStyle w:val="ListLabel112"/>
                  <w:rFonts w:eastAsia="Cambria" w:cs="Cambria"/>
                  <w:b w:val="false"/>
                  <w:bCs w:val="false"/>
                  <w:i w:val="false"/>
                  <w:iCs w:val="false"/>
                  <w:sz w:val="18"/>
                  <w:szCs w:val="18"/>
                </w:rPr>
                <w:t>39</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irs.gov/instructions/i3520</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Formular 3520, Meldepflicht bei Erbschaften und Schenkungen aus dem Ausland</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9">
              <w:r>
                <w:rPr>
                  <w:rStyle w:val="ListLabel112"/>
                  <w:rFonts w:eastAsia="Cambria" w:cs="Cambria"/>
                  <w:b w:val="false"/>
                  <w:bCs w:val="false"/>
                  <w:i w:val="false"/>
                  <w:iCs w:val="false"/>
                  <w:sz w:val="18"/>
                  <w:szCs w:val="18"/>
                </w:rPr>
                <w:t>39</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irs.gov/individuals/international-taxpayers/expatriation-tax</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Expatriation Tax</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1">
              <w:r>
                <w:rPr>
                  <w:rStyle w:val="ListLabel112"/>
                  <w:rFonts w:eastAsia="Cambria" w:cs="Cambria"/>
                  <w:b w:val="false"/>
                  <w:bCs w:val="false"/>
                  <w:i w:val="false"/>
                  <w:iCs w:val="false"/>
                  <w:sz w:val="18"/>
                  <w:szCs w:val="18"/>
                </w:rPr>
                <w:t>41</w:t>
              </w:r>
            </w:hyperlink>
            <w:r>
              <w:rPr>
                <w:rFonts w:eastAsia="Cambria" w:cs="Cambria"/>
                <w:b w:val="false"/>
                <w:bCs w:val="false"/>
                <w:i w:val="false"/>
                <w:iCs w:val="false"/>
                <w:sz w:val="18"/>
                <w:szCs w:val="18"/>
              </w:rPr>
              <w:t xml:space="preserve">, </w:t>
            </w:r>
            <w:hyperlink w:anchor="k42">
              <w:r>
                <w:rPr>
                  <w:rStyle w:val="ListLabel112"/>
                  <w:rFonts w:eastAsia="Cambria" w:cs="Cambria"/>
                  <w:b w:val="false"/>
                  <w:bCs w:val="false"/>
                  <w:i w:val="false"/>
                  <w:iCs w:val="false"/>
                  <w:sz w:val="18"/>
                  <w:szCs w:val="18"/>
                </w:rPr>
                <w:t>42</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irs.gov/individuals/international-taxpayers/firpta-withholding</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FIRPTA Withholding beim Immobilienverkauf</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2">
              <w:r>
                <w:rPr>
                  <w:rStyle w:val="ListLabel112"/>
                  <w:rFonts w:eastAsia="Cambria" w:cs="Cambria"/>
                  <w:b w:val="false"/>
                  <w:bCs w:val="false"/>
                  <w:i w:val="false"/>
                  <w:iCs w:val="false"/>
                  <w:sz w:val="18"/>
                  <w:szCs w:val="18"/>
                </w:rPr>
                <w:t>42</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ssa.gov/forms/ss-5.pdf</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Formular SS-5, Antrag auf die SSN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4">
              <w:r>
                <w:rPr>
                  <w:rStyle w:val="ListLabel112"/>
                  <w:rFonts w:eastAsia="Cambria" w:cs="Cambria"/>
                  <w:b w:val="false"/>
                  <w:bCs w:val="false"/>
                  <w:i w:val="false"/>
                  <w:iCs w:val="false"/>
                  <w:sz w:val="18"/>
                  <w:szCs w:val="18"/>
                </w:rPr>
                <w:t>24</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ssa.gov/international/Agreement_Pamphlets/germany.html</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Sozialversicherungsabkommen Deutschland–USA</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4">
              <w:r>
                <w:rPr>
                  <w:rStyle w:val="ListLabel112"/>
                  <w:rFonts w:eastAsia="Cambria" w:cs="Cambria"/>
                  <w:b w:val="false"/>
                  <w:bCs w:val="false"/>
                  <w:i w:val="false"/>
                  <w:iCs w:val="false"/>
                  <w:sz w:val="18"/>
                  <w:szCs w:val="18"/>
                </w:rPr>
                <w:t>24</w:t>
              </w:r>
            </w:hyperlink>
            <w:r>
              <w:rPr>
                <w:rFonts w:eastAsia="Cambria" w:cs="Cambria"/>
                <w:b w:val="false"/>
                <w:bCs w:val="false"/>
                <w:i w:val="false"/>
                <w:iCs w:val="false"/>
                <w:sz w:val="18"/>
                <w:szCs w:val="18"/>
              </w:rPr>
              <w:t xml:space="preserve">, </w:t>
            </w:r>
            <w:hyperlink w:anchor="k39">
              <w:r>
                <w:rPr>
                  <w:rStyle w:val="ListLabel112"/>
                  <w:rFonts w:eastAsia="Cambria" w:cs="Cambria"/>
                  <w:b w:val="false"/>
                  <w:bCs w:val="false"/>
                  <w:i w:val="false"/>
                  <w:iCs w:val="false"/>
                  <w:sz w:val="18"/>
                  <w:szCs w:val="18"/>
                </w:rPr>
                <w:t>39</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ssa.gov/number-card</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Social Security Number und Karte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4">
              <w:r>
                <w:rPr>
                  <w:rStyle w:val="ListLabel112"/>
                  <w:rFonts w:eastAsia="Cambria" w:cs="Cambria"/>
                  <w:b w:val="false"/>
                  <w:bCs w:val="false"/>
                  <w:i w:val="false"/>
                  <w:iCs w:val="false"/>
                  <w:sz w:val="18"/>
                  <w:szCs w:val="18"/>
                </w:rPr>
                <w:t>24</w:t>
              </w:r>
            </w:hyperlink>
          </w:p>
        </w:tc>
      </w:tr>
      <w:tr>
        <w:trPr>
          <w:cantSplit w:val="true"/>
        </w:trPr>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ssa.gov/benefits/retirement/social-security-fairness-act.html</w:t>
            </w:r>
          </w:p>
        </w:tc>
        <w:tc>
          <w:tcPr>
            <w:tcW w:w="28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Social Security Fairness Act (Abschaffung von WEP/GPO)</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9">
              <w:r>
                <w:rPr>
                  <w:rStyle w:val="ListLabel112"/>
                  <w:rFonts w:eastAsia="Cambria" w:cs="Cambria"/>
                  <w:b w:val="false"/>
                  <w:bCs w:val="false"/>
                  <w:i w:val="false"/>
                  <w:iCs w:val="false"/>
                  <w:sz w:val="18"/>
                  <w:szCs w:val="18"/>
                </w:rPr>
                <w:t>39</w:t>
              </w:r>
            </w:hyperlink>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US-Gesundheit</w:t>
      </w:r>
    </w:p>
    <w:tbl>
      <w:tblPr>
        <w:tblW w:w="6480" w:type="dxa"/>
        <w:jc w:val="left"/>
        <w:tblInd w:w="0" w:type="dxa"/>
        <w:tblLayout w:type="fixed"/>
        <w:tblCellMar>
          <w:top w:w="50" w:type="dxa"/>
          <w:left w:w="80" w:type="dxa"/>
          <w:bottom w:w="50" w:type="dxa"/>
          <w:right w:w="80" w:type="dxa"/>
        </w:tblCellMar>
      </w:tblPr>
      <w:tblGrid>
        <w:gridCol w:w="2547"/>
        <w:gridCol w:w="2983"/>
        <w:gridCol w:w="950"/>
      </w:tblGrid>
      <w:tr>
        <w:trPr>
          <w:tblHeader w:val="true"/>
          <w:cantSplit w:val="true"/>
        </w:trPr>
        <w:tc>
          <w:tcPr>
            <w:tcW w:w="254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298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25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healthcare.gov</w:t>
            </w:r>
          </w:p>
        </w:tc>
        <w:tc>
          <w:tcPr>
            <w:tcW w:w="2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Marktplatz, Plantypen, Sonderfenster, Einwanderungsstatus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
              <w:r>
                <w:rPr>
                  <w:rStyle w:val="ListLabel112"/>
                  <w:rFonts w:eastAsia="Cambria" w:cs="Cambria"/>
                  <w:b w:val="false"/>
                  <w:bCs w:val="false"/>
                  <w:i w:val="false"/>
                  <w:iCs w:val="false"/>
                  <w:sz w:val="18"/>
                  <w:szCs w:val="18"/>
                </w:rPr>
                <w:t>1</w:t>
              </w:r>
            </w:hyperlink>
            <w:r>
              <w:rPr>
                <w:rFonts w:eastAsia="Cambria" w:cs="Cambria"/>
                <w:b w:val="false"/>
                <w:bCs w:val="false"/>
                <w:i w:val="false"/>
                <w:iCs w:val="false"/>
                <w:sz w:val="18"/>
                <w:szCs w:val="18"/>
              </w:rPr>
              <w:t xml:space="preserve">, </w:t>
            </w:r>
            <w:hyperlink w:anchor="k26">
              <w:r>
                <w:rPr>
                  <w:rStyle w:val="ListLabel112"/>
                  <w:rFonts w:eastAsia="Cambria" w:cs="Cambria"/>
                  <w:b w:val="false"/>
                  <w:bCs w:val="false"/>
                  <w:i w:val="false"/>
                  <w:iCs w:val="false"/>
                  <w:sz w:val="18"/>
                  <w:szCs w:val="18"/>
                </w:rPr>
                <w:t>26</w:t>
              </w:r>
            </w:hyperlink>
          </w:p>
        </w:tc>
      </w:tr>
      <w:tr>
        <w:trPr>
          <w:cantSplit w:val="true"/>
        </w:trPr>
        <w:tc>
          <w:tcPr>
            <w:tcW w:w="25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cms.gov/nosurprises/consumers</w:t>
            </w:r>
          </w:p>
        </w:tc>
        <w:tc>
          <w:tcPr>
            <w:tcW w:w="2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 Surprises Act, Kostenvoranschlag, Beschwerdestelle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6">
              <w:r>
                <w:rPr>
                  <w:rStyle w:val="ListLabel112"/>
                  <w:rFonts w:eastAsia="Cambria" w:cs="Cambria"/>
                  <w:b w:val="false"/>
                  <w:bCs w:val="false"/>
                  <w:i w:val="false"/>
                  <w:iCs w:val="false"/>
                  <w:sz w:val="18"/>
                  <w:szCs w:val="18"/>
                </w:rPr>
                <w:t>26</w:t>
              </w:r>
            </w:hyperlink>
          </w:p>
        </w:tc>
      </w:tr>
      <w:tr>
        <w:trPr>
          <w:cantSplit w:val="true"/>
        </w:trPr>
        <w:tc>
          <w:tcPr>
            <w:tcW w:w="25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irs.gov/publications/p969</w:t>
            </w:r>
          </w:p>
        </w:tc>
        <w:tc>
          <w:tcPr>
            <w:tcW w:w="2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HSA und HDHP, jährliche Grenzwerte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6">
              <w:r>
                <w:rPr>
                  <w:rStyle w:val="ListLabel112"/>
                  <w:rFonts w:eastAsia="Cambria" w:cs="Cambria"/>
                  <w:b w:val="false"/>
                  <w:bCs w:val="false"/>
                  <w:i w:val="false"/>
                  <w:iCs w:val="false"/>
                  <w:sz w:val="18"/>
                  <w:szCs w:val="18"/>
                </w:rPr>
                <w:t>26</w:t>
              </w:r>
            </w:hyperlink>
          </w:p>
        </w:tc>
      </w:tr>
      <w:tr>
        <w:trPr>
          <w:cantSplit w:val="true"/>
        </w:trPr>
        <w:tc>
          <w:tcPr>
            <w:tcW w:w="25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dol.gov/agencies/ebsa (auch dol.gov/general/topic/health-plans/cobra)</w:t>
            </w:r>
          </w:p>
        </w:tc>
        <w:tc>
          <w:tcPr>
            <w:tcW w:w="2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COBRA, Wartefristen, Newborns’ Act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6">
              <w:r>
                <w:rPr>
                  <w:rStyle w:val="ListLabel112"/>
                  <w:rFonts w:eastAsia="Cambria" w:cs="Cambria"/>
                  <w:b w:val="false"/>
                  <w:bCs w:val="false"/>
                  <w:i w:val="false"/>
                  <w:iCs w:val="false"/>
                  <w:sz w:val="18"/>
                  <w:szCs w:val="18"/>
                </w:rPr>
                <w:t>26</w:t>
              </w:r>
            </w:hyperlink>
            <w:r>
              <w:rPr>
                <w:rFonts w:eastAsia="Cambria" w:cs="Cambria"/>
                <w:b w:val="false"/>
                <w:bCs w:val="false"/>
                <w:i w:val="false"/>
                <w:iCs w:val="false"/>
                <w:sz w:val="18"/>
                <w:szCs w:val="18"/>
              </w:rPr>
              <w:t xml:space="preserve">, </w:t>
            </w:r>
            <w:hyperlink w:anchor="k30">
              <w:r>
                <w:rPr>
                  <w:rStyle w:val="ListLabel112"/>
                  <w:rFonts w:eastAsia="Cambria" w:cs="Cambria"/>
                  <w:b w:val="false"/>
                  <w:bCs w:val="false"/>
                  <w:i w:val="false"/>
                  <w:iCs w:val="false"/>
                  <w:sz w:val="18"/>
                  <w:szCs w:val="18"/>
                </w:rPr>
                <w:t>30</w:t>
              </w:r>
            </w:hyperlink>
          </w:p>
        </w:tc>
      </w:tr>
      <w:tr>
        <w:trPr>
          <w:cantSplit w:val="true"/>
        </w:trPr>
        <w:tc>
          <w:tcPr>
            <w:tcW w:w="25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cdc.gov/vaccines</w:t>
            </w:r>
          </w:p>
        </w:tc>
        <w:tc>
          <w:tcPr>
            <w:tcW w:w="2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Empfohlener Impfplan für Kinder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8">
              <w:r>
                <w:rPr>
                  <w:rStyle w:val="ListLabel112"/>
                  <w:rFonts w:eastAsia="Cambria" w:cs="Cambria"/>
                  <w:b w:val="false"/>
                  <w:bCs w:val="false"/>
                  <w:i w:val="false"/>
                  <w:iCs w:val="false"/>
                  <w:sz w:val="18"/>
                  <w:szCs w:val="18"/>
                </w:rPr>
                <w:t>18</w:t>
              </w:r>
            </w:hyperlink>
          </w:p>
        </w:tc>
      </w:tr>
      <w:tr>
        <w:trPr>
          <w:cantSplit w:val="true"/>
        </w:trPr>
        <w:tc>
          <w:tcPr>
            <w:tcW w:w="25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cdc.gov/importation</w:t>
            </w:r>
          </w:p>
        </w:tc>
        <w:tc>
          <w:tcPr>
            <w:tcW w:w="2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Einfuhr von Hunden und Katzen, Dog Import Form</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2">
              <w:r>
                <w:rPr>
                  <w:rStyle w:val="ListLabel112"/>
                  <w:rFonts w:eastAsia="Cambria" w:cs="Cambria"/>
                  <w:b w:val="false"/>
                  <w:bCs w:val="false"/>
                  <w:i w:val="false"/>
                  <w:iCs w:val="false"/>
                  <w:sz w:val="18"/>
                  <w:szCs w:val="18"/>
                </w:rPr>
                <w:t>22</w:t>
              </w:r>
            </w:hyperlink>
          </w:p>
        </w:tc>
      </w:tr>
      <w:tr>
        <w:trPr>
          <w:cantSplit w:val="true"/>
        </w:trPr>
        <w:tc>
          <w:tcPr>
            <w:tcW w:w="25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kff.org/health-costs</w:t>
            </w:r>
          </w:p>
        </w:tc>
        <w:tc>
          <w:tcPr>
            <w:tcW w:w="2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Employer Health Benefits Survey: Prämien, Selbstbehalte, Wartefristen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
              <w:r>
                <w:rPr>
                  <w:rStyle w:val="ListLabel112"/>
                  <w:rFonts w:eastAsia="Cambria" w:cs="Cambria"/>
                  <w:b w:val="false"/>
                  <w:bCs w:val="false"/>
                  <w:i w:val="false"/>
                  <w:iCs w:val="false"/>
                  <w:sz w:val="18"/>
                  <w:szCs w:val="18"/>
                </w:rPr>
                <w:t>3</w:t>
              </w:r>
            </w:hyperlink>
            <w:r>
              <w:rPr>
                <w:rFonts w:eastAsia="Cambria" w:cs="Cambria"/>
                <w:b w:val="false"/>
                <w:bCs w:val="false"/>
                <w:i w:val="false"/>
                <w:iCs w:val="false"/>
                <w:sz w:val="18"/>
                <w:szCs w:val="18"/>
              </w:rPr>
              <w:t xml:space="preserve">, </w:t>
            </w:r>
            <w:hyperlink w:anchor="k18">
              <w:r>
                <w:rPr>
                  <w:rStyle w:val="ListLabel112"/>
                  <w:rFonts w:eastAsia="Cambria" w:cs="Cambria"/>
                  <w:b w:val="false"/>
                  <w:bCs w:val="false"/>
                  <w:i w:val="false"/>
                  <w:iCs w:val="false"/>
                  <w:sz w:val="18"/>
                  <w:szCs w:val="18"/>
                </w:rPr>
                <w:t>18</w:t>
              </w:r>
            </w:hyperlink>
            <w:r>
              <w:rPr>
                <w:rFonts w:eastAsia="Cambria" w:cs="Cambria"/>
                <w:b w:val="false"/>
                <w:bCs w:val="false"/>
                <w:i w:val="false"/>
                <w:iCs w:val="false"/>
                <w:sz w:val="18"/>
                <w:szCs w:val="18"/>
              </w:rPr>
              <w:t xml:space="preserve">, </w:t>
            </w:r>
            <w:hyperlink w:anchor="k26">
              <w:r>
                <w:rPr>
                  <w:rStyle w:val="ListLabel112"/>
                  <w:rFonts w:eastAsia="Cambria" w:cs="Cambria"/>
                  <w:b w:val="false"/>
                  <w:bCs w:val="false"/>
                  <w:i w:val="false"/>
                  <w:iCs w:val="false"/>
                  <w:sz w:val="18"/>
                  <w:szCs w:val="18"/>
                </w:rPr>
                <w:t>26</w:t>
              </w:r>
            </w:hyperlink>
          </w:p>
        </w:tc>
      </w:tr>
      <w:tr>
        <w:trPr>
          <w:cantSplit w:val="true"/>
        </w:trPr>
        <w:tc>
          <w:tcPr>
            <w:tcW w:w="25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medicare.gov/basics/costs</w:t>
            </w:r>
          </w:p>
        </w:tc>
        <w:tc>
          <w:tcPr>
            <w:tcW w:w="2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 und Anspruchsvoraussetzungen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9">
              <w:r>
                <w:rPr>
                  <w:rStyle w:val="ListLabel112"/>
                  <w:rFonts w:eastAsia="Cambria" w:cs="Cambria"/>
                  <w:b w:val="false"/>
                  <w:bCs w:val="false"/>
                  <w:i w:val="false"/>
                  <w:iCs w:val="false"/>
                  <w:sz w:val="18"/>
                  <w:szCs w:val="18"/>
                </w:rPr>
                <w:t>39</w:t>
              </w:r>
            </w:hyperlink>
          </w:p>
        </w:tc>
      </w:tr>
      <w:tr>
        <w:trPr>
          <w:cantSplit w:val="true"/>
        </w:trPr>
        <w:tc>
          <w:tcPr>
            <w:tcW w:w="25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988lifeline.org</w:t>
            </w:r>
          </w:p>
        </w:tc>
        <w:tc>
          <w:tcPr>
            <w:tcW w:w="2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Krisenhilfe rund um die Uhr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6">
              <w:r>
                <w:rPr>
                  <w:rStyle w:val="ListLabel112"/>
                  <w:rFonts w:eastAsia="Cambria" w:cs="Cambria"/>
                  <w:b w:val="false"/>
                  <w:bCs w:val="false"/>
                  <w:i w:val="false"/>
                  <w:iCs w:val="false"/>
                  <w:sz w:val="18"/>
                  <w:szCs w:val="18"/>
                </w:rPr>
                <w:t>26</w:t>
              </w:r>
            </w:hyperlink>
            <w:r>
              <w:rPr>
                <w:rFonts w:eastAsia="Cambria" w:cs="Cambria"/>
                <w:b w:val="false"/>
                <w:bCs w:val="false"/>
                <w:i w:val="false"/>
                <w:iCs w:val="false"/>
                <w:sz w:val="18"/>
                <w:szCs w:val="18"/>
              </w:rPr>
              <w:t xml:space="preserve">, </w:t>
            </w:r>
            <w:hyperlink w:anchor="k33">
              <w:r>
                <w:rPr>
                  <w:rStyle w:val="ListLabel112"/>
                  <w:rFonts w:eastAsia="Cambria" w:cs="Cambria"/>
                  <w:b w:val="false"/>
                  <w:bCs w:val="false"/>
                  <w:i w:val="false"/>
                  <w:iCs w:val="false"/>
                  <w:sz w:val="18"/>
                  <w:szCs w:val="18"/>
                </w:rPr>
                <w:t>33</w:t>
              </w:r>
            </w:hyperlink>
          </w:p>
        </w:tc>
      </w:tr>
      <w:tr>
        <w:trPr>
          <w:cantSplit w:val="true"/>
        </w:trPr>
        <w:tc>
          <w:tcPr>
            <w:tcW w:w="25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samhsa.gov/mental-health/988/faqs</w:t>
            </w:r>
          </w:p>
        </w:tc>
        <w:tc>
          <w:tcPr>
            <w:tcW w:w="2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Häufige Fragen zu 988</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3">
              <w:r>
                <w:rPr>
                  <w:rStyle w:val="ListLabel112"/>
                  <w:rFonts w:eastAsia="Cambria" w:cs="Cambria"/>
                  <w:b w:val="false"/>
                  <w:bCs w:val="false"/>
                  <w:i w:val="false"/>
                  <w:iCs w:val="false"/>
                  <w:sz w:val="18"/>
                  <w:szCs w:val="18"/>
                </w:rPr>
                <w:t>33</w:t>
              </w:r>
            </w:hyperlink>
          </w:p>
        </w:tc>
      </w:tr>
      <w:tr>
        <w:trPr>
          <w:cantSplit w:val="true"/>
        </w:trPr>
        <w:tc>
          <w:tcPr>
            <w:tcW w:w="25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findtreatment.gov</w:t>
            </w:r>
          </w:p>
        </w:tc>
        <w:tc>
          <w:tcPr>
            <w:tcW w:w="2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Therapeutensuche der Bundesbehörde SAMHSA</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6">
              <w:r>
                <w:rPr>
                  <w:rStyle w:val="ListLabel112"/>
                  <w:rFonts w:eastAsia="Cambria" w:cs="Cambria"/>
                  <w:b w:val="false"/>
                  <w:bCs w:val="false"/>
                  <w:i w:val="false"/>
                  <w:iCs w:val="false"/>
                  <w:sz w:val="18"/>
                  <w:szCs w:val="18"/>
                </w:rPr>
                <w:t>26</w:t>
              </w:r>
            </w:hyperlink>
            <w:r>
              <w:rPr>
                <w:rFonts w:eastAsia="Cambria" w:cs="Cambria"/>
                <w:b w:val="false"/>
                <w:bCs w:val="false"/>
                <w:i w:val="false"/>
                <w:iCs w:val="false"/>
                <w:sz w:val="18"/>
                <w:szCs w:val="18"/>
              </w:rPr>
              <w:t xml:space="preserve">, </w:t>
            </w:r>
            <w:hyperlink w:anchor="k33">
              <w:r>
                <w:rPr>
                  <w:rStyle w:val="ListLabel112"/>
                  <w:rFonts w:eastAsia="Cambria" w:cs="Cambria"/>
                  <w:b w:val="false"/>
                  <w:bCs w:val="false"/>
                  <w:i w:val="false"/>
                  <w:iCs w:val="false"/>
                  <w:sz w:val="18"/>
                  <w:szCs w:val="18"/>
                </w:rPr>
                <w:t>33</w:t>
              </w:r>
            </w:hyperlink>
          </w:p>
        </w:tc>
      </w:tr>
      <w:tr>
        <w:trPr>
          <w:cantSplit w:val="true"/>
        </w:trPr>
        <w:tc>
          <w:tcPr>
            <w:tcW w:w="25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psychologytoday.com/us/therapists/german</w:t>
            </w:r>
          </w:p>
        </w:tc>
        <w:tc>
          <w:tcPr>
            <w:tcW w:w="2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deutschsprachige Therapeutensuche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3">
              <w:r>
                <w:rPr>
                  <w:rStyle w:val="ListLabel112"/>
                  <w:rFonts w:eastAsia="Cambria" w:cs="Cambria"/>
                  <w:b w:val="false"/>
                  <w:bCs w:val="false"/>
                  <w:i w:val="false"/>
                  <w:iCs w:val="false"/>
                  <w:sz w:val="18"/>
                  <w:szCs w:val="18"/>
                </w:rPr>
                <w:t>33</w:t>
              </w:r>
            </w:hyperlink>
          </w:p>
        </w:tc>
      </w:tr>
      <w:tr>
        <w:trPr>
          <w:cantSplit w:val="true"/>
        </w:trPr>
        <w:tc>
          <w:tcPr>
            <w:tcW w:w="25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openpathcollective.org</w:t>
            </w:r>
          </w:p>
        </w:tc>
        <w:tc>
          <w:tcPr>
            <w:tcW w:w="29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reduzierte Therapiepreise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3">
              <w:r>
                <w:rPr>
                  <w:rStyle w:val="ListLabel112"/>
                  <w:rFonts w:eastAsia="Cambria" w:cs="Cambria"/>
                  <w:b w:val="false"/>
                  <w:bCs w:val="false"/>
                  <w:i w:val="false"/>
                  <w:iCs w:val="false"/>
                  <w:sz w:val="18"/>
                  <w:szCs w:val="18"/>
                </w:rPr>
                <w:t>33</w:t>
              </w:r>
            </w:hyperlink>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US-Wohnen und Finanzen</w:t>
      </w:r>
    </w:p>
    <w:tbl>
      <w:tblPr>
        <w:tblW w:w="6480" w:type="dxa"/>
        <w:jc w:val="left"/>
        <w:tblInd w:w="0" w:type="dxa"/>
        <w:tblLayout w:type="fixed"/>
        <w:tblCellMar>
          <w:top w:w="50" w:type="dxa"/>
          <w:left w:w="80" w:type="dxa"/>
          <w:bottom w:w="50" w:type="dxa"/>
          <w:right w:w="80" w:type="dxa"/>
        </w:tblCellMar>
      </w:tblPr>
      <w:tblGrid>
        <w:gridCol w:w="2479"/>
        <w:gridCol w:w="3051"/>
        <w:gridCol w:w="950"/>
      </w:tblGrid>
      <w:tr>
        <w:trPr>
          <w:tblHeader w:val="true"/>
          <w:cantSplit w:val="true"/>
        </w:trPr>
        <w:tc>
          <w:tcPr>
            <w:tcW w:w="247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305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24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consumerfinance.gov</w:t>
            </w:r>
          </w:p>
        </w:tc>
        <w:tc>
          <w:tcPr>
            <w:tcW w:w="30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CFPB: Credit Score, Kredite, Loan Estimate, Rate Lock, PMI, Hauskauf</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
              <w:r>
                <w:rPr>
                  <w:rStyle w:val="ListLabel112"/>
                  <w:rFonts w:eastAsia="Cambria" w:cs="Cambria"/>
                  <w:b w:val="false"/>
                  <w:bCs w:val="false"/>
                  <w:i w:val="false"/>
                  <w:iCs w:val="false"/>
                  <w:sz w:val="18"/>
                  <w:szCs w:val="18"/>
                </w:rPr>
                <w:t>2</w:t>
              </w:r>
            </w:hyperlink>
            <w:r>
              <w:rPr>
                <w:rFonts w:eastAsia="Cambria" w:cs="Cambria"/>
                <w:b w:val="false"/>
                <w:bCs w:val="false"/>
                <w:i w:val="false"/>
                <w:iCs w:val="false"/>
                <w:sz w:val="18"/>
                <w:szCs w:val="18"/>
              </w:rPr>
              <w:t xml:space="preserve">, </w:t>
            </w:r>
            <w:hyperlink w:anchor="k14">
              <w:r>
                <w:rPr>
                  <w:rStyle w:val="ListLabel112"/>
                  <w:rFonts w:eastAsia="Cambria" w:cs="Cambria"/>
                  <w:b w:val="false"/>
                  <w:bCs w:val="false"/>
                  <w:i w:val="false"/>
                  <w:iCs w:val="false"/>
                  <w:sz w:val="18"/>
                  <w:szCs w:val="18"/>
                </w:rPr>
                <w:t>14</w:t>
              </w:r>
            </w:hyperlink>
          </w:p>
        </w:tc>
      </w:tr>
      <w:tr>
        <w:trPr>
          <w:cantSplit w:val="true"/>
        </w:trPr>
        <w:tc>
          <w:tcPr>
            <w:tcW w:w="24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hud.gov/fairhousing</w:t>
            </w:r>
          </w:p>
        </w:tc>
        <w:tc>
          <w:tcPr>
            <w:tcW w:w="30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Fair Housing Act, Diskriminierung melden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3">
              <w:r>
                <w:rPr>
                  <w:rStyle w:val="ListLabel112"/>
                  <w:rFonts w:eastAsia="Cambria" w:cs="Cambria"/>
                  <w:b w:val="false"/>
                  <w:bCs w:val="false"/>
                  <w:i w:val="false"/>
                  <w:iCs w:val="false"/>
                  <w:sz w:val="18"/>
                  <w:szCs w:val="18"/>
                </w:rPr>
                <w:t>13</w:t>
              </w:r>
            </w:hyperlink>
          </w:p>
        </w:tc>
      </w:tr>
      <w:tr>
        <w:trPr>
          <w:cantSplit w:val="true"/>
        </w:trPr>
        <w:tc>
          <w:tcPr>
            <w:tcW w:w="24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hud.gov/sites/default/files/OCHCO/documents/2025-09hsgml.pdf</w:t>
            </w:r>
          </w:p>
        </w:tc>
        <w:tc>
          <w:tcPr>
            <w:tcW w:w="30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FHA-Regel für Nicht-Daueraufenthaltsberechtigte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4">
              <w:r>
                <w:rPr>
                  <w:rStyle w:val="ListLabel112"/>
                  <w:rFonts w:eastAsia="Cambria" w:cs="Cambria"/>
                  <w:b w:val="false"/>
                  <w:bCs w:val="false"/>
                  <w:i w:val="false"/>
                  <w:iCs w:val="false"/>
                  <w:sz w:val="18"/>
                  <w:szCs w:val="18"/>
                </w:rPr>
                <w:t>14</w:t>
              </w:r>
            </w:hyperlink>
          </w:p>
        </w:tc>
      </w:tr>
      <w:tr>
        <w:trPr>
          <w:cantSplit w:val="true"/>
        </w:trPr>
        <w:tc>
          <w:tcPr>
            <w:tcW w:w="24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annualcreditreport.com</w:t>
            </w:r>
          </w:p>
        </w:tc>
        <w:tc>
          <w:tcPr>
            <w:tcW w:w="30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kostenlose Kreditauskunft aller drei Bureaus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5">
              <w:r>
                <w:rPr>
                  <w:rStyle w:val="ListLabel112"/>
                  <w:rFonts w:eastAsia="Cambria" w:cs="Cambria"/>
                  <w:b w:val="false"/>
                  <w:bCs w:val="false"/>
                  <w:i w:val="false"/>
                  <w:iCs w:val="false"/>
                  <w:sz w:val="18"/>
                  <w:szCs w:val="18"/>
                </w:rPr>
                <w:t>25</w:t>
              </w:r>
            </w:hyperlink>
          </w:p>
        </w:tc>
      </w:tr>
      <w:tr>
        <w:trPr>
          <w:cantSplit w:val="true"/>
        </w:trPr>
        <w:tc>
          <w:tcPr>
            <w:tcW w:w="24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myfico.com</w:t>
            </w:r>
          </w:p>
        </w:tc>
        <w:tc>
          <w:tcPr>
            <w:tcW w:w="30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Aufbau und Faktoren des FICO-Scores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5">
              <w:r>
                <w:rPr>
                  <w:rStyle w:val="ListLabel112"/>
                  <w:rFonts w:eastAsia="Cambria" w:cs="Cambria"/>
                  <w:b w:val="false"/>
                  <w:bCs w:val="false"/>
                  <w:i w:val="false"/>
                  <w:iCs w:val="false"/>
                  <w:sz w:val="18"/>
                  <w:szCs w:val="18"/>
                </w:rPr>
                <w:t>25</w:t>
              </w:r>
            </w:hyperlink>
          </w:p>
        </w:tc>
      </w:tr>
      <w:tr>
        <w:trPr>
          <w:cantSplit w:val="true"/>
        </w:trPr>
        <w:tc>
          <w:tcPr>
            <w:tcW w:w="24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federalreserve.gov/releases/g19</w:t>
            </w:r>
          </w:p>
        </w:tc>
        <w:tc>
          <w:tcPr>
            <w:tcW w:w="30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offizielle Statistik zu Kreditkartenzinsen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5">
              <w:r>
                <w:rPr>
                  <w:rStyle w:val="ListLabel112"/>
                  <w:rFonts w:eastAsia="Cambria" w:cs="Cambria"/>
                  <w:b w:val="false"/>
                  <w:bCs w:val="false"/>
                  <w:i w:val="false"/>
                  <w:iCs w:val="false"/>
                  <w:sz w:val="18"/>
                  <w:szCs w:val="18"/>
                </w:rPr>
                <w:t>25</w:t>
              </w:r>
            </w:hyperlink>
          </w:p>
        </w:tc>
      </w:tr>
      <w:tr>
        <w:trPr>
          <w:cantSplit w:val="true"/>
        </w:trPr>
        <w:tc>
          <w:tcPr>
            <w:tcW w:w="24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novacredit.com/credit-passport</w:t>
            </w:r>
          </w:p>
        </w:tc>
        <w:tc>
          <w:tcPr>
            <w:tcW w:w="30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ausländische Kredithistorie übertragen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5">
              <w:r>
                <w:rPr>
                  <w:rStyle w:val="ListLabel112"/>
                  <w:rFonts w:eastAsia="Cambria" w:cs="Cambria"/>
                  <w:b w:val="false"/>
                  <w:bCs w:val="false"/>
                  <w:i w:val="false"/>
                  <w:iCs w:val="false"/>
                  <w:sz w:val="18"/>
                  <w:szCs w:val="18"/>
                </w:rPr>
                <w:t>25</w:t>
              </w:r>
            </w:hyperlink>
          </w:p>
        </w:tc>
      </w:tr>
      <w:tr>
        <w:trPr>
          <w:cantSplit w:val="true"/>
        </w:trPr>
        <w:tc>
          <w:tcPr>
            <w:tcW w:w="24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freddiemac.com/pmms</w:t>
            </w:r>
          </w:p>
        </w:tc>
        <w:tc>
          <w:tcPr>
            <w:tcW w:w="30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wöchentliche Hypothekenzins-Umfrage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
              <w:r>
                <w:rPr>
                  <w:rStyle w:val="ListLabel112"/>
                  <w:rFonts w:eastAsia="Cambria" w:cs="Cambria"/>
                  <w:b w:val="false"/>
                  <w:bCs w:val="false"/>
                  <w:i w:val="false"/>
                  <w:iCs w:val="false"/>
                  <w:sz w:val="18"/>
                  <w:szCs w:val="18"/>
                </w:rPr>
                <w:t>1</w:t>
              </w:r>
            </w:hyperlink>
            <w:r>
              <w:rPr>
                <w:rFonts w:eastAsia="Cambria" w:cs="Cambria"/>
                <w:b w:val="false"/>
                <w:bCs w:val="false"/>
                <w:i w:val="false"/>
                <w:iCs w:val="false"/>
                <w:sz w:val="18"/>
                <w:szCs w:val="18"/>
              </w:rPr>
              <w:t xml:space="preserve">, </w:t>
            </w:r>
            <w:hyperlink w:anchor="k14">
              <w:r>
                <w:rPr>
                  <w:rStyle w:val="ListLabel112"/>
                  <w:rFonts w:eastAsia="Cambria" w:cs="Cambria"/>
                  <w:b w:val="false"/>
                  <w:bCs w:val="false"/>
                  <w:i w:val="false"/>
                  <w:iCs w:val="false"/>
                  <w:sz w:val="18"/>
                  <w:szCs w:val="18"/>
                </w:rPr>
                <w:t>14</w:t>
              </w:r>
            </w:hyperlink>
          </w:p>
        </w:tc>
      </w:tr>
      <w:tr>
        <w:trPr>
          <w:cantSplit w:val="true"/>
        </w:trPr>
        <w:tc>
          <w:tcPr>
            <w:tcW w:w="24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selling-guide.fanniemae.com</w:t>
            </w:r>
          </w:p>
        </w:tc>
        <w:tc>
          <w:tcPr>
            <w:tcW w:w="30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Selling Guide zu Nicht-US-Bürgern und Kredithistorie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4">
              <w:r>
                <w:rPr>
                  <w:rStyle w:val="ListLabel112"/>
                  <w:rFonts w:eastAsia="Cambria" w:cs="Cambria"/>
                  <w:b w:val="false"/>
                  <w:bCs w:val="false"/>
                  <w:i w:val="false"/>
                  <w:iCs w:val="false"/>
                  <w:sz w:val="18"/>
                  <w:szCs w:val="18"/>
                </w:rPr>
                <w:t>14</w:t>
              </w:r>
            </w:hyperlink>
          </w:p>
        </w:tc>
      </w:tr>
      <w:tr>
        <w:trPr>
          <w:cantSplit w:val="true"/>
        </w:trPr>
        <w:tc>
          <w:tcPr>
            <w:tcW w:w="24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fhfa.gov</w:t>
            </w:r>
          </w:p>
        </w:tc>
        <w:tc>
          <w:tcPr>
            <w:tcW w:w="30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Conforming Loan Limits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4">
              <w:r>
                <w:rPr>
                  <w:rStyle w:val="ListLabel112"/>
                  <w:rFonts w:eastAsia="Cambria" w:cs="Cambria"/>
                  <w:b w:val="false"/>
                  <w:bCs w:val="false"/>
                  <w:i w:val="false"/>
                  <w:iCs w:val="false"/>
                  <w:sz w:val="18"/>
                  <w:szCs w:val="18"/>
                </w:rPr>
                <w:t>14</w:t>
              </w:r>
            </w:hyperlink>
          </w:p>
        </w:tc>
      </w:tr>
      <w:tr>
        <w:trPr>
          <w:cantSplit w:val="true"/>
        </w:trPr>
        <w:tc>
          <w:tcPr>
            <w:tcW w:w="24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fema.gov/flood-maps</w:t>
            </w:r>
          </w:p>
        </w:tc>
        <w:tc>
          <w:tcPr>
            <w:tcW w:w="30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Flutkarten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4">
              <w:r>
                <w:rPr>
                  <w:rStyle w:val="ListLabel112"/>
                  <w:rFonts w:eastAsia="Cambria" w:cs="Cambria"/>
                  <w:b w:val="false"/>
                  <w:bCs w:val="false"/>
                  <w:i w:val="false"/>
                  <w:iCs w:val="false"/>
                  <w:sz w:val="18"/>
                  <w:szCs w:val="18"/>
                </w:rPr>
                <w:t>14</w:t>
              </w:r>
            </w:hyperlink>
          </w:p>
        </w:tc>
      </w:tr>
      <w:tr>
        <w:trPr>
          <w:cantSplit w:val="true"/>
        </w:trPr>
        <w:tc>
          <w:tcPr>
            <w:tcW w:w="24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nar.realtor</w:t>
            </w:r>
          </w:p>
        </w:tc>
        <w:tc>
          <w:tcPr>
            <w:tcW w:w="30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Metro-Kaufpreise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2">
              <w:r>
                <w:rPr>
                  <w:rStyle w:val="ListLabel112"/>
                  <w:rFonts w:eastAsia="Cambria" w:cs="Cambria"/>
                  <w:b w:val="false"/>
                  <w:bCs w:val="false"/>
                  <w:i w:val="false"/>
                  <w:iCs w:val="false"/>
                  <w:sz w:val="18"/>
                  <w:szCs w:val="18"/>
                </w:rPr>
                <w:t>12</w:t>
              </w:r>
            </w:hyperlink>
          </w:p>
        </w:tc>
      </w:tr>
      <w:tr>
        <w:trPr>
          <w:cantSplit w:val="true"/>
        </w:trPr>
        <w:tc>
          <w:tcPr>
            <w:tcW w:w="24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zumper.com/rent-research</w:t>
            </w:r>
          </w:p>
        </w:tc>
        <w:tc>
          <w:tcPr>
            <w:tcW w:w="30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Zumper National Rent Report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2">
              <w:r>
                <w:rPr>
                  <w:rStyle w:val="ListLabel112"/>
                  <w:rFonts w:eastAsia="Cambria" w:cs="Cambria"/>
                  <w:b w:val="false"/>
                  <w:bCs w:val="false"/>
                  <w:i w:val="false"/>
                  <w:iCs w:val="false"/>
                  <w:sz w:val="18"/>
                  <w:szCs w:val="18"/>
                </w:rPr>
                <w:t>12</w:t>
              </w:r>
            </w:hyperlink>
          </w:p>
        </w:tc>
      </w:tr>
      <w:tr>
        <w:trPr>
          <w:cantSplit w:val="true"/>
        </w:trPr>
        <w:tc>
          <w:tcPr>
            <w:tcW w:w="24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taxfoundation.org</w:t>
            </w:r>
          </w:p>
        </w:tc>
        <w:tc>
          <w:tcPr>
            <w:tcW w:w="30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Steuerlast im Bundesstaatenvergleich</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2">
              <w:r>
                <w:rPr>
                  <w:rStyle w:val="ListLabel112"/>
                  <w:rFonts w:eastAsia="Cambria" w:cs="Cambria"/>
                  <w:b w:val="false"/>
                  <w:bCs w:val="false"/>
                  <w:i w:val="false"/>
                  <w:iCs w:val="false"/>
                  <w:sz w:val="18"/>
                  <w:szCs w:val="18"/>
                </w:rPr>
                <w:t>12</w:t>
              </w:r>
            </w:hyperlink>
          </w:p>
        </w:tc>
      </w:tr>
      <w:tr>
        <w:trPr>
          <w:cantSplit w:val="true"/>
        </w:trPr>
        <w:tc>
          <w:tcPr>
            <w:tcW w:w="24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nyc.gov/site/dca/about/FAQ-Broker-Fees.page</w:t>
            </w:r>
          </w:p>
        </w:tc>
        <w:tc>
          <w:tcPr>
            <w:tcW w:w="30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FARE Act, Maklergebühren in New York City</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3">
              <w:r>
                <w:rPr>
                  <w:rStyle w:val="ListLabel112"/>
                  <w:rFonts w:eastAsia="Cambria" w:cs="Cambria"/>
                  <w:b w:val="false"/>
                  <w:bCs w:val="false"/>
                  <w:i w:val="false"/>
                  <w:iCs w:val="false"/>
                  <w:sz w:val="18"/>
                  <w:szCs w:val="18"/>
                </w:rPr>
                <w:t>13</w:t>
              </w:r>
            </w:hyperlink>
          </w:p>
        </w:tc>
      </w:tr>
      <w:tr>
        <w:trPr>
          <w:cantSplit w:val="true"/>
        </w:trPr>
        <w:tc>
          <w:tcPr>
            <w:tcW w:w="24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seattle.gov/rentinginseattle</w:t>
            </w:r>
          </w:p>
        </w:tc>
        <w:tc>
          <w:tcPr>
            <w:tcW w:w="30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Kaution, Einzugsgebühren, Mieterrechte Seattle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3">
              <w:r>
                <w:rPr>
                  <w:rStyle w:val="ListLabel112"/>
                  <w:rFonts w:eastAsia="Cambria" w:cs="Cambria"/>
                  <w:b w:val="false"/>
                  <w:bCs w:val="false"/>
                  <w:i w:val="false"/>
                  <w:iCs w:val="false"/>
                  <w:sz w:val="18"/>
                  <w:szCs w:val="18"/>
                </w:rPr>
                <w:t>13</w:t>
              </w:r>
            </w:hyperlink>
          </w:p>
        </w:tc>
      </w:tr>
      <w:tr>
        <w:trPr>
          <w:cantSplit w:val="true"/>
        </w:trPr>
        <w:tc>
          <w:tcPr>
            <w:tcW w:w="24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michiganlegalhelp.org</w:t>
            </w:r>
          </w:p>
        </w:tc>
        <w:tc>
          <w:tcPr>
            <w:tcW w:w="30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Kaution und Mietrückstand in Michigan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3">
              <w:r>
                <w:rPr>
                  <w:rStyle w:val="ListLabel112"/>
                  <w:rFonts w:eastAsia="Cambria" w:cs="Cambria"/>
                  <w:b w:val="false"/>
                  <w:bCs w:val="false"/>
                  <w:i w:val="false"/>
                  <w:iCs w:val="false"/>
                  <w:sz w:val="18"/>
                  <w:szCs w:val="18"/>
                </w:rPr>
                <w:t>13</w:t>
              </w:r>
            </w:hyperlink>
          </w:p>
        </w:tc>
      </w:tr>
      <w:tr>
        <w:trPr>
          <w:cantSplit w:val="true"/>
        </w:trPr>
        <w:tc>
          <w:tcPr>
            <w:tcW w:w="24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commerce.wa.gov/housing-policy/hb1217-landlord-resource-center</w:t>
            </w:r>
          </w:p>
        </w:tc>
        <w:tc>
          <w:tcPr>
            <w:tcW w:w="30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Mieterhöhungen in Washington State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3">
              <w:r>
                <w:rPr>
                  <w:rStyle w:val="ListLabel112"/>
                  <w:rFonts w:eastAsia="Cambria" w:cs="Cambria"/>
                  <w:b w:val="false"/>
                  <w:bCs w:val="false"/>
                  <w:i w:val="false"/>
                  <w:iCs w:val="false"/>
                  <w:sz w:val="18"/>
                  <w:szCs w:val="18"/>
                </w:rPr>
                <w:t>13</w:t>
              </w:r>
            </w:hyperlink>
          </w:p>
        </w:tc>
      </w:tr>
      <w:tr>
        <w:trPr>
          <w:cantSplit w:val="true"/>
        </w:trPr>
        <w:tc>
          <w:tcPr>
            <w:tcW w:w="24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letsmakeaplan.org</w:t>
            </w:r>
          </w:p>
        </w:tc>
        <w:tc>
          <w:tcPr>
            <w:tcW w:w="30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Verzeichnis gebührenbasierter Finanzplaner (CFP Board)</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9">
              <w:r>
                <w:rPr>
                  <w:rStyle w:val="ListLabel112"/>
                  <w:rFonts w:eastAsia="Cambria" w:cs="Cambria"/>
                  <w:b w:val="false"/>
                  <w:bCs w:val="false"/>
                  <w:i w:val="false"/>
                  <w:iCs w:val="false"/>
                  <w:sz w:val="18"/>
                  <w:szCs w:val="18"/>
                </w:rPr>
                <w:t>39</w:t>
              </w:r>
            </w:hyperlink>
          </w:p>
        </w:tc>
      </w:tr>
      <w:tr>
        <w:trPr>
          <w:cantSplit w:val="true"/>
        </w:trPr>
        <w:tc>
          <w:tcPr>
            <w:tcW w:w="24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wise.com</w:t>
            </w:r>
          </w:p>
        </w:tc>
        <w:tc>
          <w:tcPr>
            <w:tcW w:w="30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Beispiel für einen Fintech-Anbieter für Auslandsüberweisungen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5">
              <w:r>
                <w:rPr>
                  <w:rStyle w:val="ListLabel112"/>
                  <w:rFonts w:eastAsia="Cambria" w:cs="Cambria"/>
                  <w:b w:val="false"/>
                  <w:bCs w:val="false"/>
                  <w:i w:val="false"/>
                  <w:iCs w:val="false"/>
                  <w:sz w:val="18"/>
                  <w:szCs w:val="18"/>
                </w:rPr>
                <w:t>25</w:t>
              </w:r>
            </w:hyperlink>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US-Bildung</w:t>
      </w:r>
    </w:p>
    <w:tbl>
      <w:tblPr>
        <w:tblW w:w="6480" w:type="dxa"/>
        <w:jc w:val="left"/>
        <w:tblInd w:w="0" w:type="dxa"/>
        <w:tblLayout w:type="fixed"/>
        <w:tblCellMar>
          <w:top w:w="50" w:type="dxa"/>
          <w:left w:w="80" w:type="dxa"/>
          <w:bottom w:w="50" w:type="dxa"/>
          <w:right w:w="80" w:type="dxa"/>
        </w:tblCellMar>
      </w:tblPr>
      <w:tblGrid>
        <w:gridCol w:w="2593"/>
        <w:gridCol w:w="2937"/>
        <w:gridCol w:w="950"/>
      </w:tblGrid>
      <w:tr>
        <w:trPr>
          <w:tblHeader w:val="true"/>
          <w:cantSplit w:val="true"/>
        </w:trPr>
        <w:tc>
          <w:tcPr>
            <w:tcW w:w="259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293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25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ed.gov</w:t>
            </w:r>
          </w:p>
        </w:tc>
        <w:tc>
          <w:tcPr>
            <w:tcW w:w="29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Schulrecht, IDEA, Office for Civil Rights, English Learners, Title III</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6">
              <w:r>
                <w:rPr>
                  <w:rStyle w:val="ListLabel112"/>
                  <w:rFonts w:eastAsia="Cambria" w:cs="Cambria"/>
                  <w:b w:val="false"/>
                  <w:bCs w:val="false"/>
                  <w:i w:val="false"/>
                  <w:iCs w:val="false"/>
                  <w:sz w:val="18"/>
                  <w:szCs w:val="18"/>
                </w:rPr>
                <w:t>36</w:t>
              </w:r>
            </w:hyperlink>
            <w:r>
              <w:rPr>
                <w:rFonts w:eastAsia="Cambria" w:cs="Cambria"/>
                <w:b w:val="false"/>
                <w:bCs w:val="false"/>
                <w:i w:val="false"/>
                <w:iCs w:val="false"/>
                <w:sz w:val="18"/>
                <w:szCs w:val="18"/>
              </w:rPr>
              <w:t xml:space="preserve">, </w:t>
            </w:r>
            <w:hyperlink w:anchor="k37">
              <w:r>
                <w:rPr>
                  <w:rStyle w:val="ListLabel112"/>
                  <w:rFonts w:eastAsia="Cambria" w:cs="Cambria"/>
                  <w:b w:val="false"/>
                  <w:bCs w:val="false"/>
                  <w:i w:val="false"/>
                  <w:iCs w:val="false"/>
                  <w:sz w:val="18"/>
                  <w:szCs w:val="18"/>
                </w:rPr>
                <w:t>37</w:t>
              </w:r>
            </w:hyperlink>
          </w:p>
        </w:tc>
      </w:tr>
      <w:tr>
        <w:trPr>
          <w:cantSplit w:val="true"/>
        </w:trPr>
        <w:tc>
          <w:tcPr>
            <w:tcW w:w="25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nces.ed.gov/fastfacts</w:t>
            </w:r>
          </w:p>
        </w:tc>
        <w:tc>
          <w:tcPr>
            <w:tcW w:w="29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Schüler, Schulfinanzen, Charter-Schulen, Sicherheit, Schuluniformen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4">
              <w:r>
                <w:rPr>
                  <w:rStyle w:val="ListLabel112"/>
                  <w:rFonts w:eastAsia="Cambria" w:cs="Cambria"/>
                  <w:b w:val="false"/>
                  <w:bCs w:val="false"/>
                  <w:i w:val="false"/>
                  <w:iCs w:val="false"/>
                  <w:sz w:val="18"/>
                  <w:szCs w:val="18"/>
                </w:rPr>
                <w:t>34</w:t>
              </w:r>
            </w:hyperlink>
            <w:r>
              <w:rPr>
                <w:rFonts w:eastAsia="Cambria" w:cs="Cambria"/>
                <w:b w:val="false"/>
                <w:bCs w:val="false"/>
                <w:i w:val="false"/>
                <w:iCs w:val="false"/>
                <w:sz w:val="18"/>
                <w:szCs w:val="18"/>
              </w:rPr>
              <w:t xml:space="preserve">, </w:t>
            </w:r>
            <w:hyperlink w:anchor="k36">
              <w:r>
                <w:rPr>
                  <w:rStyle w:val="ListLabel112"/>
                  <w:rFonts w:eastAsia="Cambria" w:cs="Cambria"/>
                  <w:b w:val="false"/>
                  <w:bCs w:val="false"/>
                  <w:i w:val="false"/>
                  <w:iCs w:val="false"/>
                  <w:sz w:val="18"/>
                  <w:szCs w:val="18"/>
                </w:rPr>
                <w:t>36</w:t>
              </w:r>
            </w:hyperlink>
          </w:p>
        </w:tc>
      </w:tr>
      <w:tr>
        <w:trPr>
          <w:cantSplit w:val="true"/>
        </w:trPr>
        <w:tc>
          <w:tcPr>
            <w:tcW w:w="25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nces.ed.gov/programs/digest</w:t>
            </w:r>
          </w:p>
        </w:tc>
        <w:tc>
          <w:tcPr>
            <w:tcW w:w="29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Digest of Education Statistics: Sicherheitsübungen, Privatschulen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6">
              <w:r>
                <w:rPr>
                  <w:rStyle w:val="ListLabel112"/>
                  <w:rFonts w:eastAsia="Cambria" w:cs="Cambria"/>
                  <w:b w:val="false"/>
                  <w:bCs w:val="false"/>
                  <w:i w:val="false"/>
                  <w:iCs w:val="false"/>
                  <w:sz w:val="18"/>
                  <w:szCs w:val="18"/>
                </w:rPr>
                <w:t>36</w:t>
              </w:r>
            </w:hyperlink>
          </w:p>
        </w:tc>
      </w:tr>
      <w:tr>
        <w:trPr>
          <w:cantSplit w:val="true"/>
        </w:trPr>
        <w:tc>
          <w:tcPr>
            <w:tcW w:w="25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greatschools.org/gk/ratings</w:t>
            </w:r>
          </w:p>
        </w:tc>
        <w:tc>
          <w:tcPr>
            <w:tcW w:w="29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Methodik der Schulbewertungen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6">
              <w:r>
                <w:rPr>
                  <w:rStyle w:val="ListLabel112"/>
                  <w:rFonts w:eastAsia="Cambria" w:cs="Cambria"/>
                  <w:b w:val="false"/>
                  <w:bCs w:val="false"/>
                  <w:i w:val="false"/>
                  <w:iCs w:val="false"/>
                  <w:sz w:val="18"/>
                  <w:szCs w:val="18"/>
                </w:rPr>
                <w:t>36</w:t>
              </w:r>
            </w:hyperlink>
          </w:p>
        </w:tc>
      </w:tr>
      <w:tr>
        <w:trPr>
          <w:cantSplit w:val="true"/>
        </w:trPr>
        <w:tc>
          <w:tcPr>
            <w:tcW w:w="25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mischooldata.org</w:t>
            </w:r>
          </w:p>
        </w:tc>
        <w:tc>
          <w:tcPr>
            <w:tcW w:w="29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Schulberichte am Beispiel Michigan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6">
              <w:r>
                <w:rPr>
                  <w:rStyle w:val="ListLabel112"/>
                  <w:rFonts w:eastAsia="Cambria" w:cs="Cambria"/>
                  <w:b w:val="false"/>
                  <w:bCs w:val="false"/>
                  <w:i w:val="false"/>
                  <w:iCs w:val="false"/>
                  <w:sz w:val="18"/>
                  <w:szCs w:val="18"/>
                </w:rPr>
                <w:t>36</w:t>
              </w:r>
            </w:hyperlink>
          </w:p>
        </w:tc>
      </w:tr>
      <w:tr>
        <w:trPr>
          <w:cantSplit w:val="true"/>
        </w:trPr>
        <w:tc>
          <w:tcPr>
            <w:tcW w:w="25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collegeboard.org (auch research.collegeboard.org/trends/college-pricing)</w:t>
            </w:r>
          </w:p>
        </w:tc>
        <w:tc>
          <w:tcPr>
            <w:tcW w:w="29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SAT, AP, Studienplanung, Entwicklung der College-Kosten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6">
              <w:r>
                <w:rPr>
                  <w:rStyle w:val="ListLabel112"/>
                  <w:rFonts w:eastAsia="Cambria" w:cs="Cambria"/>
                  <w:b w:val="false"/>
                  <w:bCs w:val="false"/>
                  <w:i w:val="false"/>
                  <w:iCs w:val="false"/>
                  <w:sz w:val="18"/>
                  <w:szCs w:val="18"/>
                </w:rPr>
                <w:t>36</w:t>
              </w:r>
            </w:hyperlink>
            <w:r>
              <w:rPr>
                <w:rFonts w:eastAsia="Cambria" w:cs="Cambria"/>
                <w:b w:val="false"/>
                <w:bCs w:val="false"/>
                <w:i w:val="false"/>
                <w:iCs w:val="false"/>
                <w:sz w:val="18"/>
                <w:szCs w:val="18"/>
              </w:rPr>
              <w:t xml:space="preserve">, </w:t>
            </w:r>
            <w:hyperlink w:anchor="k38">
              <w:r>
                <w:rPr>
                  <w:rStyle w:val="ListLabel112"/>
                  <w:rFonts w:eastAsia="Cambria" w:cs="Cambria"/>
                  <w:b w:val="false"/>
                  <w:bCs w:val="false"/>
                  <w:i w:val="false"/>
                  <w:iCs w:val="false"/>
                  <w:sz w:val="18"/>
                  <w:szCs w:val="18"/>
                </w:rPr>
                <w:t>38</w:t>
              </w:r>
            </w:hyperlink>
          </w:p>
        </w:tc>
      </w:tr>
      <w:tr>
        <w:trPr>
          <w:cantSplit w:val="true"/>
        </w:trPr>
        <w:tc>
          <w:tcPr>
            <w:tcW w:w="25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studentaid.gov</w:t>
            </w:r>
          </w:p>
        </w:tc>
        <w:tc>
          <w:tcPr>
            <w:tcW w:w="29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Federal Student Aid, Berechtigung für Bundeshilfe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8">
              <w:r>
                <w:rPr>
                  <w:rStyle w:val="ListLabel112"/>
                  <w:rFonts w:eastAsia="Cambria" w:cs="Cambria"/>
                  <w:b w:val="false"/>
                  <w:bCs w:val="false"/>
                  <w:i w:val="false"/>
                  <w:iCs w:val="false"/>
                  <w:sz w:val="18"/>
                  <w:szCs w:val="18"/>
                </w:rPr>
                <w:t>38</w:t>
              </w:r>
            </w:hyperlink>
          </w:p>
        </w:tc>
      </w:tr>
      <w:tr>
        <w:trPr>
          <w:cantSplit w:val="true"/>
        </w:trPr>
        <w:tc>
          <w:tcPr>
            <w:tcW w:w="25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wida.wisc.edu/assess/screener</w:t>
            </w:r>
          </w:p>
        </w:tc>
        <w:tc>
          <w:tcPr>
            <w:tcW w:w="29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WIDA Screener und ACCESS for ELLs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7">
              <w:r>
                <w:rPr>
                  <w:rStyle w:val="ListLabel112"/>
                  <w:rFonts w:eastAsia="Cambria" w:cs="Cambria"/>
                  <w:b w:val="false"/>
                  <w:bCs w:val="false"/>
                  <w:i w:val="false"/>
                  <w:iCs w:val="false"/>
                  <w:sz w:val="18"/>
                  <w:szCs w:val="18"/>
                </w:rPr>
                <w:t>37</w:t>
              </w:r>
            </w:hyperlink>
          </w:p>
        </w:tc>
      </w:tr>
      <w:tr>
        <w:trPr>
          <w:cantSplit w:val="true"/>
        </w:trPr>
        <w:tc>
          <w:tcPr>
            <w:tcW w:w="25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law.cornell.edu/uscode/text/20/6312</w:t>
            </w:r>
          </w:p>
        </w:tc>
        <w:tc>
          <w:tcPr>
            <w:tcW w:w="29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Elternbenachrichtigung und Umstufung, 20 U.S.C. § 6312</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7">
              <w:r>
                <w:rPr>
                  <w:rStyle w:val="ListLabel112"/>
                  <w:rFonts w:eastAsia="Cambria" w:cs="Cambria"/>
                  <w:b w:val="false"/>
                  <w:bCs w:val="false"/>
                  <w:i w:val="false"/>
                  <w:iCs w:val="false"/>
                  <w:sz w:val="18"/>
                  <w:szCs w:val="18"/>
                </w:rPr>
                <w:t>37</w:t>
              </w:r>
            </w:hyperlink>
          </w:p>
        </w:tc>
      </w:tr>
      <w:tr>
        <w:trPr>
          <w:cantSplit w:val="true"/>
        </w:trPr>
        <w:tc>
          <w:tcPr>
            <w:tcW w:w="25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aefla.ed.gov</w:t>
            </w:r>
          </w:p>
        </w:tc>
        <w:tc>
          <w:tcPr>
            <w:tcW w:w="29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Adult Education and Family Literacy Act, Erwachsenenbildung und ESL</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7">
              <w:r>
                <w:rPr>
                  <w:rStyle w:val="ListLabel112"/>
                  <w:rFonts w:eastAsia="Cambria" w:cs="Cambria"/>
                  <w:b w:val="false"/>
                  <w:bCs w:val="false"/>
                  <w:i w:val="false"/>
                  <w:iCs w:val="false"/>
                  <w:sz w:val="18"/>
                  <w:szCs w:val="18"/>
                </w:rPr>
                <w:t>37</w:t>
              </w:r>
            </w:hyperlink>
          </w:p>
        </w:tc>
      </w:tr>
      <w:tr>
        <w:trPr>
          <w:cantSplit w:val="true"/>
        </w:trPr>
        <w:tc>
          <w:tcPr>
            <w:tcW w:w="25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ets.org/toefl (auch ielts.org)</w:t>
            </w:r>
          </w:p>
        </w:tc>
        <w:tc>
          <w:tcPr>
            <w:tcW w:w="29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TOEFL und IELTS, Termine und Gebühren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7">
              <w:r>
                <w:rPr>
                  <w:rStyle w:val="ListLabel112"/>
                  <w:rFonts w:eastAsia="Cambria" w:cs="Cambria"/>
                  <w:b w:val="false"/>
                  <w:bCs w:val="false"/>
                  <w:i w:val="false"/>
                  <w:iCs w:val="false"/>
                  <w:sz w:val="18"/>
                  <w:szCs w:val="18"/>
                </w:rPr>
                <w:t>37</w:t>
              </w:r>
            </w:hyperlink>
          </w:p>
        </w:tc>
      </w:tr>
      <w:tr>
        <w:trPr>
          <w:cantSplit w:val="true"/>
        </w:trPr>
        <w:tc>
          <w:tcPr>
            <w:tcW w:w="259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opendoorsdata.org</w:t>
            </w:r>
          </w:p>
        </w:tc>
        <w:tc>
          <w:tcPr>
            <w:tcW w:w="29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Zahlen internationaler Studierender (Open Doors, IIE)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8">
              <w:r>
                <w:rPr>
                  <w:rStyle w:val="ListLabel112"/>
                  <w:rFonts w:eastAsia="Cambria" w:cs="Cambria"/>
                  <w:b w:val="false"/>
                  <w:bCs w:val="false"/>
                  <w:i w:val="false"/>
                  <w:iCs w:val="false"/>
                  <w:sz w:val="18"/>
                  <w:szCs w:val="18"/>
                </w:rPr>
                <w:t>8</w:t>
              </w:r>
            </w:hyperlink>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Deutsche Behörden</w:t>
      </w:r>
    </w:p>
    <w:tbl>
      <w:tblPr>
        <w:tblW w:w="6480" w:type="dxa"/>
        <w:jc w:val="left"/>
        <w:tblInd w:w="0" w:type="dxa"/>
        <w:tblLayout w:type="fixed"/>
        <w:tblCellMar>
          <w:top w:w="50" w:type="dxa"/>
          <w:left w:w="80" w:type="dxa"/>
          <w:bottom w:w="50" w:type="dxa"/>
          <w:right w:w="80" w:type="dxa"/>
        </w:tblCellMar>
      </w:tblPr>
      <w:tblGrid>
        <w:gridCol w:w="1772"/>
        <w:gridCol w:w="3279"/>
        <w:gridCol w:w="1429"/>
      </w:tblGrid>
      <w:tr>
        <w:trPr>
          <w:tblHeader w:val="true"/>
          <w:cantSplit w:val="true"/>
        </w:trPr>
        <w:tc>
          <w:tcPr>
            <w:tcW w:w="177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327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42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17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gesetze-im-internet.de</w:t>
            </w:r>
          </w:p>
        </w:tc>
        <w:tc>
          <w:tcPr>
            <w:tcW w:w="32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Gesetzestexte: BGB, SGB V, EStG, AStG, AO, ErbStG, AufenthG, Bundesmeldegesetz, TKG, VVG, Wehrpflichtgesetz u. a.</w:t>
            </w:r>
          </w:p>
        </w:tc>
        <w:tc>
          <w:tcPr>
            <w:tcW w:w="14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7">
              <w:r>
                <w:rPr>
                  <w:rStyle w:val="ListLabel112"/>
                  <w:rFonts w:eastAsia="Cambria" w:cs="Cambria"/>
                  <w:b w:val="false"/>
                  <w:bCs w:val="false"/>
                  <w:i w:val="false"/>
                  <w:iCs w:val="false"/>
                  <w:sz w:val="18"/>
                  <w:szCs w:val="18"/>
                </w:rPr>
                <w:t>7</w:t>
              </w:r>
            </w:hyperlink>
            <w:r>
              <w:rPr>
                <w:rFonts w:eastAsia="Cambria" w:cs="Cambria"/>
                <w:b w:val="false"/>
                <w:bCs w:val="false"/>
                <w:i w:val="false"/>
                <w:iCs w:val="false"/>
                <w:sz w:val="18"/>
                <w:szCs w:val="18"/>
              </w:rPr>
              <w:t xml:space="preserve">, </w:t>
            </w:r>
            <w:hyperlink w:anchor="k13">
              <w:r>
                <w:rPr>
                  <w:rStyle w:val="ListLabel112"/>
                  <w:rFonts w:eastAsia="Cambria" w:cs="Cambria"/>
                  <w:b w:val="false"/>
                  <w:bCs w:val="false"/>
                  <w:i w:val="false"/>
                  <w:iCs w:val="false"/>
                  <w:sz w:val="18"/>
                  <w:szCs w:val="18"/>
                </w:rPr>
                <w:t>13</w:t>
              </w:r>
            </w:hyperlink>
            <w:r>
              <w:rPr>
                <w:rFonts w:eastAsia="Cambria" w:cs="Cambria"/>
                <w:b w:val="false"/>
                <w:bCs w:val="false"/>
                <w:i w:val="false"/>
                <w:iCs w:val="false"/>
                <w:sz w:val="18"/>
                <w:szCs w:val="18"/>
              </w:rPr>
              <w:t xml:space="preserve">, </w:t>
            </w:r>
            <w:hyperlink w:anchor="k14">
              <w:r>
                <w:rPr>
                  <w:rStyle w:val="ListLabel112"/>
                  <w:rFonts w:eastAsia="Cambria" w:cs="Cambria"/>
                  <w:b w:val="false"/>
                  <w:bCs w:val="false"/>
                  <w:i w:val="false"/>
                  <w:iCs w:val="false"/>
                  <w:sz w:val="18"/>
                  <w:szCs w:val="18"/>
                </w:rPr>
                <w:t>14</w:t>
              </w:r>
            </w:hyperlink>
            <w:r>
              <w:rPr>
                <w:rFonts w:eastAsia="Cambria" w:cs="Cambria"/>
                <w:b w:val="false"/>
                <w:bCs w:val="false"/>
                <w:i w:val="false"/>
                <w:iCs w:val="false"/>
                <w:sz w:val="18"/>
                <w:szCs w:val="18"/>
              </w:rPr>
              <w:t xml:space="preserve">, </w:t>
            </w:r>
            <w:hyperlink w:anchor="k16">
              <w:r>
                <w:rPr>
                  <w:rStyle w:val="ListLabel112"/>
                  <w:rFonts w:eastAsia="Cambria" w:cs="Cambria"/>
                  <w:b w:val="false"/>
                  <w:bCs w:val="false"/>
                  <w:i w:val="false"/>
                  <w:iCs w:val="false"/>
                  <w:sz w:val="18"/>
                  <w:szCs w:val="18"/>
                </w:rPr>
                <w:t>16</w:t>
              </w:r>
            </w:hyperlink>
            <w:r>
              <w:rPr>
                <w:rFonts w:eastAsia="Cambria" w:cs="Cambria"/>
                <w:b w:val="false"/>
                <w:bCs w:val="false"/>
                <w:i w:val="false"/>
                <w:iCs w:val="false"/>
                <w:sz w:val="18"/>
                <w:szCs w:val="18"/>
              </w:rPr>
              <w:t xml:space="preserve">, </w:t>
            </w:r>
            <w:hyperlink w:anchor="k17">
              <w:r>
                <w:rPr>
                  <w:rStyle w:val="ListLabel112"/>
                  <w:rFonts w:eastAsia="Cambria" w:cs="Cambria"/>
                  <w:b w:val="false"/>
                  <w:bCs w:val="false"/>
                  <w:i w:val="false"/>
                  <w:iCs w:val="false"/>
                  <w:sz w:val="18"/>
                  <w:szCs w:val="18"/>
                </w:rPr>
                <w:t>17</w:t>
              </w:r>
            </w:hyperlink>
            <w:r>
              <w:rPr>
                <w:rFonts w:eastAsia="Cambria" w:cs="Cambria"/>
                <w:b w:val="false"/>
                <w:bCs w:val="false"/>
                <w:i w:val="false"/>
                <w:iCs w:val="false"/>
                <w:sz w:val="18"/>
                <w:szCs w:val="18"/>
              </w:rPr>
              <w:t xml:space="preserve">, </w:t>
            </w:r>
            <w:hyperlink w:anchor="k18">
              <w:r>
                <w:rPr>
                  <w:rStyle w:val="ListLabel112"/>
                  <w:rFonts w:eastAsia="Cambria" w:cs="Cambria"/>
                  <w:b w:val="false"/>
                  <w:bCs w:val="false"/>
                  <w:i w:val="false"/>
                  <w:iCs w:val="false"/>
                  <w:sz w:val="18"/>
                  <w:szCs w:val="18"/>
                </w:rPr>
                <w:t>18</w:t>
              </w:r>
            </w:hyperlink>
            <w:r>
              <w:rPr>
                <w:rFonts w:eastAsia="Cambria" w:cs="Cambria"/>
                <w:b w:val="false"/>
                <w:bCs w:val="false"/>
                <w:i w:val="false"/>
                <w:iCs w:val="false"/>
                <w:sz w:val="18"/>
                <w:szCs w:val="18"/>
              </w:rPr>
              <w:t xml:space="preserve">, </w:t>
            </w:r>
            <w:hyperlink w:anchor="k39">
              <w:r>
                <w:rPr>
                  <w:rStyle w:val="ListLabel112"/>
                  <w:rFonts w:eastAsia="Cambria" w:cs="Cambria"/>
                  <w:b w:val="false"/>
                  <w:bCs w:val="false"/>
                  <w:i w:val="false"/>
                  <w:iCs w:val="false"/>
                  <w:sz w:val="18"/>
                  <w:szCs w:val="18"/>
                </w:rPr>
                <w:t>39</w:t>
              </w:r>
            </w:hyperlink>
            <w:r>
              <w:rPr>
                <w:rFonts w:eastAsia="Cambria" w:cs="Cambria"/>
                <w:b w:val="false"/>
                <w:bCs w:val="false"/>
                <w:i w:val="false"/>
                <w:iCs w:val="false"/>
                <w:sz w:val="18"/>
                <w:szCs w:val="18"/>
              </w:rPr>
              <w:t xml:space="preserve">, </w:t>
            </w:r>
            <w:hyperlink w:anchor="k42">
              <w:r>
                <w:rPr>
                  <w:rStyle w:val="ListLabel112"/>
                  <w:rFonts w:eastAsia="Cambria" w:cs="Cambria"/>
                  <w:b w:val="false"/>
                  <w:bCs w:val="false"/>
                  <w:i w:val="false"/>
                  <w:iCs w:val="false"/>
                  <w:sz w:val="18"/>
                  <w:szCs w:val="18"/>
                </w:rPr>
                <w:t>42</w:t>
              </w:r>
            </w:hyperlink>
          </w:p>
        </w:tc>
      </w:tr>
      <w:tr>
        <w:trPr>
          <w:cantSplit w:val="true"/>
        </w:trPr>
        <w:tc>
          <w:tcPr>
            <w:tcW w:w="17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deutsche-rentenversicherung.de</w:t>
            </w:r>
          </w:p>
        </w:tc>
        <w:tc>
          <w:tcPr>
            <w:tcW w:w="32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Beratung vor dem Umzug, Broschüre „Arbeit und Rente in Deutschland und in den USA“</w:t>
            </w:r>
          </w:p>
        </w:tc>
        <w:tc>
          <w:tcPr>
            <w:tcW w:w="14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5">
              <w:r>
                <w:rPr>
                  <w:rStyle w:val="ListLabel112"/>
                  <w:rFonts w:eastAsia="Cambria" w:cs="Cambria"/>
                  <w:b w:val="false"/>
                  <w:bCs w:val="false"/>
                  <w:i w:val="false"/>
                  <w:iCs w:val="false"/>
                  <w:sz w:val="18"/>
                  <w:szCs w:val="18"/>
                </w:rPr>
                <w:t>15</w:t>
              </w:r>
            </w:hyperlink>
            <w:r>
              <w:rPr>
                <w:rFonts w:eastAsia="Cambria" w:cs="Cambria"/>
                <w:b w:val="false"/>
                <w:bCs w:val="false"/>
                <w:i w:val="false"/>
                <w:iCs w:val="false"/>
                <w:sz w:val="18"/>
                <w:szCs w:val="18"/>
              </w:rPr>
              <w:t xml:space="preserve">, </w:t>
            </w:r>
            <w:hyperlink w:anchor="k17">
              <w:r>
                <w:rPr>
                  <w:rStyle w:val="ListLabel112"/>
                  <w:rFonts w:eastAsia="Cambria" w:cs="Cambria"/>
                  <w:b w:val="false"/>
                  <w:bCs w:val="false"/>
                  <w:i w:val="false"/>
                  <w:iCs w:val="false"/>
                  <w:sz w:val="18"/>
                  <w:szCs w:val="18"/>
                </w:rPr>
                <w:t>17</w:t>
              </w:r>
            </w:hyperlink>
            <w:r>
              <w:rPr>
                <w:rFonts w:eastAsia="Cambria" w:cs="Cambria"/>
                <w:b w:val="false"/>
                <w:bCs w:val="false"/>
                <w:i w:val="false"/>
                <w:iCs w:val="false"/>
                <w:sz w:val="18"/>
                <w:szCs w:val="18"/>
              </w:rPr>
              <w:t xml:space="preserve">, </w:t>
            </w:r>
            <w:hyperlink w:anchor="k39">
              <w:r>
                <w:rPr>
                  <w:rStyle w:val="ListLabel112"/>
                  <w:rFonts w:eastAsia="Cambria" w:cs="Cambria"/>
                  <w:b w:val="false"/>
                  <w:bCs w:val="false"/>
                  <w:i w:val="false"/>
                  <w:iCs w:val="false"/>
                  <w:sz w:val="18"/>
                  <w:szCs w:val="18"/>
                </w:rPr>
                <w:t>39</w:t>
              </w:r>
            </w:hyperlink>
            <w:r>
              <w:rPr>
                <w:rFonts w:eastAsia="Cambria" w:cs="Cambria"/>
                <w:b w:val="false"/>
                <w:bCs w:val="false"/>
                <w:i w:val="false"/>
                <w:iCs w:val="false"/>
                <w:sz w:val="18"/>
                <w:szCs w:val="18"/>
              </w:rPr>
              <w:t xml:space="preserve">, </w:t>
            </w:r>
            <w:hyperlink w:anchor="k42">
              <w:r>
                <w:rPr>
                  <w:rStyle w:val="ListLabel112"/>
                  <w:rFonts w:eastAsia="Cambria" w:cs="Cambria"/>
                  <w:b w:val="false"/>
                  <w:bCs w:val="false"/>
                  <w:i w:val="false"/>
                  <w:iCs w:val="false"/>
                  <w:sz w:val="18"/>
                  <w:szCs w:val="18"/>
                </w:rPr>
                <w:t>42</w:t>
              </w:r>
            </w:hyperlink>
          </w:p>
        </w:tc>
      </w:tr>
      <w:tr>
        <w:trPr>
          <w:cantSplit w:val="true"/>
        </w:trPr>
        <w:tc>
          <w:tcPr>
            <w:tcW w:w="17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bundesfinanzministerium.de</w:t>
            </w:r>
          </w:p>
        </w:tc>
        <w:tc>
          <w:tcPr>
            <w:tcW w:w="32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FAQ zur Reform der privaten Altersvorsorge</w:t>
            </w:r>
          </w:p>
        </w:tc>
        <w:tc>
          <w:tcPr>
            <w:tcW w:w="14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
              <w:r>
                <w:rPr>
                  <w:rStyle w:val="ListLabel112"/>
                  <w:rFonts w:eastAsia="Cambria" w:cs="Cambria"/>
                  <w:b w:val="false"/>
                  <w:bCs w:val="false"/>
                  <w:i w:val="false"/>
                  <w:iCs w:val="false"/>
                  <w:sz w:val="18"/>
                  <w:szCs w:val="18"/>
                </w:rPr>
                <w:t>2</w:t>
              </w:r>
            </w:hyperlink>
            <w:r>
              <w:rPr>
                <w:rFonts w:eastAsia="Cambria" w:cs="Cambria"/>
                <w:b w:val="false"/>
                <w:bCs w:val="false"/>
                <w:i w:val="false"/>
                <w:iCs w:val="false"/>
                <w:sz w:val="18"/>
                <w:szCs w:val="18"/>
              </w:rPr>
              <w:t xml:space="preserve">, </w:t>
            </w:r>
            <w:hyperlink w:anchor="k17">
              <w:r>
                <w:rPr>
                  <w:rStyle w:val="ListLabel112"/>
                  <w:rFonts w:eastAsia="Cambria" w:cs="Cambria"/>
                  <w:b w:val="false"/>
                  <w:bCs w:val="false"/>
                  <w:i w:val="false"/>
                  <w:iCs w:val="false"/>
                  <w:sz w:val="18"/>
                  <w:szCs w:val="18"/>
                </w:rPr>
                <w:t>17</w:t>
              </w:r>
            </w:hyperlink>
          </w:p>
        </w:tc>
      </w:tr>
      <w:tr>
        <w:trPr>
          <w:cantSplit w:val="true"/>
        </w:trPr>
        <w:tc>
          <w:tcPr>
            <w:tcW w:w="17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bzst.de</w:t>
            </w:r>
          </w:p>
        </w:tc>
        <w:tc>
          <w:tcPr>
            <w:tcW w:w="32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FATCA und Erstattung der Kapitalertragsteuer</w:t>
            </w:r>
          </w:p>
        </w:tc>
        <w:tc>
          <w:tcPr>
            <w:tcW w:w="14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7">
              <w:r>
                <w:rPr>
                  <w:rStyle w:val="ListLabel112"/>
                  <w:rFonts w:eastAsia="Cambria" w:cs="Cambria"/>
                  <w:b w:val="false"/>
                  <w:bCs w:val="false"/>
                  <w:i w:val="false"/>
                  <w:iCs w:val="false"/>
                  <w:sz w:val="18"/>
                  <w:szCs w:val="18"/>
                </w:rPr>
                <w:t>17</w:t>
              </w:r>
            </w:hyperlink>
          </w:p>
        </w:tc>
      </w:tr>
      <w:tr>
        <w:trPr>
          <w:cantSplit w:val="true"/>
        </w:trPr>
        <w:tc>
          <w:tcPr>
            <w:tcW w:w="17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auswaertiges-amt.de</w:t>
            </w:r>
          </w:p>
        </w:tc>
        <w:tc>
          <w:tcPr>
            <w:tcW w:w="32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Reise- und Sicherheitshinweise USA, Krisenvorsorgeliste</w:t>
            </w:r>
          </w:p>
        </w:tc>
        <w:tc>
          <w:tcPr>
            <w:tcW w:w="14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6">
              <w:r>
                <w:rPr>
                  <w:rStyle w:val="ListLabel112"/>
                  <w:rFonts w:eastAsia="Cambria" w:cs="Cambria"/>
                  <w:b w:val="false"/>
                  <w:bCs w:val="false"/>
                  <w:i w:val="false"/>
                  <w:iCs w:val="false"/>
                  <w:sz w:val="18"/>
                  <w:szCs w:val="18"/>
                </w:rPr>
                <w:t>16</w:t>
              </w:r>
            </w:hyperlink>
          </w:p>
        </w:tc>
      </w:tr>
      <w:tr>
        <w:trPr>
          <w:cantSplit w:val="true"/>
        </w:trPr>
        <w:tc>
          <w:tcPr>
            <w:tcW w:w="17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familienportal.de</w:t>
            </w:r>
          </w:p>
        </w:tc>
        <w:tc>
          <w:tcPr>
            <w:tcW w:w="32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Kindergeld und Elterngeld</w:t>
            </w:r>
          </w:p>
        </w:tc>
        <w:tc>
          <w:tcPr>
            <w:tcW w:w="14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
              <w:r>
                <w:rPr>
                  <w:rStyle w:val="ListLabel112"/>
                  <w:rFonts w:eastAsia="Cambria" w:cs="Cambria"/>
                  <w:b w:val="false"/>
                  <w:bCs w:val="false"/>
                  <w:i w:val="false"/>
                  <w:iCs w:val="false"/>
                  <w:sz w:val="18"/>
                  <w:szCs w:val="18"/>
                </w:rPr>
                <w:t>3</w:t>
              </w:r>
            </w:hyperlink>
            <w:r>
              <w:rPr>
                <w:rFonts w:eastAsia="Cambria" w:cs="Cambria"/>
                <w:b w:val="false"/>
                <w:bCs w:val="false"/>
                <w:i w:val="false"/>
                <w:iCs w:val="false"/>
                <w:sz w:val="18"/>
                <w:szCs w:val="18"/>
              </w:rPr>
              <w:t xml:space="preserve">, </w:t>
            </w:r>
            <w:hyperlink w:anchor="k16">
              <w:r>
                <w:rPr>
                  <w:rStyle w:val="ListLabel112"/>
                  <w:rFonts w:eastAsia="Cambria" w:cs="Cambria"/>
                  <w:b w:val="false"/>
                  <w:bCs w:val="false"/>
                  <w:i w:val="false"/>
                  <w:iCs w:val="false"/>
                  <w:sz w:val="18"/>
                  <w:szCs w:val="18"/>
                </w:rPr>
                <w:t>16</w:t>
              </w:r>
            </w:hyperlink>
          </w:p>
        </w:tc>
      </w:tr>
      <w:tr>
        <w:trPr>
          <w:cantSplit w:val="true"/>
        </w:trPr>
        <w:tc>
          <w:tcPr>
            <w:tcW w:w="17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arbeitsagentur.de</w:t>
            </w:r>
          </w:p>
        </w:tc>
        <w:tc>
          <w:tcPr>
            <w:tcW w:w="32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Familienkasse, Kindergeld</w:t>
            </w:r>
          </w:p>
        </w:tc>
        <w:tc>
          <w:tcPr>
            <w:tcW w:w="14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6">
              <w:r>
                <w:rPr>
                  <w:rStyle w:val="ListLabel112"/>
                  <w:rFonts w:eastAsia="Cambria" w:cs="Cambria"/>
                  <w:b w:val="false"/>
                  <w:bCs w:val="false"/>
                  <w:i w:val="false"/>
                  <w:iCs w:val="false"/>
                  <w:sz w:val="18"/>
                  <w:szCs w:val="18"/>
                </w:rPr>
                <w:t>16</w:t>
              </w:r>
            </w:hyperlink>
          </w:p>
        </w:tc>
      </w:tr>
      <w:tr>
        <w:trPr>
          <w:cantSplit w:val="true"/>
        </w:trPr>
        <w:tc>
          <w:tcPr>
            <w:tcW w:w="17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rundfunkbeitrag.de</w:t>
            </w:r>
          </w:p>
        </w:tc>
        <w:tc>
          <w:tcPr>
            <w:tcW w:w="32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Rundfunkbeitrag, Abmeldung einer Wohnung</w:t>
            </w:r>
          </w:p>
        </w:tc>
        <w:tc>
          <w:tcPr>
            <w:tcW w:w="14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6">
              <w:r>
                <w:rPr>
                  <w:rStyle w:val="ListLabel112"/>
                  <w:rFonts w:eastAsia="Cambria" w:cs="Cambria"/>
                  <w:b w:val="false"/>
                  <w:bCs w:val="false"/>
                  <w:i w:val="false"/>
                  <w:iCs w:val="false"/>
                  <w:sz w:val="18"/>
                  <w:szCs w:val="18"/>
                </w:rPr>
                <w:t>16</w:t>
              </w:r>
            </w:hyperlink>
          </w:p>
        </w:tc>
      </w:tr>
      <w:tr>
        <w:trPr>
          <w:cantSplit w:val="true"/>
        </w:trPr>
        <w:tc>
          <w:tcPr>
            <w:tcW w:w="17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deutschepost.de/de/n/nachsendeservice.html</w:t>
            </w:r>
          </w:p>
        </w:tc>
        <w:tc>
          <w:tcPr>
            <w:tcW w:w="32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Nachsendeservice</w:t>
            </w:r>
          </w:p>
        </w:tc>
        <w:tc>
          <w:tcPr>
            <w:tcW w:w="14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6">
              <w:r>
                <w:rPr>
                  <w:rStyle w:val="ListLabel112"/>
                  <w:rFonts w:eastAsia="Cambria" w:cs="Cambria"/>
                  <w:b w:val="false"/>
                  <w:bCs w:val="false"/>
                  <w:i w:val="false"/>
                  <w:iCs w:val="false"/>
                  <w:sz w:val="18"/>
                  <w:szCs w:val="18"/>
                </w:rPr>
                <w:t>16</w:t>
              </w:r>
            </w:hyperlink>
          </w:p>
        </w:tc>
      </w:tr>
      <w:tr>
        <w:trPr>
          <w:cantSplit w:val="true"/>
        </w:trPr>
        <w:tc>
          <w:tcPr>
            <w:tcW w:w="17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vorsorgeregister.de</w:t>
            </w:r>
          </w:p>
        </w:tc>
        <w:tc>
          <w:tcPr>
            <w:tcW w:w="32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Zentrales Vorsorgeregister der Bundesnotarkammer</w:t>
            </w:r>
          </w:p>
        </w:tc>
        <w:tc>
          <w:tcPr>
            <w:tcW w:w="14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6">
              <w:r>
                <w:rPr>
                  <w:rStyle w:val="ListLabel112"/>
                  <w:rFonts w:eastAsia="Cambria" w:cs="Cambria"/>
                  <w:b w:val="false"/>
                  <w:bCs w:val="false"/>
                  <w:i w:val="false"/>
                  <w:iCs w:val="false"/>
                  <w:sz w:val="18"/>
                  <w:szCs w:val="18"/>
                </w:rPr>
                <w:t>16</w:t>
              </w:r>
            </w:hyperlink>
          </w:p>
        </w:tc>
      </w:tr>
      <w:tr>
        <w:trPr>
          <w:cantSplit w:val="true"/>
        </w:trPr>
        <w:tc>
          <w:tcPr>
            <w:tcW w:w="17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bmvg.de</w:t>
            </w:r>
          </w:p>
        </w:tc>
        <w:tc>
          <w:tcPr>
            <w:tcW w:w="32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Wehrdienst und Auslandsaufenthalt</w:t>
            </w:r>
          </w:p>
        </w:tc>
        <w:tc>
          <w:tcPr>
            <w:tcW w:w="14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6">
              <w:r>
                <w:rPr>
                  <w:rStyle w:val="ListLabel112"/>
                  <w:rFonts w:eastAsia="Cambria" w:cs="Cambria"/>
                  <w:b w:val="false"/>
                  <w:bCs w:val="false"/>
                  <w:i w:val="false"/>
                  <w:iCs w:val="false"/>
                  <w:sz w:val="18"/>
                  <w:szCs w:val="18"/>
                </w:rPr>
                <w:t>16</w:t>
              </w:r>
            </w:hyperlink>
          </w:p>
        </w:tc>
      </w:tr>
      <w:tr>
        <w:trPr>
          <w:cantSplit w:val="true"/>
        </w:trPr>
        <w:tc>
          <w:tcPr>
            <w:tcW w:w="17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bfaa.diplo.de</w:t>
            </w:r>
          </w:p>
        </w:tc>
        <w:tc>
          <w:tcPr>
            <w:tcW w:w="32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Apostillen für Bundesbehörden</w:t>
            </w:r>
          </w:p>
        </w:tc>
        <w:tc>
          <w:tcPr>
            <w:tcW w:w="14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9">
              <w:r>
                <w:rPr>
                  <w:rStyle w:val="ListLabel112"/>
                  <w:rFonts w:eastAsia="Cambria" w:cs="Cambria"/>
                  <w:b w:val="false"/>
                  <w:bCs w:val="false"/>
                  <w:i w:val="false"/>
                  <w:iCs w:val="false"/>
                  <w:sz w:val="18"/>
                  <w:szCs w:val="18"/>
                </w:rPr>
                <w:t>19</w:t>
              </w:r>
            </w:hyperlink>
          </w:p>
        </w:tc>
      </w:tr>
      <w:tr>
        <w:trPr>
          <w:cantSplit w:val="true"/>
        </w:trPr>
        <w:tc>
          <w:tcPr>
            <w:tcW w:w="17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bundesjustizamt.de</w:t>
            </w:r>
          </w:p>
        </w:tc>
        <w:tc>
          <w:tcPr>
            <w:tcW w:w="32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Führungszeugnis, Antrag aus dem Ausland</w:t>
            </w:r>
          </w:p>
        </w:tc>
        <w:tc>
          <w:tcPr>
            <w:tcW w:w="14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9">
              <w:r>
                <w:rPr>
                  <w:rStyle w:val="ListLabel112"/>
                  <w:rFonts w:eastAsia="Cambria" w:cs="Cambria"/>
                  <w:b w:val="false"/>
                  <w:bCs w:val="false"/>
                  <w:i w:val="false"/>
                  <w:iCs w:val="false"/>
                  <w:sz w:val="18"/>
                  <w:szCs w:val="18"/>
                </w:rPr>
                <w:t>19</w:t>
              </w:r>
            </w:hyperlink>
          </w:p>
        </w:tc>
      </w:tr>
      <w:tr>
        <w:trPr>
          <w:cantSplit w:val="true"/>
        </w:trPr>
        <w:tc>
          <w:tcPr>
            <w:tcW w:w="17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zoll.de</w:t>
            </w:r>
          </w:p>
        </w:tc>
        <w:tc>
          <w:tcPr>
            <w:tcW w:w="32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Bargeld und Ausfuhr, Umzugsgut, Heimtiere, Übersiedlungsgut</w:t>
            </w:r>
          </w:p>
        </w:tc>
        <w:tc>
          <w:tcPr>
            <w:tcW w:w="14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0">
              <w:r>
                <w:rPr>
                  <w:rStyle w:val="ListLabel112"/>
                  <w:rFonts w:eastAsia="Cambria" w:cs="Cambria"/>
                  <w:b w:val="false"/>
                  <w:bCs w:val="false"/>
                  <w:i w:val="false"/>
                  <w:iCs w:val="false"/>
                  <w:sz w:val="18"/>
                  <w:szCs w:val="18"/>
                </w:rPr>
                <w:t>20</w:t>
              </w:r>
            </w:hyperlink>
            <w:r>
              <w:rPr>
                <w:rFonts w:eastAsia="Cambria" w:cs="Cambria"/>
                <w:b w:val="false"/>
                <w:bCs w:val="false"/>
                <w:i w:val="false"/>
                <w:iCs w:val="false"/>
                <w:sz w:val="18"/>
                <w:szCs w:val="18"/>
              </w:rPr>
              <w:t xml:space="preserve">, </w:t>
            </w:r>
            <w:hyperlink w:anchor="k21">
              <w:r>
                <w:rPr>
                  <w:rStyle w:val="ListLabel112"/>
                  <w:rFonts w:eastAsia="Cambria" w:cs="Cambria"/>
                  <w:b w:val="false"/>
                  <w:bCs w:val="false"/>
                  <w:i w:val="false"/>
                  <w:iCs w:val="false"/>
                  <w:sz w:val="18"/>
                  <w:szCs w:val="18"/>
                </w:rPr>
                <w:t>21</w:t>
              </w:r>
            </w:hyperlink>
            <w:r>
              <w:rPr>
                <w:rFonts w:eastAsia="Cambria" w:cs="Cambria"/>
                <w:b w:val="false"/>
                <w:bCs w:val="false"/>
                <w:i w:val="false"/>
                <w:iCs w:val="false"/>
                <w:sz w:val="18"/>
                <w:szCs w:val="18"/>
              </w:rPr>
              <w:t xml:space="preserve">, </w:t>
            </w:r>
            <w:hyperlink w:anchor="k22">
              <w:r>
                <w:rPr>
                  <w:rStyle w:val="ListLabel112"/>
                  <w:rFonts w:eastAsia="Cambria" w:cs="Cambria"/>
                  <w:b w:val="false"/>
                  <w:bCs w:val="false"/>
                  <w:i w:val="false"/>
                  <w:iCs w:val="false"/>
                  <w:sz w:val="18"/>
                  <w:szCs w:val="18"/>
                </w:rPr>
                <w:t>22</w:t>
              </w:r>
            </w:hyperlink>
            <w:r>
              <w:rPr>
                <w:rFonts w:eastAsia="Cambria" w:cs="Cambria"/>
                <w:b w:val="false"/>
                <w:bCs w:val="false"/>
                <w:i w:val="false"/>
                <w:iCs w:val="false"/>
                <w:sz w:val="18"/>
                <w:szCs w:val="18"/>
              </w:rPr>
              <w:t xml:space="preserve">, </w:t>
            </w:r>
            <w:hyperlink w:anchor="k42">
              <w:r>
                <w:rPr>
                  <w:rStyle w:val="ListLabel112"/>
                  <w:rFonts w:eastAsia="Cambria" w:cs="Cambria"/>
                  <w:b w:val="false"/>
                  <w:bCs w:val="false"/>
                  <w:i w:val="false"/>
                  <w:iCs w:val="false"/>
                  <w:sz w:val="18"/>
                  <w:szCs w:val="18"/>
                </w:rPr>
                <w:t>42</w:t>
              </w:r>
            </w:hyperlink>
          </w:p>
        </w:tc>
      </w:tr>
      <w:tr>
        <w:trPr>
          <w:cantSplit w:val="true"/>
        </w:trPr>
        <w:tc>
          <w:tcPr>
            <w:tcW w:w="17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destatis.de</w:t>
            </w:r>
          </w:p>
        </w:tc>
        <w:tc>
          <w:tcPr>
            <w:tcW w:w="32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Statistisches Bundesamt, Wohnen und Mieten in Deutschland</w:t>
            </w:r>
          </w:p>
        </w:tc>
        <w:tc>
          <w:tcPr>
            <w:tcW w:w="14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
              <w:r>
                <w:rPr>
                  <w:rStyle w:val="ListLabel112"/>
                  <w:rFonts w:eastAsia="Cambria" w:cs="Cambria"/>
                  <w:b w:val="false"/>
                  <w:bCs w:val="false"/>
                  <w:i w:val="false"/>
                  <w:iCs w:val="false"/>
                  <w:sz w:val="18"/>
                  <w:szCs w:val="18"/>
                </w:rPr>
                <w:t>3</w:t>
              </w:r>
            </w:hyperlink>
          </w:p>
        </w:tc>
      </w:tr>
      <w:tr>
        <w:trPr>
          <w:cantSplit w:val="true"/>
        </w:trPr>
        <w:tc>
          <w:tcPr>
            <w:tcW w:w="17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bva.bund.de</w:t>
            </w:r>
          </w:p>
        </w:tc>
        <w:tc>
          <w:tcPr>
            <w:tcW w:w="32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Bundesverwaltungsamt, Mehrstaatigkeit und Beibehaltung</w:t>
            </w:r>
          </w:p>
        </w:tc>
        <w:tc>
          <w:tcPr>
            <w:tcW w:w="14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1">
              <w:r>
                <w:rPr>
                  <w:rStyle w:val="ListLabel112"/>
                  <w:rFonts w:eastAsia="Cambria" w:cs="Cambria"/>
                  <w:b w:val="false"/>
                  <w:bCs w:val="false"/>
                  <w:i w:val="false"/>
                  <w:iCs w:val="false"/>
                  <w:sz w:val="18"/>
                  <w:szCs w:val="18"/>
                </w:rPr>
                <w:t>41</w:t>
              </w:r>
            </w:hyperlink>
          </w:p>
        </w:tc>
      </w:tr>
      <w:tr>
        <w:trPr>
          <w:cantSplit w:val="true"/>
        </w:trPr>
        <w:tc>
          <w:tcPr>
            <w:tcW w:w="17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bundeswahlleiterin.de</w:t>
            </w:r>
          </w:p>
        </w:tc>
        <w:tc>
          <w:tcPr>
            <w:tcW w:w="32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Wählen aus dem Ausland</w:t>
            </w:r>
          </w:p>
        </w:tc>
        <w:tc>
          <w:tcPr>
            <w:tcW w:w="14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1">
              <w:r>
                <w:rPr>
                  <w:rStyle w:val="ListLabel112"/>
                  <w:rFonts w:eastAsia="Cambria" w:cs="Cambria"/>
                  <w:b w:val="false"/>
                  <w:bCs w:val="false"/>
                  <w:i w:val="false"/>
                  <w:iCs w:val="false"/>
                  <w:sz w:val="18"/>
                  <w:szCs w:val="18"/>
                </w:rPr>
                <w:t>41</w:t>
              </w:r>
            </w:hyperlink>
          </w:p>
        </w:tc>
      </w:tr>
      <w:tr>
        <w:trPr>
          <w:cantSplit w:val="true"/>
        </w:trPr>
        <w:tc>
          <w:tcPr>
            <w:tcW w:w="17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auslandsschulwesen.de</w:t>
            </w:r>
          </w:p>
        </w:tc>
        <w:tc>
          <w:tcPr>
            <w:tcW w:w="32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Zentralstelle für das Auslandsschulwesen, deutsche Schulen im Ausland</w:t>
            </w:r>
          </w:p>
        </w:tc>
        <w:tc>
          <w:tcPr>
            <w:tcW w:w="14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6">
              <w:r>
                <w:rPr>
                  <w:rStyle w:val="ListLabel112"/>
                  <w:rFonts w:eastAsia="Cambria" w:cs="Cambria"/>
                  <w:b w:val="false"/>
                  <w:bCs w:val="false"/>
                  <w:i w:val="false"/>
                  <w:iCs w:val="false"/>
                  <w:sz w:val="18"/>
                  <w:szCs w:val="18"/>
                </w:rPr>
                <w:t>36</w:t>
              </w:r>
            </w:hyperlink>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Deutsche Auslandsvertretungen in den USA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deutsche Botschaft sitzt in Washington, D. C.; für die übrigen Bundesstaaten sind mehrere Generalkonsulate zuständig. germany.info führt zur zuständigen Vertretung und bündelt Formulare und Terminbuchung.</w:t>
      </w:r>
    </w:p>
    <w:tbl>
      <w:tblPr>
        <w:tblW w:w="6480" w:type="dxa"/>
        <w:jc w:val="left"/>
        <w:tblInd w:w="0" w:type="dxa"/>
        <w:tblLayout w:type="fixed"/>
        <w:tblCellMar>
          <w:top w:w="50" w:type="dxa"/>
          <w:left w:w="80" w:type="dxa"/>
          <w:bottom w:w="50" w:type="dxa"/>
          <w:right w:w="80" w:type="dxa"/>
        </w:tblCellMar>
      </w:tblPr>
      <w:tblGrid>
        <w:gridCol w:w="2242"/>
        <w:gridCol w:w="3249"/>
        <w:gridCol w:w="989"/>
      </w:tblGrid>
      <w:tr>
        <w:trPr>
          <w:tblHeader w:val="true"/>
          <w:cantSplit w:val="true"/>
        </w:trPr>
        <w:tc>
          <w:tcPr>
            <w:tcW w:w="224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324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Leistung</w:t>
            </w:r>
          </w:p>
        </w:tc>
        <w:tc>
          <w:tcPr>
            <w:tcW w:w="98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22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germany.info</w:t>
            </w:r>
          </w:p>
        </w:tc>
        <w:tc>
          <w:tcPr>
            <w:tcW w:w="32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Auslandsvertretungen weltweit finden, Startseite</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3">
              <w:r>
                <w:rPr>
                  <w:rStyle w:val="ListLabel112"/>
                  <w:rFonts w:eastAsia="Cambria" w:cs="Cambria"/>
                  <w:b w:val="false"/>
                  <w:bCs w:val="false"/>
                  <w:i w:val="false"/>
                  <w:iCs w:val="false"/>
                  <w:sz w:val="18"/>
                  <w:szCs w:val="18"/>
                </w:rPr>
                <w:t>23</w:t>
              </w:r>
            </w:hyperlink>
            <w:r>
              <w:rPr>
                <w:rFonts w:eastAsia="Cambria" w:cs="Cambria"/>
                <w:b w:val="false"/>
                <w:bCs w:val="false"/>
                <w:i w:val="false"/>
                <w:iCs w:val="false"/>
                <w:sz w:val="18"/>
                <w:szCs w:val="18"/>
              </w:rPr>
              <w:t xml:space="preserve">, </w:t>
            </w:r>
            <w:hyperlink w:anchor="k38">
              <w:r>
                <w:rPr>
                  <w:rStyle w:val="ListLabel112"/>
                  <w:rFonts w:eastAsia="Cambria" w:cs="Cambria"/>
                  <w:b w:val="false"/>
                  <w:bCs w:val="false"/>
                  <w:i w:val="false"/>
                  <w:iCs w:val="false"/>
                  <w:sz w:val="18"/>
                  <w:szCs w:val="18"/>
                </w:rPr>
                <w:t>38</w:t>
              </w:r>
            </w:hyperlink>
          </w:p>
        </w:tc>
      </w:tr>
      <w:tr>
        <w:trPr>
          <w:cantSplit w:val="true"/>
        </w:trPr>
        <w:tc>
          <w:tcPr>
            <w:tcW w:w="22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germany.info/us-en/service (auch /us-de/service)</w:t>
            </w:r>
          </w:p>
        </w:tc>
        <w:tc>
          <w:tcPr>
            <w:tcW w:w="32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Beglaubigungen, Pässe, Führungszeugnis, Staatsangehörigkeit, Wahlen</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6">
              <w:r>
                <w:rPr>
                  <w:rStyle w:val="ListLabel112"/>
                  <w:rFonts w:eastAsia="Cambria" w:cs="Cambria"/>
                  <w:b w:val="false"/>
                  <w:bCs w:val="false"/>
                  <w:i w:val="false"/>
                  <w:iCs w:val="false"/>
                  <w:sz w:val="18"/>
                  <w:szCs w:val="18"/>
                </w:rPr>
                <w:t>16</w:t>
              </w:r>
            </w:hyperlink>
            <w:r>
              <w:rPr>
                <w:rFonts w:eastAsia="Cambria" w:cs="Cambria"/>
                <w:b w:val="false"/>
                <w:bCs w:val="false"/>
                <w:i w:val="false"/>
                <w:iCs w:val="false"/>
                <w:sz w:val="18"/>
                <w:szCs w:val="18"/>
              </w:rPr>
              <w:t xml:space="preserve">, </w:t>
            </w:r>
            <w:hyperlink w:anchor="k19">
              <w:r>
                <w:rPr>
                  <w:rStyle w:val="ListLabel112"/>
                  <w:rFonts w:eastAsia="Cambria" w:cs="Cambria"/>
                  <w:b w:val="false"/>
                  <w:bCs w:val="false"/>
                  <w:i w:val="false"/>
                  <w:iCs w:val="false"/>
                  <w:sz w:val="18"/>
                  <w:szCs w:val="18"/>
                </w:rPr>
                <w:t>19</w:t>
              </w:r>
            </w:hyperlink>
            <w:r>
              <w:rPr>
                <w:rFonts w:eastAsia="Cambria" w:cs="Cambria"/>
                <w:b w:val="false"/>
                <w:bCs w:val="false"/>
                <w:i w:val="false"/>
                <w:iCs w:val="false"/>
                <w:sz w:val="18"/>
                <w:szCs w:val="18"/>
              </w:rPr>
              <w:t xml:space="preserve">, </w:t>
            </w:r>
            <w:hyperlink w:anchor="k41">
              <w:r>
                <w:rPr>
                  <w:rStyle w:val="ListLabel112"/>
                  <w:rFonts w:eastAsia="Cambria" w:cs="Cambria"/>
                  <w:b w:val="false"/>
                  <w:bCs w:val="false"/>
                  <w:i w:val="false"/>
                  <w:iCs w:val="false"/>
                  <w:sz w:val="18"/>
                  <w:szCs w:val="18"/>
                </w:rPr>
                <w:t>41</w:t>
              </w:r>
            </w:hyperlink>
          </w:p>
        </w:tc>
      </w:tr>
      <w:tr>
        <w:trPr>
          <w:cantSplit w:val="true"/>
        </w:trPr>
        <w:tc>
          <w:tcPr>
            <w:tcW w:w="22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germany.info/us-de/service/hilfe</w:t>
            </w:r>
          </w:p>
        </w:tc>
        <w:tc>
          <w:tcPr>
            <w:tcW w:w="324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Nothilfe für Deutsche in den USA</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0">
              <w:r>
                <w:rPr>
                  <w:rStyle w:val="ListLabel112"/>
                  <w:rFonts w:eastAsia="Cambria" w:cs="Cambria"/>
                  <w:b w:val="false"/>
                  <w:bCs w:val="false"/>
                  <w:i w:val="false"/>
                  <w:iCs w:val="false"/>
                  <w:sz w:val="18"/>
                  <w:szCs w:val="18"/>
                </w:rPr>
                <w:t>40</w:t>
              </w:r>
            </w:hyperlink>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Sonstige nützliche Adressen</w:t>
      </w:r>
    </w:p>
    <w:p>
      <w:pPr>
        <w:pStyle w:val="Heading4"/>
        <w:keepNext w:val="true"/>
        <w:spacing w:before="200" w:after="80"/>
        <w:jc w:val="center"/>
        <w:rPr/>
      </w:pPr>
      <w:r>
        <w:rPr>
          <w:rFonts w:eastAsia="Amazon Ember" w:cs="Amazon Ember" w:ascii="Amazon Ember" w:hAnsi="Amazon Ember"/>
          <w:b/>
          <w:bCs/>
          <w:color w:val="0000FF"/>
          <w:sz w:val="36"/>
          <w:szCs w:val="36"/>
        </w:rPr>
        <w:t>Statistik, Verbraucherschutz und Betrug melden</w:t>
      </w:r>
    </w:p>
    <w:tbl>
      <w:tblPr>
        <w:tblW w:w="6480" w:type="dxa"/>
        <w:jc w:val="left"/>
        <w:tblInd w:w="0" w:type="dxa"/>
        <w:tblLayout w:type="fixed"/>
        <w:tblCellMar>
          <w:top w:w="50" w:type="dxa"/>
          <w:left w:w="80" w:type="dxa"/>
          <w:bottom w:w="50" w:type="dxa"/>
          <w:right w:w="80" w:type="dxa"/>
        </w:tblCellMar>
      </w:tblPr>
      <w:tblGrid>
        <w:gridCol w:w="2750"/>
        <w:gridCol w:w="2752"/>
        <w:gridCol w:w="978"/>
      </w:tblGrid>
      <w:tr>
        <w:trPr>
          <w:tblHeader w:val="true"/>
          <w:cantSplit w:val="true"/>
        </w:trPr>
        <w:tc>
          <w:tcPr>
            <w:tcW w:w="27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275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97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27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data.worldbank.org (Suche „intentional homicides“)</w:t>
            </w:r>
          </w:p>
        </w:tc>
        <w:tc>
          <w:tcPr>
            <w:tcW w:w="27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Kriminalstatistik im Ländervergleich (Weltbank/UNODC)</w:t>
            </w:r>
          </w:p>
        </w:tc>
        <w:tc>
          <w:tcPr>
            <w:tcW w:w="9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
              <w:r>
                <w:rPr>
                  <w:rStyle w:val="ListLabel112"/>
                  <w:rFonts w:eastAsia="Cambria" w:cs="Cambria"/>
                  <w:b w:val="false"/>
                  <w:bCs w:val="false"/>
                  <w:i w:val="false"/>
                  <w:iCs w:val="false"/>
                  <w:sz w:val="18"/>
                  <w:szCs w:val="18"/>
                </w:rPr>
                <w:t>1</w:t>
              </w:r>
            </w:hyperlink>
          </w:p>
        </w:tc>
      </w:tr>
      <w:tr>
        <w:trPr>
          <w:cantSplit w:val="true"/>
        </w:trPr>
        <w:tc>
          <w:tcPr>
            <w:tcW w:w="27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bls.gov/oes</w:t>
            </w:r>
          </w:p>
        </w:tc>
        <w:tc>
          <w:tcPr>
            <w:tcW w:w="27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Gehälter und Berufsausblick</w:t>
            </w:r>
          </w:p>
        </w:tc>
        <w:tc>
          <w:tcPr>
            <w:tcW w:w="9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
              <w:r>
                <w:rPr>
                  <w:rStyle w:val="ListLabel112"/>
                  <w:rFonts w:eastAsia="Cambria" w:cs="Cambria"/>
                  <w:b w:val="false"/>
                  <w:bCs w:val="false"/>
                  <w:i w:val="false"/>
                  <w:iCs w:val="false"/>
                  <w:sz w:val="18"/>
                  <w:szCs w:val="18"/>
                </w:rPr>
                <w:t>1</w:t>
              </w:r>
            </w:hyperlink>
            <w:r>
              <w:rPr>
                <w:rFonts w:eastAsia="Cambria" w:cs="Cambria"/>
                <w:b w:val="false"/>
                <w:bCs w:val="false"/>
                <w:i w:val="false"/>
                <w:iCs w:val="false"/>
                <w:sz w:val="18"/>
                <w:szCs w:val="18"/>
              </w:rPr>
              <w:t xml:space="preserve">, </w:t>
            </w:r>
            <w:hyperlink w:anchor="k12">
              <w:r>
                <w:rPr>
                  <w:rStyle w:val="ListLabel112"/>
                  <w:rFonts w:eastAsia="Cambria" w:cs="Cambria"/>
                  <w:b w:val="false"/>
                  <w:bCs w:val="false"/>
                  <w:i w:val="false"/>
                  <w:iCs w:val="false"/>
                  <w:sz w:val="18"/>
                  <w:szCs w:val="18"/>
                </w:rPr>
                <w:t>12</w:t>
              </w:r>
            </w:hyperlink>
          </w:p>
        </w:tc>
      </w:tr>
      <w:tr>
        <w:trPr>
          <w:cantSplit w:val="true"/>
        </w:trPr>
        <w:tc>
          <w:tcPr>
            <w:tcW w:w="27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bls.gov/ebs</w:t>
            </w:r>
          </w:p>
        </w:tc>
        <w:tc>
          <w:tcPr>
            <w:tcW w:w="27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Urlaub, Krankheit, Altersvorsorge (Employee Benefits)</w:t>
            </w:r>
          </w:p>
        </w:tc>
        <w:tc>
          <w:tcPr>
            <w:tcW w:w="9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9">
              <w:r>
                <w:rPr>
                  <w:rStyle w:val="ListLabel112"/>
                  <w:rFonts w:eastAsia="Cambria" w:cs="Cambria"/>
                  <w:b w:val="false"/>
                  <w:bCs w:val="false"/>
                  <w:i w:val="false"/>
                  <w:iCs w:val="false"/>
                  <w:sz w:val="18"/>
                  <w:szCs w:val="18"/>
                </w:rPr>
                <w:t>29</w:t>
              </w:r>
            </w:hyperlink>
          </w:p>
        </w:tc>
      </w:tr>
      <w:tr>
        <w:trPr>
          <w:cantSplit w:val="true"/>
        </w:trPr>
        <w:tc>
          <w:tcPr>
            <w:tcW w:w="27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bls.gov (Suche „average retail food and energy prices“)</w:t>
            </w:r>
          </w:p>
        </w:tc>
        <w:tc>
          <w:tcPr>
            <w:tcW w:w="27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Durchschnittspreise für Lebensmittel</w:t>
            </w:r>
          </w:p>
        </w:tc>
        <w:tc>
          <w:tcPr>
            <w:tcW w:w="9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5">
              <w:r>
                <w:rPr>
                  <w:rStyle w:val="ListLabel112"/>
                  <w:rFonts w:eastAsia="Cambria" w:cs="Cambria"/>
                  <w:b w:val="false"/>
                  <w:bCs w:val="false"/>
                  <w:i w:val="false"/>
                  <w:iCs w:val="false"/>
                  <w:sz w:val="18"/>
                  <w:szCs w:val="18"/>
                </w:rPr>
                <w:t>35</w:t>
              </w:r>
            </w:hyperlink>
          </w:p>
        </w:tc>
      </w:tr>
      <w:tr>
        <w:trPr>
          <w:cantSplit w:val="true"/>
        </w:trPr>
        <w:tc>
          <w:tcPr>
            <w:tcW w:w="27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census.gov (u. a. /topics/population/migration, /library/publications/2026/demo/p60-291.html)</w:t>
            </w:r>
          </w:p>
        </w:tc>
        <w:tc>
          <w:tcPr>
            <w:tcW w:w="27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Bevölkerungs-, Wanderungs- und Versichertenstatistik</w:t>
            </w:r>
          </w:p>
        </w:tc>
        <w:tc>
          <w:tcPr>
            <w:tcW w:w="9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2">
              <w:r>
                <w:rPr>
                  <w:rStyle w:val="ListLabel112"/>
                  <w:rFonts w:eastAsia="Cambria" w:cs="Cambria"/>
                  <w:b w:val="false"/>
                  <w:bCs w:val="false"/>
                  <w:i w:val="false"/>
                  <w:iCs w:val="false"/>
                  <w:sz w:val="18"/>
                  <w:szCs w:val="18"/>
                </w:rPr>
                <w:t>12</w:t>
              </w:r>
            </w:hyperlink>
            <w:r>
              <w:rPr>
                <w:rFonts w:eastAsia="Cambria" w:cs="Cambria"/>
                <w:b w:val="false"/>
                <w:bCs w:val="false"/>
                <w:i w:val="false"/>
                <w:iCs w:val="false"/>
                <w:sz w:val="18"/>
                <w:szCs w:val="18"/>
              </w:rPr>
              <w:t xml:space="preserve">, </w:t>
            </w:r>
            <w:hyperlink w:anchor="k26">
              <w:r>
                <w:rPr>
                  <w:rStyle w:val="ListLabel112"/>
                  <w:rFonts w:eastAsia="Cambria" w:cs="Cambria"/>
                  <w:b w:val="false"/>
                  <w:bCs w:val="false"/>
                  <w:i w:val="false"/>
                  <w:iCs w:val="false"/>
                  <w:sz w:val="18"/>
                  <w:szCs w:val="18"/>
                </w:rPr>
                <w:t>26</w:t>
              </w:r>
            </w:hyperlink>
            <w:r>
              <w:rPr>
                <w:rFonts w:eastAsia="Cambria" w:cs="Cambria"/>
                <w:b w:val="false"/>
                <w:bCs w:val="false"/>
                <w:i w:val="false"/>
                <w:iCs w:val="false"/>
                <w:sz w:val="18"/>
                <w:szCs w:val="18"/>
              </w:rPr>
              <w:t xml:space="preserve">, </w:t>
            </w:r>
            <w:hyperlink w:anchor="k32">
              <w:r>
                <w:rPr>
                  <w:rStyle w:val="ListLabel112"/>
                  <w:rFonts w:eastAsia="Cambria" w:cs="Cambria"/>
                  <w:b w:val="false"/>
                  <w:bCs w:val="false"/>
                  <w:i w:val="false"/>
                  <w:iCs w:val="false"/>
                  <w:sz w:val="18"/>
                  <w:szCs w:val="18"/>
                </w:rPr>
                <w:t>32</w:t>
              </w:r>
            </w:hyperlink>
          </w:p>
        </w:tc>
      </w:tr>
      <w:tr>
        <w:trPr>
          <w:cantSplit w:val="true"/>
        </w:trPr>
        <w:tc>
          <w:tcPr>
            <w:tcW w:w="27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ftc.gov</w:t>
            </w:r>
          </w:p>
        </w:tc>
        <w:tc>
          <w:tcPr>
            <w:tcW w:w="27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Wettbewerbsverbote (Suche: noncompete), versteckte Gebühren (Suche: unfair or deceptive fees), Pflegekennzeichnung Kleidung (Suche: care labeling rule)</w:t>
            </w:r>
          </w:p>
        </w:tc>
        <w:tc>
          <w:tcPr>
            <w:tcW w:w="9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9">
              <w:r>
                <w:rPr>
                  <w:rStyle w:val="ListLabel112"/>
                  <w:rFonts w:eastAsia="Cambria" w:cs="Cambria"/>
                  <w:b w:val="false"/>
                  <w:bCs w:val="false"/>
                  <w:i w:val="false"/>
                  <w:iCs w:val="false"/>
                  <w:sz w:val="18"/>
                  <w:szCs w:val="18"/>
                </w:rPr>
                <w:t>29</w:t>
              </w:r>
            </w:hyperlink>
            <w:r>
              <w:rPr>
                <w:rFonts w:eastAsia="Cambria" w:cs="Cambria"/>
                <w:b w:val="false"/>
                <w:bCs w:val="false"/>
                <w:i w:val="false"/>
                <w:iCs w:val="false"/>
                <w:sz w:val="18"/>
                <w:szCs w:val="18"/>
              </w:rPr>
              <w:t xml:space="preserve">, </w:t>
            </w:r>
            <w:hyperlink w:anchor="k31">
              <w:r>
                <w:rPr>
                  <w:rStyle w:val="ListLabel112"/>
                  <w:rFonts w:eastAsia="Cambria" w:cs="Cambria"/>
                  <w:b w:val="false"/>
                  <w:bCs w:val="false"/>
                  <w:i w:val="false"/>
                  <w:iCs w:val="false"/>
                  <w:sz w:val="18"/>
                  <w:szCs w:val="18"/>
                </w:rPr>
                <w:t>31</w:t>
              </w:r>
            </w:hyperlink>
            <w:r>
              <w:rPr>
                <w:rFonts w:eastAsia="Cambria" w:cs="Cambria"/>
                <w:b w:val="false"/>
                <w:bCs w:val="false"/>
                <w:i w:val="false"/>
                <w:iCs w:val="false"/>
                <w:sz w:val="18"/>
                <w:szCs w:val="18"/>
              </w:rPr>
              <w:t xml:space="preserve">, </w:t>
            </w:r>
            <w:hyperlink w:anchor="k34">
              <w:r>
                <w:rPr>
                  <w:rStyle w:val="ListLabel112"/>
                  <w:rFonts w:eastAsia="Cambria" w:cs="Cambria"/>
                  <w:b w:val="false"/>
                  <w:bCs w:val="false"/>
                  <w:i w:val="false"/>
                  <w:iCs w:val="false"/>
                  <w:sz w:val="18"/>
                  <w:szCs w:val="18"/>
                </w:rPr>
                <w:t>34</w:t>
              </w:r>
            </w:hyperlink>
          </w:p>
        </w:tc>
      </w:tr>
      <w:tr>
        <w:trPr>
          <w:cantSplit w:val="true"/>
        </w:trPr>
        <w:tc>
          <w:tcPr>
            <w:tcW w:w="27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consumer.ftc.gov (auch /articles/what-know-about-credit-freezes-fraud-alerts)</w:t>
            </w:r>
          </w:p>
        </w:tc>
        <w:tc>
          <w:tcPr>
            <w:tcW w:w="27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Mietbetrug-Warnungen, Credit Freeze und Fraud Alert</w:t>
            </w:r>
          </w:p>
        </w:tc>
        <w:tc>
          <w:tcPr>
            <w:tcW w:w="9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3">
              <w:r>
                <w:rPr>
                  <w:rStyle w:val="ListLabel112"/>
                  <w:rFonts w:eastAsia="Cambria" w:cs="Cambria"/>
                  <w:b w:val="false"/>
                  <w:bCs w:val="false"/>
                  <w:i w:val="false"/>
                  <w:iCs w:val="false"/>
                  <w:sz w:val="18"/>
                  <w:szCs w:val="18"/>
                </w:rPr>
                <w:t>13</w:t>
              </w:r>
            </w:hyperlink>
            <w:r>
              <w:rPr>
                <w:rFonts w:eastAsia="Cambria" w:cs="Cambria"/>
                <w:b w:val="false"/>
                <w:bCs w:val="false"/>
                <w:i w:val="false"/>
                <w:iCs w:val="false"/>
                <w:sz w:val="18"/>
                <w:szCs w:val="18"/>
              </w:rPr>
              <w:t xml:space="preserve">, </w:t>
            </w:r>
            <w:hyperlink w:anchor="k24">
              <w:r>
                <w:rPr>
                  <w:rStyle w:val="ListLabel112"/>
                  <w:rFonts w:eastAsia="Cambria" w:cs="Cambria"/>
                  <w:b w:val="false"/>
                  <w:bCs w:val="false"/>
                  <w:i w:val="false"/>
                  <w:iCs w:val="false"/>
                  <w:sz w:val="18"/>
                  <w:szCs w:val="18"/>
                </w:rPr>
                <w:t>24</w:t>
              </w:r>
            </w:hyperlink>
            <w:r>
              <w:rPr>
                <w:rFonts w:eastAsia="Cambria" w:cs="Cambria"/>
                <w:b w:val="false"/>
                <w:bCs w:val="false"/>
                <w:i w:val="false"/>
                <w:iCs w:val="false"/>
                <w:sz w:val="18"/>
                <w:szCs w:val="18"/>
              </w:rPr>
              <w:t xml:space="preserve">, </w:t>
            </w:r>
            <w:hyperlink w:anchor="k25">
              <w:r>
                <w:rPr>
                  <w:rStyle w:val="ListLabel112"/>
                  <w:rFonts w:eastAsia="Cambria" w:cs="Cambria"/>
                  <w:b w:val="false"/>
                  <w:bCs w:val="false"/>
                  <w:i w:val="false"/>
                  <w:iCs w:val="false"/>
                  <w:sz w:val="18"/>
                  <w:szCs w:val="18"/>
                </w:rPr>
                <w:t>25</w:t>
              </w:r>
            </w:hyperlink>
          </w:p>
        </w:tc>
      </w:tr>
      <w:tr>
        <w:trPr>
          <w:cantSplit w:val="true"/>
        </w:trPr>
        <w:tc>
          <w:tcPr>
            <w:tcW w:w="27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reportfraud.ftc.gov</w:t>
            </w:r>
          </w:p>
        </w:tc>
        <w:tc>
          <w:tcPr>
            <w:tcW w:w="27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Betrug bei der Bundesbehörde FTC melden</w:t>
            </w:r>
          </w:p>
        </w:tc>
        <w:tc>
          <w:tcPr>
            <w:tcW w:w="9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1">
              <w:r>
                <w:rPr>
                  <w:rStyle w:val="ListLabel112"/>
                  <w:rFonts w:eastAsia="Cambria" w:cs="Cambria"/>
                  <w:b w:val="false"/>
                  <w:bCs w:val="false"/>
                  <w:i w:val="false"/>
                  <w:iCs w:val="false"/>
                  <w:sz w:val="18"/>
                  <w:szCs w:val="18"/>
                </w:rPr>
                <w:t>11</w:t>
              </w:r>
            </w:hyperlink>
            <w:r>
              <w:rPr>
                <w:rFonts w:eastAsia="Cambria" w:cs="Cambria"/>
                <w:b w:val="false"/>
                <w:bCs w:val="false"/>
                <w:i w:val="false"/>
                <w:iCs w:val="false"/>
                <w:sz w:val="18"/>
                <w:szCs w:val="18"/>
              </w:rPr>
              <w:t xml:space="preserve">, </w:t>
            </w:r>
            <w:hyperlink w:anchor="k13">
              <w:r>
                <w:rPr>
                  <w:rStyle w:val="ListLabel112"/>
                  <w:rFonts w:eastAsia="Cambria" w:cs="Cambria"/>
                  <w:b w:val="false"/>
                  <w:bCs w:val="false"/>
                  <w:i w:val="false"/>
                  <w:iCs w:val="false"/>
                  <w:sz w:val="18"/>
                  <w:szCs w:val="18"/>
                </w:rPr>
                <w:t>13</w:t>
              </w:r>
            </w:hyperlink>
            <w:r>
              <w:rPr>
                <w:rFonts w:eastAsia="Cambria" w:cs="Cambria"/>
                <w:b w:val="false"/>
                <w:bCs w:val="false"/>
                <w:i w:val="false"/>
                <w:iCs w:val="false"/>
                <w:sz w:val="18"/>
                <w:szCs w:val="18"/>
              </w:rPr>
              <w:t xml:space="preserve">, </w:t>
            </w:r>
            <w:hyperlink w:anchor="k23">
              <w:r>
                <w:rPr>
                  <w:rStyle w:val="ListLabel112"/>
                  <w:rFonts w:eastAsia="Cambria" w:cs="Cambria"/>
                  <w:b w:val="false"/>
                  <w:bCs w:val="false"/>
                  <w:i w:val="false"/>
                  <w:iCs w:val="false"/>
                  <w:sz w:val="18"/>
                  <w:szCs w:val="18"/>
                </w:rPr>
                <w:t>23</w:t>
              </w:r>
            </w:hyperlink>
            <w:r>
              <w:rPr>
                <w:rFonts w:eastAsia="Cambria" w:cs="Cambria"/>
                <w:b w:val="false"/>
                <w:bCs w:val="false"/>
                <w:i w:val="false"/>
                <w:iCs w:val="false"/>
                <w:sz w:val="18"/>
                <w:szCs w:val="18"/>
              </w:rPr>
              <w:t xml:space="preserve">, </w:t>
            </w:r>
            <w:hyperlink w:anchor="k40">
              <w:r>
                <w:rPr>
                  <w:rStyle w:val="ListLabel112"/>
                  <w:rFonts w:eastAsia="Cambria" w:cs="Cambria"/>
                  <w:b w:val="false"/>
                  <w:bCs w:val="false"/>
                  <w:i w:val="false"/>
                  <w:iCs w:val="false"/>
                  <w:sz w:val="18"/>
                  <w:szCs w:val="18"/>
                </w:rPr>
                <w:t>40</w:t>
              </w:r>
            </w:hyperlink>
          </w:p>
        </w:tc>
      </w:tr>
      <w:tr>
        <w:trPr>
          <w:cantSplit w:val="true"/>
        </w:trPr>
        <w:tc>
          <w:tcPr>
            <w:tcW w:w="27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identitytheft.gov</w:t>
            </w:r>
          </w:p>
        </w:tc>
        <w:tc>
          <w:tcPr>
            <w:tcW w:w="27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Hilfe nach Identitätsdiebstahl</w:t>
            </w:r>
          </w:p>
        </w:tc>
        <w:tc>
          <w:tcPr>
            <w:tcW w:w="97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4">
              <w:r>
                <w:rPr>
                  <w:rStyle w:val="ListLabel112"/>
                  <w:rFonts w:eastAsia="Cambria" w:cs="Cambria"/>
                  <w:b w:val="false"/>
                  <w:bCs w:val="false"/>
                  <w:i w:val="false"/>
                  <w:iCs w:val="false"/>
                  <w:sz w:val="18"/>
                  <w:szCs w:val="18"/>
                </w:rPr>
                <w:t>24</w:t>
              </w:r>
            </w:hyperlink>
            <w:r>
              <w:rPr>
                <w:rFonts w:eastAsia="Cambria" w:cs="Cambria"/>
                <w:b w:val="false"/>
                <w:bCs w:val="false"/>
                <w:i w:val="false"/>
                <w:iCs w:val="false"/>
                <w:sz w:val="18"/>
                <w:szCs w:val="18"/>
              </w:rPr>
              <w:t xml:space="preserve">, </w:t>
            </w:r>
            <w:hyperlink w:anchor="k40">
              <w:r>
                <w:rPr>
                  <w:rStyle w:val="ListLabel112"/>
                  <w:rFonts w:eastAsia="Cambria" w:cs="Cambria"/>
                  <w:b w:val="false"/>
                  <w:bCs w:val="false"/>
                  <w:i w:val="false"/>
                  <w:iCs w:val="false"/>
                  <w:sz w:val="18"/>
                  <w:szCs w:val="18"/>
                </w:rPr>
                <w:t>40</w:t>
              </w:r>
            </w:hyperlink>
          </w:p>
        </w:tc>
      </w:tr>
    </w:tbl>
    <w:p>
      <w:pPr>
        <w:pStyle w:val="Normal"/>
        <w:spacing w:lineRule="exact" w:line="180" w:before="0" w:after="0"/>
        <w:rPr/>
      </w:pPr>
      <w:r>
        <w:rPr/>
      </w:r>
    </w:p>
    <w:p>
      <w:pPr>
        <w:pStyle w:val="Heading4"/>
        <w:keepNext w:val="true"/>
        <w:spacing w:before="200" w:after="80"/>
        <w:jc w:val="center"/>
        <w:rPr/>
      </w:pPr>
      <w:r>
        <w:rPr>
          <w:rFonts w:eastAsia="Amazon Ember" w:cs="Amazon Ember" w:ascii="Amazon Ember" w:hAnsi="Amazon Ember"/>
          <w:b/>
          <w:bCs/>
          <w:color w:val="0000FF"/>
          <w:sz w:val="36"/>
          <w:szCs w:val="36"/>
        </w:rPr>
        <w:t>Arbeitsrecht und Arbeitsmarkt (allgemein)</w:t>
      </w:r>
    </w:p>
    <w:tbl>
      <w:tblPr>
        <w:tblW w:w="6480" w:type="dxa"/>
        <w:jc w:val="left"/>
        <w:tblInd w:w="0" w:type="dxa"/>
        <w:tblLayout w:type="fixed"/>
        <w:tblCellMar>
          <w:top w:w="50" w:type="dxa"/>
          <w:left w:w="80" w:type="dxa"/>
          <w:bottom w:w="50" w:type="dxa"/>
          <w:right w:w="80" w:type="dxa"/>
        </w:tblCellMar>
      </w:tblPr>
      <w:tblGrid>
        <w:gridCol w:w="2492"/>
        <w:gridCol w:w="3038"/>
        <w:gridCol w:w="950"/>
      </w:tblGrid>
      <w:tr>
        <w:trPr>
          <w:tblHeader w:val="true"/>
          <w:cantSplit w:val="true"/>
        </w:trPr>
        <w:tc>
          <w:tcPr>
            <w:tcW w:w="249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303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24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dol.gov/agencies/whd (auch /fmla, /flsa)</w:t>
            </w:r>
          </w:p>
        </w:tc>
        <w:tc>
          <w:tcPr>
            <w:tcW w:w="30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Wage and Hour Division: FMLA, Mindestlohn und Überstunden (FLSA), Mindestlohn für Trinkgeldempfänger (Suche: tipped employees)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9">
              <w:r>
                <w:rPr>
                  <w:rStyle w:val="ListLabel112"/>
                  <w:rFonts w:eastAsia="Cambria" w:cs="Cambria"/>
                  <w:b w:val="false"/>
                  <w:bCs w:val="false"/>
                  <w:i w:val="false"/>
                  <w:iCs w:val="false"/>
                  <w:sz w:val="18"/>
                  <w:szCs w:val="18"/>
                </w:rPr>
                <w:t>29</w:t>
              </w:r>
            </w:hyperlink>
            <w:r>
              <w:rPr>
                <w:rFonts w:eastAsia="Cambria" w:cs="Cambria"/>
                <w:b w:val="false"/>
                <w:bCs w:val="false"/>
                <w:i w:val="false"/>
                <w:iCs w:val="false"/>
                <w:sz w:val="18"/>
                <w:szCs w:val="18"/>
              </w:rPr>
              <w:t xml:space="preserve">, </w:t>
            </w:r>
            <w:hyperlink w:anchor="k31">
              <w:r>
                <w:rPr>
                  <w:rStyle w:val="ListLabel112"/>
                  <w:rFonts w:eastAsia="Cambria" w:cs="Cambria"/>
                  <w:b w:val="false"/>
                  <w:bCs w:val="false"/>
                  <w:i w:val="false"/>
                  <w:iCs w:val="false"/>
                  <w:sz w:val="18"/>
                  <w:szCs w:val="18"/>
                </w:rPr>
                <w:t>31</w:t>
              </w:r>
            </w:hyperlink>
            <w:r>
              <w:rPr>
                <w:rFonts w:eastAsia="Cambria" w:cs="Cambria"/>
                <w:b w:val="false"/>
                <w:bCs w:val="false"/>
                <w:i w:val="false"/>
                <w:iCs w:val="false"/>
                <w:sz w:val="18"/>
                <w:szCs w:val="18"/>
              </w:rPr>
              <w:t xml:space="preserve">, </w:t>
            </w:r>
            <w:hyperlink w:anchor="k38">
              <w:r>
                <w:rPr>
                  <w:rStyle w:val="ListLabel112"/>
                  <w:rFonts w:eastAsia="Cambria" w:cs="Cambria"/>
                  <w:b w:val="false"/>
                  <w:bCs w:val="false"/>
                  <w:i w:val="false"/>
                  <w:iCs w:val="false"/>
                  <w:sz w:val="18"/>
                  <w:szCs w:val="18"/>
                </w:rPr>
                <w:t>38</w:t>
              </w:r>
            </w:hyperlink>
          </w:p>
        </w:tc>
      </w:tr>
      <w:tr>
        <w:trPr>
          <w:cantSplit w:val="true"/>
        </w:trPr>
        <w:tc>
          <w:tcPr>
            <w:tcW w:w="24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dol.gov/agencies/eta/layoffs/warn</w:t>
            </w:r>
          </w:p>
        </w:tc>
        <w:tc>
          <w:tcPr>
            <w:tcW w:w="30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WARN Act, Ankündigungsfrist bei Massenentlassungen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0">
              <w:r>
                <w:rPr>
                  <w:rStyle w:val="ListLabel112"/>
                  <w:rFonts w:eastAsia="Cambria" w:cs="Cambria"/>
                  <w:b w:val="false"/>
                  <w:bCs w:val="false"/>
                  <w:i w:val="false"/>
                  <w:iCs w:val="false"/>
                  <w:sz w:val="18"/>
                  <w:szCs w:val="18"/>
                </w:rPr>
                <w:t>30</w:t>
              </w:r>
            </w:hyperlink>
          </w:p>
        </w:tc>
      </w:tr>
      <w:tr>
        <w:trPr>
          <w:cantSplit w:val="true"/>
        </w:trPr>
        <w:tc>
          <w:tcPr>
            <w:tcW w:w="24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eeoc.gov</w:t>
            </w:r>
          </w:p>
        </w:tc>
        <w:tc>
          <w:tcPr>
            <w:tcW w:w="30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Gleichbehandlungsbehörde, Diskriminierung und Beschwerden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9">
              <w:r>
                <w:rPr>
                  <w:rStyle w:val="ListLabel112"/>
                  <w:rFonts w:eastAsia="Cambria" w:cs="Cambria"/>
                  <w:b w:val="false"/>
                  <w:bCs w:val="false"/>
                  <w:i w:val="false"/>
                  <w:iCs w:val="false"/>
                  <w:sz w:val="18"/>
                  <w:szCs w:val="18"/>
                </w:rPr>
                <w:t>29</w:t>
              </w:r>
            </w:hyperlink>
          </w:p>
        </w:tc>
      </w:tr>
      <w:tr>
        <w:trPr>
          <w:cantSplit w:val="true"/>
        </w:trPr>
        <w:tc>
          <w:tcPr>
            <w:tcW w:w="24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opm.gov/policy-data-oversight/pay-leave/federal-holidays</w:t>
            </w:r>
          </w:p>
        </w:tc>
        <w:tc>
          <w:tcPr>
            <w:tcW w:w="303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Bundesfeiertage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1">
              <w:r>
                <w:rPr>
                  <w:rStyle w:val="ListLabel112"/>
                  <w:rFonts w:eastAsia="Cambria" w:cs="Cambria"/>
                  <w:b w:val="false"/>
                  <w:bCs w:val="false"/>
                  <w:i w:val="false"/>
                  <w:iCs w:val="false"/>
                  <w:sz w:val="18"/>
                  <w:szCs w:val="18"/>
                </w:rPr>
                <w:t>31</w:t>
              </w:r>
            </w:hyperlink>
          </w:p>
        </w:tc>
      </w:tr>
    </w:tbl>
    <w:p>
      <w:pPr>
        <w:pStyle w:val="Normal"/>
        <w:spacing w:lineRule="exact" w:line="180" w:before="0" w:after="0"/>
        <w:rPr/>
      </w:pPr>
      <w:r>
        <w:rPr/>
      </w:r>
    </w:p>
    <w:p>
      <w:pPr>
        <w:pStyle w:val="Heading4"/>
        <w:keepNext w:val="true"/>
        <w:spacing w:before="200" w:after="80"/>
        <w:jc w:val="center"/>
        <w:rPr/>
      </w:pPr>
      <w:r>
        <w:rPr>
          <w:rFonts w:eastAsia="Amazon Ember" w:cs="Amazon Ember" w:ascii="Amazon Ember" w:hAnsi="Amazon Ember"/>
          <w:b/>
          <w:bCs/>
          <w:color w:val="0000FF"/>
          <w:sz w:val="36"/>
          <w:szCs w:val="36"/>
        </w:rPr>
        <w:t>Umzug, Zoll und Haustiere</w:t>
      </w:r>
    </w:p>
    <w:tbl>
      <w:tblPr>
        <w:tblW w:w="6480" w:type="dxa"/>
        <w:jc w:val="left"/>
        <w:tblInd w:w="0" w:type="dxa"/>
        <w:tblLayout w:type="fixed"/>
        <w:tblCellMar>
          <w:top w:w="50" w:type="dxa"/>
          <w:left w:w="80" w:type="dxa"/>
          <w:bottom w:w="50" w:type="dxa"/>
          <w:right w:w="80" w:type="dxa"/>
        </w:tblCellMar>
      </w:tblPr>
      <w:tblGrid>
        <w:gridCol w:w="2308"/>
        <w:gridCol w:w="3222"/>
        <w:gridCol w:w="950"/>
      </w:tblGrid>
      <w:tr>
        <w:trPr>
          <w:tblHeader w:val="true"/>
          <w:cantSplit w:val="true"/>
        </w:trPr>
        <w:tc>
          <w:tcPr>
            <w:tcW w:w="230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322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23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ecfr.gov (Suche „19 CFR 148.52“)</w:t>
            </w:r>
          </w:p>
        </w:tc>
        <w:tc>
          <w:tcPr>
            <w:tcW w:w="32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zollfreies Umzugsgut, Haushalts- und persönliche Gegenstände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0">
              <w:r>
                <w:rPr>
                  <w:rStyle w:val="ListLabel112"/>
                  <w:rFonts w:eastAsia="Cambria" w:cs="Cambria"/>
                  <w:b w:val="false"/>
                  <w:bCs w:val="false"/>
                  <w:i w:val="false"/>
                  <w:iCs w:val="false"/>
                  <w:sz w:val="18"/>
                  <w:szCs w:val="18"/>
                </w:rPr>
                <w:t>20</w:t>
              </w:r>
            </w:hyperlink>
            <w:r>
              <w:rPr>
                <w:rFonts w:eastAsia="Cambria" w:cs="Cambria"/>
                <w:b w:val="false"/>
                <w:bCs w:val="false"/>
                <w:i w:val="false"/>
                <w:iCs w:val="false"/>
                <w:sz w:val="18"/>
                <w:szCs w:val="18"/>
              </w:rPr>
              <w:t xml:space="preserve">, </w:t>
            </w:r>
            <w:hyperlink w:anchor="k21">
              <w:r>
                <w:rPr>
                  <w:rStyle w:val="ListLabel112"/>
                  <w:rFonts w:eastAsia="Cambria" w:cs="Cambria"/>
                  <w:b w:val="false"/>
                  <w:bCs w:val="false"/>
                  <w:i w:val="false"/>
                  <w:iCs w:val="false"/>
                  <w:sz w:val="18"/>
                  <w:szCs w:val="18"/>
                </w:rPr>
                <w:t>21</w:t>
              </w:r>
            </w:hyperlink>
          </w:p>
        </w:tc>
      </w:tr>
      <w:tr>
        <w:trPr>
          <w:cantSplit w:val="true"/>
        </w:trPr>
        <w:tc>
          <w:tcPr>
            <w:tcW w:w="23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aphis.usda.gov</w:t>
            </w:r>
          </w:p>
        </w:tc>
        <w:tc>
          <w:tcPr>
            <w:tcW w:w="32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Einfuhrregeln für Pflanzen, Erde und Lebensmittel</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0">
              <w:r>
                <w:rPr>
                  <w:rStyle w:val="ListLabel112"/>
                  <w:rFonts w:eastAsia="Cambria" w:cs="Cambria"/>
                  <w:b w:val="false"/>
                  <w:bCs w:val="false"/>
                  <w:i w:val="false"/>
                  <w:iCs w:val="false"/>
                  <w:sz w:val="18"/>
                  <w:szCs w:val="18"/>
                </w:rPr>
                <w:t>20</w:t>
              </w:r>
            </w:hyperlink>
          </w:p>
        </w:tc>
      </w:tr>
      <w:tr>
        <w:trPr>
          <w:cantSplit w:val="true"/>
        </w:trPr>
        <w:tc>
          <w:tcPr>
            <w:tcW w:w="23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aphis.usda.gov/pet-travel</w:t>
            </w:r>
          </w:p>
        </w:tc>
        <w:tc>
          <w:tcPr>
            <w:tcW w:w="32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Reisen mit Haustieren, Rückreise in die EU</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2">
              <w:r>
                <w:rPr>
                  <w:rStyle w:val="ListLabel112"/>
                  <w:rFonts w:eastAsia="Cambria" w:cs="Cambria"/>
                  <w:b w:val="false"/>
                  <w:bCs w:val="false"/>
                  <w:i w:val="false"/>
                  <w:iCs w:val="false"/>
                  <w:sz w:val="18"/>
                  <w:szCs w:val="18"/>
                </w:rPr>
                <w:t>22</w:t>
              </w:r>
            </w:hyperlink>
          </w:p>
        </w:tc>
      </w:tr>
      <w:tr>
        <w:trPr>
          <w:cantSplit w:val="true"/>
        </w:trPr>
        <w:tc>
          <w:tcPr>
            <w:tcW w:w="23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irs.gov/pub/irs-pdf/p15b.pdf</w:t>
            </w:r>
          </w:p>
        </w:tc>
        <w:tc>
          <w:tcPr>
            <w:tcW w:w="32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Publication 15-B, steuerliche Behandlung von Arbeitgeberleistungen beim Umzug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0">
              <w:r>
                <w:rPr>
                  <w:rStyle w:val="ListLabel112"/>
                  <w:rFonts w:eastAsia="Cambria" w:cs="Cambria"/>
                  <w:b w:val="false"/>
                  <w:bCs w:val="false"/>
                  <w:i w:val="false"/>
                  <w:iCs w:val="false"/>
                  <w:sz w:val="18"/>
                  <w:szCs w:val="18"/>
                </w:rPr>
                <w:t>20</w:t>
              </w:r>
            </w:hyperlink>
          </w:p>
        </w:tc>
      </w:tr>
      <w:tr>
        <w:trPr>
          <w:cantSplit w:val="true"/>
        </w:trPr>
        <w:tc>
          <w:tcPr>
            <w:tcW w:w="23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fidi.org</w:t>
            </w:r>
          </w:p>
        </w:tc>
        <w:tc>
          <w:tcPr>
            <w:tcW w:w="32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Mitgliederliste zertifizierter Umzugsunternehmen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0">
              <w:r>
                <w:rPr>
                  <w:rStyle w:val="ListLabel112"/>
                  <w:rFonts w:eastAsia="Cambria" w:cs="Cambria"/>
                  <w:b w:val="false"/>
                  <w:bCs w:val="false"/>
                  <w:i w:val="false"/>
                  <w:iCs w:val="false"/>
                  <w:sz w:val="18"/>
                  <w:szCs w:val="18"/>
                </w:rPr>
                <w:t>20</w:t>
              </w:r>
            </w:hyperlink>
          </w:p>
        </w:tc>
      </w:tr>
      <w:tr>
        <w:trPr>
          <w:cantSplit w:val="true"/>
        </w:trPr>
        <w:tc>
          <w:tcPr>
            <w:tcW w:w="23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fmcsa.dot.gov</w:t>
            </w:r>
          </w:p>
        </w:tc>
        <w:tc>
          <w:tcPr>
            <w:tcW w:w="32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Registrierung von Frachtführern (USDOT- und MC-Nummer)</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0">
              <w:r>
                <w:rPr>
                  <w:rStyle w:val="ListLabel112"/>
                  <w:rFonts w:eastAsia="Cambria" w:cs="Cambria"/>
                  <w:b w:val="false"/>
                  <w:bCs w:val="false"/>
                  <w:i w:val="false"/>
                  <w:iCs w:val="false"/>
                  <w:sz w:val="18"/>
                  <w:szCs w:val="18"/>
                </w:rPr>
                <w:t>20</w:t>
              </w:r>
            </w:hyperlink>
          </w:p>
        </w:tc>
      </w:tr>
      <w:tr>
        <w:trPr>
          <w:cantSplit w:val="true"/>
        </w:trPr>
        <w:tc>
          <w:tcPr>
            <w:tcW w:w="23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nhtsa.gov/vehicle-safety/car-seats-and-booster-seats</w:t>
            </w:r>
          </w:p>
        </w:tc>
        <w:tc>
          <w:tcPr>
            <w:tcW w:w="32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Kindersitze in den USA</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1">
              <w:r>
                <w:rPr>
                  <w:rStyle w:val="ListLabel112"/>
                  <w:rFonts w:eastAsia="Cambria" w:cs="Cambria"/>
                  <w:b w:val="false"/>
                  <w:bCs w:val="false"/>
                  <w:i w:val="false"/>
                  <w:iCs w:val="false"/>
                  <w:sz w:val="18"/>
                  <w:szCs w:val="18"/>
                </w:rPr>
                <w:t>21</w:t>
              </w:r>
            </w:hyperlink>
          </w:p>
        </w:tc>
      </w:tr>
      <w:tr>
        <w:trPr>
          <w:cantSplit w:val="true"/>
        </w:trPr>
        <w:tc>
          <w:tcPr>
            <w:tcW w:w="23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cpsc.gov/recalls (auch Suche „children’s sleepwear“)</w:t>
            </w:r>
          </w:p>
        </w:tc>
        <w:tc>
          <w:tcPr>
            <w:tcW w:w="32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Produktrückrufe, Kinderschlafkleidung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1">
              <w:r>
                <w:rPr>
                  <w:rStyle w:val="ListLabel112"/>
                  <w:rFonts w:eastAsia="Cambria" w:cs="Cambria"/>
                  <w:b w:val="false"/>
                  <w:bCs w:val="false"/>
                  <w:i w:val="false"/>
                  <w:iCs w:val="false"/>
                  <w:sz w:val="18"/>
                  <w:szCs w:val="18"/>
                </w:rPr>
                <w:t>21</w:t>
              </w:r>
            </w:hyperlink>
            <w:r>
              <w:rPr>
                <w:rFonts w:eastAsia="Cambria" w:cs="Cambria"/>
                <w:b w:val="false"/>
                <w:bCs w:val="false"/>
                <w:i w:val="false"/>
                <w:iCs w:val="false"/>
                <w:sz w:val="18"/>
                <w:szCs w:val="18"/>
              </w:rPr>
              <w:t xml:space="preserve">, </w:t>
            </w:r>
            <w:hyperlink w:anchor="k34">
              <w:r>
                <w:rPr>
                  <w:rStyle w:val="ListLabel112"/>
                  <w:rFonts w:eastAsia="Cambria" w:cs="Cambria"/>
                  <w:b w:val="false"/>
                  <w:bCs w:val="false"/>
                  <w:i w:val="false"/>
                  <w:iCs w:val="false"/>
                  <w:sz w:val="18"/>
                  <w:szCs w:val="18"/>
                </w:rPr>
                <w:t>34</w:t>
              </w:r>
            </w:hyperlink>
          </w:p>
        </w:tc>
      </w:tr>
      <w:tr>
        <w:trPr>
          <w:cantSplit w:val="true"/>
        </w:trPr>
        <w:tc>
          <w:tcPr>
            <w:tcW w:w="23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iec.ch/world-plugs</w:t>
            </w:r>
          </w:p>
        </w:tc>
        <w:tc>
          <w:tcPr>
            <w:tcW w:w="32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Steckertypen und Netzspannung nach Land</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1">
              <w:r>
                <w:rPr>
                  <w:rStyle w:val="ListLabel112"/>
                  <w:rFonts w:eastAsia="Cambria" w:cs="Cambria"/>
                  <w:b w:val="false"/>
                  <w:bCs w:val="false"/>
                  <w:i w:val="false"/>
                  <w:iCs w:val="false"/>
                  <w:sz w:val="18"/>
                  <w:szCs w:val="18"/>
                </w:rPr>
                <w:t>21</w:t>
              </w:r>
            </w:hyperlink>
          </w:p>
        </w:tc>
      </w:tr>
      <w:tr>
        <w:trPr>
          <w:cantSplit w:val="true"/>
        </w:trPr>
        <w:tc>
          <w:tcPr>
            <w:tcW w:w="23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dab.hawaii.gov/ai</w:t>
            </w:r>
          </w:p>
        </w:tc>
        <w:tc>
          <w:tcPr>
            <w:tcW w:w="32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Quarantäneprogramm für Tiere in Hawaii</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2">
              <w:r>
                <w:rPr>
                  <w:rStyle w:val="ListLabel112"/>
                  <w:rFonts w:eastAsia="Cambria" w:cs="Cambria"/>
                  <w:b w:val="false"/>
                  <w:bCs w:val="false"/>
                  <w:i w:val="false"/>
                  <w:iCs w:val="false"/>
                  <w:sz w:val="18"/>
                  <w:szCs w:val="18"/>
                </w:rPr>
                <w:t>22</w:t>
              </w:r>
            </w:hyperlink>
          </w:p>
        </w:tc>
      </w:tr>
      <w:tr>
        <w:trPr>
          <w:cantSplit w:val="true"/>
        </w:trPr>
        <w:tc>
          <w:tcPr>
            <w:tcW w:w="23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maricopa.gov/226/Dog-License</w:t>
            </w:r>
          </w:p>
        </w:tc>
        <w:tc>
          <w:tcPr>
            <w:tcW w:w="32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Hundelizenz, Beispiel eines Landkreises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2">
              <w:r>
                <w:rPr>
                  <w:rStyle w:val="ListLabel112"/>
                  <w:rFonts w:eastAsia="Cambria" w:cs="Cambria"/>
                  <w:b w:val="false"/>
                  <w:bCs w:val="false"/>
                  <w:i w:val="false"/>
                  <w:iCs w:val="false"/>
                  <w:sz w:val="18"/>
                  <w:szCs w:val="18"/>
                </w:rPr>
                <w:t>22</w:t>
              </w:r>
            </w:hyperlink>
          </w:p>
        </w:tc>
      </w:tr>
      <w:tr>
        <w:trPr>
          <w:cantSplit w:val="true"/>
        </w:trPr>
        <w:tc>
          <w:tcPr>
            <w:tcW w:w="23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fws.gov</w:t>
            </w:r>
          </w:p>
        </w:tc>
        <w:tc>
          <w:tcPr>
            <w:tcW w:w="322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Einfuhr geschützter Arten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2">
              <w:r>
                <w:rPr>
                  <w:rStyle w:val="ListLabel112"/>
                  <w:rFonts w:eastAsia="Cambria" w:cs="Cambria"/>
                  <w:b w:val="false"/>
                  <w:bCs w:val="false"/>
                  <w:i w:val="false"/>
                  <w:iCs w:val="false"/>
                  <w:sz w:val="18"/>
                  <w:szCs w:val="18"/>
                </w:rPr>
                <w:t>22</w:t>
              </w:r>
            </w:hyperlink>
          </w:p>
        </w:tc>
      </w:tr>
    </w:tbl>
    <w:p>
      <w:pPr>
        <w:pStyle w:val="Normal"/>
        <w:spacing w:lineRule="exact" w:line="180" w:before="0" w:after="0"/>
        <w:rPr/>
      </w:pPr>
      <w:r>
        <w:rPr/>
      </w:r>
    </w:p>
    <w:p>
      <w:pPr>
        <w:pStyle w:val="Heading4"/>
        <w:keepNext w:val="true"/>
        <w:spacing w:before="200" w:after="80"/>
        <w:jc w:val="center"/>
        <w:rPr/>
      </w:pPr>
      <w:r>
        <w:rPr>
          <w:rFonts w:eastAsia="Amazon Ember" w:cs="Amazon Ember" w:ascii="Amazon Ember" w:hAnsi="Amazon Ember"/>
          <w:b/>
          <w:bCs/>
          <w:color w:val="0000FF"/>
          <w:sz w:val="36"/>
          <w:szCs w:val="36"/>
        </w:rPr>
        <w:t>Führerschein, Fahrzeug und Verkehr</w:t>
      </w:r>
    </w:p>
    <w:tbl>
      <w:tblPr>
        <w:tblW w:w="6480" w:type="dxa"/>
        <w:jc w:val="left"/>
        <w:tblInd w:w="0" w:type="dxa"/>
        <w:tblLayout w:type="fixed"/>
        <w:tblCellMar>
          <w:top w:w="50" w:type="dxa"/>
          <w:left w:w="80" w:type="dxa"/>
          <w:bottom w:w="50" w:type="dxa"/>
          <w:right w:w="80" w:type="dxa"/>
        </w:tblCellMar>
      </w:tblPr>
      <w:tblGrid>
        <w:gridCol w:w="2962"/>
        <w:gridCol w:w="2568"/>
        <w:gridCol w:w="950"/>
      </w:tblGrid>
      <w:tr>
        <w:trPr>
          <w:tblHeader w:val="true"/>
          <w:cantSplit w:val="true"/>
        </w:trPr>
        <w:tc>
          <w:tcPr>
            <w:tcW w:w="296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256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dmv.ca.gov, dmv.ny.gov, dps.texas.gov, dol.wa.gov, dmv.colorado.gov, ncdot.gov/dmv, flhsmv.gov, oregon.gov/odot/dmv, dld.utah.gov</w:t>
            </w:r>
          </w:p>
        </w:tc>
        <w:tc>
          <w:tcPr>
            <w:tcW w:w="25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Führerscheinbehörden ausgewählter Bundesstaaten (Beispiele)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7">
              <w:r>
                <w:rPr>
                  <w:rStyle w:val="ListLabel112"/>
                  <w:rFonts w:eastAsia="Cambria" w:cs="Cambria"/>
                  <w:b w:val="false"/>
                  <w:bCs w:val="false"/>
                  <w:i w:val="false"/>
                  <w:iCs w:val="false"/>
                  <w:sz w:val="18"/>
                  <w:szCs w:val="18"/>
                </w:rPr>
                <w:t>27</w:t>
              </w:r>
            </w:hyperlink>
          </w:p>
        </w:tc>
      </w:tr>
      <w:tr>
        <w:trPr>
          <w:cantSplit w:val="true"/>
        </w:trPr>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tsa.gov/real-id</w:t>
            </w:r>
          </w:p>
        </w:tc>
        <w:tc>
          <w:tcPr>
            <w:tcW w:w="25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REAL ID und ConfirmID</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7">
              <w:r>
                <w:rPr>
                  <w:rStyle w:val="ListLabel112"/>
                  <w:rFonts w:eastAsia="Cambria" w:cs="Cambria"/>
                  <w:b w:val="false"/>
                  <w:bCs w:val="false"/>
                  <w:i w:val="false"/>
                  <w:iCs w:val="false"/>
                  <w:sz w:val="18"/>
                  <w:szCs w:val="18"/>
                </w:rPr>
                <w:t>27</w:t>
              </w:r>
            </w:hyperlink>
          </w:p>
        </w:tc>
      </w:tr>
      <w:tr>
        <w:trPr>
          <w:cantSplit w:val="true"/>
        </w:trPr>
        <w:tc>
          <w:tcPr>
            <w:tcW w:w="296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eia.gov/petroleum/gasdiesel</w:t>
            </w:r>
          </w:p>
        </w:tc>
        <w:tc>
          <w:tcPr>
            <w:tcW w:w="25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Benzinpreise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7">
              <w:r>
                <w:rPr>
                  <w:rStyle w:val="ListLabel112"/>
                  <w:rFonts w:eastAsia="Cambria" w:cs="Cambria"/>
                  <w:b w:val="false"/>
                  <w:bCs w:val="false"/>
                  <w:i w:val="false"/>
                  <w:iCs w:val="false"/>
                  <w:sz w:val="18"/>
                  <w:szCs w:val="18"/>
                </w:rPr>
                <w:t>27</w:t>
              </w:r>
            </w:hyperlink>
          </w:p>
        </w:tc>
      </w:tr>
    </w:tbl>
    <w:p>
      <w:pPr>
        <w:pStyle w:val="Normal"/>
        <w:spacing w:lineRule="exact" w:line="180" w:before="0" w:after="0"/>
        <w:rPr/>
      </w:pPr>
      <w:r>
        <w:rPr/>
      </w:r>
    </w:p>
    <w:p>
      <w:pPr>
        <w:pStyle w:val="Heading4"/>
        <w:keepNext w:val="true"/>
        <w:spacing w:before="200" w:after="80"/>
        <w:jc w:val="center"/>
        <w:rPr/>
      </w:pPr>
      <w:r>
        <w:rPr>
          <w:rFonts w:eastAsia="Amazon Ember" w:cs="Amazon Ember" w:ascii="Amazon Ember" w:hAnsi="Amazon Ember"/>
          <w:b/>
          <w:bCs/>
          <w:color w:val="0000FF"/>
          <w:sz w:val="36"/>
          <w:szCs w:val="36"/>
        </w:rPr>
        <w:t>Anerkennung von Abschlüssen und Qualifikationen</w:t>
      </w:r>
    </w:p>
    <w:tbl>
      <w:tblPr>
        <w:tblW w:w="6480" w:type="dxa"/>
        <w:jc w:val="left"/>
        <w:tblInd w:w="0" w:type="dxa"/>
        <w:tblLayout w:type="fixed"/>
        <w:tblCellMar>
          <w:top w:w="50" w:type="dxa"/>
          <w:left w:w="80" w:type="dxa"/>
          <w:bottom w:w="50" w:type="dxa"/>
          <w:right w:w="80" w:type="dxa"/>
        </w:tblCellMar>
      </w:tblPr>
      <w:tblGrid>
        <w:gridCol w:w="2076"/>
        <w:gridCol w:w="3310"/>
        <w:gridCol w:w="1094"/>
      </w:tblGrid>
      <w:tr>
        <w:trPr>
          <w:tblHeader w:val="true"/>
          <w:cantSplit w:val="true"/>
        </w:trPr>
        <w:tc>
          <w:tcPr>
            <w:tcW w:w="207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331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09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20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wes.org/evaluations (auch ece.org)</w:t>
            </w:r>
          </w:p>
        </w:tc>
        <w:tc>
          <w:tcPr>
            <w:tcW w:w="3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Zeugnisbewertung</w:t>
            </w:r>
          </w:p>
        </w:tc>
        <w:tc>
          <w:tcPr>
            <w:tcW w:w="1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9">
              <w:r>
                <w:rPr>
                  <w:rStyle w:val="ListLabel112"/>
                  <w:rFonts w:eastAsia="Cambria" w:cs="Cambria"/>
                  <w:b w:val="false"/>
                  <w:bCs w:val="false"/>
                  <w:i w:val="false"/>
                  <w:iCs w:val="false"/>
                  <w:sz w:val="18"/>
                  <w:szCs w:val="18"/>
                </w:rPr>
                <w:t>19</w:t>
              </w:r>
            </w:hyperlink>
          </w:p>
        </w:tc>
      </w:tr>
      <w:tr>
        <w:trPr>
          <w:cantSplit w:val="true"/>
        </w:trPr>
        <w:tc>
          <w:tcPr>
            <w:tcW w:w="20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naces.org/members</w:t>
            </w:r>
          </w:p>
        </w:tc>
        <w:tc>
          <w:tcPr>
            <w:tcW w:w="3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Mitgliederliste anerkannter Bewertungsstellen (NACES)</w:t>
            </w:r>
          </w:p>
        </w:tc>
        <w:tc>
          <w:tcPr>
            <w:tcW w:w="1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9">
              <w:r>
                <w:rPr>
                  <w:rStyle w:val="ListLabel112"/>
                  <w:rFonts w:eastAsia="Cambria" w:cs="Cambria"/>
                  <w:b w:val="false"/>
                  <w:bCs w:val="false"/>
                  <w:i w:val="false"/>
                  <w:iCs w:val="false"/>
                  <w:sz w:val="18"/>
                  <w:szCs w:val="18"/>
                </w:rPr>
                <w:t>19</w:t>
              </w:r>
            </w:hyperlink>
          </w:p>
        </w:tc>
      </w:tr>
      <w:tr>
        <w:trPr>
          <w:cantSplit w:val="true"/>
        </w:trPr>
        <w:tc>
          <w:tcPr>
            <w:tcW w:w="20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ncees.org/engineering/pe</w:t>
            </w:r>
          </w:p>
        </w:tc>
        <w:tc>
          <w:tcPr>
            <w:tcW w:w="3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Zulassung für Ingenieure</w:t>
            </w:r>
          </w:p>
        </w:tc>
        <w:tc>
          <w:tcPr>
            <w:tcW w:w="1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9">
              <w:r>
                <w:rPr>
                  <w:rStyle w:val="ListLabel112"/>
                  <w:rFonts w:eastAsia="Cambria" w:cs="Cambria"/>
                  <w:b w:val="false"/>
                  <w:bCs w:val="false"/>
                  <w:i w:val="false"/>
                  <w:iCs w:val="false"/>
                  <w:sz w:val="18"/>
                  <w:szCs w:val="18"/>
                </w:rPr>
                <w:t>19</w:t>
              </w:r>
            </w:hyperlink>
          </w:p>
        </w:tc>
      </w:tr>
      <w:tr>
        <w:trPr>
          <w:cantSplit w:val="true"/>
        </w:trPr>
        <w:tc>
          <w:tcPr>
            <w:tcW w:w="20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ecfmg.org/certification-pathways</w:t>
            </w:r>
          </w:p>
        </w:tc>
        <w:tc>
          <w:tcPr>
            <w:tcW w:w="3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Zertifizierungswege für Ärzte</w:t>
            </w:r>
          </w:p>
        </w:tc>
        <w:tc>
          <w:tcPr>
            <w:tcW w:w="1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9">
              <w:r>
                <w:rPr>
                  <w:rStyle w:val="ListLabel112"/>
                  <w:rFonts w:eastAsia="Cambria" w:cs="Cambria"/>
                  <w:b w:val="false"/>
                  <w:bCs w:val="false"/>
                  <w:i w:val="false"/>
                  <w:iCs w:val="false"/>
                  <w:sz w:val="18"/>
                  <w:szCs w:val="18"/>
                </w:rPr>
                <w:t>19</w:t>
              </w:r>
            </w:hyperlink>
          </w:p>
        </w:tc>
      </w:tr>
      <w:tr>
        <w:trPr>
          <w:cantSplit w:val="true"/>
        </w:trPr>
        <w:tc>
          <w:tcPr>
            <w:tcW w:w="20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trumerit.org</w:t>
            </w:r>
          </w:p>
        </w:tc>
        <w:tc>
          <w:tcPr>
            <w:tcW w:w="3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Zertifizierung für Pflegekräfte</w:t>
            </w:r>
          </w:p>
        </w:tc>
        <w:tc>
          <w:tcPr>
            <w:tcW w:w="1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9">
              <w:r>
                <w:rPr>
                  <w:rStyle w:val="ListLabel112"/>
                  <w:rFonts w:eastAsia="Cambria" w:cs="Cambria"/>
                  <w:b w:val="false"/>
                  <w:bCs w:val="false"/>
                  <w:i w:val="false"/>
                  <w:iCs w:val="false"/>
                  <w:sz w:val="18"/>
                  <w:szCs w:val="18"/>
                </w:rPr>
                <w:t>19</w:t>
              </w:r>
            </w:hyperlink>
          </w:p>
        </w:tc>
      </w:tr>
      <w:tr>
        <w:trPr>
          <w:cantSplit w:val="true"/>
        </w:trPr>
        <w:tc>
          <w:tcPr>
            <w:tcW w:w="20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nclex.com</w:t>
            </w:r>
          </w:p>
        </w:tc>
        <w:tc>
          <w:tcPr>
            <w:tcW w:w="3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Prüfung für Pflegekräfte (NCLEX)</w:t>
            </w:r>
          </w:p>
        </w:tc>
        <w:tc>
          <w:tcPr>
            <w:tcW w:w="1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9">
              <w:r>
                <w:rPr>
                  <w:rStyle w:val="ListLabel112"/>
                  <w:rFonts w:eastAsia="Cambria" w:cs="Cambria"/>
                  <w:b w:val="false"/>
                  <w:bCs w:val="false"/>
                  <w:i w:val="false"/>
                  <w:iCs w:val="false"/>
                  <w:sz w:val="18"/>
                  <w:szCs w:val="18"/>
                </w:rPr>
                <w:t>19</w:t>
              </w:r>
            </w:hyperlink>
          </w:p>
        </w:tc>
      </w:tr>
      <w:tr>
        <w:trPr>
          <w:cantSplit w:val="true"/>
        </w:trPr>
        <w:tc>
          <w:tcPr>
            <w:tcW w:w="20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daad.de (auch daad.org)</w:t>
            </w:r>
          </w:p>
        </w:tc>
        <w:tc>
          <w:tcPr>
            <w:tcW w:w="3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Stipendien, Anerkennung von US-Abschlüssen</w:t>
            </w:r>
          </w:p>
        </w:tc>
        <w:tc>
          <w:tcPr>
            <w:tcW w:w="1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8">
              <w:r>
                <w:rPr>
                  <w:rStyle w:val="ListLabel112"/>
                  <w:rFonts w:eastAsia="Cambria" w:cs="Cambria"/>
                  <w:b w:val="false"/>
                  <w:bCs w:val="false"/>
                  <w:i w:val="false"/>
                  <w:iCs w:val="false"/>
                  <w:sz w:val="18"/>
                  <w:szCs w:val="18"/>
                </w:rPr>
                <w:t>8</w:t>
              </w:r>
            </w:hyperlink>
            <w:r>
              <w:rPr>
                <w:rFonts w:eastAsia="Cambria" w:cs="Cambria"/>
                <w:b w:val="false"/>
                <w:bCs w:val="false"/>
                <w:i w:val="false"/>
                <w:iCs w:val="false"/>
                <w:sz w:val="18"/>
                <w:szCs w:val="18"/>
              </w:rPr>
              <w:t xml:space="preserve">, </w:t>
            </w:r>
            <w:hyperlink w:anchor="k38">
              <w:r>
                <w:rPr>
                  <w:rStyle w:val="ListLabel112"/>
                  <w:rFonts w:eastAsia="Cambria" w:cs="Cambria"/>
                  <w:b w:val="false"/>
                  <w:bCs w:val="false"/>
                  <w:i w:val="false"/>
                  <w:iCs w:val="false"/>
                  <w:sz w:val="18"/>
                  <w:szCs w:val="18"/>
                </w:rPr>
                <w:t>38</w:t>
              </w:r>
            </w:hyperlink>
            <w:r>
              <w:rPr>
                <w:rFonts w:eastAsia="Cambria" w:cs="Cambria"/>
                <w:b w:val="false"/>
                <w:bCs w:val="false"/>
                <w:i w:val="false"/>
                <w:iCs w:val="false"/>
                <w:sz w:val="18"/>
                <w:szCs w:val="18"/>
              </w:rPr>
              <w:t xml:space="preserve">, </w:t>
            </w:r>
            <w:hyperlink w:anchor="k42">
              <w:r>
                <w:rPr>
                  <w:rStyle w:val="ListLabel112"/>
                  <w:rFonts w:eastAsia="Cambria" w:cs="Cambria"/>
                  <w:b w:val="false"/>
                  <w:bCs w:val="false"/>
                  <w:i w:val="false"/>
                  <w:iCs w:val="false"/>
                  <w:sz w:val="18"/>
                  <w:szCs w:val="18"/>
                </w:rPr>
                <w:t>42</w:t>
              </w:r>
            </w:hyperlink>
          </w:p>
        </w:tc>
      </w:tr>
      <w:tr>
        <w:trPr>
          <w:cantSplit w:val="true"/>
        </w:trPr>
        <w:tc>
          <w:tcPr>
            <w:tcW w:w="207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fulbright.de</w:t>
            </w:r>
          </w:p>
        </w:tc>
        <w:tc>
          <w:tcPr>
            <w:tcW w:w="33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Stipendien für ein Auslandsstudium</w:t>
            </w:r>
          </w:p>
        </w:tc>
        <w:tc>
          <w:tcPr>
            <w:tcW w:w="1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8">
              <w:r>
                <w:rPr>
                  <w:rStyle w:val="ListLabel112"/>
                  <w:rFonts w:eastAsia="Cambria" w:cs="Cambria"/>
                  <w:b w:val="false"/>
                  <w:bCs w:val="false"/>
                  <w:i w:val="false"/>
                  <w:iCs w:val="false"/>
                  <w:sz w:val="18"/>
                  <w:szCs w:val="18"/>
                </w:rPr>
                <w:t>8</w:t>
              </w:r>
            </w:hyperlink>
          </w:p>
        </w:tc>
      </w:tr>
    </w:tbl>
    <w:p>
      <w:pPr>
        <w:pStyle w:val="Normal"/>
        <w:spacing w:lineRule="exact" w:line="180" w:before="0" w:after="0"/>
        <w:rPr/>
      </w:pPr>
      <w:r>
        <w:rPr/>
      </w:r>
    </w:p>
    <w:p>
      <w:pPr>
        <w:pStyle w:val="Heading4"/>
        <w:keepNext w:val="true"/>
        <w:spacing w:before="200" w:after="80"/>
        <w:jc w:val="center"/>
        <w:rPr/>
      </w:pPr>
      <w:r>
        <w:rPr>
          <w:rFonts w:eastAsia="Amazon Ember" w:cs="Amazon Ember" w:ascii="Amazon Ember" w:hAnsi="Amazon Ember"/>
          <w:b/>
          <w:bCs/>
          <w:color w:val="0000FF"/>
          <w:sz w:val="36"/>
          <w:szCs w:val="36"/>
        </w:rPr>
        <w:t>Alltag, Kultur, Sicherheit und Integration</w:t>
      </w:r>
    </w:p>
    <w:tbl>
      <w:tblPr>
        <w:tblW w:w="6480" w:type="dxa"/>
        <w:jc w:val="left"/>
        <w:tblInd w:w="0" w:type="dxa"/>
        <w:tblLayout w:type="fixed"/>
        <w:tblCellMar>
          <w:top w:w="50" w:type="dxa"/>
          <w:left w:w="80" w:type="dxa"/>
          <w:bottom w:w="50" w:type="dxa"/>
          <w:right w:w="80" w:type="dxa"/>
        </w:tblCellMar>
      </w:tblPr>
      <w:tblGrid>
        <w:gridCol w:w="2569"/>
        <w:gridCol w:w="2961"/>
        <w:gridCol w:w="950"/>
      </w:tblGrid>
      <w:tr>
        <w:trPr>
          <w:tblHeader w:val="true"/>
          <w:cantSplit w:val="true"/>
        </w:trPr>
        <w:tc>
          <w:tcPr>
            <w:tcW w:w="256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296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9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25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dea.gov/marijuana-rescheduling-regulatory-actions</w:t>
            </w:r>
          </w:p>
        </w:tc>
        <w:tc>
          <w:tcPr>
            <w:tcW w:w="29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Stand der Cannabis-Umstufung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1">
              <w:r>
                <w:rPr>
                  <w:rStyle w:val="ListLabel112"/>
                  <w:rFonts w:eastAsia="Cambria" w:cs="Cambria"/>
                  <w:b w:val="false"/>
                  <w:bCs w:val="false"/>
                  <w:i w:val="false"/>
                  <w:iCs w:val="false"/>
                  <w:sz w:val="18"/>
                  <w:szCs w:val="18"/>
                </w:rPr>
                <w:t>31</w:t>
              </w:r>
            </w:hyperlink>
            <w:r>
              <w:rPr>
                <w:rFonts w:eastAsia="Cambria" w:cs="Cambria"/>
                <w:b w:val="false"/>
                <w:bCs w:val="false"/>
                <w:i w:val="false"/>
                <w:iCs w:val="false"/>
                <w:sz w:val="18"/>
                <w:szCs w:val="18"/>
              </w:rPr>
              <w:t xml:space="preserve">, </w:t>
            </w:r>
            <w:hyperlink w:anchor="k40">
              <w:r>
                <w:rPr>
                  <w:rStyle w:val="ListLabel112"/>
                  <w:rFonts w:eastAsia="Cambria" w:cs="Cambria"/>
                  <w:b w:val="false"/>
                  <w:bCs w:val="false"/>
                  <w:i w:val="false"/>
                  <w:iCs w:val="false"/>
                  <w:sz w:val="18"/>
                  <w:szCs w:val="18"/>
                </w:rPr>
                <w:t>40</w:t>
              </w:r>
            </w:hyperlink>
          </w:p>
        </w:tc>
      </w:tr>
      <w:tr>
        <w:trPr>
          <w:cantSplit w:val="true"/>
        </w:trPr>
        <w:tc>
          <w:tcPr>
            <w:tcW w:w="25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law.cornell.edu/uscode/text/18/922</w:t>
            </w:r>
          </w:p>
        </w:tc>
        <w:tc>
          <w:tcPr>
            <w:tcW w:w="29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Waffenrecht für Nichteinwanderer, 18 U.S.C. § 922</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0">
              <w:r>
                <w:rPr>
                  <w:rStyle w:val="ListLabel112"/>
                  <w:rFonts w:eastAsia="Cambria" w:cs="Cambria"/>
                  <w:b w:val="false"/>
                  <w:bCs w:val="false"/>
                  <w:i w:val="false"/>
                  <w:iCs w:val="false"/>
                  <w:sz w:val="18"/>
                  <w:szCs w:val="18"/>
                </w:rPr>
                <w:t>40</w:t>
              </w:r>
            </w:hyperlink>
          </w:p>
        </w:tc>
      </w:tr>
      <w:tr>
        <w:trPr>
          <w:cantSplit w:val="true"/>
        </w:trPr>
        <w:tc>
          <w:tcPr>
            <w:tcW w:w="25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alcoholpolicy.niaaa.nih.gov</w:t>
            </w:r>
          </w:p>
        </w:tc>
        <w:tc>
          <w:tcPr>
            <w:tcW w:w="29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Alkoholgesetze der Bundesstaaten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1">
              <w:r>
                <w:rPr>
                  <w:rStyle w:val="ListLabel112"/>
                  <w:rFonts w:eastAsia="Cambria" w:cs="Cambria"/>
                  <w:b w:val="false"/>
                  <w:bCs w:val="false"/>
                  <w:i w:val="false"/>
                  <w:iCs w:val="false"/>
                  <w:sz w:val="18"/>
                  <w:szCs w:val="18"/>
                </w:rPr>
                <w:t>31</w:t>
              </w:r>
            </w:hyperlink>
            <w:r>
              <w:rPr>
                <w:rFonts w:eastAsia="Cambria" w:cs="Cambria"/>
                <w:b w:val="false"/>
                <w:bCs w:val="false"/>
                <w:i w:val="false"/>
                <w:iCs w:val="false"/>
                <w:sz w:val="18"/>
                <w:szCs w:val="18"/>
              </w:rPr>
              <w:t xml:space="preserve">, </w:t>
            </w:r>
            <w:hyperlink w:anchor="k35">
              <w:r>
                <w:rPr>
                  <w:rStyle w:val="ListLabel112"/>
                  <w:rFonts w:eastAsia="Cambria" w:cs="Cambria"/>
                  <w:b w:val="false"/>
                  <w:bCs w:val="false"/>
                  <w:i w:val="false"/>
                  <w:iCs w:val="false"/>
                  <w:sz w:val="18"/>
                  <w:szCs w:val="18"/>
                </w:rPr>
                <w:t>35</w:t>
              </w:r>
            </w:hyperlink>
          </w:p>
        </w:tc>
      </w:tr>
      <w:tr>
        <w:trPr>
          <w:cantSplit w:val="true"/>
        </w:trPr>
        <w:tc>
          <w:tcPr>
            <w:tcW w:w="25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fec.gov (Suche „foreign nationals“)</w:t>
            </w:r>
          </w:p>
        </w:tc>
        <w:tc>
          <w:tcPr>
            <w:tcW w:w="29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Wahlspenden von Ausländern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1">
              <w:r>
                <w:rPr>
                  <w:rStyle w:val="ListLabel112"/>
                  <w:rFonts w:eastAsia="Cambria" w:cs="Cambria"/>
                  <w:b w:val="false"/>
                  <w:bCs w:val="false"/>
                  <w:i w:val="false"/>
                  <w:iCs w:val="false"/>
                  <w:sz w:val="18"/>
                  <w:szCs w:val="18"/>
                </w:rPr>
                <w:t>31</w:t>
              </w:r>
            </w:hyperlink>
          </w:p>
        </w:tc>
      </w:tr>
      <w:tr>
        <w:trPr>
          <w:cantSplit w:val="true"/>
        </w:trPr>
        <w:tc>
          <w:tcPr>
            <w:tcW w:w="25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pewresearch.org</w:t>
            </w:r>
          </w:p>
        </w:tc>
        <w:tc>
          <w:tcPr>
            <w:tcW w:w="29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Religion und Waffenbesitz in den USA</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1">
              <w:r>
                <w:rPr>
                  <w:rStyle w:val="ListLabel112"/>
                  <w:rFonts w:eastAsia="Cambria" w:cs="Cambria"/>
                  <w:b w:val="false"/>
                  <w:bCs w:val="false"/>
                  <w:i w:val="false"/>
                  <w:iCs w:val="false"/>
                  <w:sz w:val="18"/>
                  <w:szCs w:val="18"/>
                </w:rPr>
                <w:t>31</w:t>
              </w:r>
            </w:hyperlink>
          </w:p>
        </w:tc>
      </w:tr>
      <w:tr>
        <w:trPr>
          <w:cantSplit w:val="true"/>
        </w:trPr>
        <w:tc>
          <w:tcPr>
            <w:tcW w:w="25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ready.gov (auch weather.gov/safety)</w:t>
            </w:r>
          </w:p>
        </w:tc>
        <w:tc>
          <w:tcPr>
            <w:tcW w:w="29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Katastrophenvorsorge, Warnungen, Windchill</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4">
              <w:r>
                <w:rPr>
                  <w:rStyle w:val="ListLabel112"/>
                  <w:rFonts w:eastAsia="Cambria" w:cs="Cambria"/>
                  <w:b w:val="false"/>
                  <w:bCs w:val="false"/>
                  <w:i w:val="false"/>
                  <w:iCs w:val="false"/>
                  <w:sz w:val="18"/>
                  <w:szCs w:val="18"/>
                </w:rPr>
                <w:t>34</w:t>
              </w:r>
            </w:hyperlink>
            <w:r>
              <w:rPr>
                <w:rFonts w:eastAsia="Cambria" w:cs="Cambria"/>
                <w:b w:val="false"/>
                <w:bCs w:val="false"/>
                <w:i w:val="false"/>
                <w:iCs w:val="false"/>
                <w:sz w:val="18"/>
                <w:szCs w:val="18"/>
              </w:rPr>
              <w:t xml:space="preserve">, </w:t>
            </w:r>
            <w:hyperlink w:anchor="k40">
              <w:r>
                <w:rPr>
                  <w:rStyle w:val="ListLabel112"/>
                  <w:rFonts w:eastAsia="Cambria" w:cs="Cambria"/>
                  <w:b w:val="false"/>
                  <w:bCs w:val="false"/>
                  <w:i w:val="false"/>
                  <w:iCs w:val="false"/>
                  <w:sz w:val="18"/>
                  <w:szCs w:val="18"/>
                </w:rPr>
                <w:t>40</w:t>
              </w:r>
            </w:hyperlink>
          </w:p>
        </w:tc>
      </w:tr>
      <w:tr>
        <w:trPr>
          <w:cantSplit w:val="true"/>
        </w:trPr>
        <w:tc>
          <w:tcPr>
            <w:tcW w:w="25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opm.gov (Suche „employee assistance program“)</w:t>
            </w:r>
          </w:p>
        </w:tc>
        <w:tc>
          <w:tcPr>
            <w:tcW w:w="29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betriebliche Beratungsangebote (EAP)</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3">
              <w:r>
                <w:rPr>
                  <w:rStyle w:val="ListLabel112"/>
                  <w:rFonts w:eastAsia="Cambria" w:cs="Cambria"/>
                  <w:b w:val="false"/>
                  <w:bCs w:val="false"/>
                  <w:i w:val="false"/>
                  <w:iCs w:val="false"/>
                  <w:sz w:val="18"/>
                  <w:szCs w:val="18"/>
                </w:rPr>
                <w:t>33</w:t>
              </w:r>
            </w:hyperlink>
          </w:p>
        </w:tc>
      </w:tr>
      <w:tr>
        <w:trPr>
          <w:cantSplit w:val="true"/>
        </w:trPr>
        <w:tc>
          <w:tcPr>
            <w:tcW w:w="25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news.ku.edu (Suche „hours to make a friend“)</w:t>
            </w:r>
          </w:p>
        </w:tc>
        <w:tc>
          <w:tcPr>
            <w:tcW w:w="29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Studie zur Zeit, die Freundschaft braucht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2">
              <w:r>
                <w:rPr>
                  <w:rStyle w:val="ListLabel112"/>
                  <w:rFonts w:eastAsia="Cambria" w:cs="Cambria"/>
                  <w:b w:val="false"/>
                  <w:bCs w:val="false"/>
                  <w:i w:val="false"/>
                  <w:iCs w:val="false"/>
                  <w:sz w:val="18"/>
                  <w:szCs w:val="18"/>
                </w:rPr>
                <w:t>32</w:t>
              </w:r>
            </w:hyperlink>
          </w:p>
        </w:tc>
      </w:tr>
      <w:tr>
        <w:trPr>
          <w:cantSplit w:val="true"/>
        </w:trPr>
        <w:tc>
          <w:tcPr>
            <w:tcW w:w="25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ekd.de/auslandsgemeinden-amerika-47196.htm</w:t>
            </w:r>
          </w:p>
        </w:tc>
        <w:tc>
          <w:tcPr>
            <w:tcW w:w="29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deutschsprachige Auslandsgemeinden in Amerika</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2">
              <w:r>
                <w:rPr>
                  <w:rStyle w:val="ListLabel112"/>
                  <w:rFonts w:eastAsia="Cambria" w:cs="Cambria"/>
                  <w:b w:val="false"/>
                  <w:bCs w:val="false"/>
                  <w:i w:val="false"/>
                  <w:iCs w:val="false"/>
                  <w:sz w:val="18"/>
                  <w:szCs w:val="18"/>
                </w:rPr>
                <w:t>32</w:t>
              </w:r>
            </w:hyperlink>
          </w:p>
        </w:tc>
      </w:tr>
      <w:tr>
        <w:trPr>
          <w:cantSplit w:val="true"/>
        </w:trPr>
        <w:tc>
          <w:tcPr>
            <w:tcW w:w="25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goethe.de/ins/us</w:t>
            </w:r>
          </w:p>
        </w:tc>
        <w:tc>
          <w:tcPr>
            <w:tcW w:w="29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Goethe-Institut USA, Standorte und Sprachprüfungen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2">
              <w:r>
                <w:rPr>
                  <w:rStyle w:val="ListLabel112"/>
                  <w:rFonts w:eastAsia="Cambria" w:cs="Cambria"/>
                  <w:b w:val="false"/>
                  <w:bCs w:val="false"/>
                  <w:i w:val="false"/>
                  <w:iCs w:val="false"/>
                  <w:sz w:val="18"/>
                  <w:szCs w:val="18"/>
                </w:rPr>
                <w:t>32</w:t>
              </w:r>
            </w:hyperlink>
            <w:r>
              <w:rPr>
                <w:rFonts w:eastAsia="Cambria" w:cs="Cambria"/>
                <w:b w:val="false"/>
                <w:bCs w:val="false"/>
                <w:i w:val="false"/>
                <w:iCs w:val="false"/>
                <w:sz w:val="18"/>
                <w:szCs w:val="18"/>
              </w:rPr>
              <w:t xml:space="preserve">, </w:t>
            </w:r>
            <w:hyperlink w:anchor="k37">
              <w:r>
                <w:rPr>
                  <w:rStyle w:val="ListLabel112"/>
                  <w:rFonts w:eastAsia="Cambria" w:cs="Cambria"/>
                  <w:b w:val="false"/>
                  <w:bCs w:val="false"/>
                  <w:i w:val="false"/>
                  <w:iCs w:val="false"/>
                  <w:sz w:val="18"/>
                  <w:szCs w:val="18"/>
                </w:rPr>
                <w:t>37</w:t>
              </w:r>
            </w:hyperlink>
          </w:p>
        </w:tc>
      </w:tr>
      <w:tr>
        <w:trPr>
          <w:cantSplit w:val="true"/>
        </w:trPr>
        <w:tc>
          <w:tcPr>
            <w:tcW w:w="25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idealist.org</w:t>
            </w:r>
          </w:p>
        </w:tc>
        <w:tc>
          <w:tcPr>
            <w:tcW w:w="29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Freiwilligenarbeit finden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2">
              <w:r>
                <w:rPr>
                  <w:rStyle w:val="ListLabel112"/>
                  <w:rFonts w:eastAsia="Cambria" w:cs="Cambria"/>
                  <w:b w:val="false"/>
                  <w:bCs w:val="false"/>
                  <w:i w:val="false"/>
                  <w:iCs w:val="false"/>
                  <w:sz w:val="18"/>
                  <w:szCs w:val="18"/>
                </w:rPr>
                <w:t>32</w:t>
              </w:r>
            </w:hyperlink>
          </w:p>
        </w:tc>
      </w:tr>
      <w:tr>
        <w:trPr>
          <w:cantSplit w:val="true"/>
        </w:trPr>
        <w:tc>
          <w:tcPr>
            <w:tcW w:w="25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help.meetup.com</w:t>
            </w:r>
          </w:p>
        </w:tc>
        <w:tc>
          <w:tcPr>
            <w:tcW w:w="29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Meetup, Hilfebereich zu Gebühren und Abos</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2">
              <w:r>
                <w:rPr>
                  <w:rStyle w:val="ListLabel112"/>
                  <w:rFonts w:eastAsia="Cambria" w:cs="Cambria"/>
                  <w:b w:val="false"/>
                  <w:bCs w:val="false"/>
                  <w:i w:val="false"/>
                  <w:iCs w:val="false"/>
                  <w:sz w:val="18"/>
                  <w:szCs w:val="18"/>
                </w:rPr>
                <w:t>32</w:t>
              </w:r>
            </w:hyperlink>
          </w:p>
        </w:tc>
      </w:tr>
      <w:tr>
        <w:trPr>
          <w:cantSplit w:val="true"/>
        </w:trPr>
        <w:tc>
          <w:tcPr>
            <w:tcW w:w="25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aad.org</w:t>
            </w:r>
          </w:p>
        </w:tc>
        <w:tc>
          <w:tcPr>
            <w:tcW w:w="29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American Academy of Dermatology, Sonnenschutz</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4">
              <w:r>
                <w:rPr>
                  <w:rStyle w:val="ListLabel112"/>
                  <w:rFonts w:eastAsia="Cambria" w:cs="Cambria"/>
                  <w:b w:val="false"/>
                  <w:bCs w:val="false"/>
                  <w:i w:val="false"/>
                  <w:iCs w:val="false"/>
                  <w:sz w:val="18"/>
                  <w:szCs w:val="18"/>
                </w:rPr>
                <w:t>34</w:t>
              </w:r>
            </w:hyperlink>
          </w:p>
        </w:tc>
      </w:tr>
      <w:tr>
        <w:trPr>
          <w:cantSplit w:val="true"/>
        </w:trPr>
        <w:tc>
          <w:tcPr>
            <w:tcW w:w="25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tax.ny.gov, revenue.pa.gov</w:t>
            </w:r>
          </w:p>
        </w:tc>
        <w:tc>
          <w:tcPr>
            <w:tcW w:w="29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Verkaufssteuer auf Kleidung, Beispiele einzelner Bundesstaaten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4">
              <w:r>
                <w:rPr>
                  <w:rStyle w:val="ListLabel112"/>
                  <w:rFonts w:eastAsia="Cambria" w:cs="Cambria"/>
                  <w:b w:val="false"/>
                  <w:bCs w:val="false"/>
                  <w:i w:val="false"/>
                  <w:iCs w:val="false"/>
                  <w:sz w:val="18"/>
                  <w:szCs w:val="18"/>
                </w:rPr>
                <w:t>34</w:t>
              </w:r>
            </w:hyperlink>
          </w:p>
        </w:tc>
      </w:tr>
      <w:tr>
        <w:trPr>
          <w:cantSplit w:val="true"/>
        </w:trPr>
        <w:tc>
          <w:tcPr>
            <w:tcW w:w="25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fna.usda.gov/research/cnpp/usda-food-plans (auch /nslp)</w:t>
            </w:r>
          </w:p>
        </w:tc>
        <w:tc>
          <w:tcPr>
            <w:tcW w:w="29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Richtwerte für Lebensmittelkosten, Schulmahlzeiten</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5">
              <w:r>
                <w:rPr>
                  <w:rStyle w:val="ListLabel112"/>
                  <w:rFonts w:eastAsia="Cambria" w:cs="Cambria"/>
                  <w:b w:val="false"/>
                  <w:bCs w:val="false"/>
                  <w:i w:val="false"/>
                  <w:iCs w:val="false"/>
                  <w:sz w:val="18"/>
                  <w:szCs w:val="18"/>
                </w:rPr>
                <w:t>35</w:t>
              </w:r>
            </w:hyperlink>
          </w:p>
        </w:tc>
      </w:tr>
      <w:tr>
        <w:trPr>
          <w:cantSplit w:val="true"/>
        </w:trPr>
        <w:tc>
          <w:tcPr>
            <w:tcW w:w="25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usda.gov/topics/organic</w:t>
            </w:r>
          </w:p>
        </w:tc>
        <w:tc>
          <w:tcPr>
            <w:tcW w:w="29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Bio-Kennzeichnung</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5">
              <w:r>
                <w:rPr>
                  <w:rStyle w:val="ListLabel112"/>
                  <w:rFonts w:eastAsia="Cambria" w:cs="Cambria"/>
                  <w:b w:val="false"/>
                  <w:bCs w:val="false"/>
                  <w:i w:val="false"/>
                  <w:iCs w:val="false"/>
                  <w:sz w:val="18"/>
                  <w:szCs w:val="18"/>
                </w:rPr>
                <w:t>35</w:t>
              </w:r>
            </w:hyperlink>
          </w:p>
        </w:tc>
      </w:tr>
      <w:tr>
        <w:trPr>
          <w:cantSplit w:val="true"/>
        </w:trPr>
        <w:tc>
          <w:tcPr>
            <w:tcW w:w="25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fda.gov/food (Suche „Red No. 3“)</w:t>
            </w:r>
          </w:p>
        </w:tc>
        <w:tc>
          <w:tcPr>
            <w:tcW w:w="29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Farbstoffe und Zusatzstoffe</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5">
              <w:r>
                <w:rPr>
                  <w:rStyle w:val="ListLabel112"/>
                  <w:rFonts w:eastAsia="Cambria" w:cs="Cambria"/>
                  <w:b w:val="false"/>
                  <w:bCs w:val="false"/>
                  <w:i w:val="false"/>
                  <w:iCs w:val="false"/>
                  <w:sz w:val="18"/>
                  <w:szCs w:val="18"/>
                </w:rPr>
                <w:t>35</w:t>
              </w:r>
            </w:hyperlink>
          </w:p>
        </w:tc>
      </w:tr>
      <w:tr>
        <w:trPr>
          <w:cantSplit w:val="true"/>
        </w:trPr>
        <w:tc>
          <w:tcPr>
            <w:tcW w:w="256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epa.gov/ground-water-and-drinking-water</w:t>
            </w:r>
          </w:p>
        </w:tc>
        <w:tc>
          <w:tcPr>
            <w:tcW w:w="296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Trinkwasser, Blei, Wasserqualitätsbericht</w:t>
            </w:r>
          </w:p>
        </w:tc>
        <w:tc>
          <w:tcPr>
            <w:tcW w:w="9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5">
              <w:r>
                <w:rPr>
                  <w:rStyle w:val="ListLabel112"/>
                  <w:rFonts w:eastAsia="Cambria" w:cs="Cambria"/>
                  <w:b w:val="false"/>
                  <w:bCs w:val="false"/>
                  <w:i w:val="false"/>
                  <w:iCs w:val="false"/>
                  <w:sz w:val="18"/>
                  <w:szCs w:val="18"/>
                </w:rPr>
                <w:t>35</w:t>
              </w:r>
            </w:hyperlink>
          </w:p>
        </w:tc>
      </w:tr>
    </w:tbl>
    <w:p>
      <w:pPr>
        <w:pStyle w:val="Normal"/>
        <w:spacing w:lineRule="exact" w:line="180" w:before="0" w:after="0"/>
        <w:rPr/>
      </w:pPr>
      <w:r>
        <w:rPr/>
      </w:r>
      <w:r>
        <w:br w:type="page"/>
      </w:r>
    </w:p>
    <w:p>
      <w:pPr>
        <w:pStyle w:val="Heading2"/>
        <w:keepNext w:val="true"/>
        <w:spacing w:before="0" w:after="300"/>
        <w:jc w:val="center"/>
        <w:rPr/>
      </w:pPr>
      <w:bookmarkStart w:id="216" w:name="__RefHeading___Toc56647_3769931028"/>
      <w:bookmarkStart w:id="217" w:name="s102"/>
      <w:bookmarkEnd w:id="216"/>
      <w:r>
        <w:rPr>
          <w:rFonts w:eastAsia="Amazon Ember" w:cs="Amazon Ember" w:ascii="Amazon Ember" w:hAnsi="Amazon Ember"/>
          <w:b/>
          <w:bCs/>
          <w:color w:val="0000FF"/>
          <w:sz w:val="36"/>
          <w:szCs w:val="36"/>
        </w:rPr>
        <w:t>Kanada</w:t>
      </w:r>
      <w:bookmarkEnd w:id="217"/>
    </w:p>
    <w:p>
      <w:pPr>
        <w:pStyle w:val="Heading3"/>
        <w:keepNext w:val="true"/>
        <w:spacing w:before="280" w:after="100"/>
        <w:jc w:val="center"/>
        <w:rPr/>
      </w:pPr>
      <w:r>
        <w:rPr>
          <w:rFonts w:eastAsia="Amazon Ember" w:cs="Amazon Ember" w:ascii="Amazon Ember" w:hAnsi="Amazon Ember"/>
          <w:b/>
          <w:bCs/>
          <w:color w:val="0000FF"/>
          <w:sz w:val="36"/>
          <w:szCs w:val="36"/>
        </w:rPr>
        <w:t>Kanada: Einwanderungsbehörden</w:t>
      </w:r>
    </w:p>
    <w:tbl>
      <w:tblPr>
        <w:tblW w:w="6480" w:type="dxa"/>
        <w:jc w:val="left"/>
        <w:tblInd w:w="0" w:type="dxa"/>
        <w:tblLayout w:type="fixed"/>
        <w:tblCellMar>
          <w:top w:w="50" w:type="dxa"/>
          <w:left w:w="80" w:type="dxa"/>
          <w:bottom w:w="50" w:type="dxa"/>
          <w:right w:w="80" w:type="dxa"/>
        </w:tblCellMar>
      </w:tblPr>
      <w:tblGrid>
        <w:gridCol w:w="2623"/>
        <w:gridCol w:w="2623"/>
        <w:gridCol w:w="1234"/>
      </w:tblGrid>
      <w:tr>
        <w:trPr>
          <w:tblHeader w:val="true"/>
          <w:cantSplit w:val="true"/>
        </w:trPr>
        <w:tc>
          <w:tcPr>
            <w:tcW w:w="262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262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23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ircc.canada.ca/english/information/fees (auch /fees.asp)</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Gebühren für Permanent Residence, Arbeitsvisum, Visa und Biometrie</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canada.ca/en/immigration-refugees-citizenship</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Express Entry, CRS und Einladungsrunden</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 (Suche: comprehensive-ranking-system)</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CRS-Kriterien und Punkteberechnung</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 (Suche: federal-skilled-workers)</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Federal Skilled Worker Program</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 (Suche: provincial-nominees)</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Provincial Nominee Program, Übersicht je Provinz</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ontario.ca/page/ontario-immigrant-nominee-program</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Ontario Immigrant Nominee Program (OINP)</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welcomebc.ca/immigrate-to-b-c/about-the-bc-pnp</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British Columbia Provincial Nominee Program</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canada.ca/en/employment-social-development (auch /services/foreign-workers)</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ESDC: Labour Market Impact Assessment (LMIA), Gebühren und Bearbeitungszeiten</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 (Suche: study-permit, post-graduation-work-permit)</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Study Permit und Post-Graduation Work Permit</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 (Suche: start-visa)</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Start-up Visa Program, Zulässigkeit und designierte Organisationen</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 (Suche: sponsor-spouse-partner-child)</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Ehepartner- und Lebenspartner-Sponsoring</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 (Suche: sponsor-parents-grandparents)</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Eltern- und Großeltern-Programm, Einkommensvoraussetzungen</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 (Suche: super-visa)</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Super Visa für Eltern und Großeltern</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 (Suche: check-processing-times)</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Bearbeitungszeiten für Anträge</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 (Suche: panel-physicians)</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Ärztliche Untersuchung, Panel Physicians</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 (Suche: police-certificates germany)</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Polizeiliches Führungszeugnis aus Deutschland beibringen</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college-ic.ca</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College of Immigration and Citizenship Consultants, Register zugelassener Berater</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visa.vfsglobal.com/deu/de/can</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Visa Application Centre Berlin</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Einwanderung</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cbsa-asfc.gc.ca</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 Border Services Agency, Einreise</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Ankunft</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canada.ca/en/employment-social-development/services/sin.html</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Social Insurance Number (SIN) beantragen</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Ankunft</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canada.ca/en/immigration-refugees-citizenship/services/work-canada</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Work Permit, Arbeitgeberwechsel, Bridging Open Work Permit</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Arbeitswelt</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canada.ca/en/immigration-refugees-citizenship/services/work-canada/permit/temporary/vulnerable-workers.html</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Offenes Arbeitsvisum für gefährdete Arbeitnehmer</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Arbeitswelt</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 (Citizenship: physical presence calculator, requirements, fees)</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Einbürgerung: Aufenthaltsrechner, Voraussetzungen, Gebühren</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Staatsbürgerschaft</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 (Understand permanent resident status)</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IRPA-Aufenthaltspflichten für Permanent Residents</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Staatsbürgerschaft</w:t>
            </w:r>
          </w:p>
        </w:tc>
      </w:tr>
      <w:tr>
        <w:trPr>
          <w:cantSplit w:val="true"/>
        </w:trPr>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bmi.bund.de</w:t>
            </w:r>
          </w:p>
        </w:tc>
        <w:tc>
          <w:tcPr>
            <w:tcW w:w="26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Staatsangehörigkeitsrecht, Reform 2024 (Mehrstaatigkeit)</w:t>
            </w:r>
          </w:p>
        </w:tc>
        <w:tc>
          <w:tcPr>
            <w:tcW w:w="123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Staatsbürgerschaft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Kanada: Steuern und Sozialversicherung</w:t>
      </w:r>
    </w:p>
    <w:tbl>
      <w:tblPr>
        <w:tblW w:w="6480" w:type="dxa"/>
        <w:jc w:val="left"/>
        <w:tblInd w:w="0" w:type="dxa"/>
        <w:tblLayout w:type="fixed"/>
        <w:tblCellMar>
          <w:top w:w="50" w:type="dxa"/>
          <w:left w:w="80" w:type="dxa"/>
          <w:bottom w:w="50" w:type="dxa"/>
          <w:right w:w="80" w:type="dxa"/>
        </w:tblCellMar>
      </w:tblPr>
      <w:tblGrid>
        <w:gridCol w:w="2326"/>
        <w:gridCol w:w="3154"/>
        <w:gridCol w:w="1000"/>
      </w:tblGrid>
      <w:tr>
        <w:trPr>
          <w:tblHeader w:val="true"/>
          <w:cantSplit w:val="true"/>
        </w:trPr>
        <w:tc>
          <w:tcPr>
            <w:tcW w:w="232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315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00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23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canada.ca/en/revenue-agency</w:t>
            </w:r>
          </w:p>
        </w:tc>
        <w:tc>
          <w:tcPr>
            <w:tcW w:w="31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CRA: Einkommensteuersätze, CPP-Beitragssätze, Startseite</w:t>
            </w:r>
          </w:p>
        </w:tc>
        <w:tc>
          <w:tcPr>
            <w:tcW w:w="10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Steuern</w:t>
            </w:r>
          </w:p>
        </w:tc>
      </w:tr>
      <w:tr>
        <w:trPr>
          <w:cantSplit w:val="true"/>
        </w:trPr>
        <w:tc>
          <w:tcPr>
            <w:tcW w:w="23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 (Suche: newcomers to Canada tax)</w:t>
            </w:r>
          </w:p>
        </w:tc>
        <w:tc>
          <w:tcPr>
            <w:tcW w:w="31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Steuern für Neuankömmlinge</w:t>
            </w:r>
          </w:p>
        </w:tc>
        <w:tc>
          <w:tcPr>
            <w:tcW w:w="10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Steuern</w:t>
            </w:r>
          </w:p>
        </w:tc>
      </w:tr>
      <w:tr>
        <w:trPr>
          <w:cantSplit w:val="true"/>
        </w:trPr>
        <w:tc>
          <w:tcPr>
            <w:tcW w:w="23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gov.bc.ca (auch www2.gov.bc.ca, Suche: income tax rates)</w:t>
            </w:r>
          </w:p>
        </w:tc>
        <w:tc>
          <w:tcPr>
            <w:tcW w:w="31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British-Columbia-Einkommensteuersätze</w:t>
            </w:r>
          </w:p>
        </w:tc>
        <w:tc>
          <w:tcPr>
            <w:tcW w:w="10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Steuern</w:t>
            </w:r>
          </w:p>
        </w:tc>
      </w:tr>
      <w:tr>
        <w:trPr>
          <w:cantSplit w:val="true"/>
        </w:trPr>
        <w:tc>
          <w:tcPr>
            <w:tcW w:w="23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taxtips.ca</w:t>
            </w:r>
          </w:p>
        </w:tc>
        <w:tc>
          <w:tcPr>
            <w:tcW w:w="31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Unabhängige Steuer-Referenzseite: Ontario- und Provinztabellen, Verkaufssteuern</w:t>
            </w:r>
          </w:p>
        </w:tc>
        <w:tc>
          <w:tcPr>
            <w:tcW w:w="10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Steuern</w:t>
            </w:r>
          </w:p>
        </w:tc>
      </w:tr>
      <w:tr>
        <w:trPr>
          <w:cantSplit w:val="true"/>
        </w:trPr>
        <w:tc>
          <w:tcPr>
            <w:tcW w:w="23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rbc.com, td.com, scotiabank.com, bmo.com, cibc.com</w:t>
            </w:r>
          </w:p>
        </w:tc>
        <w:tc>
          <w:tcPr>
            <w:tcW w:w="31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Newcomer-Bankpakete der „Big Five“-Banken</w:t>
            </w:r>
          </w:p>
        </w:tc>
        <w:tc>
          <w:tcPr>
            <w:tcW w:w="10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Steuern</w:t>
            </w:r>
          </w:p>
        </w:tc>
      </w:tr>
      <w:tr>
        <w:trPr>
          <w:cantSplit w:val="true"/>
        </w:trPr>
        <w:tc>
          <w:tcPr>
            <w:tcW w:w="23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equifax.ca, transunion.ca</w:t>
            </w:r>
          </w:p>
        </w:tc>
        <w:tc>
          <w:tcPr>
            <w:tcW w:w="31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Kreditauskunft und Score-Aufbau in Kanada</w:t>
            </w:r>
          </w:p>
        </w:tc>
        <w:tc>
          <w:tcPr>
            <w:tcW w:w="10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Steuern</w:t>
            </w:r>
          </w:p>
        </w:tc>
      </w:tr>
      <w:tr>
        <w:trPr>
          <w:cantSplit w:val="true"/>
        </w:trPr>
        <w:tc>
          <w:tcPr>
            <w:tcW w:w="23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 (Competent Authority Notices)</w:t>
            </w:r>
          </w:p>
        </w:tc>
        <w:tc>
          <w:tcPr>
            <w:tcW w:w="31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Doppelbesteuerungsabkommen Kanada–Deutschland</w:t>
            </w:r>
          </w:p>
        </w:tc>
        <w:tc>
          <w:tcPr>
            <w:tcW w:w="10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Steuern</w:t>
            </w:r>
          </w:p>
        </w:tc>
      </w:tr>
      <w:tr>
        <w:trPr>
          <w:cantSplit w:val="true"/>
        </w:trPr>
        <w:tc>
          <w:tcPr>
            <w:tcW w:w="23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bzst.de</w:t>
            </w:r>
          </w:p>
        </w:tc>
        <w:tc>
          <w:tcPr>
            <w:tcW w:w="31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Doppelbesteuerungsabkommen Kanada–Deutschland, deutsche Seite</w:t>
            </w:r>
          </w:p>
        </w:tc>
        <w:tc>
          <w:tcPr>
            <w:tcW w:w="10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Steuern</w:t>
            </w:r>
          </w:p>
        </w:tc>
      </w:tr>
      <w:tr>
        <w:trPr>
          <w:cantSplit w:val="true"/>
        </w:trPr>
        <w:tc>
          <w:tcPr>
            <w:tcW w:w="23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cra-arc.gc.ca</w:t>
            </w:r>
          </w:p>
        </w:tc>
        <w:tc>
          <w:tcPr>
            <w:tcW w:w="31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Steuerliche Ansässigkeit für Nichtansässige (Non-Residents of Canada)</w:t>
            </w:r>
          </w:p>
        </w:tc>
        <w:tc>
          <w:tcPr>
            <w:tcW w:w="10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Steuern</w:t>
            </w:r>
          </w:p>
        </w:tc>
      </w:tr>
      <w:tr>
        <w:trPr>
          <w:cantSplit w:val="true"/>
        </w:trPr>
        <w:tc>
          <w:tcPr>
            <w:tcW w:w="23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oecd.org</w:t>
            </w:r>
          </w:p>
        </w:tc>
        <w:tc>
          <w:tcPr>
            <w:tcW w:w="31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Taxing Wages, Steuerkeil-Vergleich</w:t>
            </w:r>
          </w:p>
        </w:tc>
        <w:tc>
          <w:tcPr>
            <w:tcW w:w="10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Steuern</w:t>
            </w:r>
          </w:p>
        </w:tc>
      </w:tr>
      <w:tr>
        <w:trPr>
          <w:cantSplit w:val="true"/>
        </w:trPr>
        <w:tc>
          <w:tcPr>
            <w:tcW w:w="232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numbeo.com</w:t>
            </w:r>
          </w:p>
        </w:tc>
        <w:tc>
          <w:tcPr>
            <w:tcW w:w="315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Lebenshaltungskosten im Städtevergleich</w:t>
            </w:r>
          </w:p>
        </w:tc>
        <w:tc>
          <w:tcPr>
            <w:tcW w:w="10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Kanada: Gesundheit</w:t>
      </w:r>
    </w:p>
    <w:tbl>
      <w:tblPr>
        <w:tblW w:w="6480" w:type="dxa"/>
        <w:jc w:val="left"/>
        <w:tblInd w:w="0" w:type="dxa"/>
        <w:tblLayout w:type="fixed"/>
        <w:tblCellMar>
          <w:top w:w="50" w:type="dxa"/>
          <w:left w:w="80" w:type="dxa"/>
          <w:bottom w:w="50" w:type="dxa"/>
          <w:right w:w="80" w:type="dxa"/>
        </w:tblCellMar>
      </w:tblPr>
      <w:tblGrid>
        <w:gridCol w:w="2295"/>
        <w:gridCol w:w="3045"/>
        <w:gridCol w:w="1140"/>
      </w:tblGrid>
      <w:tr>
        <w:trPr>
          <w:tblHeader w:val="true"/>
          <w:cantSplit w:val="true"/>
        </w:trPr>
        <w:tc>
          <w:tcPr>
            <w:tcW w:w="229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304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1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22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canada.ca/en/health-canada</w:t>
            </w:r>
          </w:p>
        </w:tc>
        <w:tc>
          <w:tcPr>
            <w:tcW w:w="30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 Health Act, Grundprinzipien der Provinz-Krankenversicherung</w:t>
            </w:r>
          </w:p>
        </w:tc>
        <w:tc>
          <w:tcPr>
            <w:tcW w:w="11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Gesundheit</w:t>
            </w:r>
          </w:p>
        </w:tc>
      </w:tr>
      <w:tr>
        <w:trPr>
          <w:cantSplit w:val="true"/>
        </w:trPr>
        <w:tc>
          <w:tcPr>
            <w:tcW w:w="22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ontario.ca/page/apply-ohip-and-get-health-card</w:t>
            </w:r>
          </w:p>
        </w:tc>
        <w:tc>
          <w:tcPr>
            <w:tcW w:w="30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OHIP-Anmeldung, keine Wartefrist</w:t>
            </w:r>
          </w:p>
        </w:tc>
        <w:tc>
          <w:tcPr>
            <w:tcW w:w="11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Gesundheit</w:t>
            </w:r>
          </w:p>
        </w:tc>
      </w:tr>
      <w:tr>
        <w:trPr>
          <w:cantSplit w:val="true"/>
        </w:trPr>
        <w:tc>
          <w:tcPr>
            <w:tcW w:w="22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www2.gov.bc.ca/gov/content/health/health-drug-coverage/msp</w:t>
            </w:r>
          </w:p>
        </w:tc>
        <w:tc>
          <w:tcPr>
            <w:tcW w:w="30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MSP-Anmeldung und Wartefrist in British Columbia</w:t>
            </w:r>
          </w:p>
        </w:tc>
        <w:tc>
          <w:tcPr>
            <w:tcW w:w="11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Gesundheit</w:t>
            </w:r>
          </w:p>
        </w:tc>
      </w:tr>
      <w:tr>
        <w:trPr>
          <w:cantSplit w:val="true"/>
        </w:trPr>
        <w:tc>
          <w:tcPr>
            <w:tcW w:w="22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ramq.gouv.qc.ca</w:t>
            </w:r>
          </w:p>
        </w:tc>
        <w:tc>
          <w:tcPr>
            <w:tcW w:w="30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Anmeldung und Wartefrist in Québec</w:t>
            </w:r>
          </w:p>
        </w:tc>
        <w:tc>
          <w:tcPr>
            <w:tcW w:w="11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Gesundheit</w:t>
            </w:r>
          </w:p>
        </w:tc>
      </w:tr>
      <w:tr>
        <w:trPr>
          <w:cantSplit w:val="true"/>
        </w:trPr>
        <w:tc>
          <w:tcPr>
            <w:tcW w:w="22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alberta.ca/ahcip</w:t>
            </w:r>
          </w:p>
        </w:tc>
        <w:tc>
          <w:tcPr>
            <w:tcW w:w="30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Alberta Health Care Insurance Plan</w:t>
            </w:r>
          </w:p>
        </w:tc>
        <w:tc>
          <w:tcPr>
            <w:tcW w:w="11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Gesundheit</w:t>
            </w:r>
          </w:p>
        </w:tc>
      </w:tr>
      <w:tr>
        <w:trPr>
          <w:cantSplit w:val="true"/>
        </w:trPr>
        <w:tc>
          <w:tcPr>
            <w:tcW w:w="22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saskatchewan.ca/residents/health</w:t>
            </w:r>
          </w:p>
        </w:tc>
        <w:tc>
          <w:tcPr>
            <w:tcW w:w="30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Saskatchewan Health Coverage</w:t>
            </w:r>
          </w:p>
        </w:tc>
        <w:tc>
          <w:tcPr>
            <w:tcW w:w="11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Gesundheit</w:t>
            </w:r>
          </w:p>
        </w:tc>
      </w:tr>
      <w:tr>
        <w:trPr>
          <w:cantSplit w:val="true"/>
        </w:trPr>
        <w:tc>
          <w:tcPr>
            <w:tcW w:w="22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988.ca</w:t>
            </w:r>
          </w:p>
        </w:tc>
        <w:tc>
          <w:tcPr>
            <w:tcW w:w="30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9-8-8 Suicide Crisis Helpline, Krisenhilfe rund um die Uhr</w:t>
            </w:r>
          </w:p>
        </w:tc>
        <w:tc>
          <w:tcPr>
            <w:tcW w:w="11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Gesundheit</w:t>
            </w:r>
          </w:p>
        </w:tc>
      </w:tr>
      <w:tr>
        <w:trPr>
          <w:cantSplit w:val="true"/>
        </w:trPr>
        <w:tc>
          <w:tcPr>
            <w:tcW w:w="229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kidshelpphone.ca</w:t>
            </w:r>
          </w:p>
        </w:tc>
        <w:tc>
          <w:tcPr>
            <w:tcW w:w="304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Kids Help Phone, Hilfe für Kinder und Jugendliche</w:t>
            </w:r>
          </w:p>
        </w:tc>
        <w:tc>
          <w:tcPr>
            <w:tcW w:w="11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Gesundheit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Kanada: Wohnen und Führerschein</w:t>
      </w:r>
    </w:p>
    <w:tbl>
      <w:tblPr>
        <w:tblW w:w="6480" w:type="dxa"/>
        <w:jc w:val="left"/>
        <w:tblInd w:w="0" w:type="dxa"/>
        <w:tblLayout w:type="fixed"/>
        <w:tblCellMar>
          <w:top w:w="50" w:type="dxa"/>
          <w:left w:w="80" w:type="dxa"/>
          <w:bottom w:w="50" w:type="dxa"/>
          <w:right w:w="80" w:type="dxa"/>
        </w:tblCellMar>
      </w:tblPr>
      <w:tblGrid>
        <w:gridCol w:w="2483"/>
        <w:gridCol w:w="2903"/>
        <w:gridCol w:w="1094"/>
      </w:tblGrid>
      <w:tr>
        <w:trPr>
          <w:tblHeader w:val="true"/>
          <w:cantSplit w:val="true"/>
        </w:trPr>
        <w:tc>
          <w:tcPr>
            <w:tcW w:w="248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290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09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24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statcan.gc.ca</w:t>
            </w:r>
          </w:p>
        </w:tc>
        <w:tc>
          <w:tcPr>
            <w:tcW w:w="29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Statistics Canada: Quarterly Rent Statistics</w:t>
            </w:r>
          </w:p>
        </w:tc>
        <w:tc>
          <w:tcPr>
            <w:tcW w:w="1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Wohnen</w:t>
            </w:r>
          </w:p>
        </w:tc>
      </w:tr>
      <w:tr>
        <w:trPr>
          <w:cantSplit w:val="true"/>
        </w:trPr>
        <w:tc>
          <w:tcPr>
            <w:tcW w:w="24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cmhc-schl.gc.ca</w:t>
            </w:r>
          </w:p>
        </w:tc>
        <w:tc>
          <w:tcPr>
            <w:tcW w:w="29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CMHC: Rental- und Kaufmarktberichte, Hypothekenregeln</w:t>
            </w:r>
          </w:p>
        </w:tc>
        <w:tc>
          <w:tcPr>
            <w:tcW w:w="1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Wohnen</w:t>
            </w:r>
          </w:p>
        </w:tc>
      </w:tr>
      <w:tr>
        <w:trPr>
          <w:cantSplit w:val="true"/>
        </w:trPr>
        <w:tc>
          <w:tcPr>
            <w:tcW w:w="24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 (Prohibition on the Purchase of Residential Property by Non-Canadians Act)</w:t>
            </w:r>
          </w:p>
        </w:tc>
        <w:tc>
          <w:tcPr>
            <w:tcW w:w="29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Kaufverbot für Nicht-Kanadier bei Wohnimmobilien</w:t>
            </w:r>
          </w:p>
        </w:tc>
        <w:tc>
          <w:tcPr>
            <w:tcW w:w="1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Wohnen</w:t>
            </w:r>
          </w:p>
        </w:tc>
      </w:tr>
      <w:tr>
        <w:trPr>
          <w:cantSplit w:val="true"/>
        </w:trPr>
        <w:tc>
          <w:tcPr>
            <w:tcW w:w="24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gov.bc.ca</w:t>
            </w:r>
          </w:p>
        </w:tc>
        <w:tc>
          <w:tcPr>
            <w:tcW w:w="29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Additional Property Transfer Tax, Home Buyer Rescission Period</w:t>
            </w:r>
          </w:p>
        </w:tc>
        <w:tc>
          <w:tcPr>
            <w:tcW w:w="1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Wohnen</w:t>
            </w:r>
          </w:p>
        </w:tc>
      </w:tr>
      <w:tr>
        <w:trPr>
          <w:cantSplit w:val="true"/>
        </w:trPr>
        <w:tc>
          <w:tcPr>
            <w:tcW w:w="24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ontario.ca</w:t>
            </w:r>
          </w:p>
        </w:tc>
        <w:tc>
          <w:tcPr>
            <w:tcW w:w="29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Non-Resident Speculation Tax, Residential Tenancies Act</w:t>
            </w:r>
          </w:p>
        </w:tc>
        <w:tc>
          <w:tcPr>
            <w:tcW w:w="1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Wohnen</w:t>
            </w:r>
          </w:p>
        </w:tc>
      </w:tr>
      <w:tr>
        <w:trPr>
          <w:cantSplit w:val="true"/>
        </w:trPr>
        <w:tc>
          <w:tcPr>
            <w:tcW w:w="24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drivetest.ca, icbc.com, saaq.gouv.qc.ca</w:t>
            </w:r>
          </w:p>
        </w:tc>
        <w:tc>
          <w:tcPr>
            <w:tcW w:w="29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Führerscheinbehörden Ontario, British Columbia und Québec: Umtausch, Fristen</w:t>
            </w:r>
          </w:p>
        </w:tc>
        <w:tc>
          <w:tcPr>
            <w:tcW w:w="1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Führerschein</w:t>
            </w:r>
          </w:p>
        </w:tc>
      </w:tr>
      <w:tr>
        <w:trPr>
          <w:cantSplit w:val="true"/>
        </w:trPr>
        <w:tc>
          <w:tcPr>
            <w:tcW w:w="24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rcmp.ca</w:t>
            </w:r>
          </w:p>
        </w:tc>
        <w:tc>
          <w:tcPr>
            <w:tcW w:w="29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Verhalten bei Verkehrskontrollen für Neuankömmlinge</w:t>
            </w:r>
          </w:p>
        </w:tc>
        <w:tc>
          <w:tcPr>
            <w:tcW w:w="1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Führerschein</w:t>
            </w:r>
          </w:p>
        </w:tc>
      </w:tr>
      <w:tr>
        <w:trPr>
          <w:cantSplit w:val="true"/>
        </w:trPr>
        <w:tc>
          <w:tcPr>
            <w:tcW w:w="24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quebec.ca</w:t>
            </w:r>
          </w:p>
        </w:tc>
        <w:tc>
          <w:tcPr>
            <w:tcW w:w="29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Winterreifenpflicht in Québec</w:t>
            </w:r>
          </w:p>
        </w:tc>
        <w:tc>
          <w:tcPr>
            <w:tcW w:w="1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Führerschein</w:t>
            </w:r>
          </w:p>
        </w:tc>
      </w:tr>
      <w:tr>
        <w:trPr>
          <w:cantSplit w:val="true"/>
        </w:trPr>
        <w:tc>
          <w:tcPr>
            <w:tcW w:w="24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wildlifecollisions.ca</w:t>
            </w:r>
          </w:p>
        </w:tc>
        <w:tc>
          <w:tcPr>
            <w:tcW w:w="29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Wildunfallstatistik, Wildlife Collision Prevention Program</w:t>
            </w:r>
          </w:p>
        </w:tc>
        <w:tc>
          <w:tcPr>
            <w:tcW w:w="1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Führerschein</w:t>
            </w:r>
          </w:p>
        </w:tc>
      </w:tr>
      <w:tr>
        <w:trPr>
          <w:cantSplit w:val="true"/>
        </w:trPr>
        <w:tc>
          <w:tcPr>
            <w:tcW w:w="24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rates.ca</w:t>
            </w:r>
          </w:p>
        </w:tc>
        <w:tc>
          <w:tcPr>
            <w:tcW w:w="290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Kfz-Versicherungsvergleich, Provinzunterschiede</w:t>
            </w:r>
          </w:p>
        </w:tc>
        <w:tc>
          <w:tcPr>
            <w:tcW w:w="10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Führerschein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Kanada: Recht und Sicherheit</w:t>
      </w:r>
    </w:p>
    <w:tbl>
      <w:tblPr>
        <w:tblW w:w="6480" w:type="dxa"/>
        <w:jc w:val="left"/>
        <w:tblInd w:w="0" w:type="dxa"/>
        <w:tblLayout w:type="fixed"/>
        <w:tblCellMar>
          <w:top w:w="50" w:type="dxa"/>
          <w:left w:w="80" w:type="dxa"/>
          <w:bottom w:w="50" w:type="dxa"/>
          <w:right w:w="80" w:type="dxa"/>
        </w:tblCellMar>
      </w:tblPr>
      <w:tblGrid>
        <w:gridCol w:w="2599"/>
        <w:gridCol w:w="2371"/>
        <w:gridCol w:w="1510"/>
      </w:tblGrid>
      <w:tr>
        <w:trPr>
          <w:tblHeader w:val="true"/>
          <w:cantSplit w:val="true"/>
        </w:trPr>
        <w:tc>
          <w:tcPr>
            <w:tcW w:w="259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237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51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25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rcmp.ca/en/bc/corporate-information/newcomers-guide/interactions-police</w:t>
            </w:r>
          </w:p>
        </w:tc>
        <w:tc>
          <w:tcPr>
            <w:tcW w:w="23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Newcomers Guide, Verhalten bei Polizeikontakt</w:t>
            </w:r>
          </w:p>
        </w:tc>
        <w:tc>
          <w:tcPr>
            <w:tcW w:w="15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Recht und Sicherheit</w:t>
            </w:r>
          </w:p>
        </w:tc>
      </w:tr>
      <w:tr>
        <w:trPr>
          <w:cantSplit w:val="true"/>
        </w:trPr>
        <w:tc>
          <w:tcPr>
            <w:tcW w:w="25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rcmp.ca/en/firearms</w:t>
            </w:r>
          </w:p>
        </w:tc>
        <w:tc>
          <w:tcPr>
            <w:tcW w:w="23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Waffenrecht und Lizenzierung</w:t>
            </w:r>
          </w:p>
        </w:tc>
        <w:tc>
          <w:tcPr>
            <w:tcW w:w="15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Recht und Sicherheit</w:t>
            </w:r>
          </w:p>
        </w:tc>
      </w:tr>
      <w:tr>
        <w:trPr>
          <w:cantSplit w:val="true"/>
        </w:trPr>
        <w:tc>
          <w:tcPr>
            <w:tcW w:w="25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 (Suche: Assault-Style Firearms Compensation Program)</w:t>
            </w:r>
          </w:p>
        </w:tc>
        <w:tc>
          <w:tcPr>
            <w:tcW w:w="23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Rückkaufprogramm für Waffen</w:t>
            </w:r>
          </w:p>
        </w:tc>
        <w:tc>
          <w:tcPr>
            <w:tcW w:w="15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Recht und Sicherheit</w:t>
            </w:r>
          </w:p>
        </w:tc>
      </w:tr>
      <w:tr>
        <w:trPr>
          <w:cantSplit w:val="true"/>
        </w:trPr>
        <w:tc>
          <w:tcPr>
            <w:tcW w:w="25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canada.ca/en/health-canada/services/drugs-medication/cannabis.html</w:t>
            </w:r>
          </w:p>
        </w:tc>
        <w:tc>
          <w:tcPr>
            <w:tcW w:w="23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Cannabis Act, Regeln zu Besitz und Anbau</w:t>
            </w:r>
          </w:p>
        </w:tc>
        <w:tc>
          <w:tcPr>
            <w:tcW w:w="15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Recht und Sicherheit</w:t>
            </w:r>
          </w:p>
        </w:tc>
      </w:tr>
      <w:tr>
        <w:trPr>
          <w:cantSplit w:val="true"/>
        </w:trPr>
        <w:tc>
          <w:tcPr>
            <w:tcW w:w="25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cbsa-asfc.gc.ca (Suche: CBSA cannabis travellers)</w:t>
            </w:r>
          </w:p>
        </w:tc>
        <w:tc>
          <w:tcPr>
            <w:tcW w:w="23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Einfuhrbestimmungen für Cannabis</w:t>
            </w:r>
          </w:p>
        </w:tc>
        <w:tc>
          <w:tcPr>
            <w:tcW w:w="15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Recht und Sicherheit</w:t>
            </w:r>
          </w:p>
        </w:tc>
      </w:tr>
      <w:tr>
        <w:trPr>
          <w:cantSplit w:val="true"/>
        </w:trPr>
        <w:tc>
          <w:tcPr>
            <w:tcW w:w="25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alertready.ca</w:t>
            </w:r>
          </w:p>
        </w:tc>
        <w:tc>
          <w:tcPr>
            <w:tcW w:w="23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Alert Ready, nationales Warnsystem</w:t>
            </w:r>
          </w:p>
        </w:tc>
        <w:tc>
          <w:tcPr>
            <w:tcW w:w="15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Recht und Sicherheit</w:t>
            </w:r>
          </w:p>
        </w:tc>
      </w:tr>
      <w:tr>
        <w:trPr>
          <w:cantSplit w:val="true"/>
        </w:trPr>
        <w:tc>
          <w:tcPr>
            <w:tcW w:w="25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weather.gc.ca</w:t>
            </w:r>
          </w:p>
        </w:tc>
        <w:tc>
          <w:tcPr>
            <w:tcW w:w="23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Wetterwarnungen</w:t>
            </w:r>
          </w:p>
        </w:tc>
        <w:tc>
          <w:tcPr>
            <w:tcW w:w="15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Recht und Sicherheit</w:t>
            </w:r>
          </w:p>
        </w:tc>
      </w:tr>
      <w:tr>
        <w:trPr>
          <w:cantSplit w:val="true"/>
        </w:trPr>
        <w:tc>
          <w:tcPr>
            <w:tcW w:w="25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quebec.ca (Sprachgesetz Bill 96 / Loi 96)</w:t>
            </w:r>
          </w:p>
        </w:tc>
        <w:tc>
          <w:tcPr>
            <w:tcW w:w="23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Sprachgesetz und Auswirkungen auf Alltag und Beruf</w:t>
            </w:r>
          </w:p>
        </w:tc>
        <w:tc>
          <w:tcPr>
            <w:tcW w:w="15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Recht und Sicherheit</w:t>
            </w:r>
          </w:p>
        </w:tc>
      </w:tr>
      <w:tr>
        <w:trPr>
          <w:cantSplit w:val="true"/>
        </w:trPr>
        <w:tc>
          <w:tcPr>
            <w:tcW w:w="25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 (Multiculturalism Policy, Charter of Rights and Freedoms)</w:t>
            </w:r>
          </w:p>
        </w:tc>
        <w:tc>
          <w:tcPr>
            <w:tcW w:w="23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Grundrechte und Multikulturalismus-Politik</w:t>
            </w:r>
          </w:p>
        </w:tc>
        <w:tc>
          <w:tcPr>
            <w:tcW w:w="15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Recht und Sicherheit</w:t>
            </w:r>
          </w:p>
        </w:tc>
      </w:tr>
      <w:tr>
        <w:trPr>
          <w:cantSplit w:val="true"/>
        </w:trPr>
        <w:tc>
          <w:tcPr>
            <w:tcW w:w="25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auswaertiges-amt.de</w:t>
            </w:r>
          </w:p>
        </w:tc>
        <w:tc>
          <w:tcPr>
            <w:tcW w:w="237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Hilfe für Deutsche im Ausland, Krisenvorsorgeliste Elefand</w:t>
            </w:r>
          </w:p>
        </w:tc>
        <w:tc>
          <w:tcPr>
            <w:tcW w:w="151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Recht und Sicherheit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Kanada: Bildung, Arbeit und Alltag</w:t>
      </w:r>
    </w:p>
    <w:tbl>
      <w:tblPr>
        <w:tblW w:w="6480" w:type="dxa"/>
        <w:jc w:val="left"/>
        <w:tblInd w:w="0" w:type="dxa"/>
        <w:tblLayout w:type="fixed"/>
        <w:tblCellMar>
          <w:top w:w="50" w:type="dxa"/>
          <w:left w:w="80" w:type="dxa"/>
          <w:bottom w:w="50" w:type="dxa"/>
          <w:right w:w="80" w:type="dxa"/>
        </w:tblCellMar>
      </w:tblPr>
      <w:tblGrid>
        <w:gridCol w:w="2731"/>
        <w:gridCol w:w="2760"/>
        <w:gridCol w:w="989"/>
      </w:tblGrid>
      <w:tr>
        <w:trPr>
          <w:tblHeader w:val="true"/>
          <w:cantSplit w:val="true"/>
        </w:trPr>
        <w:tc>
          <w:tcPr>
            <w:tcW w:w="273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276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98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2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ontario.ca/page/education-and-training (auch education.gouv.qc.ca)</w:t>
            </w:r>
          </w:p>
        </w:tc>
        <w:tc>
          <w:tcPr>
            <w:tcW w:w="27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Bildungsministerien der Provinzen</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Bildung</w:t>
            </w:r>
          </w:p>
        </w:tc>
      </w:tr>
      <w:tr>
        <w:trPr>
          <w:cantSplit w:val="true"/>
        </w:trPr>
        <w:tc>
          <w:tcPr>
            <w:tcW w:w="2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quebec.ca (Suche: certificate of eligibility english instruction)</w:t>
            </w:r>
          </w:p>
        </w:tc>
        <w:tc>
          <w:tcPr>
            <w:tcW w:w="27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Charter of the French Language, Zulassung zu englischsprachigem Unterricht</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Bildung</w:t>
            </w:r>
          </w:p>
        </w:tc>
      </w:tr>
      <w:tr>
        <w:trPr>
          <w:cantSplit w:val="true"/>
        </w:trPr>
        <w:tc>
          <w:tcPr>
            <w:tcW w:w="2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canada.ca/en/employment-social-development/campaigns/child-care.html</w:t>
            </w:r>
          </w:p>
        </w:tc>
        <w:tc>
          <w:tcPr>
            <w:tcW w:w="27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Canada-Wide Early Learning and Child Care, Gebühren je Provinz</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Bildung</w:t>
            </w:r>
          </w:p>
        </w:tc>
      </w:tr>
      <w:tr>
        <w:trPr>
          <w:cantSplit w:val="true"/>
        </w:trPr>
        <w:tc>
          <w:tcPr>
            <w:tcW w:w="2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gistonline.ca</w:t>
            </w:r>
          </w:p>
        </w:tc>
        <w:tc>
          <w:tcPr>
            <w:tcW w:w="27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German International School Toronto</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Bildung</w:t>
            </w:r>
          </w:p>
        </w:tc>
      </w:tr>
      <w:tr>
        <w:trPr>
          <w:cantSplit w:val="true"/>
        </w:trPr>
        <w:tc>
          <w:tcPr>
            <w:tcW w:w="2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vwgs.org, calgarygermanschool.com</w:t>
            </w:r>
          </w:p>
        </w:tc>
        <w:tc>
          <w:tcPr>
            <w:tcW w:w="27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Vancouver Westside German School, Calgary German Language School</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Bildung</w:t>
            </w:r>
          </w:p>
        </w:tc>
      </w:tr>
      <w:tr>
        <w:trPr>
          <w:cantSplit w:val="true"/>
        </w:trPr>
        <w:tc>
          <w:tcPr>
            <w:tcW w:w="2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jobbank.gc.ca</w:t>
            </w:r>
          </w:p>
        </w:tc>
        <w:tc>
          <w:tcPr>
            <w:tcW w:w="27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Job Bank (ESDC): Stellensuche, Lebenslauf-Hilfe, Lohnvergleiche</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Arbeitswelt</w:t>
            </w:r>
          </w:p>
        </w:tc>
      </w:tr>
      <w:tr>
        <w:trPr>
          <w:cantSplit w:val="true"/>
        </w:trPr>
        <w:tc>
          <w:tcPr>
            <w:tcW w:w="2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ontario.ca/document/your-guide-employment-standards-act-0</w:t>
            </w:r>
          </w:p>
        </w:tc>
        <w:tc>
          <w:tcPr>
            <w:tcW w:w="27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Employment Standards Act: Kündigungsfristen und Urlaub</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Arbeitswelt</w:t>
            </w:r>
          </w:p>
        </w:tc>
      </w:tr>
      <w:tr>
        <w:trPr>
          <w:cantSplit w:val="true"/>
        </w:trPr>
        <w:tc>
          <w:tcPr>
            <w:tcW w:w="2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alberta.ca/employment-standards</w:t>
            </w:r>
          </w:p>
        </w:tc>
        <w:tc>
          <w:tcPr>
            <w:tcW w:w="27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Employment Standards Code Alberta</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Arbeitswelt</w:t>
            </w:r>
          </w:p>
        </w:tc>
      </w:tr>
      <w:tr>
        <w:trPr>
          <w:cantSplit w:val="true"/>
        </w:trPr>
        <w:tc>
          <w:tcPr>
            <w:tcW w:w="2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bpb.de</w:t>
            </w:r>
          </w:p>
        </w:tc>
        <w:tc>
          <w:tcPr>
            <w:tcW w:w="276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Multikulturalismus in Kanada, Einordnung für Deutschland</w:t>
            </w:r>
          </w:p>
        </w:tc>
        <w:tc>
          <w:tcPr>
            <w:tcW w:w="98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Alltag</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Deutsche Vertretungen in Kanada</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deutsche Botschaft sitzt in Ottawa; kanada.diplo.de führt zu den Generalkonsulaten und Honorarkonsuln.</w:t>
      </w:r>
    </w:p>
    <w:tbl>
      <w:tblPr>
        <w:tblW w:w="6480" w:type="dxa"/>
        <w:jc w:val="left"/>
        <w:tblInd w:w="0" w:type="dxa"/>
        <w:tblLayout w:type="fixed"/>
        <w:tblCellMar>
          <w:top w:w="50" w:type="dxa"/>
          <w:left w:w="80" w:type="dxa"/>
          <w:bottom w:w="50" w:type="dxa"/>
          <w:right w:w="80" w:type="dxa"/>
        </w:tblCellMar>
      </w:tblPr>
      <w:tblGrid>
        <w:gridCol w:w="1152"/>
        <w:gridCol w:w="3877"/>
        <w:gridCol w:w="1451"/>
      </w:tblGrid>
      <w:tr>
        <w:trPr>
          <w:tblHeader w:val="true"/>
          <w:cantSplit w:val="true"/>
        </w:trPr>
        <w:tc>
          <w:tcPr>
            <w:tcW w:w="115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387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45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11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kanada.diplo.de</w:t>
            </w:r>
          </w:p>
        </w:tc>
        <w:tc>
          <w:tcPr>
            <w:tcW w:w="38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Botschaft Ottawa und Generalkonsulate, zuständige Vertretung finden</w:t>
            </w:r>
          </w:p>
        </w:tc>
        <w:tc>
          <w:tcPr>
            <w:tcW w:w="14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Vertretungen</w:t>
            </w:r>
          </w:p>
        </w:tc>
      </w:tr>
      <w:tr>
        <w:trPr>
          <w:cantSplit w:val="true"/>
        </w:trPr>
        <w:tc>
          <w:tcPr>
            <w:tcW w:w="11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goethe.de/ins/ca</w:t>
            </w:r>
          </w:p>
        </w:tc>
        <w:tc>
          <w:tcPr>
            <w:tcW w:w="38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Goethe-Institut Kanada, Standorte Toronto, Ottawa, Montréal</w:t>
            </w:r>
          </w:p>
        </w:tc>
        <w:tc>
          <w:tcPr>
            <w:tcW w:w="14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Vertretungen</w:t>
            </w:r>
          </w:p>
        </w:tc>
      </w:tr>
    </w:tbl>
    <w:p>
      <w:pPr>
        <w:pStyle w:val="Normal"/>
        <w:spacing w:lineRule="exact" w:line="180" w:before="0" w:after="0"/>
        <w:rPr/>
      </w:pPr>
      <w:r>
        <w:rPr/>
      </w:r>
      <w:r>
        <w:br w:type="page"/>
      </w:r>
    </w:p>
    <w:p>
      <w:pPr>
        <w:pStyle w:val="Heading2"/>
        <w:keepNext w:val="true"/>
        <w:spacing w:before="0" w:after="300"/>
        <w:jc w:val="center"/>
        <w:rPr/>
      </w:pPr>
      <w:bookmarkStart w:id="218" w:name="__RefHeading___Toc56649_3769931028"/>
      <w:bookmarkStart w:id="219" w:name="s103"/>
      <w:bookmarkEnd w:id="218"/>
      <w:r>
        <w:rPr>
          <w:rFonts w:eastAsia="Amazon Ember" w:cs="Amazon Ember" w:ascii="Amazon Ember" w:hAnsi="Amazon Ember"/>
          <w:b/>
          <w:bCs/>
          <w:color w:val="0000FF"/>
          <w:sz w:val="36"/>
          <w:szCs w:val="36"/>
        </w:rPr>
        <w:t>Australien</w:t>
      </w:r>
      <w:bookmarkEnd w:id="219"/>
    </w:p>
    <w:p>
      <w:pPr>
        <w:pStyle w:val="Heading3"/>
        <w:keepNext w:val="true"/>
        <w:spacing w:before="280" w:after="100"/>
        <w:jc w:val="center"/>
        <w:rPr/>
      </w:pPr>
      <w:r>
        <w:rPr>
          <w:rFonts w:eastAsia="Amazon Ember" w:cs="Amazon Ember" w:ascii="Amazon Ember" w:hAnsi="Amazon Ember"/>
          <w:b/>
          <w:bCs/>
          <w:color w:val="0000FF"/>
          <w:sz w:val="36"/>
          <w:szCs w:val="36"/>
        </w:rPr>
        <w:t>Australien: Einwanderungsbehörden</w:t>
      </w:r>
    </w:p>
    <w:tbl>
      <w:tblPr>
        <w:tblW w:w="6480" w:type="dxa"/>
        <w:jc w:val="left"/>
        <w:tblInd w:w="0" w:type="dxa"/>
        <w:tblLayout w:type="fixed"/>
        <w:tblCellMar>
          <w:top w:w="50" w:type="dxa"/>
          <w:left w:w="80" w:type="dxa"/>
          <w:bottom w:w="50" w:type="dxa"/>
          <w:right w:w="80" w:type="dxa"/>
        </w:tblCellMar>
      </w:tblPr>
      <w:tblGrid>
        <w:gridCol w:w="2536"/>
        <w:gridCol w:w="2537"/>
        <w:gridCol w:w="1407"/>
      </w:tblGrid>
      <w:tr>
        <w:trPr>
          <w:tblHeader w:val="true"/>
          <w:cantSplit w:val="true"/>
        </w:trPr>
        <w:tc>
          <w:tcPr>
            <w:tcW w:w="253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253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40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25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immi.homeaffairs.gov.au</w:t>
            </w:r>
          </w:p>
        </w:tc>
        <w:tc>
          <w:tcPr>
            <w:tcW w:w="25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Visa-Übersicht, Gebühren und ImmiAccount</w:t>
            </w:r>
          </w:p>
        </w:tc>
        <w:tc>
          <w:tcPr>
            <w:tcW w:w="14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25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immi.homeaffairs.gov.au/visas/working-in-australia/skillselect</w:t>
            </w:r>
          </w:p>
        </w:tc>
        <w:tc>
          <w:tcPr>
            <w:tcW w:w="25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SkillSelect und Einladungsrunden</w:t>
            </w:r>
          </w:p>
        </w:tc>
        <w:tc>
          <w:tcPr>
            <w:tcW w:w="14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25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immi.homeaffairs.gov.au (Suche: work-holiday-417)</w:t>
            </w:r>
          </w:p>
        </w:tc>
        <w:tc>
          <w:tcPr>
            <w:tcW w:w="25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Working Holiday Visa, Subclass 417</w:t>
            </w:r>
          </w:p>
        </w:tc>
        <w:tc>
          <w:tcPr>
            <w:tcW w:w="14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25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immi.homeaffairs.gov.au (Suche: student-visa-500)</w:t>
            </w:r>
          </w:p>
        </w:tc>
        <w:tc>
          <w:tcPr>
            <w:tcW w:w="25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Student Visa, Subclass 500</w:t>
            </w:r>
          </w:p>
        </w:tc>
        <w:tc>
          <w:tcPr>
            <w:tcW w:w="14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25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immi.homeaffairs.gov.au/visas/getting-a-visa/fees-and-charges</w:t>
            </w:r>
          </w:p>
        </w:tc>
        <w:tc>
          <w:tcPr>
            <w:tcW w:w="25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Gebühren und Bearbeitungszeiten</w:t>
            </w:r>
          </w:p>
        </w:tc>
        <w:tc>
          <w:tcPr>
            <w:tcW w:w="14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25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immi.homeaffairs.gov.au (Migration Program)</w:t>
            </w:r>
          </w:p>
        </w:tc>
        <w:tc>
          <w:tcPr>
            <w:tcW w:w="25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Migration Program, jährliches Planungsniveau</w:t>
            </w:r>
          </w:p>
        </w:tc>
        <w:tc>
          <w:tcPr>
            <w:tcW w:w="14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25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immi.homeaffairs.gov.au (Suche: skilled-independent-189)</w:t>
            </w:r>
          </w:p>
        </w:tc>
        <w:tc>
          <w:tcPr>
            <w:tcW w:w="25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Skilled Independent visa, Subclass 189</w:t>
            </w:r>
          </w:p>
        </w:tc>
        <w:tc>
          <w:tcPr>
            <w:tcW w:w="14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25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immi.homeaffairs.gov.au (Suche: skilled-nominated-190)</w:t>
            </w:r>
          </w:p>
        </w:tc>
        <w:tc>
          <w:tcPr>
            <w:tcW w:w="25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Skilled Nominated visa, Subclass 190</w:t>
            </w:r>
          </w:p>
        </w:tc>
        <w:tc>
          <w:tcPr>
            <w:tcW w:w="14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25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immi.homeaffairs.gov.au (Suche: skills-in-demand-visa-subclass-482)</w:t>
            </w:r>
          </w:p>
        </w:tc>
        <w:tc>
          <w:tcPr>
            <w:tcW w:w="25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Skills in Demand visa, Subclass 482</w:t>
            </w:r>
          </w:p>
        </w:tc>
        <w:tc>
          <w:tcPr>
            <w:tcW w:w="14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25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immi.homeaffairs.gov.au (Suche: employer-nomination-scheme-186)</w:t>
            </w:r>
          </w:p>
        </w:tc>
        <w:tc>
          <w:tcPr>
            <w:tcW w:w="25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Employer Nomination Scheme, Subclass 186</w:t>
            </w:r>
          </w:p>
        </w:tc>
        <w:tc>
          <w:tcPr>
            <w:tcW w:w="14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25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dewr.gov.au</w:t>
            </w:r>
          </w:p>
        </w:tc>
        <w:tc>
          <w:tcPr>
            <w:tcW w:w="25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Skilling Australians Fund Levy</w:t>
            </w:r>
          </w:p>
        </w:tc>
        <w:tc>
          <w:tcPr>
            <w:tcW w:w="14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25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immi.homeaffairs.gov.au (Suche: partner-visa)</w:t>
            </w:r>
          </w:p>
        </w:tc>
        <w:tc>
          <w:tcPr>
            <w:tcW w:w="25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Partnervisa, Subclass 820/801 und 309/100</w:t>
            </w:r>
          </w:p>
        </w:tc>
        <w:tc>
          <w:tcPr>
            <w:tcW w:w="14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25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immi.homeaffairs.gov.au (Suche: parent-visa, balance-of-family-test)</w:t>
            </w:r>
          </w:p>
        </w:tc>
        <w:tc>
          <w:tcPr>
            <w:tcW w:w="25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Parent-Visa-Kategorien und Balance-of-Family-Test</w:t>
            </w:r>
          </w:p>
        </w:tc>
        <w:tc>
          <w:tcPr>
            <w:tcW w:w="14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25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immi.homeaffairs.gov.au (Suche: sponsored-parent-870)</w:t>
            </w:r>
          </w:p>
        </w:tc>
        <w:tc>
          <w:tcPr>
            <w:tcW w:w="25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Sponsored Parent (Temporary) Visa, Subclass 870</w:t>
            </w:r>
          </w:p>
        </w:tc>
        <w:tc>
          <w:tcPr>
            <w:tcW w:w="14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25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immi.homeaffairs.gov.au (Suche: national-innovation-visa-858)</w:t>
            </w:r>
          </w:p>
        </w:tc>
        <w:tc>
          <w:tcPr>
            <w:tcW w:w="25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National Innovation Visa, Subclass 858</w:t>
            </w:r>
          </w:p>
        </w:tc>
        <w:tc>
          <w:tcPr>
            <w:tcW w:w="14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25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immi.homeaffairs.gov.au/visas/getting-a-visa/visa-processing-times</w:t>
            </w:r>
          </w:p>
        </w:tc>
        <w:tc>
          <w:tcPr>
            <w:tcW w:w="25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Visa-Bearbeitungszeiten und -prioritäten</w:t>
            </w:r>
          </w:p>
        </w:tc>
        <w:tc>
          <w:tcPr>
            <w:tcW w:w="14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25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portal.mara.gov.au</w:t>
            </w:r>
          </w:p>
        </w:tc>
        <w:tc>
          <w:tcPr>
            <w:tcW w:w="25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OMARA, Register der Migration Agents</w:t>
            </w:r>
          </w:p>
        </w:tc>
        <w:tc>
          <w:tcPr>
            <w:tcW w:w="14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Einwanderung</w:t>
            </w:r>
          </w:p>
        </w:tc>
      </w:tr>
      <w:tr>
        <w:trPr>
          <w:cantSplit w:val="true"/>
        </w:trPr>
        <w:tc>
          <w:tcPr>
            <w:tcW w:w="25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abf.gov.au</w:t>
            </w:r>
          </w:p>
        </w:tc>
        <w:tc>
          <w:tcPr>
            <w:tcW w:w="25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Australian Border Force, Biosecurity und Zoll bei der Einreise</w:t>
            </w:r>
          </w:p>
        </w:tc>
        <w:tc>
          <w:tcPr>
            <w:tcW w:w="14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Ankunft</w:t>
            </w:r>
          </w:p>
        </w:tc>
      </w:tr>
      <w:tr>
        <w:trPr>
          <w:cantSplit w:val="true"/>
        </w:trPr>
        <w:tc>
          <w:tcPr>
            <w:tcW w:w="25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homeaffairs.gov.au</w:t>
            </w:r>
          </w:p>
        </w:tc>
        <w:tc>
          <w:tcPr>
            <w:tcW w:w="25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Citizenship by Conferral: Voraussetzungen, Test, Gebühren, Residence Calculator</w:t>
            </w:r>
          </w:p>
        </w:tc>
        <w:tc>
          <w:tcPr>
            <w:tcW w:w="14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Staatsbürgerschaft</w:t>
            </w:r>
          </w:p>
        </w:tc>
      </w:tr>
      <w:tr>
        <w:trPr>
          <w:cantSplit w:val="true"/>
        </w:trPr>
        <w:tc>
          <w:tcPr>
            <w:tcW w:w="253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bmi.bund.de</w:t>
            </w:r>
          </w:p>
        </w:tc>
        <w:tc>
          <w:tcPr>
            <w:tcW w:w="25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Staatsangehörigkeitsrecht, Reform 2024</w:t>
            </w:r>
          </w:p>
        </w:tc>
        <w:tc>
          <w:tcPr>
            <w:tcW w:w="140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Staatsbürgerschaft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Australien: Steuern und Sozialversicherung</w:t>
      </w:r>
    </w:p>
    <w:tbl>
      <w:tblPr>
        <w:tblW w:w="6480" w:type="dxa"/>
        <w:jc w:val="left"/>
        <w:tblInd w:w="0" w:type="dxa"/>
        <w:tblLayout w:type="fixed"/>
        <w:tblCellMar>
          <w:top w:w="50" w:type="dxa"/>
          <w:left w:w="80" w:type="dxa"/>
          <w:bottom w:w="50" w:type="dxa"/>
          <w:right w:w="80" w:type="dxa"/>
        </w:tblCellMar>
      </w:tblPr>
      <w:tblGrid>
        <w:gridCol w:w="2166"/>
        <w:gridCol w:w="3082"/>
        <w:gridCol w:w="1232"/>
      </w:tblGrid>
      <w:tr>
        <w:trPr>
          <w:tblHeader w:val="true"/>
          <w:cantSplit w:val="true"/>
        </w:trPr>
        <w:tc>
          <w:tcPr>
            <w:tcW w:w="216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308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23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21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ato.gov.au</w:t>
            </w:r>
          </w:p>
        </w:tc>
        <w:tc>
          <w:tcPr>
            <w:tcW w:w="30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Einkommensteuersätze, Tax File Number, Medicare Levy und Surcharge</w:t>
            </w:r>
          </w:p>
        </w:tc>
        <w:tc>
          <w:tcPr>
            <w:tcW w:w="12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Steuern</w:t>
            </w:r>
          </w:p>
        </w:tc>
      </w:tr>
      <w:tr>
        <w:trPr>
          <w:cantSplit w:val="true"/>
        </w:trPr>
        <w:tc>
          <w:tcPr>
            <w:tcW w:w="21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ato.gov.au/super</w:t>
            </w:r>
          </w:p>
        </w:tc>
        <w:tc>
          <w:tcPr>
            <w:tcW w:w="30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Superannuation, Departing Australia Superannuation Payment (DASP), Superannuation Guarantee</w:t>
            </w:r>
          </w:p>
        </w:tc>
        <w:tc>
          <w:tcPr>
            <w:tcW w:w="12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Steuern</w:t>
            </w:r>
          </w:p>
        </w:tc>
      </w:tr>
      <w:tr>
        <w:trPr>
          <w:cantSplit w:val="true"/>
        </w:trPr>
        <w:tc>
          <w:tcPr>
            <w:tcW w:w="21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servicesaustralia.gov.au</w:t>
            </w:r>
          </w:p>
        </w:tc>
        <w:tc>
          <w:tcPr>
            <w:tcW w:w="30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Centrelink, Medicare-Anmeldung</w:t>
            </w:r>
          </w:p>
        </w:tc>
        <w:tc>
          <w:tcPr>
            <w:tcW w:w="12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Steuern</w:t>
            </w:r>
          </w:p>
        </w:tc>
      </w:tr>
      <w:tr>
        <w:trPr>
          <w:cantSplit w:val="true"/>
        </w:trPr>
        <w:tc>
          <w:tcPr>
            <w:tcW w:w="21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moneysmart.gov.au</w:t>
            </w:r>
          </w:p>
        </w:tc>
        <w:tc>
          <w:tcPr>
            <w:tcW w:w="30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Unabhängige Verbraucherinformation der ASIC, u. a. Kreditauskünfte</w:t>
            </w:r>
          </w:p>
        </w:tc>
        <w:tc>
          <w:tcPr>
            <w:tcW w:w="12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Steuern</w:t>
            </w:r>
          </w:p>
        </w:tc>
      </w:tr>
      <w:tr>
        <w:trPr>
          <w:cantSplit w:val="true"/>
        </w:trPr>
        <w:tc>
          <w:tcPr>
            <w:tcW w:w="21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equifax.com.au, experian.com.au, illion.com.au</w:t>
            </w:r>
          </w:p>
        </w:tc>
        <w:tc>
          <w:tcPr>
            <w:tcW w:w="30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Kostenlose Kreditauskunft</w:t>
            </w:r>
          </w:p>
        </w:tc>
        <w:tc>
          <w:tcPr>
            <w:tcW w:w="12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Steuern</w:t>
            </w:r>
          </w:p>
        </w:tc>
      </w:tr>
      <w:tr>
        <w:trPr>
          <w:cantSplit w:val="true"/>
        </w:trPr>
        <w:tc>
          <w:tcPr>
            <w:tcW w:w="21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commbank.com.au, westpac.com.au, nab.com.au, anz.com.au</w:t>
            </w:r>
          </w:p>
        </w:tc>
        <w:tc>
          <w:tcPr>
            <w:tcW w:w="30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Kontoeröffnung für Neuankömmlinge</w:t>
            </w:r>
          </w:p>
        </w:tc>
        <w:tc>
          <w:tcPr>
            <w:tcW w:w="12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Steuern</w:t>
            </w:r>
          </w:p>
        </w:tc>
      </w:tr>
      <w:tr>
        <w:trPr>
          <w:cantSplit w:val="true"/>
        </w:trPr>
        <w:tc>
          <w:tcPr>
            <w:tcW w:w="21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mygov.au</w:t>
            </w:r>
          </w:p>
        </w:tc>
        <w:tc>
          <w:tcPr>
            <w:tcW w:w="30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Online-Portal für Steuererklärung und Behördengänge</w:t>
            </w:r>
          </w:p>
        </w:tc>
        <w:tc>
          <w:tcPr>
            <w:tcW w:w="12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Steuern</w:t>
            </w:r>
          </w:p>
        </w:tc>
      </w:tr>
      <w:tr>
        <w:trPr>
          <w:cantSplit w:val="true"/>
        </w:trPr>
        <w:tc>
          <w:tcPr>
            <w:tcW w:w="21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ato.gov.au (Doppelbesteuerungsabkommen)</w:t>
            </w:r>
          </w:p>
        </w:tc>
        <w:tc>
          <w:tcPr>
            <w:tcW w:w="30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Doppelbesteuerungsabkommen Australien–Deutschland</w:t>
            </w:r>
          </w:p>
        </w:tc>
        <w:tc>
          <w:tcPr>
            <w:tcW w:w="12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Steuern</w:t>
            </w:r>
          </w:p>
        </w:tc>
      </w:tr>
      <w:tr>
        <w:trPr>
          <w:cantSplit w:val="true"/>
        </w:trPr>
        <w:tc>
          <w:tcPr>
            <w:tcW w:w="21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ato.gov.au (Your tax residency)</w:t>
            </w:r>
          </w:p>
        </w:tc>
        <w:tc>
          <w:tcPr>
            <w:tcW w:w="30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Steuerresidenz, Foreign and worldwide income</w:t>
            </w:r>
          </w:p>
        </w:tc>
        <w:tc>
          <w:tcPr>
            <w:tcW w:w="12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Steuern</w:t>
            </w:r>
          </w:p>
        </w:tc>
      </w:tr>
      <w:tr>
        <w:trPr>
          <w:cantSplit w:val="true"/>
        </w:trPr>
        <w:tc>
          <w:tcPr>
            <w:tcW w:w="21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oecd.org</w:t>
            </w:r>
          </w:p>
        </w:tc>
        <w:tc>
          <w:tcPr>
            <w:tcW w:w="30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Taxing Wages, Steuerkeil-Vergleich</w:t>
            </w:r>
          </w:p>
        </w:tc>
        <w:tc>
          <w:tcPr>
            <w:tcW w:w="12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Steuern</w:t>
            </w:r>
          </w:p>
        </w:tc>
      </w:tr>
      <w:tr>
        <w:trPr>
          <w:cantSplit w:val="true"/>
        </w:trPr>
        <w:tc>
          <w:tcPr>
            <w:tcW w:w="216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numbeo.com</w:t>
            </w:r>
          </w:p>
        </w:tc>
        <w:tc>
          <w:tcPr>
            <w:tcW w:w="308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Lebenshaltungskosten im Städtevergleich</w:t>
            </w:r>
          </w:p>
        </w:tc>
        <w:tc>
          <w:tcPr>
            <w:tcW w:w="12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Australien: Gesundheit</w:t>
      </w:r>
    </w:p>
    <w:tbl>
      <w:tblPr>
        <w:tblW w:w="6480" w:type="dxa"/>
        <w:jc w:val="left"/>
        <w:tblInd w:w="0" w:type="dxa"/>
        <w:tblLayout w:type="fixed"/>
        <w:tblCellMar>
          <w:top w:w="50" w:type="dxa"/>
          <w:left w:w="80" w:type="dxa"/>
          <w:bottom w:w="50" w:type="dxa"/>
          <w:right w:w="80" w:type="dxa"/>
        </w:tblCellMar>
      </w:tblPr>
      <w:tblGrid>
        <w:gridCol w:w="2339"/>
        <w:gridCol w:w="2885"/>
        <w:gridCol w:w="1256"/>
      </w:tblGrid>
      <w:tr>
        <w:trPr>
          <w:tblHeader w:val="true"/>
          <w:cantSplit w:val="true"/>
        </w:trPr>
        <w:tc>
          <w:tcPr>
            <w:tcW w:w="23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288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25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23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servicesaustralia.gov.au (Reciprocal Health Care Agreements)</w:t>
            </w:r>
          </w:p>
        </w:tc>
        <w:tc>
          <w:tcPr>
            <w:tcW w:w="28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Medicare-Anmeldung, Reciprocal Health Care Agreements</w:t>
            </w:r>
          </w:p>
        </w:tc>
        <w:tc>
          <w:tcPr>
            <w:tcW w:w="12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Gesundheit</w:t>
            </w:r>
          </w:p>
        </w:tc>
      </w:tr>
      <w:tr>
        <w:trPr>
          <w:cantSplit w:val="true"/>
        </w:trPr>
        <w:tc>
          <w:tcPr>
            <w:tcW w:w="23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immi.homeaffairs.gov.au (OVHC, OSHC)</w:t>
            </w:r>
          </w:p>
        </w:tc>
        <w:tc>
          <w:tcPr>
            <w:tcW w:w="28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Visumbedingte Gesundheitsversicherung</w:t>
            </w:r>
          </w:p>
        </w:tc>
        <w:tc>
          <w:tcPr>
            <w:tcW w:w="12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Gesundheit</w:t>
            </w:r>
          </w:p>
        </w:tc>
      </w:tr>
      <w:tr>
        <w:trPr>
          <w:cantSplit w:val="true"/>
        </w:trPr>
        <w:tc>
          <w:tcPr>
            <w:tcW w:w="23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privatehealth.gov.au</w:t>
            </w:r>
          </w:p>
        </w:tc>
        <w:tc>
          <w:tcPr>
            <w:tcW w:w="28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Unabhängiger Vergleich privater Krankenversicherungen (Private Health Insurance Ombudsman)</w:t>
            </w:r>
          </w:p>
        </w:tc>
        <w:tc>
          <w:tcPr>
            <w:tcW w:w="12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Gesundheit</w:t>
            </w:r>
          </w:p>
        </w:tc>
      </w:tr>
      <w:tr>
        <w:trPr>
          <w:cantSplit w:val="true"/>
        </w:trPr>
        <w:tc>
          <w:tcPr>
            <w:tcW w:w="23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lifeline.org.au</w:t>
            </w:r>
          </w:p>
        </w:tc>
        <w:tc>
          <w:tcPr>
            <w:tcW w:w="28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Krisenhilfe rund um die Uhr</w:t>
            </w:r>
          </w:p>
        </w:tc>
        <w:tc>
          <w:tcPr>
            <w:tcW w:w="125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Gesundheit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Australien: Wohnen und Führerschein</w:t>
      </w:r>
    </w:p>
    <w:tbl>
      <w:tblPr>
        <w:tblW w:w="6480" w:type="dxa"/>
        <w:jc w:val="left"/>
        <w:tblInd w:w="0" w:type="dxa"/>
        <w:tblLayout w:type="fixed"/>
        <w:tblCellMar>
          <w:top w:w="50" w:type="dxa"/>
          <w:left w:w="80" w:type="dxa"/>
          <w:bottom w:w="50" w:type="dxa"/>
          <w:right w:w="80" w:type="dxa"/>
        </w:tblCellMar>
      </w:tblPr>
      <w:tblGrid>
        <w:gridCol w:w="2199"/>
        <w:gridCol w:w="2924"/>
        <w:gridCol w:w="1357"/>
      </w:tblGrid>
      <w:tr>
        <w:trPr>
          <w:tblHeader w:val="true"/>
          <w:cantSplit w:val="true"/>
        </w:trPr>
        <w:tc>
          <w:tcPr>
            <w:tcW w:w="219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292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35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21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firb.gov.au</w:t>
            </w:r>
          </w:p>
        </w:tc>
        <w:tc>
          <w:tcPr>
            <w:tcW w:w="2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Foreign Investment Review Board, Established-Dwelling-Verbot</w:t>
            </w:r>
          </w:p>
        </w:tc>
        <w:tc>
          <w:tcPr>
            <w:tcW w:w="13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Wohnen</w:t>
            </w:r>
          </w:p>
        </w:tc>
      </w:tr>
      <w:tr>
        <w:trPr>
          <w:cantSplit w:val="true"/>
        </w:trPr>
        <w:tc>
          <w:tcPr>
            <w:tcW w:w="21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fairtrading.nsw.gov.au</w:t>
            </w:r>
          </w:p>
        </w:tc>
        <w:tc>
          <w:tcPr>
            <w:tcW w:w="2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Mietrecht, Rental Bonds Online</w:t>
            </w:r>
          </w:p>
        </w:tc>
        <w:tc>
          <w:tcPr>
            <w:tcW w:w="13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Wohnen</w:t>
            </w:r>
          </w:p>
        </w:tc>
      </w:tr>
      <w:tr>
        <w:trPr>
          <w:cantSplit w:val="true"/>
        </w:trPr>
        <w:tc>
          <w:tcPr>
            <w:tcW w:w="21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domain.com.au (auch cotality.com)</w:t>
            </w:r>
          </w:p>
        </w:tc>
        <w:tc>
          <w:tcPr>
            <w:tcW w:w="2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Domain Rental Report und Cotality Home Value Index, Miet- und Kaufpreise</w:t>
            </w:r>
          </w:p>
        </w:tc>
        <w:tc>
          <w:tcPr>
            <w:tcW w:w="13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Wohnen</w:t>
            </w:r>
          </w:p>
        </w:tc>
      </w:tr>
      <w:tr>
        <w:trPr>
          <w:cantSplit w:val="true"/>
        </w:trPr>
        <w:tc>
          <w:tcPr>
            <w:tcW w:w="21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transport.vic.gov.au, service.nsw.gov.au, tmr.qld.gov.au</w:t>
            </w:r>
          </w:p>
        </w:tc>
        <w:tc>
          <w:tcPr>
            <w:tcW w:w="2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Führerschein-Umtausch, Fristen der Bundesstaaten (Beispiele)</w:t>
            </w:r>
          </w:p>
        </w:tc>
        <w:tc>
          <w:tcPr>
            <w:tcW w:w="13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Führerschein</w:t>
            </w:r>
          </w:p>
        </w:tc>
      </w:tr>
      <w:tr>
        <w:trPr>
          <w:cantSplit w:val="true"/>
        </w:trPr>
        <w:tc>
          <w:tcPr>
            <w:tcW w:w="21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austroads.gov.au</w:t>
            </w:r>
          </w:p>
        </w:tc>
        <w:tc>
          <w:tcPr>
            <w:tcW w:w="2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Tempolimits, Verkehrsregeln im Ländervergleich</w:t>
            </w:r>
          </w:p>
        </w:tc>
        <w:tc>
          <w:tcPr>
            <w:tcW w:w="13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Führerschein</w:t>
            </w:r>
          </w:p>
        </w:tc>
      </w:tr>
      <w:tr>
        <w:trPr>
          <w:cantSplit w:val="true"/>
        </w:trPr>
        <w:tc>
          <w:tcPr>
            <w:tcW w:w="21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nsw.gov.au</w:t>
            </w:r>
          </w:p>
        </w:tc>
        <w:tc>
          <w:tcPr>
            <w:tcW w:w="2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Random Breath Testing</w:t>
            </w:r>
          </w:p>
        </w:tc>
        <w:tc>
          <w:tcPr>
            <w:tcW w:w="13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Führerschein</w:t>
            </w:r>
          </w:p>
        </w:tc>
      </w:tr>
      <w:tr>
        <w:trPr>
          <w:cantSplit w:val="true"/>
        </w:trPr>
        <w:tc>
          <w:tcPr>
            <w:tcW w:w="21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kangaroomanagementtaskforce.com.au (auch csiro.au)</w:t>
            </w:r>
          </w:p>
        </w:tc>
        <w:tc>
          <w:tcPr>
            <w:tcW w:w="2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Wildtierunfälle im Outback</w:t>
            </w:r>
          </w:p>
        </w:tc>
        <w:tc>
          <w:tcPr>
            <w:tcW w:w="13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Führerschein</w:t>
            </w:r>
          </w:p>
        </w:tc>
      </w:tr>
      <w:tr>
        <w:trPr>
          <w:cantSplit w:val="true"/>
        </w:trPr>
        <w:tc>
          <w:tcPr>
            <w:tcW w:w="219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nrma.com.au, racv.com.au</w:t>
            </w:r>
          </w:p>
        </w:tc>
        <w:tc>
          <w:tcPr>
            <w:tcW w:w="292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Praxisratgeber der Motorclubs für Neuankömmlinge</w:t>
            </w:r>
          </w:p>
        </w:tc>
        <w:tc>
          <w:tcPr>
            <w:tcW w:w="135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Führerschein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Australien: Recht und Sicherheit</w:t>
      </w:r>
    </w:p>
    <w:tbl>
      <w:tblPr>
        <w:tblW w:w="6480" w:type="dxa"/>
        <w:jc w:val="left"/>
        <w:tblInd w:w="0" w:type="dxa"/>
        <w:tblLayout w:type="fixed"/>
        <w:tblCellMar>
          <w:top w:w="50" w:type="dxa"/>
          <w:left w:w="80" w:type="dxa"/>
          <w:bottom w:w="50" w:type="dxa"/>
          <w:right w:w="80" w:type="dxa"/>
        </w:tblCellMar>
      </w:tblPr>
      <w:tblGrid>
        <w:gridCol w:w="1450"/>
        <w:gridCol w:w="3043"/>
        <w:gridCol w:w="1987"/>
      </w:tblGrid>
      <w:tr>
        <w:trPr>
          <w:tblHeader w:val="true"/>
          <w:cantSplit w:val="true"/>
        </w:trPr>
        <w:tc>
          <w:tcPr>
            <w:tcW w:w="14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304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98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14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afdrs.com.au</w:t>
            </w:r>
          </w:p>
        </w:tc>
        <w:tc>
          <w:tcPr>
            <w:tcW w:w="30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Australian Fire Danger Rating System, Warnstufen</w:t>
            </w:r>
          </w:p>
        </w:tc>
        <w:tc>
          <w:tcPr>
            <w:tcW w:w="19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Recht und Sicherheit</w:t>
            </w:r>
          </w:p>
        </w:tc>
      </w:tr>
      <w:tr>
        <w:trPr>
          <w:cantSplit w:val="true"/>
        </w:trPr>
        <w:tc>
          <w:tcPr>
            <w:tcW w:w="14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bom.gov.au</w:t>
            </w:r>
          </w:p>
        </w:tc>
        <w:tc>
          <w:tcPr>
            <w:tcW w:w="30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Bureau of Meteorology, Wetter- und Zyklonwarnungen</w:t>
            </w:r>
          </w:p>
        </w:tc>
        <w:tc>
          <w:tcPr>
            <w:tcW w:w="19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Recht und Sicherheit</w:t>
            </w:r>
          </w:p>
        </w:tc>
      </w:tr>
      <w:tr>
        <w:trPr>
          <w:cantSplit w:val="true"/>
        </w:trPr>
        <w:tc>
          <w:tcPr>
            <w:tcW w:w="14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rfs.nsw.gov.au, cfa.vic.gov.au</w:t>
            </w:r>
          </w:p>
        </w:tc>
        <w:tc>
          <w:tcPr>
            <w:tcW w:w="30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Landesfeuerwehrbehörden New South Wales und Victoria</w:t>
            </w:r>
          </w:p>
        </w:tc>
        <w:tc>
          <w:tcPr>
            <w:tcW w:w="19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Recht und Sicherheit</w:t>
            </w:r>
          </w:p>
        </w:tc>
      </w:tr>
      <w:tr>
        <w:trPr>
          <w:cantSplit w:val="true"/>
        </w:trPr>
        <w:tc>
          <w:tcPr>
            <w:tcW w:w="14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health.gov.au (auch tga.gov.au)</w:t>
            </w:r>
          </w:p>
        </w:tc>
        <w:tc>
          <w:tcPr>
            <w:tcW w:w="30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Medizinisches Cannabis, Zulassung und Verschreibung</w:t>
            </w:r>
          </w:p>
        </w:tc>
        <w:tc>
          <w:tcPr>
            <w:tcW w:w="19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Recht und Sicherheit</w:t>
            </w:r>
          </w:p>
        </w:tc>
      </w:tr>
      <w:tr>
        <w:trPr>
          <w:cantSplit w:val="true"/>
        </w:trPr>
        <w:tc>
          <w:tcPr>
            <w:tcW w:w="14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legislation.act.gov.au</w:t>
            </w:r>
          </w:p>
        </w:tc>
        <w:tc>
          <w:tcPr>
            <w:tcW w:w="30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Cannabis-Recht in der Australian Capital Territory</w:t>
            </w:r>
          </w:p>
        </w:tc>
        <w:tc>
          <w:tcPr>
            <w:tcW w:w="19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Recht und Sicherheit</w:t>
            </w:r>
          </w:p>
        </w:tc>
      </w:tr>
      <w:tr>
        <w:trPr>
          <w:cantSplit w:val="true"/>
        </w:trPr>
        <w:tc>
          <w:tcPr>
            <w:tcW w:w="14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acic.gov.au</w:t>
            </w:r>
          </w:p>
        </w:tc>
        <w:tc>
          <w:tcPr>
            <w:tcW w:w="30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National Firearms Agreement 1996</w:t>
            </w:r>
          </w:p>
        </w:tc>
        <w:tc>
          <w:tcPr>
            <w:tcW w:w="19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Recht und Sicherheit</w:t>
            </w:r>
          </w:p>
        </w:tc>
      </w:tr>
      <w:tr>
        <w:trPr>
          <w:cantSplit w:val="true"/>
        </w:trPr>
        <w:tc>
          <w:tcPr>
            <w:tcW w:w="14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transport.nsw.gov.au</w:t>
            </w:r>
          </w:p>
        </w:tc>
        <w:tc>
          <w:tcPr>
            <w:tcW w:w="304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Alkohol- und Drogenkontrollen im Straßenverkehr</w:t>
            </w:r>
          </w:p>
        </w:tc>
        <w:tc>
          <w:tcPr>
            <w:tcW w:w="198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Recht und Sicherheit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Australien: Bildung, Arbeit und Alltag</w:t>
      </w:r>
    </w:p>
    <w:tbl>
      <w:tblPr>
        <w:tblW w:w="6480" w:type="dxa"/>
        <w:jc w:val="left"/>
        <w:tblInd w:w="0" w:type="dxa"/>
        <w:tblLayout w:type="fixed"/>
        <w:tblCellMar>
          <w:top w:w="50" w:type="dxa"/>
          <w:left w:w="80" w:type="dxa"/>
          <w:bottom w:w="50" w:type="dxa"/>
          <w:right w:w="80" w:type="dxa"/>
        </w:tblCellMar>
      </w:tblPr>
      <w:tblGrid>
        <w:gridCol w:w="1872"/>
        <w:gridCol w:w="3223"/>
        <w:gridCol w:w="1385"/>
      </w:tblGrid>
      <w:tr>
        <w:trPr>
          <w:tblHeader w:val="true"/>
          <w:cantSplit w:val="true"/>
        </w:trPr>
        <w:tc>
          <w:tcPr>
            <w:tcW w:w="187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322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38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1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abs.gov.au/statistics/people/education/schools</w:t>
            </w:r>
          </w:p>
        </w:tc>
        <w:tc>
          <w:tcPr>
            <w:tcW w:w="32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Schulstatistik, Anteile der Schulsektoren</w:t>
            </w:r>
          </w:p>
        </w:tc>
        <w:tc>
          <w:tcPr>
            <w:tcW w:w="13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Bildung</w:t>
            </w:r>
          </w:p>
        </w:tc>
      </w:tr>
      <w:tr>
        <w:trPr>
          <w:cantSplit w:val="true"/>
        </w:trPr>
        <w:tc>
          <w:tcPr>
            <w:tcW w:w="1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acara.edu.au</w:t>
            </w:r>
          </w:p>
        </w:tc>
        <w:tc>
          <w:tcPr>
            <w:tcW w:w="32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Rahmenlehrplan, NAPLAN, EAL/D-Förderung</w:t>
            </w:r>
          </w:p>
        </w:tc>
        <w:tc>
          <w:tcPr>
            <w:tcW w:w="13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Bildung</w:t>
            </w:r>
          </w:p>
        </w:tc>
      </w:tr>
      <w:tr>
        <w:trPr>
          <w:cantSplit w:val="true"/>
        </w:trPr>
        <w:tc>
          <w:tcPr>
            <w:tcW w:w="1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education.nsw.gov.au</w:t>
            </w:r>
          </w:p>
        </w:tc>
        <w:tc>
          <w:tcPr>
            <w:tcW w:w="32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Term- und Ferientermine (Beispiel New South Wales)</w:t>
            </w:r>
          </w:p>
        </w:tc>
        <w:tc>
          <w:tcPr>
            <w:tcW w:w="13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Bildung</w:t>
            </w:r>
          </w:p>
        </w:tc>
      </w:tr>
      <w:tr>
        <w:trPr>
          <w:cantSplit w:val="true"/>
        </w:trPr>
        <w:tc>
          <w:tcPr>
            <w:tcW w:w="1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uac.edu.au</w:t>
            </w:r>
          </w:p>
        </w:tc>
        <w:tc>
          <w:tcPr>
            <w:tcW w:w="32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Universities Admissions Centre, Erklärung und Berechnung des ATAR</w:t>
            </w:r>
          </w:p>
        </w:tc>
        <w:tc>
          <w:tcPr>
            <w:tcW w:w="13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Bildung</w:t>
            </w:r>
          </w:p>
        </w:tc>
      </w:tr>
      <w:tr>
        <w:trPr>
          <w:cantSplit w:val="true"/>
        </w:trPr>
        <w:tc>
          <w:tcPr>
            <w:tcW w:w="1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fairwork.gov.au</w:t>
            </w:r>
          </w:p>
        </w:tc>
        <w:tc>
          <w:tcPr>
            <w:tcW w:w="32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National Employment Standards, Kündigungsfristen, Urlaub, Right to Disconnect</w:t>
            </w:r>
          </w:p>
        </w:tc>
        <w:tc>
          <w:tcPr>
            <w:tcW w:w="13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Arbeitswelt</w:t>
            </w:r>
          </w:p>
        </w:tc>
      </w:tr>
      <w:tr>
        <w:trPr>
          <w:cantSplit w:val="true"/>
        </w:trPr>
        <w:tc>
          <w:tcPr>
            <w:tcW w:w="1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fwc.gov.au</w:t>
            </w:r>
          </w:p>
        </w:tc>
        <w:tc>
          <w:tcPr>
            <w:tcW w:w="32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Fair Work Commission: Unfair Dismissal, Mindestlohn, High Income Threshold</w:t>
            </w:r>
          </w:p>
        </w:tc>
        <w:tc>
          <w:tcPr>
            <w:tcW w:w="13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Arbeitswelt</w:t>
            </w:r>
          </w:p>
        </w:tc>
      </w:tr>
      <w:tr>
        <w:trPr>
          <w:cantSplit w:val="true"/>
        </w:trPr>
        <w:tc>
          <w:tcPr>
            <w:tcW w:w="1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culturalatlas.sbs.com.au</w:t>
            </w:r>
          </w:p>
        </w:tc>
        <w:tc>
          <w:tcPr>
            <w:tcW w:w="32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SBS Cultural Atlas, Kommunikationsstil und Alltagskultur</w:t>
            </w:r>
          </w:p>
        </w:tc>
        <w:tc>
          <w:tcPr>
            <w:tcW w:w="13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Alltag</w:t>
            </w:r>
          </w:p>
        </w:tc>
      </w:tr>
      <w:tr>
        <w:trPr>
          <w:cantSplit w:val="true"/>
        </w:trPr>
        <w:tc>
          <w:tcPr>
            <w:tcW w:w="1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australia.com</w:t>
            </w:r>
          </w:p>
        </w:tc>
        <w:tc>
          <w:tcPr>
            <w:tcW w:w="32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Tourism Australia, Alltag und Umgangsformen für Neuankömmlinge</w:t>
            </w:r>
          </w:p>
        </w:tc>
        <w:tc>
          <w:tcPr>
            <w:tcW w:w="13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Alltag</w:t>
            </w:r>
          </w:p>
        </w:tc>
      </w:tr>
      <w:tr>
        <w:trPr>
          <w:cantSplit w:val="true"/>
        </w:trPr>
        <w:tc>
          <w:tcPr>
            <w:tcW w:w="1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sls.com.au</w:t>
            </w:r>
          </w:p>
        </w:tc>
        <w:tc>
          <w:tcPr>
            <w:tcW w:w="32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Surf Life Saving Australia, Clubs und Mitgliedschaft</w:t>
            </w:r>
          </w:p>
        </w:tc>
        <w:tc>
          <w:tcPr>
            <w:tcW w:w="13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Alltag</w:t>
            </w:r>
          </w:p>
        </w:tc>
      </w:tr>
      <w:tr>
        <w:trPr>
          <w:cantSplit w:val="true"/>
        </w:trPr>
        <w:tc>
          <w:tcPr>
            <w:tcW w:w="187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rfs.nsw.gov.au (auch ses.nsw.gov.au)</w:t>
            </w:r>
          </w:p>
        </w:tc>
        <w:tc>
          <w:tcPr>
            <w:tcW w:w="322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Freiwillige Mitarbeit bei Feuerwehr und Katastrophenschutz</w:t>
            </w:r>
          </w:p>
        </w:tc>
        <w:tc>
          <w:tcPr>
            <w:tcW w:w="13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Alltag</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Deutsche Vertretungen in Australien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deutsche Botschaft sitzt in Canberra, das für weite Teile des Landes zuständige Generalkonsulat in Sydney; australien.diplo.de führt zur zuständigen Vertretung.</w:t>
      </w:r>
    </w:p>
    <w:tbl>
      <w:tblPr>
        <w:tblW w:w="6480" w:type="dxa"/>
        <w:jc w:val="left"/>
        <w:tblInd w:w="0" w:type="dxa"/>
        <w:tblLayout w:type="fixed"/>
        <w:tblCellMar>
          <w:top w:w="50" w:type="dxa"/>
          <w:left w:w="80" w:type="dxa"/>
          <w:bottom w:w="50" w:type="dxa"/>
          <w:right w:w="80" w:type="dxa"/>
        </w:tblCellMar>
      </w:tblPr>
      <w:tblGrid>
        <w:gridCol w:w="1192"/>
        <w:gridCol w:w="3620"/>
        <w:gridCol w:w="1668"/>
      </w:tblGrid>
      <w:tr>
        <w:trPr>
          <w:tblHeader w:val="true"/>
          <w:cantSplit w:val="true"/>
        </w:trPr>
        <w:tc>
          <w:tcPr>
            <w:tcW w:w="119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362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66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11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australien.diplo.de</w:t>
            </w:r>
          </w:p>
        </w:tc>
        <w:tc>
          <w:tcPr>
            <w:tcW w:w="3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Botschaft Canberra und Generalkonsulat Sydney, zuständige Vertretung finden</w:t>
            </w:r>
          </w:p>
        </w:tc>
        <w:tc>
          <w:tcPr>
            <w:tcW w:w="16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Vertretungen</w:t>
            </w:r>
          </w:p>
        </w:tc>
      </w:tr>
      <w:tr>
        <w:trPr>
          <w:cantSplit w:val="true"/>
        </w:trPr>
        <w:tc>
          <w:tcPr>
            <w:tcW w:w="11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goethe.de/ins/au</w:t>
            </w:r>
          </w:p>
        </w:tc>
        <w:tc>
          <w:tcPr>
            <w:tcW w:w="3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Goethe-Institut Australien, Standorte Sydney und Melbourne</w:t>
            </w:r>
          </w:p>
        </w:tc>
        <w:tc>
          <w:tcPr>
            <w:tcW w:w="16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Vertretungen</w:t>
            </w:r>
          </w:p>
        </w:tc>
      </w:tr>
      <w:tr>
        <w:trPr>
          <w:cantSplit w:val="true"/>
        </w:trPr>
        <w:tc>
          <w:tcPr>
            <w:tcW w:w="119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germany.info</w:t>
            </w:r>
          </w:p>
        </w:tc>
        <w:tc>
          <w:tcPr>
            <w:tcW w:w="362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Konsularische Hilfe für Deutsche in Australien</w:t>
            </w:r>
          </w:p>
        </w:tc>
        <w:tc>
          <w:tcPr>
            <w:tcW w:w="166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Vertretungen</w:t>
            </w:r>
          </w:p>
        </w:tc>
      </w:tr>
    </w:tbl>
    <w:p>
      <w:pPr>
        <w:pStyle w:val="Normal"/>
        <w:spacing w:lineRule="exact" w:line="180" w:before="0" w:after="0"/>
        <w:rPr/>
      </w:pPr>
      <w:r>
        <w:rPr/>
      </w:r>
      <w:r>
        <w:br w:type="page"/>
      </w:r>
    </w:p>
    <w:p>
      <w:pPr>
        <w:pStyle w:val="Heading2"/>
        <w:keepNext w:val="true"/>
        <w:spacing w:before="0" w:after="300"/>
        <w:jc w:val="center"/>
        <w:rPr/>
      </w:pPr>
      <w:bookmarkStart w:id="220" w:name="__RefHeading___Toc56651_3769931028"/>
      <w:bookmarkStart w:id="221" w:name="s104"/>
      <w:bookmarkEnd w:id="220"/>
      <w:r>
        <w:rPr>
          <w:rFonts w:eastAsia="Amazon Ember" w:cs="Amazon Ember" w:ascii="Amazon Ember" w:hAnsi="Amazon Ember"/>
          <w:b/>
          <w:bCs/>
          <w:color w:val="0000FF"/>
          <w:sz w:val="36"/>
          <w:szCs w:val="36"/>
        </w:rPr>
        <w:t>Neuseeland</w:t>
      </w:r>
      <w:bookmarkEnd w:id="221"/>
    </w:p>
    <w:p>
      <w:pPr>
        <w:pStyle w:val="Heading3"/>
        <w:keepNext w:val="true"/>
        <w:spacing w:before="280" w:after="100"/>
        <w:jc w:val="center"/>
        <w:rPr/>
      </w:pPr>
      <w:r>
        <w:rPr>
          <w:rFonts w:eastAsia="Amazon Ember" w:cs="Amazon Ember" w:ascii="Amazon Ember" w:hAnsi="Amazon Ember"/>
          <w:b/>
          <w:bCs/>
          <w:color w:val="0000FF"/>
          <w:sz w:val="36"/>
          <w:szCs w:val="36"/>
        </w:rPr>
        <w:t>Neuseeland: Einwanderungsbehörden</w:t>
      </w:r>
    </w:p>
    <w:tbl>
      <w:tblPr>
        <w:tblW w:w="6480" w:type="dxa"/>
        <w:jc w:val="left"/>
        <w:tblInd w:w="0" w:type="dxa"/>
        <w:tblLayout w:type="fixed"/>
        <w:tblCellMar>
          <w:top w:w="50" w:type="dxa"/>
          <w:left w:w="80" w:type="dxa"/>
          <w:bottom w:w="50" w:type="dxa"/>
          <w:right w:w="80" w:type="dxa"/>
        </w:tblCellMar>
      </w:tblPr>
      <w:tblGrid>
        <w:gridCol w:w="2540"/>
        <w:gridCol w:w="2542"/>
        <w:gridCol w:w="1398"/>
      </w:tblGrid>
      <w:tr>
        <w:trPr>
          <w:tblHeader w:val="true"/>
          <w:cantSplit w:val="true"/>
        </w:trPr>
        <w:tc>
          <w:tcPr>
            <w:tcW w:w="25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254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39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25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immigration.govt.nz</w:t>
            </w:r>
          </w:p>
        </w:tc>
        <w:tc>
          <w:tcPr>
            <w:tcW w:w="2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Gebühren, Visakategorien, Gesundheitsanforderungen</w:t>
            </w:r>
          </w:p>
        </w:tc>
        <w:tc>
          <w:tcPr>
            <w:tcW w:w="13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25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immigration.govt.nz/new-zealand-visas/visas/visa/skilled-migrant-category-resident-visa</w:t>
            </w:r>
          </w:p>
        </w:tc>
        <w:tc>
          <w:tcPr>
            <w:tcW w:w="2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Skilled Migrant Category Resident Visa</w:t>
            </w:r>
          </w:p>
        </w:tc>
        <w:tc>
          <w:tcPr>
            <w:tcW w:w="13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25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immigration.govt.nz/new-zealand-visas/visas/visa/accredited-employer-work-visa</w:t>
            </w:r>
          </w:p>
        </w:tc>
        <w:tc>
          <w:tcPr>
            <w:tcW w:w="2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Accredited Employer Work Visa (AEWV), Job Check</w:t>
            </w:r>
          </w:p>
        </w:tc>
        <w:tc>
          <w:tcPr>
            <w:tcW w:w="13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25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immigration.govt.nz (Green List)</w:t>
            </w:r>
          </w:p>
        </w:tc>
        <w:tc>
          <w:tcPr>
            <w:tcW w:w="2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Green List, bevorzugte Berufe</w:t>
            </w:r>
          </w:p>
        </w:tc>
        <w:tc>
          <w:tcPr>
            <w:tcW w:w="13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25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immigration.govt.nz/visas/germany-working-holiday-visa</w:t>
            </w:r>
          </w:p>
        </w:tc>
        <w:tc>
          <w:tcPr>
            <w:tcW w:w="2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Working-Holiday-Visum für Deutsche</w:t>
            </w:r>
          </w:p>
        </w:tc>
        <w:tc>
          <w:tcPr>
            <w:tcW w:w="13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25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immigration.govt.nz/assets/inz/documents/forms-and-guides/Fees-Guide-INZ-1028.pdf</w:t>
            </w:r>
          </w:p>
        </w:tc>
        <w:tc>
          <w:tcPr>
            <w:tcW w:w="2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Fees Guide INZ 1028, vollständige Gebührentabelle</w:t>
            </w:r>
          </w:p>
        </w:tc>
        <w:tc>
          <w:tcPr>
            <w:tcW w:w="13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25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immigration.govt.nz (Gesundheits- und Charakteranforderungen)</w:t>
            </w:r>
          </w:p>
        </w:tc>
        <w:tc>
          <w:tcPr>
            <w:tcW w:w="2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Gesundheits- und Charakteranforderungen, Führungszeugnisse</w:t>
            </w:r>
          </w:p>
        </w:tc>
        <w:tc>
          <w:tcPr>
            <w:tcW w:w="13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25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immigration.govt.nz (SMC-Lohnschwellen)</w:t>
            </w:r>
          </w:p>
        </w:tc>
        <w:tc>
          <w:tcPr>
            <w:tcW w:w="2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SMC-Lohnschwellen</w:t>
            </w:r>
          </w:p>
        </w:tc>
        <w:tc>
          <w:tcPr>
            <w:tcW w:w="13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25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immigration.govt.nz/new-zealand-visas/visas/visa/partner-of-a-new-zealander-resident-visa</w:t>
            </w:r>
          </w:p>
        </w:tc>
        <w:tc>
          <w:tcPr>
            <w:tcW w:w="2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Partnervisum</w:t>
            </w:r>
          </w:p>
        </w:tc>
        <w:tc>
          <w:tcPr>
            <w:tcW w:w="13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25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immigration.govt.nz (Newsroom: Business Investor Visa)</w:t>
            </w:r>
          </w:p>
        </w:tc>
        <w:tc>
          <w:tcPr>
            <w:tcW w:w="2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Entrepreneur-Kategorie geschlossen, Business Investor Visa</w:t>
            </w:r>
          </w:p>
        </w:tc>
        <w:tc>
          <w:tcPr>
            <w:tcW w:w="13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25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immigration.govt.nz/new-zealand-visas/visas/visa/active-investor-plus-visa</w:t>
            </w:r>
          </w:p>
        </w:tc>
        <w:tc>
          <w:tcPr>
            <w:tcW w:w="2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Investor Category / Active Investor Plus</w:t>
            </w:r>
          </w:p>
        </w:tc>
        <w:tc>
          <w:tcPr>
            <w:tcW w:w="13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25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immigration.govt.nz/new-zealand-visas/visas/visa/parent-resident-visa</w:t>
            </w:r>
          </w:p>
        </w:tc>
        <w:tc>
          <w:tcPr>
            <w:tcW w:w="2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Eltern-Kategorien, Parent Boost Visitor Visa</w:t>
            </w:r>
          </w:p>
        </w:tc>
        <w:tc>
          <w:tcPr>
            <w:tcW w:w="13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25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workandincome.govt.nz</w:t>
            </w:r>
          </w:p>
        </w:tc>
        <w:tc>
          <w:tcPr>
            <w:tcW w:w="2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 Zealand Superannuation, Direct Deduction Policy</w:t>
            </w:r>
          </w:p>
        </w:tc>
        <w:tc>
          <w:tcPr>
            <w:tcW w:w="13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25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iaa.govt.nz</w:t>
            </w:r>
          </w:p>
        </w:tc>
        <w:tc>
          <w:tcPr>
            <w:tcW w:w="2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Immigration Advisers Authority, Register zugelassener Berater</w:t>
            </w:r>
          </w:p>
        </w:tc>
        <w:tc>
          <w:tcPr>
            <w:tcW w:w="13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Einwanderung</w:t>
            </w:r>
          </w:p>
        </w:tc>
      </w:tr>
      <w:tr>
        <w:trPr>
          <w:cantSplit w:val="true"/>
        </w:trPr>
        <w:tc>
          <w:tcPr>
            <w:tcW w:w="25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travellerdeclaration.govt.nz</w:t>
            </w:r>
          </w:p>
        </w:tc>
        <w:tc>
          <w:tcPr>
            <w:tcW w:w="2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 Zealand Traveller Declaration</w:t>
            </w:r>
          </w:p>
        </w:tc>
        <w:tc>
          <w:tcPr>
            <w:tcW w:w="13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Ankunft</w:t>
            </w:r>
          </w:p>
        </w:tc>
      </w:tr>
      <w:tr>
        <w:trPr>
          <w:cantSplit w:val="true"/>
        </w:trPr>
        <w:tc>
          <w:tcPr>
            <w:tcW w:w="25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mpi.govt.nz</w:t>
            </w:r>
          </w:p>
        </w:tc>
        <w:tc>
          <w:tcPr>
            <w:tcW w:w="2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Ministry for Primary Industries, Biosecurity bei der Einreise</w:t>
            </w:r>
          </w:p>
        </w:tc>
        <w:tc>
          <w:tcPr>
            <w:tcW w:w="13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Ankunft</w:t>
            </w:r>
          </w:p>
        </w:tc>
      </w:tr>
      <w:tr>
        <w:trPr>
          <w:cantSplit w:val="true"/>
        </w:trPr>
        <w:tc>
          <w:tcPr>
            <w:tcW w:w="25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dia.govt.nz</w:t>
            </w:r>
          </w:p>
        </w:tc>
        <w:tc>
          <w:tcPr>
            <w:tcW w:w="2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Citizenship by Grant: Voraussetzungen, Gebühren, Staatskundetest</w:t>
            </w:r>
          </w:p>
        </w:tc>
        <w:tc>
          <w:tcPr>
            <w:tcW w:w="13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Staatsbürgerschaft</w:t>
            </w:r>
          </w:p>
        </w:tc>
      </w:tr>
      <w:tr>
        <w:trPr>
          <w:cantSplit w:val="true"/>
        </w:trPr>
        <w:tc>
          <w:tcPr>
            <w:tcW w:w="25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bmi.bund.de</w:t>
            </w:r>
          </w:p>
        </w:tc>
        <w:tc>
          <w:tcPr>
            <w:tcW w:w="25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Staatsangehörigkeitsrecht, Reform 2024</w:t>
            </w:r>
          </w:p>
        </w:tc>
        <w:tc>
          <w:tcPr>
            <w:tcW w:w="13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Staatsbürgerschaft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Neuseeland: Steuern und Sozialversicherung</w:t>
      </w:r>
    </w:p>
    <w:tbl>
      <w:tblPr>
        <w:tblW w:w="6480" w:type="dxa"/>
        <w:jc w:val="left"/>
        <w:tblInd w:w="0" w:type="dxa"/>
        <w:tblLayout w:type="fixed"/>
        <w:tblCellMar>
          <w:top w:w="50" w:type="dxa"/>
          <w:left w:w="80" w:type="dxa"/>
          <w:bottom w:w="50" w:type="dxa"/>
          <w:right w:w="80" w:type="dxa"/>
        </w:tblCellMar>
      </w:tblPr>
      <w:tblGrid>
        <w:gridCol w:w="1874"/>
        <w:gridCol w:w="3308"/>
        <w:gridCol w:w="1298"/>
      </w:tblGrid>
      <w:tr>
        <w:trPr>
          <w:tblHeader w:val="true"/>
          <w:cantSplit w:val="true"/>
        </w:trPr>
        <w:tc>
          <w:tcPr>
            <w:tcW w:w="187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330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29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18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ird.govt.nz</w:t>
            </w:r>
          </w:p>
        </w:tc>
        <w:tc>
          <w:tcPr>
            <w:tcW w:w="33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IRD-Nummer, Einkommensteuersätze, GST, Steuerresidenz, KiwiSaver</w:t>
            </w:r>
          </w:p>
        </w:tc>
        <w:tc>
          <w:tcPr>
            <w:tcW w:w="12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Steuern</w:t>
            </w:r>
          </w:p>
        </w:tc>
      </w:tr>
      <w:tr>
        <w:trPr>
          <w:cantSplit w:val="true"/>
        </w:trPr>
        <w:tc>
          <w:tcPr>
            <w:tcW w:w="18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acc.co.nz</w:t>
            </w:r>
          </w:p>
        </w:tc>
        <w:tc>
          <w:tcPr>
            <w:tcW w:w="33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Leistungen und Finanzierung der Unfallversicherung (ACC)</w:t>
            </w:r>
          </w:p>
        </w:tc>
        <w:tc>
          <w:tcPr>
            <w:tcW w:w="12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Steuern</w:t>
            </w:r>
          </w:p>
        </w:tc>
      </w:tr>
      <w:tr>
        <w:trPr>
          <w:cantSplit w:val="true"/>
        </w:trPr>
        <w:tc>
          <w:tcPr>
            <w:tcW w:w="18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centrix.co.nz, equifax.co.nz, illion.co.nz</w:t>
            </w:r>
          </w:p>
        </w:tc>
        <w:tc>
          <w:tcPr>
            <w:tcW w:w="33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Kostenlose Kreditauskunft und Score-Aufbau</w:t>
            </w:r>
          </w:p>
        </w:tc>
        <w:tc>
          <w:tcPr>
            <w:tcW w:w="12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Steuern</w:t>
            </w:r>
          </w:p>
        </w:tc>
      </w:tr>
      <w:tr>
        <w:trPr>
          <w:cantSplit w:val="true"/>
        </w:trPr>
        <w:tc>
          <w:tcPr>
            <w:tcW w:w="18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anz.co.nz, asb.co.nz, westpac.co.nz, bnz.co.nz</w:t>
            </w:r>
          </w:p>
        </w:tc>
        <w:tc>
          <w:tcPr>
            <w:tcW w:w="33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Kontoeröffnung für Neuankömmlinge</w:t>
            </w:r>
          </w:p>
        </w:tc>
        <w:tc>
          <w:tcPr>
            <w:tcW w:w="12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Steuern</w:t>
            </w:r>
          </w:p>
        </w:tc>
      </w:tr>
      <w:tr>
        <w:trPr>
          <w:cantSplit w:val="true"/>
        </w:trPr>
        <w:tc>
          <w:tcPr>
            <w:tcW w:w="18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govt.nz</w:t>
            </w:r>
          </w:p>
        </w:tc>
        <w:tc>
          <w:tcPr>
            <w:tcW w:w="33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Unabhängige Verbraucherinformation zu Kreditreports</w:t>
            </w:r>
          </w:p>
        </w:tc>
        <w:tc>
          <w:tcPr>
            <w:tcW w:w="12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Steuern</w:t>
            </w:r>
          </w:p>
        </w:tc>
      </w:tr>
      <w:tr>
        <w:trPr>
          <w:cantSplit w:val="true"/>
        </w:trPr>
        <w:tc>
          <w:tcPr>
            <w:tcW w:w="18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oecd.org</w:t>
            </w:r>
          </w:p>
        </w:tc>
        <w:tc>
          <w:tcPr>
            <w:tcW w:w="33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Taxing Wages, Steuerkeil-Vergleich</w:t>
            </w:r>
          </w:p>
        </w:tc>
        <w:tc>
          <w:tcPr>
            <w:tcW w:w="12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Steuern</w:t>
            </w:r>
          </w:p>
        </w:tc>
      </w:tr>
      <w:tr>
        <w:trPr>
          <w:cantSplit w:val="true"/>
        </w:trPr>
        <w:tc>
          <w:tcPr>
            <w:tcW w:w="187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numbeo.com</w:t>
            </w:r>
          </w:p>
        </w:tc>
        <w:tc>
          <w:tcPr>
            <w:tcW w:w="330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Lebenshaltungskosten im Städtevergleich</w:t>
            </w:r>
          </w:p>
        </w:tc>
        <w:tc>
          <w:tcPr>
            <w:tcW w:w="129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Neuseeland: Gesundheit</w:t>
      </w:r>
    </w:p>
    <w:tbl>
      <w:tblPr>
        <w:tblW w:w="6480" w:type="dxa"/>
        <w:jc w:val="left"/>
        <w:tblInd w:w="0" w:type="dxa"/>
        <w:tblLayout w:type="fixed"/>
        <w:tblCellMar>
          <w:top w:w="50" w:type="dxa"/>
          <w:left w:w="80" w:type="dxa"/>
          <w:bottom w:w="50" w:type="dxa"/>
          <w:right w:w="80" w:type="dxa"/>
        </w:tblCellMar>
      </w:tblPr>
      <w:tblGrid>
        <w:gridCol w:w="1706"/>
        <w:gridCol w:w="3297"/>
        <w:gridCol w:w="1477"/>
      </w:tblGrid>
      <w:tr>
        <w:trPr>
          <w:tblHeader w:val="true"/>
          <w:cantSplit w:val="true"/>
        </w:trPr>
        <w:tc>
          <w:tcPr>
            <w:tcW w:w="170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329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47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17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health.govt.nz</w:t>
            </w:r>
          </w:p>
        </w:tc>
        <w:tc>
          <w:tcPr>
            <w:tcW w:w="32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Ministry of Health, Aufbau des öffentlichen Gesundheitssystems</w:t>
            </w:r>
          </w:p>
        </w:tc>
        <w:tc>
          <w:tcPr>
            <w:tcW w:w="14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Gesundheit</w:t>
            </w:r>
          </w:p>
        </w:tc>
      </w:tr>
      <w:tr>
        <w:trPr>
          <w:cantSplit w:val="true"/>
        </w:trPr>
        <w:tc>
          <w:tcPr>
            <w:tcW w:w="17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acc.co.nz (Leistungen im Unfallfall)</w:t>
            </w:r>
          </w:p>
        </w:tc>
        <w:tc>
          <w:tcPr>
            <w:tcW w:w="32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ACC-Deckung, Earner’s Levy</w:t>
            </w:r>
          </w:p>
        </w:tc>
        <w:tc>
          <w:tcPr>
            <w:tcW w:w="14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Gesundheit</w:t>
            </w:r>
          </w:p>
        </w:tc>
      </w:tr>
      <w:tr>
        <w:trPr>
          <w:cantSplit w:val="true"/>
        </w:trPr>
        <w:tc>
          <w:tcPr>
            <w:tcW w:w="17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southerncross.co.nz, nib.co.nz</w:t>
            </w:r>
          </w:p>
        </w:tc>
        <w:tc>
          <w:tcPr>
            <w:tcW w:w="32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Private Krankenversicherungstarife für Neuankömmlinge</w:t>
            </w:r>
          </w:p>
        </w:tc>
        <w:tc>
          <w:tcPr>
            <w:tcW w:w="14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Gesundheit</w:t>
            </w:r>
          </w:p>
        </w:tc>
      </w:tr>
      <w:tr>
        <w:trPr>
          <w:cantSplit w:val="true"/>
        </w:trPr>
        <w:tc>
          <w:tcPr>
            <w:tcW w:w="17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healthpoint.co.nz</w:t>
            </w:r>
          </w:p>
        </w:tc>
        <w:tc>
          <w:tcPr>
            <w:tcW w:w="32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Verzeichnis von Hausarztpraxen und Gesundheitsdiensten nach Region</w:t>
            </w:r>
          </w:p>
        </w:tc>
        <w:tc>
          <w:tcPr>
            <w:tcW w:w="14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Gesundheit</w:t>
            </w:r>
          </w:p>
        </w:tc>
      </w:tr>
      <w:tr>
        <w:trPr>
          <w:cantSplit w:val="true"/>
        </w:trPr>
        <w:tc>
          <w:tcPr>
            <w:tcW w:w="17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1737.org.nz</w:t>
            </w:r>
          </w:p>
        </w:tc>
        <w:tc>
          <w:tcPr>
            <w:tcW w:w="32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Kostenlose Beratung rund um die Uhr</w:t>
            </w:r>
          </w:p>
        </w:tc>
        <w:tc>
          <w:tcPr>
            <w:tcW w:w="14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Gesundheit</w:t>
            </w:r>
          </w:p>
        </w:tc>
      </w:tr>
      <w:tr>
        <w:trPr>
          <w:cantSplit w:val="true"/>
        </w:trPr>
        <w:tc>
          <w:tcPr>
            <w:tcW w:w="17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lifeline.org.nz</w:t>
            </w:r>
          </w:p>
        </w:tc>
        <w:tc>
          <w:tcPr>
            <w:tcW w:w="32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Krisenhilfe</w:t>
            </w:r>
          </w:p>
        </w:tc>
        <w:tc>
          <w:tcPr>
            <w:tcW w:w="147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Gesundheit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Neuseeland: Wohnen und Führerschein</w:t>
      </w:r>
    </w:p>
    <w:tbl>
      <w:tblPr>
        <w:tblW w:w="6480" w:type="dxa"/>
        <w:jc w:val="left"/>
        <w:tblInd w:w="0" w:type="dxa"/>
        <w:tblLayout w:type="fixed"/>
        <w:tblCellMar>
          <w:top w:w="50" w:type="dxa"/>
          <w:left w:w="80" w:type="dxa"/>
          <w:bottom w:w="50" w:type="dxa"/>
          <w:right w:w="80" w:type="dxa"/>
        </w:tblCellMar>
      </w:tblPr>
      <w:tblGrid>
        <w:gridCol w:w="1518"/>
        <w:gridCol w:w="3397"/>
        <w:gridCol w:w="1565"/>
      </w:tblGrid>
      <w:tr>
        <w:trPr>
          <w:tblHeader w:val="true"/>
          <w:cantSplit w:val="true"/>
        </w:trPr>
        <w:tc>
          <w:tcPr>
            <w:tcW w:w="151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339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56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15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tenancy.govt.nz</w:t>
            </w:r>
          </w:p>
        </w:tc>
        <w:tc>
          <w:tcPr>
            <w:tcW w:w="33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Kaution, Mietrecht, Bond Hub</w:t>
            </w:r>
          </w:p>
        </w:tc>
        <w:tc>
          <w:tcPr>
            <w:tcW w:w="15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Wohnen</w:t>
            </w:r>
          </w:p>
        </w:tc>
      </w:tr>
      <w:tr>
        <w:trPr>
          <w:cantSplit w:val="true"/>
        </w:trPr>
        <w:tc>
          <w:tcPr>
            <w:tcW w:w="15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linz.govt.nz</w:t>
            </w:r>
          </w:p>
        </w:tc>
        <w:tc>
          <w:tcPr>
            <w:tcW w:w="33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Land Information New Zealand, Overseas Investment Act, „ordinarily resident“-Kriterien</w:t>
            </w:r>
          </w:p>
        </w:tc>
        <w:tc>
          <w:tcPr>
            <w:tcW w:w="15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Wohnen</w:t>
            </w:r>
          </w:p>
        </w:tc>
      </w:tr>
      <w:tr>
        <w:trPr>
          <w:cantSplit w:val="true"/>
        </w:trPr>
        <w:tc>
          <w:tcPr>
            <w:tcW w:w="15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reinz.co.nz</w:t>
            </w:r>
          </w:p>
        </w:tc>
        <w:tc>
          <w:tcPr>
            <w:tcW w:w="33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Monatliche Kaufpreisberichte</w:t>
            </w:r>
          </w:p>
        </w:tc>
        <w:tc>
          <w:tcPr>
            <w:tcW w:w="15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Wohnen</w:t>
            </w:r>
          </w:p>
        </w:tc>
      </w:tr>
      <w:tr>
        <w:trPr>
          <w:cantSplit w:val="true"/>
        </w:trPr>
        <w:tc>
          <w:tcPr>
            <w:tcW w:w="15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naturalhazards.govt.nz</w:t>
            </w:r>
          </w:p>
        </w:tc>
        <w:tc>
          <w:tcPr>
            <w:tcW w:w="33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Natural Hazards Commission Toka Tū Ake, Erdbebenversicherung</w:t>
            </w:r>
          </w:p>
        </w:tc>
        <w:tc>
          <w:tcPr>
            <w:tcW w:w="15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Wohnen</w:t>
            </w:r>
          </w:p>
        </w:tc>
      </w:tr>
      <w:tr>
        <w:trPr>
          <w:cantSplit w:val="true"/>
        </w:trPr>
        <w:tc>
          <w:tcPr>
            <w:tcW w:w="15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nzta.govt.nz</w:t>
            </w:r>
          </w:p>
        </w:tc>
        <w:tc>
          <w:tcPr>
            <w:tcW w:w="33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NZ Transport Agency Waka Kotahi: Führerschein-Umtausch, Verkehrsregeln, Geschwindigkeitskameras</w:t>
            </w:r>
          </w:p>
        </w:tc>
        <w:tc>
          <w:tcPr>
            <w:tcW w:w="15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Führerschein</w:t>
            </w:r>
          </w:p>
        </w:tc>
      </w:tr>
      <w:tr>
        <w:trPr>
          <w:cantSplit w:val="true"/>
        </w:trPr>
        <w:tc>
          <w:tcPr>
            <w:tcW w:w="15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aa.co.nz</w:t>
            </w:r>
          </w:p>
        </w:tc>
        <w:tc>
          <w:tcPr>
            <w:tcW w:w="33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Automobile Association: Fahrzeugkauf, -prüfung, Umtauschstellen</w:t>
            </w:r>
          </w:p>
        </w:tc>
        <w:tc>
          <w:tcPr>
            <w:tcW w:w="15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Führerschein</w:t>
            </w:r>
          </w:p>
        </w:tc>
      </w:tr>
      <w:tr>
        <w:trPr>
          <w:cantSplit w:val="true"/>
        </w:trPr>
        <w:tc>
          <w:tcPr>
            <w:tcW w:w="15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transport.govt.nz</w:t>
            </w:r>
          </w:p>
        </w:tc>
        <w:tc>
          <w:tcPr>
            <w:tcW w:w="33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Alkoholgrenzwerte und Verkehrssicherheit</w:t>
            </w:r>
          </w:p>
        </w:tc>
        <w:tc>
          <w:tcPr>
            <w:tcW w:w="15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Führerschein</w:t>
            </w:r>
          </w:p>
        </w:tc>
      </w:tr>
      <w:tr>
        <w:trPr>
          <w:cantSplit w:val="true"/>
        </w:trPr>
        <w:tc>
          <w:tcPr>
            <w:tcW w:w="15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consumerprotection.govt.nz</w:t>
            </w:r>
          </w:p>
        </w:tc>
        <w:tc>
          <w:tcPr>
            <w:tcW w:w="33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Rechte beim Fahrzeugkauf</w:t>
            </w:r>
          </w:p>
        </w:tc>
        <w:tc>
          <w:tcPr>
            <w:tcW w:w="15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Führerschein</w:t>
            </w:r>
          </w:p>
        </w:tc>
      </w:tr>
      <w:tr>
        <w:trPr>
          <w:cantSplit w:val="true"/>
        </w:trPr>
        <w:tc>
          <w:tcPr>
            <w:tcW w:w="151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police.govt.nz (Verkehrsregeln)</w:t>
            </w:r>
          </w:p>
        </w:tc>
        <w:tc>
          <w:tcPr>
            <w:tcW w:w="33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Verkehrsregeln, Bußgelder, Demeritpunkte</w:t>
            </w:r>
          </w:p>
        </w:tc>
        <w:tc>
          <w:tcPr>
            <w:tcW w:w="156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Führerschein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Neuseeland: Recht und Sicherheit</w:t>
      </w:r>
    </w:p>
    <w:tbl>
      <w:tblPr>
        <w:tblW w:w="6480" w:type="dxa"/>
        <w:jc w:val="left"/>
        <w:tblInd w:w="0" w:type="dxa"/>
        <w:tblLayout w:type="fixed"/>
        <w:tblCellMar>
          <w:top w:w="50" w:type="dxa"/>
          <w:left w:w="80" w:type="dxa"/>
          <w:bottom w:w="50" w:type="dxa"/>
          <w:right w:w="80" w:type="dxa"/>
        </w:tblCellMar>
      </w:tblPr>
      <w:tblGrid>
        <w:gridCol w:w="1897"/>
        <w:gridCol w:w="2635"/>
        <w:gridCol w:w="1948"/>
      </w:tblGrid>
      <w:tr>
        <w:trPr>
          <w:tblHeader w:val="true"/>
          <w:cantSplit w:val="true"/>
        </w:trPr>
        <w:tc>
          <w:tcPr>
            <w:tcW w:w="189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263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94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18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police.govt.nz (Verhalten bei Kontrollen)</w:t>
            </w:r>
          </w:p>
        </w:tc>
        <w:tc>
          <w:tcPr>
            <w:tcW w:w="26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Verhalten bei Polizeikontrollen, Notrufnummern</w:t>
            </w:r>
          </w:p>
        </w:tc>
        <w:tc>
          <w:tcPr>
            <w:tcW w:w="19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Recht und Sicherheit</w:t>
            </w:r>
          </w:p>
        </w:tc>
      </w:tr>
      <w:tr>
        <w:trPr>
          <w:cantSplit w:val="true"/>
        </w:trPr>
        <w:tc>
          <w:tcPr>
            <w:tcW w:w="18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firearmssafety.govt.nz</w:t>
            </w:r>
          </w:p>
        </w:tc>
        <w:tc>
          <w:tcPr>
            <w:tcW w:w="26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Waffenrecht, Arms Act 2026</w:t>
            </w:r>
          </w:p>
        </w:tc>
        <w:tc>
          <w:tcPr>
            <w:tcW w:w="19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Recht und Sicherheit</w:t>
            </w:r>
          </w:p>
        </w:tc>
      </w:tr>
      <w:tr>
        <w:trPr>
          <w:cantSplit w:val="true"/>
        </w:trPr>
        <w:tc>
          <w:tcPr>
            <w:tcW w:w="18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justice.govt.nz</w:t>
            </w:r>
          </w:p>
        </w:tc>
        <w:tc>
          <w:tcPr>
            <w:tcW w:w="26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Firearms Reform, Arms Act 2026</w:t>
            </w:r>
          </w:p>
        </w:tc>
        <w:tc>
          <w:tcPr>
            <w:tcW w:w="19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Recht und Sicherheit</w:t>
            </w:r>
          </w:p>
        </w:tc>
      </w:tr>
      <w:tr>
        <w:trPr>
          <w:cantSplit w:val="true"/>
        </w:trPr>
        <w:tc>
          <w:tcPr>
            <w:tcW w:w="18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drugfoundation.org.nz</w:t>
            </w:r>
          </w:p>
        </w:tc>
        <w:tc>
          <w:tcPr>
            <w:tcW w:w="26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Roadside Drug Testing</w:t>
            </w:r>
          </w:p>
        </w:tc>
        <w:tc>
          <w:tcPr>
            <w:tcW w:w="19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Recht und Sicherheit</w:t>
            </w:r>
          </w:p>
        </w:tc>
      </w:tr>
      <w:tr>
        <w:trPr>
          <w:cantSplit w:val="true"/>
        </w:trPr>
        <w:tc>
          <w:tcPr>
            <w:tcW w:w="18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geonet.org.nz</w:t>
            </w:r>
          </w:p>
        </w:tc>
        <w:tc>
          <w:tcPr>
            <w:tcW w:w="26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Erdbeben-, Vulkan- und Tsunamiüberwachung</w:t>
            </w:r>
          </w:p>
        </w:tc>
        <w:tc>
          <w:tcPr>
            <w:tcW w:w="19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Recht und Sicherheit</w:t>
            </w:r>
          </w:p>
        </w:tc>
      </w:tr>
      <w:tr>
        <w:trPr>
          <w:cantSplit w:val="true"/>
        </w:trPr>
        <w:tc>
          <w:tcPr>
            <w:tcW w:w="18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getready.govt.nz (auch civildefence.govt.nz)</w:t>
            </w:r>
          </w:p>
        </w:tc>
        <w:tc>
          <w:tcPr>
            <w:tcW w:w="26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Notfallvorsorge, Get Ready</w:t>
            </w:r>
          </w:p>
        </w:tc>
        <w:tc>
          <w:tcPr>
            <w:tcW w:w="19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Recht und Sicherheit</w:t>
            </w:r>
          </w:p>
        </w:tc>
      </w:tr>
      <w:tr>
        <w:trPr>
          <w:cantSplit w:val="true"/>
        </w:trPr>
        <w:tc>
          <w:tcPr>
            <w:tcW w:w="189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auswaertiges-amt.de</w:t>
            </w:r>
          </w:p>
        </w:tc>
        <w:tc>
          <w:tcPr>
            <w:tcW w:w="26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Hilfe für Deutsche im Ausland, Krisenvorsorgeliste Elefand</w:t>
            </w:r>
          </w:p>
        </w:tc>
        <w:tc>
          <w:tcPr>
            <w:tcW w:w="19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Recht und Sicherheit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Neuseeland: Bildung, Arbeit und Alltag</w:t>
      </w:r>
    </w:p>
    <w:tbl>
      <w:tblPr>
        <w:tblW w:w="6480" w:type="dxa"/>
        <w:jc w:val="left"/>
        <w:tblInd w:w="0" w:type="dxa"/>
        <w:tblLayout w:type="fixed"/>
        <w:tblCellMar>
          <w:top w:w="50" w:type="dxa"/>
          <w:left w:w="80" w:type="dxa"/>
          <w:bottom w:w="50" w:type="dxa"/>
          <w:right w:w="80" w:type="dxa"/>
        </w:tblCellMar>
      </w:tblPr>
      <w:tblGrid>
        <w:gridCol w:w="1491"/>
        <w:gridCol w:w="3470"/>
        <w:gridCol w:w="1519"/>
      </w:tblGrid>
      <w:tr>
        <w:trPr>
          <w:tblHeader w:val="true"/>
          <w:cantSplit w:val="true"/>
        </w:trPr>
        <w:tc>
          <w:tcPr>
            <w:tcW w:w="149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347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51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education.govt.nz</w:t>
            </w:r>
          </w:p>
        </w:tc>
        <w:tc>
          <w:tcPr>
            <w:tcW w:w="34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Schulsystem, Term- und Ferientermine, ESOL-Förderung</w:t>
            </w:r>
          </w:p>
        </w:tc>
        <w:tc>
          <w:tcPr>
            <w:tcW w:w="15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Bildung</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nzqa.govt.nz</w:t>
            </w:r>
          </w:p>
        </w:tc>
        <w:tc>
          <w:tcPr>
            <w:tcW w:w="34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 Zealand Qualifications Authority, NCEA, Reformpläne ab 2028</w:t>
            </w:r>
          </w:p>
        </w:tc>
        <w:tc>
          <w:tcPr>
            <w:tcW w:w="15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Bildung</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employment.govt.nz</w:t>
            </w:r>
          </w:p>
        </w:tc>
        <w:tc>
          <w:tcPr>
            <w:tcW w:w="34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Employment Relations Act, Holidays Act, Musterverträge, 90-Day Trial Periods</w:t>
            </w:r>
          </w:p>
        </w:tc>
        <w:tc>
          <w:tcPr>
            <w:tcW w:w="15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Arbeitswelt</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era.govt.nz</w:t>
            </w:r>
          </w:p>
        </w:tc>
        <w:tc>
          <w:tcPr>
            <w:tcW w:w="34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Employment Relations Authority, Verfahren bei Personal Grievance</w:t>
            </w:r>
          </w:p>
        </w:tc>
        <w:tc>
          <w:tcPr>
            <w:tcW w:w="15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Arbeitswelt</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legislation.govt.nz</w:t>
            </w:r>
          </w:p>
        </w:tc>
        <w:tc>
          <w:tcPr>
            <w:tcW w:w="34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Employment Relations (Trial Periods) Amendment Act 2023</w:t>
            </w:r>
          </w:p>
        </w:tc>
        <w:tc>
          <w:tcPr>
            <w:tcW w:w="15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Arbeitswelt</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seek.co.nz, trademe.co.nz/jobs</w:t>
            </w:r>
          </w:p>
        </w:tc>
        <w:tc>
          <w:tcPr>
            <w:tcW w:w="34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Stellenbörsen</w:t>
            </w:r>
          </w:p>
        </w:tc>
        <w:tc>
          <w:tcPr>
            <w:tcW w:w="15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Arbeitswelt</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tpk.govt.nz</w:t>
            </w:r>
          </w:p>
        </w:tc>
        <w:tc>
          <w:tcPr>
            <w:tcW w:w="34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Te Puni Kōkiri, Te Ao Māori im Alltag und am Arbeitsplatz</w:t>
            </w:r>
          </w:p>
        </w:tc>
        <w:tc>
          <w:tcPr>
            <w:tcW w:w="15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Alltag</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newzealand.govt.nz</w:t>
            </w:r>
          </w:p>
        </w:tc>
        <w:tc>
          <w:tcPr>
            <w:tcW w:w="34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New Zealand Now, Einleben und Alltagskultur</w:t>
            </w:r>
          </w:p>
        </w:tc>
        <w:tc>
          <w:tcPr>
            <w:tcW w:w="15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Alltag</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mch.govt.nz</w:t>
            </w:r>
          </w:p>
        </w:tc>
        <w:tc>
          <w:tcPr>
            <w:tcW w:w="34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Ministry for Culture and Heritage, Vertrag von Waitangi, Te Reo Māori</w:t>
            </w:r>
          </w:p>
        </w:tc>
        <w:tc>
          <w:tcPr>
            <w:tcW w:w="15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Alltag</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stats.govt.nz</w:t>
            </w:r>
          </w:p>
        </w:tc>
        <w:tc>
          <w:tcPr>
            <w:tcW w:w="34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Bevölkerung, Herkunft und Lebensverhältnisse</w:t>
            </w:r>
          </w:p>
        </w:tc>
        <w:tc>
          <w:tcPr>
            <w:tcW w:w="15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Alltag</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plunket.org.nz</w:t>
            </w:r>
          </w:p>
        </w:tc>
        <w:tc>
          <w:tcPr>
            <w:tcW w:w="34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Krabbelgruppen und Familienangebote</w:t>
            </w:r>
          </w:p>
        </w:tc>
        <w:tc>
          <w:tcPr>
            <w:tcW w:w="15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Alltag</w:t>
            </w:r>
          </w:p>
        </w:tc>
      </w:tr>
      <w:tr>
        <w:trPr>
          <w:cantSplit w:val="true"/>
        </w:trPr>
        <w:tc>
          <w:tcPr>
            <w:tcW w:w="149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fireandemergency.nz</w:t>
            </w:r>
          </w:p>
        </w:tc>
        <w:tc>
          <w:tcPr>
            <w:tcW w:w="347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Freiwillige Mitarbeit bei Fire and Emergency New Zealand</w:t>
            </w:r>
          </w:p>
        </w:tc>
        <w:tc>
          <w:tcPr>
            <w:tcW w:w="151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Alltag</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Deutsche Vertretungen in Neuseeland</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deutsche Botschaft sitzt in Wellington; wellington.diplo.de führt zu Botschaft und Honorarkonsuln.</w:t>
      </w:r>
    </w:p>
    <w:tbl>
      <w:tblPr>
        <w:tblW w:w="6480" w:type="dxa"/>
        <w:jc w:val="left"/>
        <w:tblInd w:w="0" w:type="dxa"/>
        <w:tblLayout w:type="fixed"/>
        <w:tblCellMar>
          <w:top w:w="50" w:type="dxa"/>
          <w:left w:w="80" w:type="dxa"/>
          <w:bottom w:w="50" w:type="dxa"/>
          <w:right w:w="80" w:type="dxa"/>
        </w:tblCellMar>
      </w:tblPr>
      <w:tblGrid>
        <w:gridCol w:w="1227"/>
        <w:gridCol w:w="3647"/>
        <w:gridCol w:w="1606"/>
      </w:tblGrid>
      <w:tr>
        <w:trPr>
          <w:tblHeader w:val="true"/>
          <w:cantSplit w:val="true"/>
        </w:trPr>
        <w:tc>
          <w:tcPr>
            <w:tcW w:w="122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Adresse</w:t>
            </w:r>
          </w:p>
        </w:tc>
        <w:tc>
          <w:tcPr>
            <w:tcW w:w="364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Behörde / Thema</w:t>
            </w:r>
          </w:p>
        </w:tc>
        <w:tc>
          <w:tcPr>
            <w:tcW w:w="160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Referenz</w:t>
            </w:r>
          </w:p>
        </w:tc>
      </w:tr>
      <w:tr>
        <w:trPr>
          <w:cantSplit w:val="true"/>
        </w:trPr>
        <w:tc>
          <w:tcPr>
            <w:tcW w:w="12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wellington.diplo.de</w:t>
            </w:r>
          </w:p>
        </w:tc>
        <w:tc>
          <w:tcPr>
            <w:tcW w:w="36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Deutsche Botschaft Wellington und Honorarkonsulate, zuständige Vertretung finden</w:t>
            </w:r>
          </w:p>
        </w:tc>
        <w:tc>
          <w:tcPr>
            <w:tcW w:w="16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Vertretungen</w:t>
            </w:r>
          </w:p>
        </w:tc>
      </w:tr>
      <w:tr>
        <w:trPr>
          <w:cantSplit w:val="true"/>
        </w:trPr>
        <w:tc>
          <w:tcPr>
            <w:tcW w:w="12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goethe.de/ins/nz</w:t>
            </w:r>
          </w:p>
        </w:tc>
        <w:tc>
          <w:tcPr>
            <w:tcW w:w="36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Goethe-Institut Neuseeland, Standort Wellington</w:t>
            </w:r>
          </w:p>
        </w:tc>
        <w:tc>
          <w:tcPr>
            <w:tcW w:w="16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Vertretungen</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Adressen, Unterseiten und Zuständigkeiten von Behörden ändern sich gelegentlich; führt eine Adresse ins Leere, hilft die Suche nach Behördenname und Stichwort auf der jeweiligen Startseite weiter. Aktuelle Gebühren, Fristen und Formularnummern stehen im jeweiligen Kapitel (USA) beziehungsweise bei der jeweiligen Referenz (Kanada, Australien, Neuseeland) und sollten vor jeder Entscheidung auf der Originalseite geprüft werden.</w:t>
            </w:r>
          </w:p>
        </w:tc>
      </w:tr>
    </w:tbl>
    <w:p>
      <w:pPr>
        <w:pStyle w:val="Normal"/>
        <w:spacing w:lineRule="exact" w:line="220" w:before="0" w:after="0"/>
        <w:rPr/>
      </w:pPr>
      <w:r>
        <w:rPr/>
      </w:r>
      <w:r>
        <w:br w:type="page"/>
      </w:r>
    </w:p>
    <w:p>
      <w:pPr>
        <w:pStyle w:val="Heading2"/>
        <w:keepNext w:val="true"/>
        <w:spacing w:before="0" w:after="300"/>
        <w:jc w:val="center"/>
        <w:rPr/>
      </w:pPr>
      <w:bookmarkStart w:id="222" w:name="__RefHeading___Toc56653_3769931028"/>
      <w:bookmarkStart w:id="223" w:name="anhang_g"/>
      <w:bookmarkEnd w:id="222"/>
      <w:r>
        <w:rPr>
          <w:rFonts w:eastAsia="Amazon Ember" w:cs="Amazon Ember" w:ascii="Amazon Ember" w:hAnsi="Amazon Ember"/>
          <w:b/>
          <w:bCs/>
          <w:color w:val="0000FF"/>
          <w:sz w:val="36"/>
          <w:szCs w:val="36"/>
        </w:rPr>
        <w:t>Anhang G: Schnellfinder — Problem → Kapitel</w:t>
      </w:r>
      <w:bookmarkEnd w:id="223"/>
    </w:p>
    <w:p>
      <w:pPr>
        <w:pStyle w:val="Normal"/>
        <w:keepNext w:val="false"/>
        <w:keepLines w:val="false"/>
        <w:spacing w:lineRule="exact" w:line="288" w:before="0" w:after="140"/>
        <w:jc w:val="left"/>
        <w:rPr/>
      </w:pPr>
      <w:r>
        <w:rPr>
          <w:rFonts w:eastAsia="Cambria" w:cs="Cambria"/>
          <w:b w:val="false"/>
          <w:bCs w:val="false"/>
          <w:i w:val="false"/>
          <w:iCs w:val="false"/>
          <w:sz w:val="22"/>
          <w:szCs w:val="22"/>
        </w:rPr>
        <w:t>Du hast eine konkrete Frage oder steckst mitten in einer Situation und willst schnell wissen, welches Kapitel weiterhilft? Diese Tabelle ordnet typische Leserfragen den passenden Kapiteln zu – zuerst für die USA, gegliedert nach den Phasen der Auswanderung von der ersten Entscheidung bis zur möglichen Rückkehr, danach kompakter für Kanada, Australien und Neuseeland.</w:t>
      </w:r>
      <w:r>
        <w:br w:type="page"/>
      </w:r>
    </w:p>
    <w:p>
      <w:pPr>
        <w:pStyle w:val="Heading2"/>
        <w:keepNext w:val="true"/>
        <w:spacing w:before="0" w:after="300"/>
        <w:jc w:val="center"/>
        <w:rPr/>
      </w:pPr>
      <w:bookmarkStart w:id="224" w:name="__RefHeading___Toc56655_3769931028"/>
      <w:bookmarkStart w:id="225" w:name="s106"/>
      <w:bookmarkEnd w:id="224"/>
      <w:r>
        <w:rPr>
          <w:rFonts w:eastAsia="Amazon Ember" w:cs="Amazon Ember" w:ascii="Amazon Ember" w:hAnsi="Amazon Ember"/>
          <w:b/>
          <w:bCs/>
          <w:color w:val="0000FF"/>
          <w:sz w:val="36"/>
          <w:szCs w:val="36"/>
        </w:rPr>
        <w:t>USA</w:t>
      </w:r>
      <w:bookmarkEnd w:id="225"/>
    </w:p>
    <w:p>
      <w:pPr>
        <w:pStyle w:val="Heading3"/>
        <w:keepNext w:val="true"/>
        <w:spacing w:before="280" w:after="100"/>
        <w:jc w:val="center"/>
        <w:rPr/>
      </w:pPr>
      <w:r>
        <w:rPr>
          <w:rFonts w:eastAsia="Amazon Ember" w:cs="Amazon Ember" w:ascii="Amazon Ember" w:hAnsi="Amazon Ember"/>
          <w:b/>
          <w:bCs/>
          <w:color w:val="0000FF"/>
          <w:sz w:val="36"/>
          <w:szCs w:val="36"/>
        </w:rPr>
        <w:t>Visum und Status</w:t>
      </w:r>
    </w:p>
    <w:tbl>
      <w:tblPr>
        <w:tblW w:w="6480" w:type="dxa"/>
        <w:jc w:val="left"/>
        <w:tblInd w:w="0" w:type="dxa"/>
        <w:tblLayout w:type="fixed"/>
        <w:tblCellMar>
          <w:top w:w="50" w:type="dxa"/>
          <w:left w:w="80" w:type="dxa"/>
          <w:bottom w:w="50" w:type="dxa"/>
          <w:right w:w="80" w:type="dxa"/>
        </w:tblCellMar>
      </w:tblPr>
      <w:tblGrid>
        <w:gridCol w:w="5379"/>
        <w:gridCol w:w="1100"/>
      </w:tblGrid>
      <w:tr>
        <w:trPr>
          <w:tblHeader w:val="true"/>
          <w:cantSplit w:val="true"/>
        </w:trPr>
        <w:tc>
          <w:tcPr>
            <w:tcW w:w="537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110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53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habe ein Jobangebot aus den USA – welches Visum passt zu meiner Situation?</w:t>
            </w:r>
          </w:p>
        </w:tc>
        <w:tc>
          <w:tcPr>
            <w:tcW w:w="11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
              <w:r>
                <w:rPr>
                  <w:rStyle w:val="ListLabel112"/>
                  <w:rFonts w:eastAsia="Cambria" w:cs="Cambria"/>
                  <w:b w:val="false"/>
                  <w:bCs w:val="false"/>
                  <w:i w:val="false"/>
                  <w:iCs w:val="false"/>
                  <w:sz w:val="18"/>
                  <w:szCs w:val="18"/>
                </w:rPr>
                <w:t>4</w:t>
              </w:r>
            </w:hyperlink>
          </w:p>
        </w:tc>
      </w:tr>
      <w:tr>
        <w:trPr>
          <w:cantSplit w:val="true"/>
        </w:trPr>
        <w:tc>
          <w:tcPr>
            <w:tcW w:w="53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ist eigentlich der Unterschied zwischen einem Visum und meinem Aufenthaltsstatus?</w:t>
            </w:r>
          </w:p>
        </w:tc>
        <w:tc>
          <w:tcPr>
            <w:tcW w:w="11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
              <w:r>
                <w:rPr>
                  <w:rStyle w:val="ListLabel112"/>
                  <w:rFonts w:eastAsia="Cambria" w:cs="Cambria"/>
                  <w:b w:val="false"/>
                  <w:bCs w:val="false"/>
                  <w:i w:val="false"/>
                  <w:iCs w:val="false"/>
                  <w:sz w:val="18"/>
                  <w:szCs w:val="18"/>
                </w:rPr>
                <w:t>4</w:t>
              </w:r>
            </w:hyperlink>
          </w:p>
        </w:tc>
      </w:tr>
      <w:tr>
        <w:trPr>
          <w:cantSplit w:val="true"/>
        </w:trPr>
        <w:tc>
          <w:tcPr>
            <w:tcW w:w="53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hoch sind meine Chancen, bei der H-1B-Lotterie gezogen zu werden?</w:t>
            </w:r>
          </w:p>
        </w:tc>
        <w:tc>
          <w:tcPr>
            <w:tcW w:w="11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5">
              <w:r>
                <w:rPr>
                  <w:rStyle w:val="ListLabel112"/>
                  <w:rFonts w:eastAsia="Cambria" w:cs="Cambria"/>
                  <w:b w:val="false"/>
                  <w:bCs w:val="false"/>
                  <w:i w:val="false"/>
                  <w:iCs w:val="false"/>
                  <w:sz w:val="18"/>
                  <w:szCs w:val="18"/>
                </w:rPr>
                <w:t>5</w:t>
              </w:r>
            </w:hyperlink>
          </w:p>
        </w:tc>
      </w:tr>
      <w:tr>
        <w:trPr>
          <w:cantSplit w:val="true"/>
        </w:trPr>
        <w:tc>
          <w:tcPr>
            <w:tcW w:w="53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lange dauert der Weg zur Green Card über meinen Arbeitgeber?</w:t>
            </w:r>
          </w:p>
        </w:tc>
        <w:tc>
          <w:tcPr>
            <w:tcW w:w="11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6">
              <w:r>
                <w:rPr>
                  <w:rStyle w:val="ListLabel112"/>
                  <w:rFonts w:eastAsia="Cambria" w:cs="Cambria"/>
                  <w:b w:val="false"/>
                  <w:bCs w:val="false"/>
                  <w:i w:val="false"/>
                  <w:iCs w:val="false"/>
                  <w:sz w:val="18"/>
                  <w:szCs w:val="18"/>
                </w:rPr>
                <w:t>6</w:t>
              </w:r>
            </w:hyperlink>
          </w:p>
        </w:tc>
      </w:tr>
      <w:tr>
        <w:trPr>
          <w:cantSplit w:val="true"/>
        </w:trPr>
        <w:tc>
          <w:tcPr>
            <w:tcW w:w="53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Lohnt sich der Umweg über den H-1B, oder soll ich gleich auf die Green Card zielen?</w:t>
            </w:r>
          </w:p>
        </w:tc>
        <w:tc>
          <w:tcPr>
            <w:tcW w:w="11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7">
              <w:r>
                <w:rPr>
                  <w:rStyle w:val="ListLabel112"/>
                  <w:rFonts w:eastAsia="Cambria" w:cs="Cambria"/>
                  <w:b w:val="false"/>
                  <w:bCs w:val="false"/>
                  <w:i w:val="false"/>
                  <w:iCs w:val="false"/>
                  <w:sz w:val="18"/>
                  <w:szCs w:val="18"/>
                </w:rPr>
                <w:t>7</w:t>
              </w:r>
            </w:hyperlink>
          </w:p>
        </w:tc>
      </w:tr>
      <w:tr>
        <w:trPr>
          <w:cantSplit w:val="true"/>
        </w:trPr>
        <w:tc>
          <w:tcPr>
            <w:tcW w:w="53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will erst in den USA studieren – wie komme ich danach in einen Job?</w:t>
            </w:r>
          </w:p>
        </w:tc>
        <w:tc>
          <w:tcPr>
            <w:tcW w:w="11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8">
              <w:r>
                <w:rPr>
                  <w:rStyle w:val="ListLabel112"/>
                  <w:rFonts w:eastAsia="Cambria" w:cs="Cambria"/>
                  <w:b w:val="false"/>
                  <w:bCs w:val="false"/>
                  <w:i w:val="false"/>
                  <w:iCs w:val="false"/>
                  <w:sz w:val="18"/>
                  <w:szCs w:val="18"/>
                </w:rPr>
                <w:t>8</w:t>
              </w:r>
            </w:hyperlink>
          </w:p>
        </w:tc>
      </w:tr>
      <w:tr>
        <w:trPr>
          <w:cantSplit w:val="true"/>
        </w:trPr>
        <w:tc>
          <w:tcPr>
            <w:tcW w:w="53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Meine Firma hat eine US-Niederlassung – kann ich intern dorthin wechseln?</w:t>
            </w:r>
          </w:p>
        </w:tc>
        <w:tc>
          <w:tcPr>
            <w:tcW w:w="11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9">
              <w:r>
                <w:rPr>
                  <w:rStyle w:val="ListLabel112"/>
                  <w:rFonts w:eastAsia="Cambria" w:cs="Cambria"/>
                  <w:b w:val="false"/>
                  <w:bCs w:val="false"/>
                  <w:i w:val="false"/>
                  <w:iCs w:val="false"/>
                  <w:sz w:val="18"/>
                  <w:szCs w:val="18"/>
                </w:rPr>
                <w:t>9</w:t>
              </w:r>
            </w:hyperlink>
          </w:p>
        </w:tc>
      </w:tr>
      <w:tr>
        <w:trPr>
          <w:cantSplit w:val="true"/>
        </w:trPr>
        <w:tc>
          <w:tcPr>
            <w:tcW w:w="53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möchte mich mit eigenem Kapital in den USA selbständig machen – welches Visum passt?</w:t>
            </w:r>
          </w:p>
        </w:tc>
        <w:tc>
          <w:tcPr>
            <w:tcW w:w="11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9">
              <w:r>
                <w:rPr>
                  <w:rStyle w:val="ListLabel112"/>
                  <w:rFonts w:eastAsia="Cambria" w:cs="Cambria"/>
                  <w:b w:val="false"/>
                  <w:bCs w:val="false"/>
                  <w:i w:val="false"/>
                  <w:iCs w:val="false"/>
                  <w:sz w:val="18"/>
                  <w:szCs w:val="18"/>
                </w:rPr>
                <w:t>9</w:t>
              </w:r>
            </w:hyperlink>
          </w:p>
        </w:tc>
      </w:tr>
      <w:tr>
        <w:trPr>
          <w:cantSplit w:val="true"/>
        </w:trPr>
        <w:tc>
          <w:tcPr>
            <w:tcW w:w="53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Kann mein Partner in den USA arbeiten?</w:t>
            </w:r>
          </w:p>
        </w:tc>
        <w:tc>
          <w:tcPr>
            <w:tcW w:w="11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0">
              <w:r>
                <w:rPr>
                  <w:rStyle w:val="ListLabel112"/>
                  <w:rFonts w:eastAsia="Cambria" w:cs="Cambria"/>
                  <w:b w:val="false"/>
                  <w:bCs w:val="false"/>
                  <w:i w:val="false"/>
                  <w:iCs w:val="false"/>
                  <w:sz w:val="18"/>
                  <w:szCs w:val="18"/>
                </w:rPr>
                <w:t>10</w:t>
              </w:r>
            </w:hyperlink>
          </w:p>
        </w:tc>
      </w:tr>
      <w:tr>
        <w:trPr>
          <w:cantSplit w:val="true"/>
        </w:trPr>
        <w:tc>
          <w:tcPr>
            <w:tcW w:w="53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Zählt unsere deutsche eingetragene Lebenspartnerschaft für ein Partnervisum?</w:t>
            </w:r>
          </w:p>
        </w:tc>
        <w:tc>
          <w:tcPr>
            <w:tcW w:w="11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0">
              <w:r>
                <w:rPr>
                  <w:rStyle w:val="ListLabel112"/>
                  <w:rFonts w:eastAsia="Cambria" w:cs="Cambria"/>
                  <w:b w:val="false"/>
                  <w:bCs w:val="false"/>
                  <w:i w:val="false"/>
                  <w:iCs w:val="false"/>
                  <w:sz w:val="18"/>
                  <w:szCs w:val="18"/>
                </w:rPr>
                <w:t>10</w:t>
              </w:r>
            </w:hyperlink>
          </w:p>
        </w:tc>
      </w:tr>
      <w:tr>
        <w:trPr>
          <w:cantSplit w:val="true"/>
        </w:trPr>
        <w:tc>
          <w:tcPr>
            <w:tcW w:w="53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passiert mit dem Status meiner Kinder, wenn sie 21 werden?</w:t>
            </w:r>
          </w:p>
        </w:tc>
        <w:tc>
          <w:tcPr>
            <w:tcW w:w="11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0">
              <w:r>
                <w:rPr>
                  <w:rStyle w:val="ListLabel112"/>
                  <w:rFonts w:eastAsia="Cambria" w:cs="Cambria"/>
                  <w:b w:val="false"/>
                  <w:bCs w:val="false"/>
                  <w:i w:val="false"/>
                  <w:iCs w:val="false"/>
                  <w:sz w:val="18"/>
                  <w:szCs w:val="18"/>
                </w:rPr>
                <w:t>10</w:t>
              </w:r>
            </w:hyperlink>
          </w:p>
        </w:tc>
      </w:tr>
      <w:tr>
        <w:trPr>
          <w:cantSplit w:val="true"/>
        </w:trPr>
        <w:tc>
          <w:tcPr>
            <w:tcW w:w="537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Muss ich für das Visum-Interview persönlich zum Konsulat?</w:t>
            </w:r>
          </w:p>
        </w:tc>
        <w:tc>
          <w:tcPr>
            <w:tcW w:w="110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1">
              <w:r>
                <w:rPr>
                  <w:rStyle w:val="ListLabel112"/>
                  <w:rFonts w:eastAsia="Cambria" w:cs="Cambria"/>
                  <w:b w:val="false"/>
                  <w:bCs w:val="false"/>
                  <w:i w:val="false"/>
                  <w:iCs w:val="false"/>
                  <w:sz w:val="18"/>
                  <w:szCs w:val="18"/>
                </w:rPr>
                <w:t>11</w:t>
              </w:r>
            </w:hyperlink>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Wohnen</w:t>
      </w:r>
    </w:p>
    <w:tbl>
      <w:tblPr>
        <w:tblW w:w="6480" w:type="dxa"/>
        <w:jc w:val="left"/>
        <w:tblInd w:w="0" w:type="dxa"/>
        <w:tblLayout w:type="fixed"/>
        <w:tblCellMar>
          <w:top w:w="50" w:type="dxa"/>
          <w:left w:w="80" w:type="dxa"/>
          <w:bottom w:w="50" w:type="dxa"/>
          <w:right w:w="80" w:type="dxa"/>
        </w:tblCellMar>
      </w:tblPr>
      <w:tblGrid>
        <w:gridCol w:w="5344"/>
        <w:gridCol w:w="1135"/>
      </w:tblGrid>
      <w:tr>
        <w:trPr>
          <w:tblHeader w:val="true"/>
          <w:cantSplit w:val="true"/>
        </w:trPr>
        <w:tc>
          <w:tcPr>
            <w:tcW w:w="534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113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finde ich heraus, welche Stadt oder Region zu meinem Beruf passt?</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2">
              <w:r>
                <w:rPr>
                  <w:rStyle w:val="ListLabel112"/>
                  <w:rFonts w:eastAsia="Cambria" w:cs="Cambria"/>
                  <w:b w:val="false"/>
                  <w:bCs w:val="false"/>
                  <w:i w:val="false"/>
                  <w:iCs w:val="false"/>
                  <w:sz w:val="18"/>
                  <w:szCs w:val="18"/>
                </w:rPr>
                <w:t>12</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Welche Bundesstaaten erheben keine Einkommensteuer?</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2">
              <w:r>
                <w:rPr>
                  <w:rStyle w:val="ListLabel112"/>
                  <w:rFonts w:eastAsia="Cambria" w:cs="Cambria"/>
                  <w:b w:val="false"/>
                  <w:bCs w:val="false"/>
                  <w:i w:val="false"/>
                  <w:iCs w:val="false"/>
                  <w:sz w:val="18"/>
                  <w:szCs w:val="18"/>
                </w:rPr>
                <w:t>12</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finde ich als Neuankömmling ohne US-Kredithistorie eine Mietwohnung?</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3">
              <w:r>
                <w:rPr>
                  <w:rStyle w:val="ListLabel112"/>
                  <w:rFonts w:eastAsia="Cambria" w:cs="Cambria"/>
                  <w:b w:val="false"/>
                  <w:bCs w:val="false"/>
                  <w:i w:val="false"/>
                  <w:iCs w:val="false"/>
                  <w:sz w:val="18"/>
                  <w:szCs w:val="18"/>
                </w:rPr>
                <w:t>13</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viel Kaution und Gebühren muss ich beim Einzug einplanen?</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3">
              <w:r>
                <w:rPr>
                  <w:rStyle w:val="ListLabel112"/>
                  <w:rFonts w:eastAsia="Cambria" w:cs="Cambria"/>
                  <w:b w:val="false"/>
                  <w:bCs w:val="false"/>
                  <w:i w:val="false"/>
                  <w:iCs w:val="false"/>
                  <w:sz w:val="18"/>
                  <w:szCs w:val="18"/>
                </w:rPr>
                <w:t>13</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schütze ich mich vor Fake-Inseraten bei der Wohnungssuche?</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3">
              <w:r>
                <w:rPr>
                  <w:rStyle w:val="ListLabel112"/>
                  <w:rFonts w:eastAsia="Cambria" w:cs="Cambria"/>
                  <w:b w:val="false"/>
                  <w:bCs w:val="false"/>
                  <w:i w:val="false"/>
                  <w:iCs w:val="false"/>
                  <w:sz w:val="18"/>
                  <w:szCs w:val="18"/>
                </w:rPr>
                <w:t>13</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Lohnt es sich, gleich nach der Ankunft ein Haus zu kaufen?</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4">
              <w:r>
                <w:rPr>
                  <w:rStyle w:val="ListLabel112"/>
                  <w:rFonts w:eastAsia="Cambria" w:cs="Cambria"/>
                  <w:b w:val="false"/>
                  <w:bCs w:val="false"/>
                  <w:i w:val="false"/>
                  <w:iCs w:val="false"/>
                  <w:sz w:val="18"/>
                  <w:szCs w:val="18"/>
                </w:rPr>
                <w:t>14</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Bekomme ich als Visuminhaber überhaupt eine Hypothek?</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4">
              <w:r>
                <w:rPr>
                  <w:rStyle w:val="ListLabel112"/>
                  <w:rFonts w:eastAsia="Cambria" w:cs="Cambria"/>
                  <w:b w:val="false"/>
                  <w:bCs w:val="false"/>
                  <w:i w:val="false"/>
                  <w:iCs w:val="false"/>
                  <w:sz w:val="18"/>
                  <w:szCs w:val="18"/>
                </w:rPr>
                <w:t>14</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kostet mich der Hauskauf zusätzlich zum Kaufpreis?</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4">
              <w:r>
                <w:rPr>
                  <w:rStyle w:val="ListLabel112"/>
                  <w:rFonts w:eastAsia="Cambria" w:cs="Cambria"/>
                  <w:b w:val="false"/>
                  <w:bCs w:val="false"/>
                  <w:i w:val="false"/>
                  <w:iCs w:val="false"/>
                  <w:sz w:val="18"/>
                  <w:szCs w:val="18"/>
                </w:rPr>
                <w:t>14</w:t>
              </w:r>
            </w:hyperlink>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Vorbereitung</w:t>
      </w:r>
    </w:p>
    <w:tbl>
      <w:tblPr>
        <w:tblW w:w="6480" w:type="dxa"/>
        <w:jc w:val="left"/>
        <w:tblInd w:w="0" w:type="dxa"/>
        <w:tblLayout w:type="fixed"/>
        <w:tblCellMar>
          <w:top w:w="50" w:type="dxa"/>
          <w:left w:w="80" w:type="dxa"/>
          <w:bottom w:w="50" w:type="dxa"/>
          <w:right w:w="80" w:type="dxa"/>
        </w:tblCellMar>
      </w:tblPr>
      <w:tblGrid>
        <w:gridCol w:w="5351"/>
        <w:gridCol w:w="1128"/>
      </w:tblGrid>
      <w:tr>
        <w:trPr>
          <w:tblHeader w:val="true"/>
          <w:cantSplit w:val="true"/>
        </w:trPr>
        <w:tc>
          <w:tcPr>
            <w:tcW w:w="535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112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53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spricht wirklich für und was gegen ein Leben in den USA?</w:t>
            </w:r>
          </w:p>
        </w:tc>
        <w:tc>
          <w:tcPr>
            <w:tcW w:w="1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
              <w:r>
                <w:rPr>
                  <w:rStyle w:val="ListLabel112"/>
                  <w:rFonts w:eastAsia="Cambria" w:cs="Cambria"/>
                  <w:b w:val="false"/>
                  <w:bCs w:val="false"/>
                  <w:i w:val="false"/>
                  <w:iCs w:val="false"/>
                  <w:sz w:val="18"/>
                  <w:szCs w:val="18"/>
                </w:rPr>
                <w:t>1</w:t>
              </w:r>
            </w:hyperlink>
          </w:p>
        </w:tc>
      </w:tr>
      <w:tr>
        <w:trPr>
          <w:cantSplit w:val="true"/>
        </w:trPr>
        <w:tc>
          <w:tcPr>
            <w:tcW w:w="53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Welche teuren Fehler machen andere beim Umzug in die USA am häufigsten?</w:t>
            </w:r>
          </w:p>
        </w:tc>
        <w:tc>
          <w:tcPr>
            <w:tcW w:w="1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
              <w:r>
                <w:rPr>
                  <w:rStyle w:val="ListLabel112"/>
                  <w:rFonts w:eastAsia="Cambria" w:cs="Cambria"/>
                  <w:b w:val="false"/>
                  <w:bCs w:val="false"/>
                  <w:i w:val="false"/>
                  <w:iCs w:val="false"/>
                  <w:sz w:val="18"/>
                  <w:szCs w:val="18"/>
                </w:rPr>
                <w:t>2</w:t>
              </w:r>
            </w:hyperlink>
          </w:p>
        </w:tc>
      </w:tr>
      <w:tr>
        <w:trPr>
          <w:cantSplit w:val="true"/>
        </w:trPr>
        <w:tc>
          <w:tcPr>
            <w:tcW w:w="53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Lohnt sich der Umzug für mich finanziell überhaupt?</w:t>
            </w:r>
          </w:p>
        </w:tc>
        <w:tc>
          <w:tcPr>
            <w:tcW w:w="1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
              <w:r>
                <w:rPr>
                  <w:rStyle w:val="ListLabel112"/>
                  <w:rFonts w:eastAsia="Cambria" w:cs="Cambria"/>
                  <w:b w:val="false"/>
                  <w:bCs w:val="false"/>
                  <w:i w:val="false"/>
                  <w:iCs w:val="false"/>
                  <w:sz w:val="18"/>
                  <w:szCs w:val="18"/>
                </w:rPr>
                <w:t>3</w:t>
              </w:r>
            </w:hyperlink>
          </w:p>
        </w:tc>
      </w:tr>
      <w:tr>
        <w:trPr>
          <w:cantSplit w:val="true"/>
        </w:trPr>
        <w:tc>
          <w:tcPr>
            <w:tcW w:w="53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In welcher Reihenfolge plane ich Visum, Wohnungskündigung und Umzug?</w:t>
            </w:r>
          </w:p>
        </w:tc>
        <w:tc>
          <w:tcPr>
            <w:tcW w:w="1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5">
              <w:r>
                <w:rPr>
                  <w:rStyle w:val="ListLabel112"/>
                  <w:rFonts w:eastAsia="Cambria" w:cs="Cambria"/>
                  <w:b w:val="false"/>
                  <w:bCs w:val="false"/>
                  <w:i w:val="false"/>
                  <w:iCs w:val="false"/>
                  <w:sz w:val="18"/>
                  <w:szCs w:val="18"/>
                </w:rPr>
                <w:t>15</w:t>
              </w:r>
            </w:hyperlink>
          </w:p>
        </w:tc>
      </w:tr>
      <w:tr>
        <w:trPr>
          <w:cantSplit w:val="true"/>
        </w:trPr>
        <w:tc>
          <w:tcPr>
            <w:tcW w:w="53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melde mich beim Einwohnermeldeamt ab – was muss ich sonst noch kündigen?</w:t>
            </w:r>
          </w:p>
        </w:tc>
        <w:tc>
          <w:tcPr>
            <w:tcW w:w="1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6">
              <w:r>
                <w:rPr>
                  <w:rStyle w:val="ListLabel112"/>
                  <w:rFonts w:eastAsia="Cambria" w:cs="Cambria"/>
                  <w:b w:val="false"/>
                  <w:bCs w:val="false"/>
                  <w:i w:val="false"/>
                  <w:iCs w:val="false"/>
                  <w:sz w:val="18"/>
                  <w:szCs w:val="18"/>
                </w:rPr>
                <w:t>16</w:t>
              </w:r>
            </w:hyperlink>
          </w:p>
        </w:tc>
      </w:tr>
      <w:tr>
        <w:trPr>
          <w:cantSplit w:val="true"/>
        </w:trPr>
        <w:tc>
          <w:tcPr>
            <w:tcW w:w="53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passiert mit meinem Kindergeld, wenn ich auswandere?</w:t>
            </w:r>
          </w:p>
        </w:tc>
        <w:tc>
          <w:tcPr>
            <w:tcW w:w="1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6">
              <w:r>
                <w:rPr>
                  <w:rStyle w:val="ListLabel112"/>
                  <w:rFonts w:eastAsia="Cambria" w:cs="Cambria"/>
                  <w:b w:val="false"/>
                  <w:bCs w:val="false"/>
                  <w:i w:val="false"/>
                  <w:iCs w:val="false"/>
                  <w:sz w:val="18"/>
                  <w:szCs w:val="18"/>
                </w:rPr>
                <w:t>16</w:t>
              </w:r>
            </w:hyperlink>
          </w:p>
        </w:tc>
      </w:tr>
      <w:tr>
        <w:trPr>
          <w:cantSplit w:val="true"/>
        </w:trPr>
        <w:tc>
          <w:tcPr>
            <w:tcW w:w="53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Werde ich nach dem Wegzug noch in Deutschland besteuert?</w:t>
            </w:r>
          </w:p>
        </w:tc>
        <w:tc>
          <w:tcPr>
            <w:tcW w:w="1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7">
              <w:r>
                <w:rPr>
                  <w:rStyle w:val="ListLabel112"/>
                  <w:rFonts w:eastAsia="Cambria" w:cs="Cambria"/>
                  <w:b w:val="false"/>
                  <w:bCs w:val="false"/>
                  <w:i w:val="false"/>
                  <w:iCs w:val="false"/>
                  <w:sz w:val="18"/>
                  <w:szCs w:val="18"/>
                </w:rPr>
                <w:t>17</w:t>
              </w:r>
            </w:hyperlink>
          </w:p>
        </w:tc>
      </w:tr>
      <w:tr>
        <w:trPr>
          <w:cantSplit w:val="true"/>
        </w:trPr>
        <w:tc>
          <w:tcPr>
            <w:tcW w:w="53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passiert mit meiner Riester-Rente?</w:t>
            </w:r>
          </w:p>
        </w:tc>
        <w:tc>
          <w:tcPr>
            <w:tcW w:w="1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7">
              <w:r>
                <w:rPr>
                  <w:rStyle w:val="ListLabel112"/>
                  <w:rFonts w:eastAsia="Cambria" w:cs="Cambria"/>
                  <w:b w:val="false"/>
                  <w:bCs w:val="false"/>
                  <w:i w:val="false"/>
                  <w:iCs w:val="false"/>
                  <w:sz w:val="18"/>
                  <w:szCs w:val="18"/>
                </w:rPr>
                <w:t>17</w:t>
              </w:r>
            </w:hyperlink>
          </w:p>
        </w:tc>
      </w:tr>
      <w:tr>
        <w:trPr>
          <w:cantSplit w:val="true"/>
        </w:trPr>
        <w:tc>
          <w:tcPr>
            <w:tcW w:w="53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Sollte ich mein deutsches Aktien- oder ETF-Depot vor dem Umzug auflösen?</w:t>
            </w:r>
          </w:p>
        </w:tc>
        <w:tc>
          <w:tcPr>
            <w:tcW w:w="1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7">
              <w:r>
                <w:rPr>
                  <w:rStyle w:val="ListLabel112"/>
                  <w:rFonts w:eastAsia="Cambria" w:cs="Cambria"/>
                  <w:b w:val="false"/>
                  <w:bCs w:val="false"/>
                  <w:i w:val="false"/>
                  <w:iCs w:val="false"/>
                  <w:sz w:val="18"/>
                  <w:szCs w:val="18"/>
                </w:rPr>
                <w:t>17</w:t>
              </w:r>
            </w:hyperlink>
          </w:p>
        </w:tc>
      </w:tr>
      <w:tr>
        <w:trPr>
          <w:cantSplit w:val="true"/>
        </w:trPr>
        <w:tc>
          <w:tcPr>
            <w:tcW w:w="53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Wann endet meine gesetzliche Krankenversicherung in Deutschland?</w:t>
            </w:r>
          </w:p>
        </w:tc>
        <w:tc>
          <w:tcPr>
            <w:tcW w:w="1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8">
              <w:r>
                <w:rPr>
                  <w:rStyle w:val="ListLabel112"/>
                  <w:rFonts w:eastAsia="Cambria" w:cs="Cambria"/>
                  <w:b w:val="false"/>
                  <w:bCs w:val="false"/>
                  <w:i w:val="false"/>
                  <w:iCs w:val="false"/>
                  <w:sz w:val="18"/>
                  <w:szCs w:val="18"/>
                </w:rPr>
                <w:t>18</w:t>
              </w:r>
            </w:hyperlink>
          </w:p>
        </w:tc>
      </w:tr>
      <w:tr>
        <w:trPr>
          <w:cantSplit w:val="true"/>
        </w:trPr>
        <w:tc>
          <w:tcPr>
            <w:tcW w:w="53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Brauche ich für die Lücke zwischen den beiden Versicherungen eine Auslandskrankenversicherung?</w:t>
            </w:r>
          </w:p>
        </w:tc>
        <w:tc>
          <w:tcPr>
            <w:tcW w:w="1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8">
              <w:r>
                <w:rPr>
                  <w:rStyle w:val="ListLabel112"/>
                  <w:rFonts w:eastAsia="Cambria" w:cs="Cambria"/>
                  <w:b w:val="false"/>
                  <w:bCs w:val="false"/>
                  <w:i w:val="false"/>
                  <w:iCs w:val="false"/>
                  <w:sz w:val="18"/>
                  <w:szCs w:val="18"/>
                </w:rPr>
                <w:t>18</w:t>
              </w:r>
            </w:hyperlink>
          </w:p>
        </w:tc>
      </w:tr>
      <w:tr>
        <w:trPr>
          <w:cantSplit w:val="true"/>
        </w:trPr>
        <w:tc>
          <w:tcPr>
            <w:tcW w:w="53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Muss ich meine Zeugnisse und Diplome übersetzen oder mit Apostille versehen lassen?</w:t>
            </w:r>
          </w:p>
        </w:tc>
        <w:tc>
          <w:tcPr>
            <w:tcW w:w="1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9">
              <w:r>
                <w:rPr>
                  <w:rStyle w:val="ListLabel112"/>
                  <w:rFonts w:eastAsia="Cambria" w:cs="Cambria"/>
                  <w:b w:val="false"/>
                  <w:bCs w:val="false"/>
                  <w:i w:val="false"/>
                  <w:iCs w:val="false"/>
                  <w:sz w:val="18"/>
                  <w:szCs w:val="18"/>
                </w:rPr>
                <w:t>19</w:t>
              </w:r>
            </w:hyperlink>
          </w:p>
        </w:tc>
      </w:tr>
      <w:tr>
        <w:trPr>
          <w:cantSplit w:val="true"/>
        </w:trPr>
        <w:tc>
          <w:tcPr>
            <w:tcW w:w="535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lasse ich meinen ausländischen Studienabschluss für die USA bewerten?</w:t>
            </w:r>
          </w:p>
        </w:tc>
        <w:tc>
          <w:tcPr>
            <w:tcW w:w="112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19">
              <w:r>
                <w:rPr>
                  <w:rStyle w:val="ListLabel112"/>
                  <w:rFonts w:eastAsia="Cambria" w:cs="Cambria"/>
                  <w:b w:val="false"/>
                  <w:bCs w:val="false"/>
                  <w:i w:val="false"/>
                  <w:iCs w:val="false"/>
                  <w:sz w:val="18"/>
                  <w:szCs w:val="18"/>
                </w:rPr>
                <w:t>19</w:t>
              </w:r>
            </w:hyperlink>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Umzug</w:t>
      </w:r>
    </w:p>
    <w:tbl>
      <w:tblPr>
        <w:tblW w:w="6480" w:type="dxa"/>
        <w:jc w:val="left"/>
        <w:tblInd w:w="0" w:type="dxa"/>
        <w:tblLayout w:type="fixed"/>
        <w:tblCellMar>
          <w:top w:w="50" w:type="dxa"/>
          <w:left w:w="80" w:type="dxa"/>
          <w:bottom w:w="50" w:type="dxa"/>
          <w:right w:w="80" w:type="dxa"/>
        </w:tblCellMar>
      </w:tblPr>
      <w:tblGrid>
        <w:gridCol w:w="5344"/>
        <w:gridCol w:w="1135"/>
      </w:tblGrid>
      <w:tr>
        <w:trPr>
          <w:tblHeader w:val="true"/>
          <w:cantSplit w:val="true"/>
        </w:trPr>
        <w:tc>
          <w:tcPr>
            <w:tcW w:w="534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113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Container, Luftfracht oder doch nur Koffer – was lohnt sich für meinen Umzug?</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0">
              <w:r>
                <w:rPr>
                  <w:rStyle w:val="ListLabel112"/>
                  <w:rFonts w:eastAsia="Cambria" w:cs="Cambria"/>
                  <w:b w:val="false"/>
                  <w:bCs w:val="false"/>
                  <w:i w:val="false"/>
                  <w:iCs w:val="false"/>
                  <w:sz w:val="18"/>
                  <w:szCs w:val="18"/>
                </w:rPr>
                <w:t>20</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Zahlt mein Arbeitgeber den Umzug, und muss ich das versteuern?</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0">
              <w:r>
                <w:rPr>
                  <w:rStyle w:val="ListLabel112"/>
                  <w:rFonts w:eastAsia="Cambria" w:cs="Cambria"/>
                  <w:b w:val="false"/>
                  <w:bCs w:val="false"/>
                  <w:i w:val="false"/>
                  <w:iCs w:val="false"/>
                  <w:sz w:val="18"/>
                  <w:szCs w:val="18"/>
                </w:rPr>
                <w:t>20</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darf ich zollfrei in die USA mitbringen?</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0">
              <w:r>
                <w:rPr>
                  <w:rStyle w:val="ListLabel112"/>
                  <w:rFonts w:eastAsia="Cambria" w:cs="Cambria"/>
                  <w:b w:val="false"/>
                  <w:bCs w:val="false"/>
                  <w:i w:val="false"/>
                  <w:iCs w:val="false"/>
                  <w:sz w:val="18"/>
                  <w:szCs w:val="18"/>
                </w:rPr>
                <w:t>20</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Welche Möbel und Geräte nehme ich mit, was kaufe ich lieber neu?</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1">
              <w:r>
                <w:rPr>
                  <w:rStyle w:val="ListLabel112"/>
                  <w:rFonts w:eastAsia="Cambria" w:cs="Cambria"/>
                  <w:b w:val="false"/>
                  <w:bCs w:val="false"/>
                  <w:i w:val="false"/>
                  <w:iCs w:val="false"/>
                  <w:sz w:val="18"/>
                  <w:szCs w:val="18"/>
                </w:rPr>
                <w:t>21</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Funktionieren meine deutschen Elektrogeräte an der US-Steckdose?</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1">
              <w:r>
                <w:rPr>
                  <w:rStyle w:val="ListLabel112"/>
                  <w:rFonts w:eastAsia="Cambria" w:cs="Cambria"/>
                  <w:b w:val="false"/>
                  <w:bCs w:val="false"/>
                  <w:i w:val="false"/>
                  <w:iCs w:val="false"/>
                  <w:sz w:val="18"/>
                  <w:szCs w:val="18"/>
                </w:rPr>
                <w:t>21</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viel kostet es, eine Wohnung in den USA neu einzurichten?</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1">
              <w:r>
                <w:rPr>
                  <w:rStyle w:val="ListLabel112"/>
                  <w:rFonts w:eastAsia="Cambria" w:cs="Cambria"/>
                  <w:b w:val="false"/>
                  <w:bCs w:val="false"/>
                  <w:i w:val="false"/>
                  <w:iCs w:val="false"/>
                  <w:sz w:val="18"/>
                  <w:szCs w:val="18"/>
                </w:rPr>
                <w:t>21</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bekomme ich meinen Hund oder meine Katze legal in die USA?</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2">
              <w:r>
                <w:rPr>
                  <w:rStyle w:val="ListLabel112"/>
                  <w:rFonts w:eastAsia="Cambria" w:cs="Cambria"/>
                  <w:b w:val="false"/>
                  <w:bCs w:val="false"/>
                  <w:i w:val="false"/>
                  <w:iCs w:val="false"/>
                  <w:sz w:val="18"/>
                  <w:szCs w:val="18"/>
                </w:rPr>
                <w:t>22</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Braucht mein Hund für die Einreise eine Tollwutimpfung?</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2">
              <w:r>
                <w:rPr>
                  <w:rStyle w:val="ListLabel112"/>
                  <w:rFonts w:eastAsia="Cambria" w:cs="Cambria"/>
                  <w:b w:val="false"/>
                  <w:bCs w:val="false"/>
                  <w:i w:val="false"/>
                  <w:iCs w:val="false"/>
                  <w:sz w:val="18"/>
                  <w:szCs w:val="18"/>
                </w:rPr>
                <w:t>22</w:t>
              </w:r>
            </w:hyperlink>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Ankommen</w:t>
      </w:r>
    </w:p>
    <w:tbl>
      <w:tblPr>
        <w:tblW w:w="6480" w:type="dxa"/>
        <w:jc w:val="left"/>
        <w:tblInd w:w="0" w:type="dxa"/>
        <w:tblLayout w:type="fixed"/>
        <w:tblCellMar>
          <w:top w:w="50" w:type="dxa"/>
          <w:left w:w="80" w:type="dxa"/>
          <w:bottom w:w="50" w:type="dxa"/>
          <w:right w:w="80" w:type="dxa"/>
        </w:tblCellMar>
      </w:tblPr>
      <w:tblGrid>
        <w:gridCol w:w="5340"/>
        <w:gridCol w:w="1139"/>
      </w:tblGrid>
      <w:tr>
        <w:trPr>
          <w:tblHeader w:val="true"/>
          <w:cantSplit w:val="true"/>
        </w:trPr>
        <w:tc>
          <w:tcPr>
            <w:tcW w:w="53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11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53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muss ich in den ersten 72 Stunden nach der Landung erledigen?</w:t>
            </w:r>
          </w:p>
        </w:tc>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3">
              <w:r>
                <w:rPr>
                  <w:rStyle w:val="ListLabel112"/>
                  <w:rFonts w:eastAsia="Cambria" w:cs="Cambria"/>
                  <w:b w:val="false"/>
                  <w:bCs w:val="false"/>
                  <w:i w:val="false"/>
                  <w:iCs w:val="false"/>
                  <w:sz w:val="18"/>
                  <w:szCs w:val="18"/>
                </w:rPr>
                <w:t>23</w:t>
              </w:r>
            </w:hyperlink>
          </w:p>
        </w:tc>
      </w:tr>
      <w:tr>
        <w:trPr>
          <w:cantSplit w:val="true"/>
        </w:trPr>
        <w:tc>
          <w:tcPr>
            <w:tcW w:w="53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beantrage ich meine Social Security Number?</w:t>
            </w:r>
          </w:p>
        </w:tc>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4">
              <w:r>
                <w:rPr>
                  <w:rStyle w:val="ListLabel112"/>
                  <w:rFonts w:eastAsia="Cambria" w:cs="Cambria"/>
                  <w:b w:val="false"/>
                  <w:bCs w:val="false"/>
                  <w:i w:val="false"/>
                  <w:iCs w:val="false"/>
                  <w:sz w:val="18"/>
                  <w:szCs w:val="18"/>
                </w:rPr>
                <w:t>24</w:t>
              </w:r>
            </w:hyperlink>
          </w:p>
        </w:tc>
      </w:tr>
      <w:tr>
        <w:trPr>
          <w:cantSplit w:val="true"/>
        </w:trPr>
        <w:tc>
          <w:tcPr>
            <w:tcW w:w="53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bekomme keine SSN – wie melde ich trotzdem meine Steuern an?</w:t>
            </w:r>
          </w:p>
        </w:tc>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4">
              <w:r>
                <w:rPr>
                  <w:rStyle w:val="ListLabel112"/>
                  <w:rFonts w:eastAsia="Cambria" w:cs="Cambria"/>
                  <w:b w:val="false"/>
                  <w:bCs w:val="false"/>
                  <w:i w:val="false"/>
                  <w:iCs w:val="false"/>
                  <w:sz w:val="18"/>
                  <w:szCs w:val="18"/>
                </w:rPr>
                <w:t>24</w:t>
              </w:r>
            </w:hyperlink>
          </w:p>
        </w:tc>
      </w:tr>
      <w:tr>
        <w:trPr>
          <w:cantSplit w:val="true"/>
        </w:trPr>
        <w:tc>
          <w:tcPr>
            <w:tcW w:w="53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eröffne ich ein Bankkonto ohne SSN oder US-Kredithistorie?</w:t>
            </w:r>
          </w:p>
        </w:tc>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5">
              <w:r>
                <w:rPr>
                  <w:rStyle w:val="ListLabel112"/>
                  <w:rFonts w:eastAsia="Cambria" w:cs="Cambria"/>
                  <w:b w:val="false"/>
                  <w:bCs w:val="false"/>
                  <w:i w:val="false"/>
                  <w:iCs w:val="false"/>
                  <w:sz w:val="18"/>
                  <w:szCs w:val="18"/>
                </w:rPr>
                <w:t>25</w:t>
              </w:r>
            </w:hyperlink>
          </w:p>
        </w:tc>
      </w:tr>
      <w:tr>
        <w:trPr>
          <w:cantSplit w:val="true"/>
        </w:trPr>
        <w:tc>
          <w:tcPr>
            <w:tcW w:w="53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baue ich mir eine US-Kreditwürdigkeit auf?</w:t>
            </w:r>
          </w:p>
        </w:tc>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5">
              <w:r>
                <w:rPr>
                  <w:rStyle w:val="ListLabel112"/>
                  <w:rFonts w:eastAsia="Cambria" w:cs="Cambria"/>
                  <w:b w:val="false"/>
                  <w:bCs w:val="false"/>
                  <w:i w:val="false"/>
                  <w:iCs w:val="false"/>
                  <w:sz w:val="18"/>
                  <w:szCs w:val="18"/>
                </w:rPr>
                <w:t>25</w:t>
              </w:r>
            </w:hyperlink>
          </w:p>
        </w:tc>
      </w:tr>
      <w:tr>
        <w:trPr>
          <w:cantSplit w:val="true"/>
        </w:trPr>
        <w:tc>
          <w:tcPr>
            <w:tcW w:w="53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funktioniert die Krankenversicherung über meinen neuen Arbeitgeber?</w:t>
            </w:r>
          </w:p>
        </w:tc>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6">
              <w:r>
                <w:rPr>
                  <w:rStyle w:val="ListLabel112"/>
                  <w:rFonts w:eastAsia="Cambria" w:cs="Cambria"/>
                  <w:b w:val="false"/>
                  <w:bCs w:val="false"/>
                  <w:i w:val="false"/>
                  <w:iCs w:val="false"/>
                  <w:sz w:val="18"/>
                  <w:szCs w:val="18"/>
                </w:rPr>
                <w:t>26</w:t>
              </w:r>
            </w:hyperlink>
          </w:p>
        </w:tc>
      </w:tr>
      <w:tr>
        <w:trPr>
          <w:cantSplit w:val="true"/>
        </w:trPr>
        <w:tc>
          <w:tcPr>
            <w:tcW w:w="53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habe Fieber – Hausarzt, Urgent Care oder Notaufnahme?</w:t>
            </w:r>
          </w:p>
        </w:tc>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6">
              <w:r>
                <w:rPr>
                  <w:rStyle w:val="ListLabel112"/>
                  <w:rFonts w:eastAsia="Cambria" w:cs="Cambria"/>
                  <w:b w:val="false"/>
                  <w:bCs w:val="false"/>
                  <w:i w:val="false"/>
                  <w:iCs w:val="false"/>
                  <w:sz w:val="18"/>
                  <w:szCs w:val="18"/>
                </w:rPr>
                <w:t>26</w:t>
              </w:r>
            </w:hyperlink>
          </w:p>
        </w:tc>
      </w:tr>
      <w:tr>
        <w:trPr>
          <w:cantSplit w:val="true"/>
        </w:trPr>
        <w:tc>
          <w:tcPr>
            <w:tcW w:w="53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lange darf ich noch mit meinem deutschen Führerschein fahren?</w:t>
            </w:r>
          </w:p>
        </w:tc>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7">
              <w:r>
                <w:rPr>
                  <w:rStyle w:val="ListLabel112"/>
                  <w:rFonts w:eastAsia="Cambria" w:cs="Cambria"/>
                  <w:b w:val="false"/>
                  <w:bCs w:val="false"/>
                  <w:i w:val="false"/>
                  <w:iCs w:val="false"/>
                  <w:sz w:val="18"/>
                  <w:szCs w:val="18"/>
                </w:rPr>
                <w:t>27</w:t>
              </w:r>
            </w:hyperlink>
          </w:p>
        </w:tc>
      </w:tr>
      <w:tr>
        <w:trPr>
          <w:cantSplit w:val="true"/>
        </w:trPr>
        <w:tc>
          <w:tcPr>
            <w:tcW w:w="53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kaufe ich mein erstes Auto in den USA?</w:t>
            </w:r>
          </w:p>
        </w:tc>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7">
              <w:r>
                <w:rPr>
                  <w:rStyle w:val="ListLabel112"/>
                  <w:rFonts w:eastAsia="Cambria" w:cs="Cambria"/>
                  <w:b w:val="false"/>
                  <w:bCs w:val="false"/>
                  <w:i w:val="false"/>
                  <w:iCs w:val="false"/>
                  <w:sz w:val="18"/>
                  <w:szCs w:val="18"/>
                </w:rPr>
                <w:t>27</w:t>
              </w:r>
            </w:hyperlink>
          </w:p>
        </w:tc>
      </w:tr>
      <w:tr>
        <w:trPr>
          <w:cantSplit w:val="true"/>
        </w:trPr>
        <w:tc>
          <w:tcPr>
            <w:tcW w:w="53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Lohnt es sich, mein Auto aus Deutschland mitzubringen?</w:t>
            </w:r>
          </w:p>
        </w:tc>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7">
              <w:r>
                <w:rPr>
                  <w:rStyle w:val="ListLabel112"/>
                  <w:rFonts w:eastAsia="Cambria" w:cs="Cambria"/>
                  <w:b w:val="false"/>
                  <w:bCs w:val="false"/>
                  <w:i w:val="false"/>
                  <w:iCs w:val="false"/>
                  <w:sz w:val="18"/>
                  <w:szCs w:val="18"/>
                </w:rPr>
                <w:t>27</w:t>
              </w:r>
            </w:hyperlink>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Arbeiten</w:t>
      </w:r>
    </w:p>
    <w:tbl>
      <w:tblPr>
        <w:tblW w:w="6480" w:type="dxa"/>
        <w:jc w:val="left"/>
        <w:tblInd w:w="0" w:type="dxa"/>
        <w:tblLayout w:type="fixed"/>
        <w:tblCellMar>
          <w:top w:w="50" w:type="dxa"/>
          <w:left w:w="80" w:type="dxa"/>
          <w:bottom w:w="50" w:type="dxa"/>
          <w:right w:w="80" w:type="dxa"/>
        </w:tblCellMar>
      </w:tblPr>
      <w:tblGrid>
        <w:gridCol w:w="5342"/>
        <w:gridCol w:w="1137"/>
      </w:tblGrid>
      <w:tr>
        <w:trPr>
          <w:tblHeader w:val="true"/>
          <w:cantSplit w:val="true"/>
        </w:trPr>
        <w:tc>
          <w:tcPr>
            <w:tcW w:w="534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113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5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funktioniert meine Steuererklärung in den USA?</w:t>
            </w:r>
          </w:p>
        </w:tc>
        <w:tc>
          <w:tcPr>
            <w:tcW w:w="11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8">
              <w:r>
                <w:rPr>
                  <w:rStyle w:val="ListLabel112"/>
                  <w:rFonts w:eastAsia="Cambria" w:cs="Cambria"/>
                  <w:b w:val="false"/>
                  <w:bCs w:val="false"/>
                  <w:i w:val="false"/>
                  <w:iCs w:val="false"/>
                  <w:sz w:val="18"/>
                  <w:szCs w:val="18"/>
                </w:rPr>
                <w:t>28</w:t>
              </w:r>
            </w:hyperlink>
          </w:p>
        </w:tc>
      </w:tr>
      <w:tr>
        <w:trPr>
          <w:cantSplit w:val="true"/>
        </w:trPr>
        <w:tc>
          <w:tcPr>
            <w:tcW w:w="5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ist FBAR, und muss ich mein deutsches Konto beim Finanzamt melden?</w:t>
            </w:r>
          </w:p>
        </w:tc>
        <w:tc>
          <w:tcPr>
            <w:tcW w:w="11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8">
              <w:r>
                <w:rPr>
                  <w:rStyle w:val="ListLabel112"/>
                  <w:rFonts w:eastAsia="Cambria" w:cs="Cambria"/>
                  <w:b w:val="false"/>
                  <w:bCs w:val="false"/>
                  <w:i w:val="false"/>
                  <w:iCs w:val="false"/>
                  <w:sz w:val="18"/>
                  <w:szCs w:val="18"/>
                </w:rPr>
                <w:t>28</w:t>
              </w:r>
            </w:hyperlink>
          </w:p>
        </w:tc>
      </w:tr>
      <w:tr>
        <w:trPr>
          <w:cantSplit w:val="true"/>
        </w:trPr>
        <w:tc>
          <w:tcPr>
            <w:tcW w:w="5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Kann mein Arbeitgeber mir wirklich ohne Grund kündigen?</w:t>
            </w:r>
          </w:p>
        </w:tc>
        <w:tc>
          <w:tcPr>
            <w:tcW w:w="11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9">
              <w:r>
                <w:rPr>
                  <w:rStyle w:val="ListLabel112"/>
                  <w:rFonts w:eastAsia="Cambria" w:cs="Cambria"/>
                  <w:b w:val="false"/>
                  <w:bCs w:val="false"/>
                  <w:i w:val="false"/>
                  <w:iCs w:val="false"/>
                  <w:sz w:val="18"/>
                  <w:szCs w:val="18"/>
                </w:rPr>
                <w:t>29</w:t>
              </w:r>
            </w:hyperlink>
          </w:p>
        </w:tc>
      </w:tr>
      <w:tr>
        <w:trPr>
          <w:cantSplit w:val="true"/>
        </w:trPr>
        <w:tc>
          <w:tcPr>
            <w:tcW w:w="5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viel Urlaub steht mir in den USA eigentlich zu?</w:t>
            </w:r>
          </w:p>
        </w:tc>
        <w:tc>
          <w:tcPr>
            <w:tcW w:w="11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9">
              <w:r>
                <w:rPr>
                  <w:rStyle w:val="ListLabel112"/>
                  <w:rFonts w:eastAsia="Cambria" w:cs="Cambria"/>
                  <w:b w:val="false"/>
                  <w:bCs w:val="false"/>
                  <w:i w:val="false"/>
                  <w:iCs w:val="false"/>
                  <w:sz w:val="18"/>
                  <w:szCs w:val="18"/>
                </w:rPr>
                <w:t>29</w:t>
              </w:r>
            </w:hyperlink>
          </w:p>
        </w:tc>
      </w:tr>
      <w:tr>
        <w:trPr>
          <w:cantSplit w:val="true"/>
        </w:trPr>
        <w:tc>
          <w:tcPr>
            <w:tcW w:w="5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schreibe ich eine Bewerbung nach US-Standard?</w:t>
            </w:r>
          </w:p>
        </w:tc>
        <w:tc>
          <w:tcPr>
            <w:tcW w:w="11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29">
              <w:r>
                <w:rPr>
                  <w:rStyle w:val="ListLabel112"/>
                  <w:rFonts w:eastAsia="Cambria" w:cs="Cambria"/>
                  <w:b w:val="false"/>
                  <w:bCs w:val="false"/>
                  <w:i w:val="false"/>
                  <w:iCs w:val="false"/>
                  <w:sz w:val="18"/>
                  <w:szCs w:val="18"/>
                </w:rPr>
                <w:t>29</w:t>
              </w:r>
            </w:hyperlink>
          </w:p>
        </w:tc>
      </w:tr>
      <w:tr>
        <w:trPr>
          <w:cantSplit w:val="true"/>
        </w:trPr>
        <w:tc>
          <w:tcPr>
            <w:tcW w:w="5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Mein Arbeitgeber hat mir gekündigt, was jetzt?</w:t>
            </w:r>
          </w:p>
        </w:tc>
        <w:tc>
          <w:tcPr>
            <w:tcW w:w="11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0">
              <w:r>
                <w:rPr>
                  <w:rStyle w:val="ListLabel112"/>
                  <w:rFonts w:eastAsia="Cambria" w:cs="Cambria"/>
                  <w:b w:val="false"/>
                  <w:bCs w:val="false"/>
                  <w:i w:val="false"/>
                  <w:iCs w:val="false"/>
                  <w:sz w:val="18"/>
                  <w:szCs w:val="18"/>
                </w:rPr>
                <w:t>30</w:t>
              </w:r>
            </w:hyperlink>
          </w:p>
        </w:tc>
      </w:tr>
      <w:tr>
        <w:trPr>
          <w:cantSplit w:val="true"/>
        </w:trPr>
        <w:tc>
          <w:tcPr>
            <w:tcW w:w="5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Kann ich zu einem anderen Arbeitgeber wechseln, ohne meinen Status zu gefährden?</w:t>
            </w:r>
          </w:p>
        </w:tc>
        <w:tc>
          <w:tcPr>
            <w:tcW w:w="11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0">
              <w:r>
                <w:rPr>
                  <w:rStyle w:val="ListLabel112"/>
                  <w:rFonts w:eastAsia="Cambria" w:cs="Cambria"/>
                  <w:b w:val="false"/>
                  <w:bCs w:val="false"/>
                  <w:i w:val="false"/>
                  <w:iCs w:val="false"/>
                  <w:sz w:val="18"/>
                  <w:szCs w:val="18"/>
                </w:rPr>
                <w:t>30</w:t>
              </w:r>
            </w:hyperlink>
          </w:p>
        </w:tc>
      </w:tr>
      <w:tr>
        <w:trPr>
          <w:cantSplit w:val="true"/>
        </w:trPr>
        <w:tc>
          <w:tcPr>
            <w:tcW w:w="5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ziehe innerhalb der USA um – muss ich das irgendwo melden?</w:t>
            </w:r>
          </w:p>
        </w:tc>
        <w:tc>
          <w:tcPr>
            <w:tcW w:w="11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0">
              <w:r>
                <w:rPr>
                  <w:rStyle w:val="ListLabel112"/>
                  <w:rFonts w:eastAsia="Cambria" w:cs="Cambria"/>
                  <w:b w:val="false"/>
                  <w:bCs w:val="false"/>
                  <w:i w:val="false"/>
                  <w:iCs w:val="false"/>
                  <w:sz w:val="18"/>
                  <w:szCs w:val="18"/>
                </w:rPr>
                <w:t>30</w:t>
              </w:r>
            </w:hyperlink>
          </w:p>
        </w:tc>
      </w:tr>
      <w:tr>
        <w:trPr>
          <w:cantSplit w:val="true"/>
        </w:trPr>
        <w:tc>
          <w:tcPr>
            <w:tcW w:w="5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Gefährdet ein Jobwechsel mein laufendes Green-Card-Verfahren?</w:t>
            </w:r>
          </w:p>
        </w:tc>
        <w:tc>
          <w:tcPr>
            <w:tcW w:w="11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0">
              <w:r>
                <w:rPr>
                  <w:rStyle w:val="ListLabel112"/>
                  <w:rFonts w:eastAsia="Cambria" w:cs="Cambria"/>
                  <w:b w:val="false"/>
                  <w:bCs w:val="false"/>
                  <w:i w:val="false"/>
                  <w:iCs w:val="false"/>
                  <w:sz w:val="18"/>
                  <w:szCs w:val="18"/>
                </w:rPr>
                <w:t>30</w:t>
              </w:r>
            </w:hyperlink>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Leben</w:t>
      </w:r>
    </w:p>
    <w:tbl>
      <w:tblPr>
        <w:tblW w:w="6480" w:type="dxa"/>
        <w:jc w:val="left"/>
        <w:tblInd w:w="0" w:type="dxa"/>
        <w:tblLayout w:type="fixed"/>
        <w:tblCellMar>
          <w:top w:w="50" w:type="dxa"/>
          <w:left w:w="80" w:type="dxa"/>
          <w:bottom w:w="50" w:type="dxa"/>
          <w:right w:w="80" w:type="dxa"/>
        </w:tblCellMar>
      </w:tblPr>
      <w:tblGrid>
        <w:gridCol w:w="5340"/>
        <w:gridCol w:w="1139"/>
      </w:tblGrid>
      <w:tr>
        <w:trPr>
          <w:tblHeader w:val="true"/>
          <w:cantSplit w:val="true"/>
        </w:trPr>
        <w:tc>
          <w:tcPr>
            <w:tcW w:w="534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113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53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viel Trinkgeld gebe ich im Restaurant?</w:t>
            </w:r>
          </w:p>
        </w:tc>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1">
              <w:r>
                <w:rPr>
                  <w:rStyle w:val="ListLabel112"/>
                  <w:rFonts w:eastAsia="Cambria" w:cs="Cambria"/>
                  <w:b w:val="false"/>
                  <w:bCs w:val="false"/>
                  <w:i w:val="false"/>
                  <w:iCs w:val="false"/>
                  <w:sz w:val="18"/>
                  <w:szCs w:val="18"/>
                </w:rPr>
                <w:t>31</w:t>
              </w:r>
            </w:hyperlink>
          </w:p>
        </w:tc>
      </w:tr>
      <w:tr>
        <w:trPr>
          <w:cantSplit w:val="true"/>
        </w:trPr>
        <w:tc>
          <w:tcPr>
            <w:tcW w:w="53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Warum begrüßt mich hier jeder mit einer Frage, auf die niemand eine Antwort erwartet?</w:t>
            </w:r>
          </w:p>
        </w:tc>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1">
              <w:r>
                <w:rPr>
                  <w:rStyle w:val="ListLabel112"/>
                  <w:rFonts w:eastAsia="Cambria" w:cs="Cambria"/>
                  <w:b w:val="false"/>
                  <w:bCs w:val="false"/>
                  <w:i w:val="false"/>
                  <w:iCs w:val="false"/>
                  <w:sz w:val="18"/>
                  <w:szCs w:val="18"/>
                </w:rPr>
                <w:t>31</w:t>
              </w:r>
            </w:hyperlink>
          </w:p>
        </w:tc>
      </w:tr>
      <w:tr>
        <w:trPr>
          <w:cantSplit w:val="true"/>
        </w:trPr>
        <w:tc>
          <w:tcPr>
            <w:tcW w:w="53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Über welche Themen sollte ich bei Fremden lieber schweigen?</w:t>
            </w:r>
          </w:p>
        </w:tc>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1">
              <w:r>
                <w:rPr>
                  <w:rStyle w:val="ListLabel112"/>
                  <w:rFonts w:eastAsia="Cambria" w:cs="Cambria"/>
                  <w:b w:val="false"/>
                  <w:bCs w:val="false"/>
                  <w:i w:val="false"/>
                  <w:iCs w:val="false"/>
                  <w:sz w:val="18"/>
                  <w:szCs w:val="18"/>
                </w:rPr>
                <w:t>31</w:t>
              </w:r>
            </w:hyperlink>
          </w:p>
        </w:tc>
      </w:tr>
      <w:tr>
        <w:trPr>
          <w:cantSplit w:val="true"/>
        </w:trPr>
        <w:tc>
          <w:tcPr>
            <w:tcW w:w="53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finde ich in einem neuen Land überhaupt Freunde?</w:t>
            </w:r>
          </w:p>
        </w:tc>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2">
              <w:r>
                <w:rPr>
                  <w:rStyle w:val="ListLabel112"/>
                  <w:rFonts w:eastAsia="Cambria" w:cs="Cambria"/>
                  <w:b w:val="false"/>
                  <w:bCs w:val="false"/>
                  <w:i w:val="false"/>
                  <w:iCs w:val="false"/>
                  <w:sz w:val="18"/>
                  <w:szCs w:val="18"/>
                </w:rPr>
                <w:t>32</w:t>
              </w:r>
            </w:hyperlink>
          </w:p>
        </w:tc>
      </w:tr>
      <w:tr>
        <w:trPr>
          <w:cantSplit w:val="true"/>
        </w:trPr>
        <w:tc>
          <w:tcPr>
            <w:tcW w:w="53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Warum lädt mich niemand spontan nach Feierabend ein?</w:t>
            </w:r>
          </w:p>
        </w:tc>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2">
              <w:r>
                <w:rPr>
                  <w:rStyle w:val="ListLabel112"/>
                  <w:rFonts w:eastAsia="Cambria" w:cs="Cambria"/>
                  <w:b w:val="false"/>
                  <w:bCs w:val="false"/>
                  <w:i w:val="false"/>
                  <w:iCs w:val="false"/>
                  <w:sz w:val="18"/>
                  <w:szCs w:val="18"/>
                </w:rPr>
                <w:t>32</w:t>
              </w:r>
            </w:hyperlink>
          </w:p>
        </w:tc>
      </w:tr>
      <w:tr>
        <w:trPr>
          <w:cantSplit w:val="true"/>
        </w:trPr>
        <w:tc>
          <w:tcPr>
            <w:tcW w:w="53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Ich fühle mich seit Monaten fremd und unglücklich – ist das normal?</w:t>
            </w:r>
          </w:p>
        </w:tc>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3">
              <w:r>
                <w:rPr>
                  <w:rStyle w:val="ListLabel112"/>
                  <w:rFonts w:eastAsia="Cambria" w:cs="Cambria"/>
                  <w:b w:val="false"/>
                  <w:bCs w:val="false"/>
                  <w:i w:val="false"/>
                  <w:iCs w:val="false"/>
                  <w:sz w:val="18"/>
                  <w:szCs w:val="18"/>
                </w:rPr>
                <w:t>33</w:t>
              </w:r>
            </w:hyperlink>
          </w:p>
        </w:tc>
      </w:tr>
      <w:tr>
        <w:trPr>
          <w:cantSplit w:val="true"/>
        </w:trPr>
        <w:tc>
          <w:tcPr>
            <w:tcW w:w="53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An wen wende ich mich, wenn es mir psychisch richtig schlecht geht?</w:t>
            </w:r>
          </w:p>
        </w:tc>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3">
              <w:r>
                <w:rPr>
                  <w:rStyle w:val="ListLabel112"/>
                  <w:rFonts w:eastAsia="Cambria" w:cs="Cambria"/>
                  <w:b w:val="false"/>
                  <w:bCs w:val="false"/>
                  <w:i w:val="false"/>
                  <w:iCs w:val="false"/>
                  <w:sz w:val="18"/>
                  <w:szCs w:val="18"/>
                </w:rPr>
                <w:t>33</w:t>
              </w:r>
            </w:hyperlink>
          </w:p>
        </w:tc>
      </w:tr>
      <w:tr>
        <w:trPr>
          <w:cantSplit w:val="true"/>
        </w:trPr>
        <w:tc>
          <w:tcPr>
            <w:tcW w:w="53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Muss ich mir für den Job einen Anzug kaufen?</w:t>
            </w:r>
          </w:p>
        </w:tc>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4">
              <w:r>
                <w:rPr>
                  <w:rStyle w:val="ListLabel112"/>
                  <w:rFonts w:eastAsia="Cambria" w:cs="Cambria"/>
                  <w:b w:val="false"/>
                  <w:bCs w:val="false"/>
                  <w:i w:val="false"/>
                  <w:iCs w:val="false"/>
                  <w:sz w:val="18"/>
                  <w:szCs w:val="18"/>
                </w:rPr>
                <w:t>34</w:t>
              </w:r>
            </w:hyperlink>
          </w:p>
        </w:tc>
      </w:tr>
      <w:tr>
        <w:trPr>
          <w:cantSplit w:val="true"/>
        </w:trPr>
        <w:tc>
          <w:tcPr>
            <w:tcW w:w="53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Wo kaufe ich günstig Lebensmittel ein?</w:t>
            </w:r>
          </w:p>
        </w:tc>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5">
              <w:r>
                <w:rPr>
                  <w:rStyle w:val="ListLabel112"/>
                  <w:rFonts w:eastAsia="Cambria" w:cs="Cambria"/>
                  <w:b w:val="false"/>
                  <w:bCs w:val="false"/>
                  <w:i w:val="false"/>
                  <w:iCs w:val="false"/>
                  <w:sz w:val="18"/>
                  <w:szCs w:val="18"/>
                </w:rPr>
                <w:t>35</w:t>
              </w:r>
            </w:hyperlink>
          </w:p>
        </w:tc>
      </w:tr>
      <w:tr>
        <w:trPr>
          <w:cantSplit w:val="true"/>
        </w:trPr>
        <w:tc>
          <w:tcPr>
            <w:tcW w:w="534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welchem Alter darf ich in den USA Alkohol kaufen?</w:t>
            </w:r>
          </w:p>
        </w:tc>
        <w:tc>
          <w:tcPr>
            <w:tcW w:w="113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5">
              <w:r>
                <w:rPr>
                  <w:rStyle w:val="ListLabel112"/>
                  <w:rFonts w:eastAsia="Cambria" w:cs="Cambria"/>
                  <w:b w:val="false"/>
                  <w:bCs w:val="false"/>
                  <w:i w:val="false"/>
                  <w:iCs w:val="false"/>
                  <w:sz w:val="18"/>
                  <w:szCs w:val="18"/>
                </w:rPr>
                <w:t>35</w:t>
              </w:r>
            </w:hyperlink>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Kinder</w:t>
      </w:r>
    </w:p>
    <w:tbl>
      <w:tblPr>
        <w:tblW w:w="6480" w:type="dxa"/>
        <w:jc w:val="left"/>
        <w:tblInd w:w="0" w:type="dxa"/>
        <w:tblLayout w:type="fixed"/>
        <w:tblCellMar>
          <w:top w:w="50" w:type="dxa"/>
          <w:left w:w="80" w:type="dxa"/>
          <w:bottom w:w="50" w:type="dxa"/>
          <w:right w:w="80" w:type="dxa"/>
        </w:tblCellMar>
      </w:tblPr>
      <w:tblGrid>
        <w:gridCol w:w="5344"/>
        <w:gridCol w:w="1135"/>
      </w:tblGrid>
      <w:tr>
        <w:trPr>
          <w:tblHeader w:val="true"/>
          <w:cantSplit w:val="true"/>
        </w:trPr>
        <w:tc>
          <w:tcPr>
            <w:tcW w:w="534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113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finde ich die richtige Schule für mein Kind?</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6">
              <w:r>
                <w:rPr>
                  <w:rStyle w:val="ListLabel112"/>
                  <w:rFonts w:eastAsia="Cambria" w:cs="Cambria"/>
                  <w:b w:val="false"/>
                  <w:bCs w:val="false"/>
                  <w:i w:val="false"/>
                  <w:iCs w:val="false"/>
                  <w:sz w:val="18"/>
                  <w:szCs w:val="18"/>
                </w:rPr>
                <w:t>36</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Ist ein US-Schulabschluss mit dem deutschen Abitur vergleichbar?</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6">
              <w:r>
                <w:rPr>
                  <w:rStyle w:val="ListLabel112"/>
                  <w:rFonts w:eastAsia="Cambria" w:cs="Cambria"/>
                  <w:b w:val="false"/>
                  <w:bCs w:val="false"/>
                  <w:i w:val="false"/>
                  <w:iCs w:val="false"/>
                  <w:sz w:val="18"/>
                  <w:szCs w:val="18"/>
                </w:rPr>
                <w:t>36</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Mein Kind spricht kaum Englisch – bekommt es in der Schule Unterstützung?</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7">
              <w:r>
                <w:rPr>
                  <w:rStyle w:val="ListLabel112"/>
                  <w:rFonts w:eastAsia="Cambria" w:cs="Cambria"/>
                  <w:b w:val="false"/>
                  <w:bCs w:val="false"/>
                  <w:i w:val="false"/>
                  <w:iCs w:val="false"/>
                  <w:sz w:val="18"/>
                  <w:szCs w:val="18"/>
                </w:rPr>
                <w:t>37</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halte ich Deutsch als Familiensprache am Leben?</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7">
              <w:r>
                <w:rPr>
                  <w:rStyle w:val="ListLabel112"/>
                  <w:rFonts w:eastAsia="Cambria" w:cs="Cambria"/>
                  <w:b w:val="false"/>
                  <w:bCs w:val="false"/>
                  <w:i w:val="false"/>
                  <w:iCs w:val="false"/>
                  <w:sz w:val="18"/>
                  <w:szCs w:val="18"/>
                </w:rPr>
                <w:t>37</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Unser Kind wird in den USA geboren – welchen Pass bekommt es?</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8">
              <w:r>
                <w:rPr>
                  <w:rStyle w:val="ListLabel112"/>
                  <w:rFonts w:eastAsia="Cambria" w:cs="Cambria"/>
                  <w:b w:val="false"/>
                  <w:bCs w:val="false"/>
                  <w:i w:val="false"/>
                  <w:iCs w:val="false"/>
                  <w:sz w:val="18"/>
                  <w:szCs w:val="18"/>
                </w:rPr>
                <w:t>38</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teuer ist eine Geburt in einem US-Krankenhaus?</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8">
              <w:r>
                <w:rPr>
                  <w:rStyle w:val="ListLabel112"/>
                  <w:rFonts w:eastAsia="Cambria" w:cs="Cambria"/>
                  <w:b w:val="false"/>
                  <w:bCs w:val="false"/>
                  <w:i w:val="false"/>
                  <w:iCs w:val="false"/>
                  <w:sz w:val="18"/>
                  <w:szCs w:val="18"/>
                </w:rPr>
                <w:t>38</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teuer ist Kinderbetreuung in den USA?</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8">
              <w:r>
                <w:rPr>
                  <w:rStyle w:val="ListLabel112"/>
                  <w:rFonts w:eastAsia="Cambria" w:cs="Cambria"/>
                  <w:b w:val="false"/>
                  <w:bCs w:val="false"/>
                  <w:i w:val="false"/>
                  <w:iCs w:val="false"/>
                  <w:sz w:val="18"/>
                  <w:szCs w:val="18"/>
                </w:rPr>
                <w:t>38</w:t>
              </w:r>
            </w:hyperlink>
          </w:p>
        </w:tc>
      </w:tr>
      <w:tr>
        <w:trPr>
          <w:cantSplit w:val="true"/>
        </w:trPr>
        <w:tc>
          <w:tcPr>
            <w:tcW w:w="534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welchem Alter darf mein Kind allein zu Hause bleiben?</w:t>
            </w:r>
          </w:p>
        </w:tc>
        <w:tc>
          <w:tcPr>
            <w:tcW w:w="113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8">
              <w:r>
                <w:rPr>
                  <w:rStyle w:val="ListLabel112"/>
                  <w:rFonts w:eastAsia="Cambria" w:cs="Cambria"/>
                  <w:b w:val="false"/>
                  <w:bCs w:val="false"/>
                  <w:i w:val="false"/>
                  <w:iCs w:val="false"/>
                  <w:sz w:val="18"/>
                  <w:szCs w:val="18"/>
                </w:rPr>
                <w:t>38</w:t>
              </w:r>
            </w:hyperlink>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Langfristig</w:t>
      </w:r>
    </w:p>
    <w:tbl>
      <w:tblPr>
        <w:tblW w:w="6480" w:type="dxa"/>
        <w:jc w:val="left"/>
        <w:tblInd w:w="0" w:type="dxa"/>
        <w:tblLayout w:type="fixed"/>
        <w:tblCellMar>
          <w:top w:w="50" w:type="dxa"/>
          <w:left w:w="80" w:type="dxa"/>
          <w:bottom w:w="50" w:type="dxa"/>
          <w:right w:w="80" w:type="dxa"/>
        </w:tblCellMar>
      </w:tblPr>
      <w:tblGrid>
        <w:gridCol w:w="5342"/>
        <w:gridCol w:w="1137"/>
      </w:tblGrid>
      <w:tr>
        <w:trPr>
          <w:tblHeader w:val="true"/>
          <w:cantSplit w:val="true"/>
        </w:trPr>
        <w:tc>
          <w:tcPr>
            <w:tcW w:w="534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113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Kapitel</w:t>
            </w:r>
          </w:p>
        </w:tc>
      </w:tr>
      <w:tr>
        <w:trPr>
          <w:cantSplit w:val="true"/>
        </w:trPr>
        <w:tc>
          <w:tcPr>
            <w:tcW w:w="5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Bekomme ich später überhaupt eine US-Rente, wenn ich nicht lange genug arbeite?</w:t>
            </w:r>
          </w:p>
        </w:tc>
        <w:tc>
          <w:tcPr>
            <w:tcW w:w="11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9">
              <w:r>
                <w:rPr>
                  <w:rStyle w:val="ListLabel112"/>
                  <w:rFonts w:eastAsia="Cambria" w:cs="Cambria"/>
                  <w:b w:val="false"/>
                  <w:bCs w:val="false"/>
                  <w:i w:val="false"/>
                  <w:iCs w:val="false"/>
                  <w:sz w:val="18"/>
                  <w:szCs w:val="18"/>
                </w:rPr>
                <w:t>39</w:t>
              </w:r>
            </w:hyperlink>
          </w:p>
        </w:tc>
      </w:tr>
      <w:tr>
        <w:trPr>
          <w:cantSplit w:val="true"/>
        </w:trPr>
        <w:tc>
          <w:tcPr>
            <w:tcW w:w="5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Brauche ich in den USA ein Testament?</w:t>
            </w:r>
          </w:p>
        </w:tc>
        <w:tc>
          <w:tcPr>
            <w:tcW w:w="11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9">
              <w:r>
                <w:rPr>
                  <w:rStyle w:val="ListLabel112"/>
                  <w:rFonts w:eastAsia="Cambria" w:cs="Cambria"/>
                  <w:b w:val="false"/>
                  <w:bCs w:val="false"/>
                  <w:i w:val="false"/>
                  <w:iCs w:val="false"/>
                  <w:sz w:val="18"/>
                  <w:szCs w:val="18"/>
                </w:rPr>
                <w:t>39</w:t>
              </w:r>
            </w:hyperlink>
          </w:p>
        </w:tc>
      </w:tr>
      <w:tr>
        <w:trPr>
          <w:cantSplit w:val="true"/>
        </w:trPr>
        <w:tc>
          <w:tcPr>
            <w:tcW w:w="5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mache ich mit meinem 401(k), wenn ich den Job wechsle?</w:t>
            </w:r>
          </w:p>
        </w:tc>
        <w:tc>
          <w:tcPr>
            <w:tcW w:w="11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39">
              <w:r>
                <w:rPr>
                  <w:rStyle w:val="ListLabel112"/>
                  <w:rFonts w:eastAsia="Cambria" w:cs="Cambria"/>
                  <w:b w:val="false"/>
                  <w:bCs w:val="false"/>
                  <w:i w:val="false"/>
                  <w:iCs w:val="false"/>
                  <w:sz w:val="18"/>
                  <w:szCs w:val="18"/>
                </w:rPr>
                <w:t>39</w:t>
              </w:r>
            </w:hyperlink>
          </w:p>
        </w:tc>
      </w:tr>
      <w:tr>
        <w:trPr>
          <w:cantSplit w:val="true"/>
        </w:trPr>
        <w:tc>
          <w:tcPr>
            <w:tcW w:w="5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Gefährdet Trunkenheit am Steuer meinen Aufenthaltsstatus?</w:t>
            </w:r>
          </w:p>
        </w:tc>
        <w:tc>
          <w:tcPr>
            <w:tcW w:w="11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0">
              <w:r>
                <w:rPr>
                  <w:rStyle w:val="ListLabel112"/>
                  <w:rFonts w:eastAsia="Cambria" w:cs="Cambria"/>
                  <w:b w:val="false"/>
                  <w:bCs w:val="false"/>
                  <w:i w:val="false"/>
                  <w:iCs w:val="false"/>
                  <w:sz w:val="18"/>
                  <w:szCs w:val="18"/>
                </w:rPr>
                <w:t>40</w:t>
              </w:r>
            </w:hyperlink>
          </w:p>
        </w:tc>
      </w:tr>
      <w:tr>
        <w:trPr>
          <w:cantSplit w:val="true"/>
        </w:trPr>
        <w:tc>
          <w:tcPr>
            <w:tcW w:w="5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Darf ich als Visuminhaber eine Waffe besitzen?</w:t>
            </w:r>
          </w:p>
        </w:tc>
        <w:tc>
          <w:tcPr>
            <w:tcW w:w="11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0">
              <w:r>
                <w:rPr>
                  <w:rStyle w:val="ListLabel112"/>
                  <w:rFonts w:eastAsia="Cambria" w:cs="Cambria"/>
                  <w:b w:val="false"/>
                  <w:bCs w:val="false"/>
                  <w:i w:val="false"/>
                  <w:iCs w:val="false"/>
                  <w:sz w:val="18"/>
                  <w:szCs w:val="18"/>
                </w:rPr>
                <w:t>40</w:t>
              </w:r>
            </w:hyperlink>
          </w:p>
        </w:tc>
      </w:tr>
      <w:tr>
        <w:trPr>
          <w:cantSplit w:val="true"/>
        </w:trPr>
        <w:tc>
          <w:tcPr>
            <w:tcW w:w="5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mache ich, wenn mich die Polizei anhält?</w:t>
            </w:r>
          </w:p>
        </w:tc>
        <w:tc>
          <w:tcPr>
            <w:tcW w:w="11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0">
              <w:r>
                <w:rPr>
                  <w:rStyle w:val="ListLabel112"/>
                  <w:rFonts w:eastAsia="Cambria" w:cs="Cambria"/>
                  <w:b w:val="false"/>
                  <w:bCs w:val="false"/>
                  <w:i w:val="false"/>
                  <w:iCs w:val="false"/>
                  <w:sz w:val="18"/>
                  <w:szCs w:val="18"/>
                </w:rPr>
                <w:t>40</w:t>
              </w:r>
            </w:hyperlink>
          </w:p>
        </w:tc>
      </w:tr>
      <w:tr>
        <w:trPr>
          <w:cantSplit w:val="true"/>
        </w:trPr>
        <w:tc>
          <w:tcPr>
            <w:tcW w:w="5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lange muss ich die Green Card haben, bevor ich mich einbürgern lassen kann?</w:t>
            </w:r>
          </w:p>
        </w:tc>
        <w:tc>
          <w:tcPr>
            <w:tcW w:w="11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1">
              <w:r>
                <w:rPr>
                  <w:rStyle w:val="ListLabel112"/>
                  <w:rFonts w:eastAsia="Cambria" w:cs="Cambria"/>
                  <w:b w:val="false"/>
                  <w:bCs w:val="false"/>
                  <w:i w:val="false"/>
                  <w:iCs w:val="false"/>
                  <w:sz w:val="18"/>
                  <w:szCs w:val="18"/>
                </w:rPr>
                <w:t>41</w:t>
              </w:r>
            </w:hyperlink>
          </w:p>
        </w:tc>
      </w:tr>
      <w:tr>
        <w:trPr>
          <w:cantSplit w:val="true"/>
        </w:trPr>
        <w:tc>
          <w:tcPr>
            <w:tcW w:w="5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Verliere ich meinen deutschen Pass, wenn ich US-Bürger werde?</w:t>
            </w:r>
          </w:p>
        </w:tc>
        <w:tc>
          <w:tcPr>
            <w:tcW w:w="11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1">
              <w:r>
                <w:rPr>
                  <w:rStyle w:val="ListLabel112"/>
                  <w:rFonts w:eastAsia="Cambria" w:cs="Cambria"/>
                  <w:b w:val="false"/>
                  <w:bCs w:val="false"/>
                  <w:i w:val="false"/>
                  <w:iCs w:val="false"/>
                  <w:sz w:val="18"/>
                  <w:szCs w:val="18"/>
                </w:rPr>
                <w:t>41</w:t>
              </w:r>
            </w:hyperlink>
          </w:p>
        </w:tc>
      </w:tr>
      <w:tr>
        <w:trPr>
          <w:cantSplit w:val="true"/>
        </w:trPr>
        <w:tc>
          <w:tcPr>
            <w:tcW w:w="534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muss ich vor einer Rückkehr nach Deutschland alles regeln?</w:t>
            </w:r>
          </w:p>
        </w:tc>
        <w:tc>
          <w:tcPr>
            <w:tcW w:w="113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Kapitel </w:t>
            </w:r>
            <w:hyperlink w:anchor="k42">
              <w:r>
                <w:rPr>
                  <w:rStyle w:val="ListLabel112"/>
                  <w:rFonts w:eastAsia="Cambria" w:cs="Cambria"/>
                  <w:b w:val="false"/>
                  <w:bCs w:val="false"/>
                  <w:i w:val="false"/>
                  <w:iCs w:val="false"/>
                  <w:sz w:val="18"/>
                  <w:szCs w:val="18"/>
                </w:rPr>
                <w:t>42</w:t>
              </w:r>
            </w:hyperlink>
          </w:p>
        </w:tc>
      </w:tr>
    </w:tbl>
    <w:p>
      <w:pPr>
        <w:pStyle w:val="Normal"/>
        <w:spacing w:lineRule="exact" w:line="180" w:before="0" w:after="0"/>
        <w:rPr/>
      </w:pPr>
      <w:r>
        <w:rPr/>
      </w:r>
      <w:r>
        <w:br w:type="page"/>
      </w:r>
    </w:p>
    <w:p>
      <w:pPr>
        <w:pStyle w:val="Heading2"/>
        <w:keepNext w:val="true"/>
        <w:spacing w:before="0" w:after="300"/>
        <w:jc w:val="center"/>
        <w:rPr/>
      </w:pPr>
      <w:bookmarkStart w:id="226" w:name="__RefHeading___Toc56657_3769931028"/>
      <w:bookmarkStart w:id="227" w:name="s107"/>
      <w:bookmarkEnd w:id="226"/>
      <w:r>
        <w:rPr>
          <w:rFonts w:eastAsia="Amazon Ember" w:cs="Amazon Ember" w:ascii="Amazon Ember" w:hAnsi="Amazon Ember"/>
          <w:b/>
          <w:bCs/>
          <w:color w:val="0000FF"/>
          <w:sz w:val="36"/>
          <w:szCs w:val="36"/>
        </w:rPr>
        <w:t>Kanada</w:t>
      </w:r>
      <w:bookmarkEnd w:id="227"/>
    </w:p>
    <w:p>
      <w:pPr>
        <w:pStyle w:val="Normal"/>
        <w:keepNext w:val="false"/>
        <w:keepLines w:val="false"/>
        <w:spacing w:lineRule="exact" w:line="288" w:before="0" w:after="140"/>
        <w:jc w:val="left"/>
        <w:rPr/>
      </w:pPr>
      <w:r>
        <w:rPr>
          <w:rFonts w:eastAsia="Cambria" w:cs="Cambria"/>
          <w:b w:val="false"/>
          <w:bCs w:val="false"/>
          <w:i w:val="false"/>
          <w:iCs w:val="false"/>
          <w:sz w:val="22"/>
          <w:szCs w:val="22"/>
        </w:rPr>
        <w:t>Für Kanada reicht ein kompakterer Überblick als für die USA. Die folgenden rund 30 Fragen ordnen sich entlang des Kanada-Teils, von der Einwanderung bis zur Einbürgerung.</w:t>
      </w:r>
    </w:p>
    <w:p>
      <w:pPr>
        <w:pStyle w:val="Heading3"/>
        <w:keepNext w:val="true"/>
        <w:spacing w:before="280" w:after="100"/>
        <w:jc w:val="center"/>
        <w:rPr/>
      </w:pPr>
      <w:r>
        <w:rPr>
          <w:rFonts w:eastAsia="Amazon Ember" w:cs="Amazon Ember" w:ascii="Amazon Ember" w:hAnsi="Amazon Ember"/>
          <w:b/>
          <w:bCs/>
          <w:color w:val="0000FF"/>
          <w:sz w:val="36"/>
          <w:szCs w:val="36"/>
        </w:rPr>
        <w:t>Kanada: Einwanderung und Visum</w:t>
      </w:r>
    </w:p>
    <w:tbl>
      <w:tblPr>
        <w:tblW w:w="6480" w:type="dxa"/>
        <w:jc w:val="left"/>
        <w:tblInd w:w="0" w:type="dxa"/>
        <w:tblLayout w:type="fixed"/>
        <w:tblCellMar>
          <w:top w:w="50" w:type="dxa"/>
          <w:left w:w="80" w:type="dxa"/>
          <w:bottom w:w="50" w:type="dxa"/>
          <w:right w:w="80" w:type="dxa"/>
        </w:tblCellMar>
      </w:tblPr>
      <w:tblGrid>
        <w:gridCol w:w="3963"/>
        <w:gridCol w:w="2516"/>
      </w:tblGrid>
      <w:tr>
        <w:trPr>
          <w:tblHeader w:val="true"/>
          <w:cantSplit w:val="true"/>
        </w:trPr>
        <w:tc>
          <w:tcPr>
            <w:tcW w:w="396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251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Mehr dazu</w:t>
            </w:r>
          </w:p>
        </w:tc>
      </w:tr>
      <w:tr>
        <w:trPr>
          <w:cantSplit w:val="true"/>
        </w:trPr>
        <w:tc>
          <w:tcPr>
            <w:tcW w:w="39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Lohnt sich Kanada finanziell für mich, wenn ich Steuerkeil und Lebenshaltungskosten mit Deutschland vergleiche?</w:t>
            </w:r>
          </w:p>
        </w:tc>
        <w:tc>
          <w:tcPr>
            <w:tcW w:w="25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Die ehrliche Bilanz</w:t>
            </w:r>
          </w:p>
        </w:tc>
      </w:tr>
      <w:tr>
        <w:trPr>
          <w:cantSplit w:val="true"/>
        </w:trPr>
        <w:tc>
          <w:tcPr>
            <w:tcW w:w="39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ist der Unterschied zwischen Express Entry und einem Provincial Nominee Program?</w:t>
            </w:r>
          </w:p>
        </w:tc>
        <w:tc>
          <w:tcPr>
            <w:tcW w:w="25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Wege der Einwanderung</w:t>
            </w:r>
          </w:p>
        </w:tc>
      </w:tr>
      <w:tr>
        <w:trPr>
          <w:cantSplit w:val="true"/>
        </w:trPr>
        <w:tc>
          <w:tcPr>
            <w:tcW w:w="39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berechne ich meinen CRS-Score realistisch, und bringt mir ein Jobangebot noch Zusatzpunkte?</w:t>
            </w:r>
          </w:p>
        </w:tc>
        <w:tc>
          <w:tcPr>
            <w:tcW w:w="25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Der Arbeitsweg</w:t>
            </w:r>
          </w:p>
        </w:tc>
      </w:tr>
      <w:tr>
        <w:trPr>
          <w:cantSplit w:val="true"/>
        </w:trPr>
        <w:tc>
          <w:tcPr>
            <w:tcW w:w="39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bedeutet LMIA-pflichtig, und wie unterscheidet es sich von LMIA-frei?</w:t>
            </w:r>
          </w:p>
        </w:tc>
        <w:tc>
          <w:tcPr>
            <w:tcW w:w="25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Wege der Einwanderung</w:t>
            </w:r>
          </w:p>
        </w:tc>
      </w:tr>
      <w:tr>
        <w:trPr>
          <w:cantSplit w:val="true"/>
        </w:trPr>
        <w:tc>
          <w:tcPr>
            <w:tcW w:w="39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Kann ich meine Eltern oder Großeltern über das Super Visa nach Kanada holen?</w:t>
            </w:r>
          </w:p>
        </w:tc>
        <w:tc>
          <w:tcPr>
            <w:tcW w:w="25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Familie, Investor, Ruhestand</w:t>
            </w:r>
          </w:p>
        </w:tc>
      </w:tr>
      <w:tr>
        <w:trPr>
          <w:cantSplit w:val="true"/>
        </w:trPr>
        <w:tc>
          <w:tcPr>
            <w:tcW w:w="39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kostet der Antrag auf die permanente Aufenthaltserlaubnis für meine ganze Familie, und brauche ich für mein Führungszeugnis eine Apostille?</w:t>
            </w:r>
          </w:p>
        </w:tc>
        <w:tc>
          <w:tcPr>
            <w:tcW w:w="25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Antrag, Konsulat, Kosten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Kanada: Ankunft und Geld</w:t>
      </w:r>
    </w:p>
    <w:tbl>
      <w:tblPr>
        <w:tblW w:w="6480" w:type="dxa"/>
        <w:jc w:val="left"/>
        <w:tblInd w:w="0" w:type="dxa"/>
        <w:tblLayout w:type="fixed"/>
        <w:tblCellMar>
          <w:top w:w="50" w:type="dxa"/>
          <w:left w:w="80" w:type="dxa"/>
          <w:bottom w:w="50" w:type="dxa"/>
          <w:right w:w="80" w:type="dxa"/>
        </w:tblCellMar>
      </w:tblPr>
      <w:tblGrid>
        <w:gridCol w:w="4129"/>
        <w:gridCol w:w="2350"/>
      </w:tblGrid>
      <w:tr>
        <w:trPr>
          <w:tblHeader w:val="true"/>
          <w:cantSplit w:val="true"/>
        </w:trPr>
        <w:tc>
          <w:tcPr>
            <w:tcW w:w="4129"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2350"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Mehr dazu</w:t>
            </w:r>
          </w:p>
        </w:tc>
      </w:tr>
      <w:tr>
        <w:trPr>
          <w:cantSplit w:val="true"/>
        </w:trPr>
        <w:tc>
          <w:tcPr>
            <w:tcW w:w="41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muss ich in den ersten Tagen nach der Landung erledigen, und wie beantrage ich meine Social Insurance Number?</w:t>
            </w:r>
          </w:p>
        </w:tc>
        <w:tc>
          <w:tcPr>
            <w:tcW w:w="23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Ankunft, erste Wochen</w:t>
            </w:r>
          </w:p>
        </w:tc>
      </w:tr>
      <w:tr>
        <w:trPr>
          <w:cantSplit w:val="true"/>
        </w:trPr>
        <w:tc>
          <w:tcPr>
            <w:tcW w:w="41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eröffne ich ein kanadisches Bankkonto schon vor der Ausreise?</w:t>
            </w:r>
          </w:p>
        </w:tc>
        <w:tc>
          <w:tcPr>
            <w:tcW w:w="23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Ankunft, erste Wochen</w:t>
            </w:r>
          </w:p>
        </w:tc>
      </w:tr>
      <w:tr>
        <w:trPr>
          <w:cantSplit w:val="true"/>
        </w:trPr>
        <w:tc>
          <w:tcPr>
            <w:tcW w:w="41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baue ich mir eine kanadische Kreditwürdigkeit auf, wenn meine Schufa nicht zählt?</w:t>
            </w:r>
          </w:p>
        </w:tc>
        <w:tc>
          <w:tcPr>
            <w:tcW w:w="23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Steuer-ID/Bank/Kredit</w:t>
            </w:r>
          </w:p>
        </w:tc>
      </w:tr>
      <w:tr>
        <w:trPr>
          <w:cantSplit w:val="true"/>
        </w:trPr>
        <w:tc>
          <w:tcPr>
            <w:tcW w:w="41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Warum zahle ich in manchen Provinzen keine Verkaufssteuer und in anderen 15 %?</w:t>
            </w:r>
          </w:p>
        </w:tc>
        <w:tc>
          <w:tcPr>
            <w:tcW w:w="23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Steuer-ID/Bank/Kredit</w:t>
            </w:r>
          </w:p>
        </w:tc>
      </w:tr>
      <w:tr>
        <w:trPr>
          <w:cantSplit w:val="true"/>
        </w:trPr>
        <w:tc>
          <w:tcPr>
            <w:tcW w:w="41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wann bin ich in meiner Provinz krankenversichert, und wo gibt es eine Wartefrist?</w:t>
            </w:r>
          </w:p>
        </w:tc>
        <w:tc>
          <w:tcPr>
            <w:tcW w:w="23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Gesundheitssystem</w:t>
            </w:r>
          </w:p>
        </w:tc>
      </w:tr>
      <w:tr>
        <w:trPr>
          <w:cantSplit w:val="true"/>
        </w:trPr>
        <w:tc>
          <w:tcPr>
            <w:tcW w:w="4129"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deckt die provinzielle Krankenversicherung nicht ab, und wie finde ich einen Hausarzt?</w:t>
            </w:r>
          </w:p>
        </w:tc>
        <w:tc>
          <w:tcPr>
            <w:tcW w:w="2350"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Gesundheitssystem</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Kanada: Wohnen, Führerschein und Verkehr</w:t>
      </w:r>
    </w:p>
    <w:tbl>
      <w:tblPr>
        <w:tblW w:w="6480" w:type="dxa"/>
        <w:jc w:val="left"/>
        <w:tblInd w:w="0" w:type="dxa"/>
        <w:tblLayout w:type="fixed"/>
        <w:tblCellMar>
          <w:top w:w="50" w:type="dxa"/>
          <w:left w:w="80" w:type="dxa"/>
          <w:bottom w:w="50" w:type="dxa"/>
          <w:right w:w="80" w:type="dxa"/>
        </w:tblCellMar>
      </w:tblPr>
      <w:tblGrid>
        <w:gridCol w:w="3906"/>
        <w:gridCol w:w="2573"/>
      </w:tblGrid>
      <w:tr>
        <w:trPr>
          <w:tblHeader w:val="true"/>
          <w:cantSplit w:val="true"/>
        </w:trPr>
        <w:tc>
          <w:tcPr>
            <w:tcW w:w="390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257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Mehr dazu</w:t>
            </w:r>
          </w:p>
        </w:tc>
      </w:tr>
      <w:tr>
        <w:trPr>
          <w:cantSplit w:val="true"/>
        </w:trPr>
        <w:tc>
          <w:tcPr>
            <w:tcW w:w="39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viel Kaution darf mein Vermieter verlangen?</w:t>
            </w:r>
          </w:p>
        </w:tc>
        <w:tc>
          <w:tcPr>
            <w:tcW w:w="25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Wohnen</w:t>
            </w:r>
          </w:p>
        </w:tc>
      </w:tr>
      <w:tr>
        <w:trPr>
          <w:cantSplit w:val="true"/>
        </w:trPr>
        <w:tc>
          <w:tcPr>
            <w:tcW w:w="39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Darf ich als Neuankömmling ohne Permanent-Resident-Status überhaupt eine Immobilie kaufen?</w:t>
            </w:r>
          </w:p>
        </w:tc>
        <w:tc>
          <w:tcPr>
            <w:tcW w:w="25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Wohnen</w:t>
            </w:r>
          </w:p>
        </w:tc>
      </w:tr>
      <w:tr>
        <w:trPr>
          <w:cantSplit w:val="true"/>
        </w:trPr>
        <w:tc>
          <w:tcPr>
            <w:tcW w:w="39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Welche Stadt passt zu meinem Beruf und Budget – Toronto, Calgary oder Montréal?</w:t>
            </w:r>
          </w:p>
        </w:tc>
        <w:tc>
          <w:tcPr>
            <w:tcW w:w="25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Wohnen</w:t>
            </w:r>
          </w:p>
        </w:tc>
      </w:tr>
      <w:tr>
        <w:trPr>
          <w:cantSplit w:val="true"/>
        </w:trPr>
        <w:tc>
          <w:tcPr>
            <w:tcW w:w="39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lange darf ich mit meinem deutschen Führerschein in Kanada weiterfahren?</w:t>
            </w:r>
          </w:p>
        </w:tc>
        <w:tc>
          <w:tcPr>
            <w:tcW w:w="25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Führerschein, Auto, Verkehrsregeln</w:t>
            </w:r>
          </w:p>
        </w:tc>
      </w:tr>
      <w:tr>
        <w:trPr>
          <w:cantSplit w:val="true"/>
        </w:trPr>
        <w:tc>
          <w:tcPr>
            <w:tcW w:w="39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Warum ist meine Kfz-Versicherung in Ontario so viel teurer als in Québec?</w:t>
            </w:r>
          </w:p>
        </w:tc>
        <w:tc>
          <w:tcPr>
            <w:tcW w:w="25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Führerschein, Auto, Verkehrsregeln</w:t>
            </w:r>
          </w:p>
        </w:tc>
      </w:tr>
      <w:tr>
        <w:trPr>
          <w:cantSplit w:val="true"/>
        </w:trPr>
        <w:tc>
          <w:tcPr>
            <w:tcW w:w="390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Gilt in ganz Kanada Rechtsabbiegen bei Rot?</w:t>
            </w:r>
          </w:p>
        </w:tc>
        <w:tc>
          <w:tcPr>
            <w:tcW w:w="257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Führerschein, Auto, Verkehrsregeln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Kanada: Alltag und Kinder</w:t>
      </w:r>
    </w:p>
    <w:tbl>
      <w:tblPr>
        <w:tblW w:w="6480" w:type="dxa"/>
        <w:jc w:val="left"/>
        <w:tblInd w:w="0" w:type="dxa"/>
        <w:tblLayout w:type="fixed"/>
        <w:tblCellMar>
          <w:top w:w="50" w:type="dxa"/>
          <w:left w:w="80" w:type="dxa"/>
          <w:bottom w:w="50" w:type="dxa"/>
          <w:right w:w="80" w:type="dxa"/>
        </w:tblCellMar>
      </w:tblPr>
      <w:tblGrid>
        <w:gridCol w:w="4116"/>
        <w:gridCol w:w="2363"/>
      </w:tblGrid>
      <w:tr>
        <w:trPr>
          <w:tblHeader w:val="true"/>
          <w:cantSplit w:val="true"/>
        </w:trPr>
        <w:tc>
          <w:tcPr>
            <w:tcW w:w="411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236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Mehr dazu</w:t>
            </w:r>
          </w:p>
        </w:tc>
      </w:tr>
      <w:tr>
        <w:trPr>
          <w:cantSplit w:val="true"/>
        </w:trPr>
        <w:tc>
          <w:tcPr>
            <w:tcW w:w="41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Warum entschuldigt sich in Kanada jeder ständig, auch wenn er gar nichts falsch gemacht hat?</w:t>
            </w:r>
          </w:p>
        </w:tc>
        <w:tc>
          <w:tcPr>
            <w:tcW w:w="23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Alltagskultur</w:t>
            </w:r>
          </w:p>
        </w:tc>
      </w:tr>
      <w:tr>
        <w:trPr>
          <w:cantSplit w:val="true"/>
        </w:trPr>
        <w:tc>
          <w:tcPr>
            <w:tcW w:w="41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Muss meine Familie in Québec zwingend Französisch lernen?</w:t>
            </w:r>
          </w:p>
        </w:tc>
        <w:tc>
          <w:tcPr>
            <w:tcW w:w="23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Alltagskultur</w:t>
            </w:r>
          </w:p>
        </w:tc>
      </w:tr>
      <w:tr>
        <w:trPr>
          <w:cantSplit w:val="true"/>
        </w:trPr>
        <w:tc>
          <w:tcPr>
            <w:tcW w:w="41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finde ich in Kanada schnell Anschluss und Freunde?</w:t>
            </w:r>
          </w:p>
        </w:tc>
        <w:tc>
          <w:tcPr>
            <w:tcW w:w="23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Freunde, Kulturschock</w:t>
            </w:r>
          </w:p>
        </w:tc>
      </w:tr>
      <w:tr>
        <w:trPr>
          <w:cantSplit w:val="true"/>
        </w:trPr>
        <w:tc>
          <w:tcPr>
            <w:tcW w:w="41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überstehe ich den ersten kanadischen Winter psychisch?</w:t>
            </w:r>
          </w:p>
        </w:tc>
        <w:tc>
          <w:tcPr>
            <w:tcW w:w="23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Freunde, Kulturschock</w:t>
            </w:r>
          </w:p>
        </w:tc>
      </w:tr>
      <w:tr>
        <w:trPr>
          <w:cantSplit w:val="true"/>
        </w:trPr>
        <w:tc>
          <w:tcPr>
            <w:tcW w:w="41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Ist die Schule für mein Kind in Kanada wirklich kostenlos?</w:t>
            </w:r>
          </w:p>
        </w:tc>
        <w:tc>
          <w:tcPr>
            <w:tcW w:w="23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Kinder, Schule, Sprache</w:t>
            </w:r>
          </w:p>
        </w:tc>
      </w:tr>
      <w:tr>
        <w:trPr>
          <w:cantSplit w:val="true"/>
        </w:trPr>
        <w:tc>
          <w:tcPr>
            <w:tcW w:w="411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ist French Immersion, und lohnt sie sich für mein Kind?</w:t>
            </w:r>
          </w:p>
        </w:tc>
        <w:tc>
          <w:tcPr>
            <w:tcW w:w="236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Kinder, Schule, Sprache</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Kanada: Arbeiten, Recht und Langfristig</w:t>
      </w:r>
    </w:p>
    <w:tbl>
      <w:tblPr>
        <w:tblW w:w="6480" w:type="dxa"/>
        <w:jc w:val="left"/>
        <w:tblInd w:w="0" w:type="dxa"/>
        <w:tblLayout w:type="fixed"/>
        <w:tblCellMar>
          <w:top w:w="50" w:type="dxa"/>
          <w:left w:w="80" w:type="dxa"/>
          <w:bottom w:w="50" w:type="dxa"/>
          <w:right w:w="80" w:type="dxa"/>
        </w:tblCellMar>
      </w:tblPr>
      <w:tblGrid>
        <w:gridCol w:w="3685"/>
        <w:gridCol w:w="2794"/>
      </w:tblGrid>
      <w:tr>
        <w:trPr>
          <w:tblHeader w:val="true"/>
          <w:cantSplit w:val="true"/>
        </w:trPr>
        <w:tc>
          <w:tcPr>
            <w:tcW w:w="3685"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2794"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Mehr dazu</w:t>
            </w:r>
          </w:p>
        </w:tc>
      </w:tr>
      <w:tr>
        <w:trPr>
          <w:cantSplit w:val="true"/>
        </w:trPr>
        <w:tc>
          <w:tcPr>
            <w:tcW w:w="36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viel Urlaub steht mir in Kanada gesetzlich zu?</w:t>
            </w:r>
          </w:p>
        </w:tc>
        <w:tc>
          <w:tcPr>
            <w:tcW w:w="27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Arbeitswelt, Jobwechsel</w:t>
            </w:r>
          </w:p>
        </w:tc>
      </w:tr>
      <w:tr>
        <w:trPr>
          <w:cantSplit w:val="true"/>
        </w:trPr>
        <w:tc>
          <w:tcPr>
            <w:tcW w:w="36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Darf mein Arbeitgeber mir ohne Grund kündigen, und wie wechsle ich mit einem LMIA-pflichtigen Work Permit den Arbeitgeber?</w:t>
            </w:r>
          </w:p>
        </w:tc>
        <w:tc>
          <w:tcPr>
            <w:tcW w:w="27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Arbeitswelt, Jobwechsel</w:t>
            </w:r>
          </w:p>
        </w:tc>
      </w:tr>
      <w:tr>
        <w:trPr>
          <w:cantSplit w:val="true"/>
        </w:trPr>
        <w:tc>
          <w:tcPr>
            <w:tcW w:w="36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verhalte ich mich bei einer Verkehrskontrolle durch die Polizei?</w:t>
            </w:r>
          </w:p>
        </w:tc>
        <w:tc>
          <w:tcPr>
            <w:tcW w:w="27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Recht, Sicherheit, Polizei</w:t>
            </w:r>
          </w:p>
        </w:tc>
      </w:tr>
      <w:tr>
        <w:trPr>
          <w:cantSplit w:val="true"/>
        </w:trPr>
        <w:tc>
          <w:tcPr>
            <w:tcW w:w="36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Ist Cannabis in Kanada wirklich überall legal?</w:t>
            </w:r>
          </w:p>
        </w:tc>
        <w:tc>
          <w:tcPr>
            <w:tcW w:w="27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Recht, Sicherheit, Polizei</w:t>
            </w:r>
          </w:p>
        </w:tc>
      </w:tr>
      <w:tr>
        <w:trPr>
          <w:cantSplit w:val="true"/>
        </w:trPr>
        <w:tc>
          <w:tcPr>
            <w:tcW w:w="36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lange dauert es, bis ich mich in Kanada einbürgern lassen kann?</w:t>
            </w:r>
          </w:p>
        </w:tc>
        <w:tc>
          <w:tcPr>
            <w:tcW w:w="27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Staatsbürgerschaft, Steuerresidenz</w:t>
            </w:r>
          </w:p>
        </w:tc>
      </w:tr>
      <w:tr>
        <w:trPr>
          <w:cantSplit w:val="true"/>
        </w:trPr>
        <w:tc>
          <w:tcPr>
            <w:tcW w:w="3685"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Verliere ich meinen deutschen Pass, wenn ich Kanadier werde, und muss ich nach einer Rückkehr weiter kanadische Steuern zahlen?</w:t>
            </w:r>
          </w:p>
        </w:tc>
        <w:tc>
          <w:tcPr>
            <w:tcW w:w="2794"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Kanada: Staatsbürgerschaft, Steuerresidenz</w:t>
            </w:r>
          </w:p>
        </w:tc>
      </w:tr>
    </w:tbl>
    <w:p>
      <w:pPr>
        <w:pStyle w:val="Normal"/>
        <w:spacing w:lineRule="exact" w:line="180" w:before="0" w:after="0"/>
        <w:rPr/>
      </w:pPr>
      <w:r>
        <w:rPr/>
      </w:r>
      <w:r>
        <w:br w:type="page"/>
      </w:r>
    </w:p>
    <w:p>
      <w:pPr>
        <w:pStyle w:val="Heading2"/>
        <w:keepNext w:val="true"/>
        <w:spacing w:before="0" w:after="300"/>
        <w:jc w:val="center"/>
        <w:rPr/>
      </w:pPr>
      <w:bookmarkStart w:id="228" w:name="__RefHeading___Toc56659_3769931028"/>
      <w:bookmarkStart w:id="229" w:name="s108"/>
      <w:bookmarkEnd w:id="228"/>
      <w:r>
        <w:rPr>
          <w:rFonts w:eastAsia="Amazon Ember" w:cs="Amazon Ember" w:ascii="Amazon Ember" w:hAnsi="Amazon Ember"/>
          <w:b/>
          <w:bCs/>
          <w:color w:val="0000FF"/>
          <w:sz w:val="36"/>
          <w:szCs w:val="36"/>
        </w:rPr>
        <w:t>Australien</w:t>
      </w:r>
      <w:bookmarkEnd w:id="229"/>
    </w:p>
    <w:p>
      <w:pPr>
        <w:pStyle w:val="Heading3"/>
        <w:keepNext w:val="true"/>
        <w:spacing w:before="280" w:after="100"/>
        <w:jc w:val="center"/>
        <w:rPr/>
      </w:pPr>
      <w:r>
        <w:rPr>
          <w:rFonts w:eastAsia="Amazon Ember" w:cs="Amazon Ember" w:ascii="Amazon Ember" w:hAnsi="Amazon Ember"/>
          <w:b/>
          <w:bCs/>
          <w:color w:val="0000FF"/>
          <w:sz w:val="36"/>
          <w:szCs w:val="36"/>
        </w:rPr>
        <w:t>Australien: Einwanderung und Visum</w:t>
      </w:r>
    </w:p>
    <w:tbl>
      <w:tblPr>
        <w:tblW w:w="6480" w:type="dxa"/>
        <w:jc w:val="left"/>
        <w:tblInd w:w="0" w:type="dxa"/>
        <w:tblLayout w:type="fixed"/>
        <w:tblCellMar>
          <w:top w:w="50" w:type="dxa"/>
          <w:left w:w="80" w:type="dxa"/>
          <w:bottom w:w="50" w:type="dxa"/>
          <w:right w:w="80" w:type="dxa"/>
        </w:tblCellMar>
      </w:tblPr>
      <w:tblGrid>
        <w:gridCol w:w="3783"/>
        <w:gridCol w:w="2696"/>
      </w:tblGrid>
      <w:tr>
        <w:trPr>
          <w:tblHeader w:val="true"/>
          <w:cantSplit w:val="true"/>
        </w:trPr>
        <w:tc>
          <w:tcPr>
            <w:tcW w:w="378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269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Mehr dazu</w:t>
            </w:r>
          </w:p>
        </w:tc>
      </w:tr>
      <w:tr>
        <w:trPr>
          <w:cantSplit w:val="true"/>
        </w:trPr>
        <w:tc>
          <w:tcPr>
            <w:tcW w:w="37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Lohnt sich Australien finanziell für mich, und wie stark unterscheidet sich der Steuerkeil von Deutschland?</w:t>
            </w:r>
          </w:p>
        </w:tc>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Die ehrliche Bilanz</w:t>
            </w:r>
          </w:p>
        </w:tc>
      </w:tr>
      <w:tr>
        <w:trPr>
          <w:cantSplit w:val="true"/>
        </w:trPr>
        <w:tc>
          <w:tcPr>
            <w:tcW w:w="37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funktioniert der Punktetest für ein Skilled-Visum, und wie viele Punkte brauche ich realistisch?</w:t>
            </w:r>
          </w:p>
        </w:tc>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Der Arbeitsweg</w:t>
            </w:r>
          </w:p>
        </w:tc>
      </w:tr>
      <w:tr>
        <w:trPr>
          <w:cantSplit w:val="true"/>
        </w:trPr>
        <w:tc>
          <w:tcPr>
            <w:tcW w:w="37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welchem Alter ist der Punktetest-Weg für mich verschlossen?</w:t>
            </w:r>
          </w:p>
        </w:tc>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Wege der Einwanderung</w:t>
            </w:r>
          </w:p>
        </w:tc>
      </w:tr>
      <w:tr>
        <w:trPr>
          <w:cantSplit w:val="true"/>
        </w:trPr>
        <w:tc>
          <w:tcPr>
            <w:tcW w:w="37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ist der Unterschied zwischen Subclass 189, 190 und einem Arbeitgeber-Sponsoring über Subclass 482?</w:t>
            </w:r>
          </w:p>
        </w:tc>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Wege der Einwanderung</w:t>
            </w:r>
          </w:p>
        </w:tc>
      </w:tr>
      <w:tr>
        <w:trPr>
          <w:cantSplit w:val="true"/>
        </w:trPr>
        <w:tc>
          <w:tcPr>
            <w:tcW w:w="37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Kann ich meine Eltern nach Australien nachholen, und wie lange dauert das?</w:t>
            </w:r>
          </w:p>
        </w:tc>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Familie, Investor, Ruhestand</w:t>
            </w:r>
          </w:p>
        </w:tc>
      </w:tr>
      <w:tr>
        <w:trPr>
          <w:cantSplit w:val="true"/>
        </w:trPr>
        <w:tc>
          <w:tcPr>
            <w:tcW w:w="37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kostet der Visumantrag insgesamt, und wozu brauche ich eine Apostille für mein Führungszeugnis?</w:t>
            </w:r>
          </w:p>
        </w:tc>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Antrag, Konsulat, Kosten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Australien: Ankunft und Geld</w:t>
      </w:r>
    </w:p>
    <w:tbl>
      <w:tblPr>
        <w:tblW w:w="6480" w:type="dxa"/>
        <w:jc w:val="left"/>
        <w:tblInd w:w="0" w:type="dxa"/>
        <w:tblLayout w:type="fixed"/>
        <w:tblCellMar>
          <w:top w:w="50" w:type="dxa"/>
          <w:left w:w="80" w:type="dxa"/>
          <w:bottom w:w="50" w:type="dxa"/>
          <w:right w:w="80" w:type="dxa"/>
        </w:tblCellMar>
      </w:tblPr>
      <w:tblGrid>
        <w:gridCol w:w="3952"/>
        <w:gridCol w:w="2527"/>
      </w:tblGrid>
      <w:tr>
        <w:trPr>
          <w:tblHeader w:val="true"/>
          <w:cantSplit w:val="true"/>
        </w:trPr>
        <w:tc>
          <w:tcPr>
            <w:tcW w:w="395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252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Mehr dazu</w:t>
            </w:r>
          </w:p>
        </w:tc>
      </w:tr>
      <w:tr>
        <w:trPr>
          <w:cantSplit w:val="true"/>
        </w:trPr>
        <w:tc>
          <w:tcPr>
            <w:tcW w:w="3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muss ich in den ersten Tagen nach der Landung erledigen, und wie beantrage ich meine Tax File Number?</w:t>
            </w:r>
          </w:p>
        </w:tc>
        <w:tc>
          <w:tcPr>
            <w:tcW w:w="25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Ankunft, erste Wochen</w:t>
            </w:r>
          </w:p>
        </w:tc>
      </w:tr>
      <w:tr>
        <w:trPr>
          <w:cantSplit w:val="true"/>
        </w:trPr>
        <w:tc>
          <w:tcPr>
            <w:tcW w:w="3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Warum wird mir ohne Tax File Number fast die Hälfte meines Lohns abgezogen?</w:t>
            </w:r>
          </w:p>
        </w:tc>
        <w:tc>
          <w:tcPr>
            <w:tcW w:w="25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Steuer-ID/Bank/Kredit</w:t>
            </w:r>
          </w:p>
        </w:tc>
      </w:tr>
      <w:tr>
        <w:trPr>
          <w:cantSplit w:val="true"/>
        </w:trPr>
        <w:tc>
          <w:tcPr>
            <w:tcW w:w="3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eröffne ich ein australisches Bankkonto, und wie baue ich mir eine Kreditwürdigkeit auf?</w:t>
            </w:r>
          </w:p>
        </w:tc>
        <w:tc>
          <w:tcPr>
            <w:tcW w:w="25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Steuer-ID/Bank/Kredit</w:t>
            </w:r>
          </w:p>
        </w:tc>
      </w:tr>
      <w:tr>
        <w:trPr>
          <w:cantSplit w:val="true"/>
        </w:trPr>
        <w:tc>
          <w:tcPr>
            <w:tcW w:w="3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Stimmt es, dass ich als Deutscher keinen automatischen Zugang zu Medicare habe?</w:t>
            </w:r>
          </w:p>
        </w:tc>
        <w:tc>
          <w:tcPr>
            <w:tcW w:w="25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Gesundheitssystem</w:t>
            </w:r>
          </w:p>
        </w:tc>
      </w:tr>
      <w:tr>
        <w:trPr>
          <w:cantSplit w:val="true"/>
        </w:trPr>
        <w:tc>
          <w:tcPr>
            <w:tcW w:w="3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ist der Unterschied zwischen Medicare und einer privaten Krankenversicherung (OVHC), und wann brauche ich welche?</w:t>
            </w:r>
          </w:p>
        </w:tc>
        <w:tc>
          <w:tcPr>
            <w:tcW w:w="25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Gesundheitssystem</w:t>
            </w:r>
          </w:p>
        </w:tc>
      </w:tr>
      <w:tr>
        <w:trPr>
          <w:cantSplit w:val="true"/>
        </w:trPr>
        <w:tc>
          <w:tcPr>
            <w:tcW w:w="3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ist die Medicare Levy Surcharge, und wann betrifft sie mich?</w:t>
            </w:r>
          </w:p>
        </w:tc>
        <w:tc>
          <w:tcPr>
            <w:tcW w:w="25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Gesundheitssystem</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Australien: Wohnen, Führerschein und Verkehr</w:t>
      </w:r>
    </w:p>
    <w:tbl>
      <w:tblPr>
        <w:tblW w:w="6480" w:type="dxa"/>
        <w:jc w:val="left"/>
        <w:tblInd w:w="0" w:type="dxa"/>
        <w:tblLayout w:type="fixed"/>
        <w:tblCellMar>
          <w:top w:w="50" w:type="dxa"/>
          <w:left w:w="80" w:type="dxa"/>
          <w:bottom w:w="50" w:type="dxa"/>
          <w:right w:w="80" w:type="dxa"/>
        </w:tblCellMar>
      </w:tblPr>
      <w:tblGrid>
        <w:gridCol w:w="3731"/>
        <w:gridCol w:w="2748"/>
      </w:tblGrid>
      <w:tr>
        <w:trPr>
          <w:tblHeader w:val="true"/>
          <w:cantSplit w:val="true"/>
        </w:trPr>
        <w:tc>
          <w:tcPr>
            <w:tcW w:w="373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274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Mehr dazu</w:t>
            </w:r>
          </w:p>
        </w:tc>
      </w:tr>
      <w:tr>
        <w:trPr>
          <w:cantSplit w:val="true"/>
        </w:trPr>
        <w:tc>
          <w:tcPr>
            <w:tcW w:w="3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viel Kaution (Bond) darf mein Vermieter verlangen, und wo wird sie hinterlegt?</w:t>
            </w:r>
          </w:p>
        </w:tc>
        <w:tc>
          <w:tcPr>
            <w:tcW w:w="27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Wohnen</w:t>
            </w:r>
          </w:p>
        </w:tc>
      </w:tr>
      <w:tr>
        <w:trPr>
          <w:cantSplit w:val="true"/>
        </w:trPr>
        <w:tc>
          <w:tcPr>
            <w:tcW w:w="3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Darf ich als Ausländer überhaupt eine Bestandsimmobilie in Australien kaufen?</w:t>
            </w:r>
          </w:p>
        </w:tc>
        <w:tc>
          <w:tcPr>
            <w:tcW w:w="27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Wohnen</w:t>
            </w:r>
          </w:p>
        </w:tc>
      </w:tr>
      <w:tr>
        <w:trPr>
          <w:cantSplit w:val="true"/>
        </w:trPr>
        <w:tc>
          <w:tcPr>
            <w:tcW w:w="3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Welche Stadt passt zu meinem Beruf – Sydney, Melbourne, Perth oder Brisbane?</w:t>
            </w:r>
          </w:p>
        </w:tc>
        <w:tc>
          <w:tcPr>
            <w:tcW w:w="27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Wohnen</w:t>
            </w:r>
          </w:p>
        </w:tc>
      </w:tr>
      <w:tr>
        <w:trPr>
          <w:cantSplit w:val="true"/>
        </w:trPr>
        <w:tc>
          <w:tcPr>
            <w:tcW w:w="3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Muss ich meinen deutschen Führerschein umtauschen, und wie lange darf ich ihn übergangsweise nutzen?</w:t>
            </w:r>
          </w:p>
        </w:tc>
        <w:tc>
          <w:tcPr>
            <w:tcW w:w="27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Führerschein, Auto, Verkehrsregeln</w:t>
            </w:r>
          </w:p>
        </w:tc>
      </w:tr>
      <w:tr>
        <w:trPr>
          <w:cantSplit w:val="true"/>
        </w:trPr>
        <w:tc>
          <w:tcPr>
            <w:tcW w:w="3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gewöhne ich mich an den Linksverkehr, ohne einen Unfall zu bauen?</w:t>
            </w:r>
          </w:p>
        </w:tc>
        <w:tc>
          <w:tcPr>
            <w:tcW w:w="27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Führerschein, Auto, Verkehrsregeln</w:t>
            </w:r>
          </w:p>
        </w:tc>
      </w:tr>
      <w:tr>
        <w:trPr>
          <w:cantSplit w:val="true"/>
        </w:trPr>
        <w:tc>
          <w:tcPr>
            <w:tcW w:w="3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passiert bei einer RBT-Kontrolle (Random Breath Testing), und muss ich da wirklich mitmachen?</w:t>
            </w:r>
          </w:p>
        </w:tc>
        <w:tc>
          <w:tcPr>
            <w:tcW w:w="27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Führerschein, Auto, Verkehrsregeln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Australien: Alltag und Kinder</w:t>
      </w:r>
    </w:p>
    <w:tbl>
      <w:tblPr>
        <w:tblW w:w="6480" w:type="dxa"/>
        <w:jc w:val="left"/>
        <w:tblInd w:w="0" w:type="dxa"/>
        <w:tblLayout w:type="fixed"/>
        <w:tblCellMar>
          <w:top w:w="50" w:type="dxa"/>
          <w:left w:w="80" w:type="dxa"/>
          <w:bottom w:w="50" w:type="dxa"/>
          <w:right w:w="80" w:type="dxa"/>
        </w:tblCellMar>
      </w:tblPr>
      <w:tblGrid>
        <w:gridCol w:w="3921"/>
        <w:gridCol w:w="2558"/>
      </w:tblGrid>
      <w:tr>
        <w:trPr>
          <w:tblHeader w:val="true"/>
          <w:cantSplit w:val="true"/>
        </w:trPr>
        <w:tc>
          <w:tcPr>
            <w:tcW w:w="392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255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Mehr dazu</w:t>
            </w:r>
          </w:p>
        </w:tc>
      </w:tr>
      <w:tr>
        <w:trPr>
          <w:cantSplit w:val="true"/>
        </w:trPr>
        <w:tc>
          <w:tcPr>
            <w:tcW w:w="39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Warum nennt mich hier jeder „mate“, und heißt das schon, dass wir befreundet sind?</w:t>
            </w:r>
          </w:p>
        </w:tc>
        <w:tc>
          <w:tcPr>
            <w:tcW w:w="25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Alltagskultur</w:t>
            </w:r>
          </w:p>
        </w:tc>
      </w:tr>
      <w:tr>
        <w:trPr>
          <w:cantSplit w:val="true"/>
        </w:trPr>
        <w:tc>
          <w:tcPr>
            <w:tcW w:w="39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unterscheidet sich der australische Kommunikationsstil vom deutschen, direkten Ton?</w:t>
            </w:r>
          </w:p>
        </w:tc>
        <w:tc>
          <w:tcPr>
            <w:tcW w:w="25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Alltagskultur</w:t>
            </w:r>
          </w:p>
        </w:tc>
      </w:tr>
      <w:tr>
        <w:trPr>
          <w:cantSplit w:val="true"/>
        </w:trPr>
        <w:tc>
          <w:tcPr>
            <w:tcW w:w="39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finde ich in Australien schnell Anschluss und Freunde?</w:t>
            </w:r>
          </w:p>
        </w:tc>
        <w:tc>
          <w:tcPr>
            <w:tcW w:w="25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Freunde, Kulturschock</w:t>
            </w:r>
          </w:p>
        </w:tc>
      </w:tr>
      <w:tr>
        <w:trPr>
          <w:cantSplit w:val="true"/>
        </w:trPr>
        <w:tc>
          <w:tcPr>
            <w:tcW w:w="39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gehe ich mit der großen Entfernung und der fehlenden Möglichkeit für spontane Heimatbesuche um?</w:t>
            </w:r>
          </w:p>
        </w:tc>
        <w:tc>
          <w:tcPr>
            <w:tcW w:w="25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Freunde, Kulturschock</w:t>
            </w:r>
          </w:p>
        </w:tc>
      </w:tr>
      <w:tr>
        <w:trPr>
          <w:cantSplit w:val="true"/>
        </w:trPr>
        <w:tc>
          <w:tcPr>
            <w:tcW w:w="39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Ist die Schule für mein Kind in Australien wirklich kostenlos, und wie funktioniert die Schulzuteilung?</w:t>
            </w:r>
          </w:p>
        </w:tc>
        <w:tc>
          <w:tcPr>
            <w:tcW w:w="25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Kinder, Schule, Sprache</w:t>
            </w:r>
          </w:p>
        </w:tc>
      </w:tr>
      <w:tr>
        <w:trPr>
          <w:cantSplit w:val="true"/>
        </w:trPr>
        <w:tc>
          <w:tcPr>
            <w:tcW w:w="39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Warum beginnt das australische Schuljahr im Sommer, und was bedeutet das für unseren Umzugstermin?</w:t>
            </w:r>
          </w:p>
        </w:tc>
        <w:tc>
          <w:tcPr>
            <w:tcW w:w="25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Kinder, Schule, Sprache</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Australien: Arbeiten, Recht und Langfristig</w:t>
      </w:r>
    </w:p>
    <w:tbl>
      <w:tblPr>
        <w:tblW w:w="6480" w:type="dxa"/>
        <w:jc w:val="left"/>
        <w:tblInd w:w="0" w:type="dxa"/>
        <w:tblLayout w:type="fixed"/>
        <w:tblCellMar>
          <w:top w:w="50" w:type="dxa"/>
          <w:left w:w="80" w:type="dxa"/>
          <w:bottom w:w="50" w:type="dxa"/>
          <w:right w:w="80" w:type="dxa"/>
        </w:tblCellMar>
      </w:tblPr>
      <w:tblGrid>
        <w:gridCol w:w="3527"/>
        <w:gridCol w:w="2952"/>
      </w:tblGrid>
      <w:tr>
        <w:trPr>
          <w:tblHeader w:val="true"/>
          <w:cantSplit w:val="true"/>
        </w:trPr>
        <w:tc>
          <w:tcPr>
            <w:tcW w:w="352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295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Mehr dazu</w:t>
            </w:r>
          </w:p>
        </w:tc>
      </w:tr>
      <w:tr>
        <w:trPr>
          <w:cantSplit w:val="true"/>
        </w:trPr>
        <w:tc>
          <w:tcPr>
            <w:tcW w:w="35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viel Urlaub steht mir in Australien gesetzlich zu?</w:t>
            </w:r>
          </w:p>
        </w:tc>
        <w:tc>
          <w:tcPr>
            <w:tcW w:w="2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Arbeitswelt, Jobwechsel</w:t>
            </w:r>
          </w:p>
        </w:tc>
      </w:tr>
      <w:tr>
        <w:trPr>
          <w:cantSplit w:val="true"/>
        </w:trPr>
        <w:tc>
          <w:tcPr>
            <w:tcW w:w="35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wechsle ich mit einem Subclass-482-Arbeitsvisum den Arbeitgeber, ohne meinen Status zu gefährden?</w:t>
            </w:r>
          </w:p>
        </w:tc>
        <w:tc>
          <w:tcPr>
            <w:tcW w:w="2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Arbeitswelt, Jobwechsel</w:t>
            </w:r>
          </w:p>
        </w:tc>
      </w:tr>
      <w:tr>
        <w:trPr>
          <w:cantSplit w:val="true"/>
        </w:trPr>
        <w:tc>
          <w:tcPr>
            <w:tcW w:w="35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mache ich, wenn mich die Polizei ohne Anlass zu einer Kontrolle anhält?</w:t>
            </w:r>
          </w:p>
        </w:tc>
        <w:tc>
          <w:tcPr>
            <w:tcW w:w="2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Recht, Sicherheit, Polizei</w:t>
            </w:r>
          </w:p>
        </w:tc>
      </w:tr>
      <w:tr>
        <w:trPr>
          <w:cantSplit w:val="true"/>
        </w:trPr>
        <w:tc>
          <w:tcPr>
            <w:tcW w:w="35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Ist Cannabis in Australien legal, wenn ich ein ärztliches Rezept habe?</w:t>
            </w:r>
          </w:p>
        </w:tc>
        <w:tc>
          <w:tcPr>
            <w:tcW w:w="2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Recht, Sicherheit, Polizei</w:t>
            </w:r>
          </w:p>
        </w:tc>
      </w:tr>
      <w:tr>
        <w:trPr>
          <w:cantSplit w:val="true"/>
        </w:trPr>
        <w:tc>
          <w:tcPr>
            <w:tcW w:w="35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lange dauert es, bis ich mich in Australien einbürgern lassen kann?</w:t>
            </w:r>
          </w:p>
        </w:tc>
        <w:tc>
          <w:tcPr>
            <w:tcW w:w="2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Staatsbürgerschaft, Steuerresidenz</w:t>
            </w:r>
          </w:p>
        </w:tc>
      </w:tr>
      <w:tr>
        <w:trPr>
          <w:cantSplit w:val="true"/>
        </w:trPr>
        <w:tc>
          <w:tcPr>
            <w:tcW w:w="35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Verliere ich meinen deutschen Pass, wenn ich Australier werde, und muss ich nach einer Rückkehr weiter australische Steuern zahlen?</w:t>
            </w:r>
          </w:p>
        </w:tc>
        <w:tc>
          <w:tcPr>
            <w:tcW w:w="2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Australien: Staatsbürgerschaft, Steuerresidenz</w:t>
            </w:r>
          </w:p>
        </w:tc>
      </w:tr>
    </w:tbl>
    <w:p>
      <w:pPr>
        <w:pStyle w:val="Normal"/>
        <w:spacing w:lineRule="exact" w:line="180" w:before="0" w:after="0"/>
        <w:rPr/>
      </w:pPr>
      <w:r>
        <w:rPr/>
      </w:r>
      <w:r>
        <w:br w:type="page"/>
      </w:r>
    </w:p>
    <w:p>
      <w:pPr>
        <w:pStyle w:val="Heading2"/>
        <w:keepNext w:val="true"/>
        <w:spacing w:before="0" w:after="300"/>
        <w:jc w:val="center"/>
        <w:rPr/>
      </w:pPr>
      <w:bookmarkStart w:id="230" w:name="__RefHeading___Toc56661_3769931028"/>
      <w:bookmarkStart w:id="231" w:name="s109"/>
      <w:bookmarkEnd w:id="230"/>
      <w:r>
        <w:rPr>
          <w:rFonts w:eastAsia="Amazon Ember" w:cs="Amazon Ember" w:ascii="Amazon Ember" w:hAnsi="Amazon Ember"/>
          <w:b/>
          <w:bCs/>
          <w:color w:val="0000FF"/>
          <w:sz w:val="36"/>
          <w:szCs w:val="36"/>
        </w:rPr>
        <w:t>Neuseeland</w:t>
      </w:r>
      <w:bookmarkEnd w:id="231"/>
    </w:p>
    <w:p>
      <w:pPr>
        <w:pStyle w:val="Heading3"/>
        <w:keepNext w:val="true"/>
        <w:spacing w:before="280" w:after="100"/>
        <w:jc w:val="center"/>
        <w:rPr/>
      </w:pPr>
      <w:r>
        <w:rPr>
          <w:rFonts w:eastAsia="Amazon Ember" w:cs="Amazon Ember" w:ascii="Amazon Ember" w:hAnsi="Amazon Ember"/>
          <w:b/>
          <w:bCs/>
          <w:color w:val="0000FF"/>
          <w:sz w:val="36"/>
          <w:szCs w:val="36"/>
        </w:rPr>
        <w:t>Neuseeland: Einwanderung und Visum</w:t>
      </w:r>
    </w:p>
    <w:tbl>
      <w:tblPr>
        <w:tblW w:w="6480" w:type="dxa"/>
        <w:jc w:val="left"/>
        <w:tblInd w:w="0" w:type="dxa"/>
        <w:tblLayout w:type="fixed"/>
        <w:tblCellMar>
          <w:top w:w="50" w:type="dxa"/>
          <w:left w:w="80" w:type="dxa"/>
          <w:bottom w:w="50" w:type="dxa"/>
          <w:right w:w="80" w:type="dxa"/>
        </w:tblCellMar>
      </w:tblPr>
      <w:tblGrid>
        <w:gridCol w:w="3783"/>
        <w:gridCol w:w="2696"/>
      </w:tblGrid>
      <w:tr>
        <w:trPr>
          <w:tblHeader w:val="true"/>
          <w:cantSplit w:val="true"/>
        </w:trPr>
        <w:tc>
          <w:tcPr>
            <w:tcW w:w="3783"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2696"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Mehr dazu</w:t>
            </w:r>
          </w:p>
        </w:tc>
      </w:tr>
      <w:tr>
        <w:trPr>
          <w:cantSplit w:val="true"/>
        </w:trPr>
        <w:tc>
          <w:tcPr>
            <w:tcW w:w="37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Lohnt sich Neuseeland finanziell für mich, und wie niedrig ist der Steuerkeil wirklich?</w:t>
            </w:r>
          </w:p>
        </w:tc>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Die ehrliche Bilanz</w:t>
            </w:r>
          </w:p>
        </w:tc>
      </w:tr>
      <w:tr>
        <w:trPr>
          <w:cantSplit w:val="true"/>
        </w:trPr>
        <w:tc>
          <w:tcPr>
            <w:tcW w:w="37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ist der Unterschied zwischen der Skilled Migrant Category (SMC) und dem Accredited Employer Work Visa (AEWV)?</w:t>
            </w:r>
          </w:p>
        </w:tc>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Wege der Einwanderung</w:t>
            </w:r>
          </w:p>
        </w:tc>
      </w:tr>
      <w:tr>
        <w:trPr>
          <w:cantSplit w:val="true"/>
        </w:trPr>
        <w:tc>
          <w:tcPr>
            <w:tcW w:w="37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ist die Green List, und wie verkürzt sie meinen Weg zur Residency?</w:t>
            </w:r>
          </w:p>
        </w:tc>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Wege der Einwanderung</w:t>
            </w:r>
          </w:p>
        </w:tc>
      </w:tr>
      <w:tr>
        <w:trPr>
          <w:cantSplit w:val="true"/>
        </w:trPr>
        <w:tc>
          <w:tcPr>
            <w:tcW w:w="37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viele Punkte brauche ich für die SMC, und wie werden sie berechnet?</w:t>
            </w:r>
          </w:p>
        </w:tc>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Der Arbeitsweg</w:t>
            </w:r>
          </w:p>
        </w:tc>
      </w:tr>
      <w:tr>
        <w:trPr>
          <w:cantSplit w:val="true"/>
        </w:trPr>
        <w:tc>
          <w:tcPr>
            <w:tcW w:w="37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Gibt es für Neuseeland einen Ruhestandsweg ohne bereits dort lebendes Kind?</w:t>
            </w:r>
          </w:p>
        </w:tc>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Familie, Investor, Ruhestand</w:t>
            </w:r>
          </w:p>
        </w:tc>
      </w:tr>
      <w:tr>
        <w:trPr>
          <w:cantSplit w:val="true"/>
        </w:trPr>
        <w:tc>
          <w:tcPr>
            <w:tcW w:w="3783"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kostet der Visumantrag insgesamt, und brauche ich für mein Führungszeugnis eine Apostille?</w:t>
            </w:r>
          </w:p>
        </w:tc>
        <w:tc>
          <w:tcPr>
            <w:tcW w:w="2696"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Antrag, Konsulat, Kosten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Neuseeland: Ankunft und Geld</w:t>
      </w:r>
    </w:p>
    <w:tbl>
      <w:tblPr>
        <w:tblW w:w="6480" w:type="dxa"/>
        <w:jc w:val="left"/>
        <w:tblInd w:w="0" w:type="dxa"/>
        <w:tblLayout w:type="fixed"/>
        <w:tblCellMar>
          <w:top w:w="50" w:type="dxa"/>
          <w:left w:w="80" w:type="dxa"/>
          <w:bottom w:w="50" w:type="dxa"/>
          <w:right w:w="80" w:type="dxa"/>
        </w:tblCellMar>
      </w:tblPr>
      <w:tblGrid>
        <w:gridCol w:w="3932"/>
        <w:gridCol w:w="2547"/>
      </w:tblGrid>
      <w:tr>
        <w:trPr>
          <w:tblHeader w:val="true"/>
          <w:cantSplit w:val="true"/>
        </w:trPr>
        <w:tc>
          <w:tcPr>
            <w:tcW w:w="393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254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Mehr dazu</w:t>
            </w:r>
          </w:p>
        </w:tc>
      </w:tr>
      <w:tr>
        <w:trPr>
          <w:cantSplit w:val="true"/>
        </w:trPr>
        <w:tc>
          <w:tcPr>
            <w:tcW w:w="39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muss ich in den ersten Tagen nach der Landung erledigen, und wie beantrage ich meine IRD-Nummer?</w:t>
            </w:r>
          </w:p>
        </w:tc>
        <w:tc>
          <w:tcPr>
            <w:tcW w:w="25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Ankunft, erste Wochen</w:t>
            </w:r>
          </w:p>
        </w:tc>
      </w:tr>
      <w:tr>
        <w:trPr>
          <w:cantSplit w:val="true"/>
        </w:trPr>
        <w:tc>
          <w:tcPr>
            <w:tcW w:w="39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Warum wird mir ohne IRD-Nummer ein sehr hoher Steuersatz auf mein Gehalt abgezogen?</w:t>
            </w:r>
          </w:p>
        </w:tc>
        <w:tc>
          <w:tcPr>
            <w:tcW w:w="25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Steuer-ID/Bank/Kredit</w:t>
            </w:r>
          </w:p>
        </w:tc>
      </w:tr>
      <w:tr>
        <w:trPr>
          <w:cantSplit w:val="true"/>
        </w:trPr>
        <w:tc>
          <w:tcPr>
            <w:tcW w:w="39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eröffne ich ein neuseeländisches Bankkonto, und wie baue ich mir eine Kreditwürdigkeit auf?</w:t>
            </w:r>
          </w:p>
        </w:tc>
        <w:tc>
          <w:tcPr>
            <w:tcW w:w="25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Steuer-ID/Bank/Kredit</w:t>
            </w:r>
          </w:p>
        </w:tc>
      </w:tr>
      <w:tr>
        <w:trPr>
          <w:cantSplit w:val="true"/>
        </w:trPr>
        <w:tc>
          <w:tcPr>
            <w:tcW w:w="39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wann habe ich Zugang zum öffentlichen Gesundheitssystem, und stimmt es, dass mein Visum mindestens zwei Jahre laufen muss?</w:t>
            </w:r>
          </w:p>
        </w:tc>
        <w:tc>
          <w:tcPr>
            <w:tcW w:w="25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Gesundheitssystem</w:t>
            </w:r>
          </w:p>
        </w:tc>
      </w:tr>
      <w:tr>
        <w:trPr>
          <w:cantSplit w:val="true"/>
        </w:trPr>
        <w:tc>
          <w:tcPr>
            <w:tcW w:w="39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ist ACC, und warum kann ich nach einem Unfall niemanden auf Schadensersatz verklagen?</w:t>
            </w:r>
          </w:p>
        </w:tc>
        <w:tc>
          <w:tcPr>
            <w:tcW w:w="25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Gesundheitssystem</w:t>
            </w:r>
          </w:p>
        </w:tc>
      </w:tr>
      <w:tr>
        <w:trPr>
          <w:cantSplit w:val="true"/>
        </w:trPr>
        <w:tc>
          <w:tcPr>
            <w:tcW w:w="393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Ab wann kann ich der Altersvorsorge KiwiSaver beitreten?</w:t>
            </w:r>
          </w:p>
        </w:tc>
        <w:tc>
          <w:tcPr>
            <w:tcW w:w="254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Steuer-ID/Bank/Kredit</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Neuseeland: Wohnen, Führerschein und Verkehr</w:t>
      </w:r>
    </w:p>
    <w:tbl>
      <w:tblPr>
        <w:tblW w:w="6480" w:type="dxa"/>
        <w:jc w:val="left"/>
        <w:tblInd w:w="0" w:type="dxa"/>
        <w:tblLayout w:type="fixed"/>
        <w:tblCellMar>
          <w:top w:w="50" w:type="dxa"/>
          <w:left w:w="80" w:type="dxa"/>
          <w:bottom w:w="50" w:type="dxa"/>
          <w:right w:w="80" w:type="dxa"/>
        </w:tblCellMar>
      </w:tblPr>
      <w:tblGrid>
        <w:gridCol w:w="3731"/>
        <w:gridCol w:w="2748"/>
      </w:tblGrid>
      <w:tr>
        <w:trPr>
          <w:tblHeader w:val="true"/>
          <w:cantSplit w:val="true"/>
        </w:trPr>
        <w:tc>
          <w:tcPr>
            <w:tcW w:w="373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274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Mehr dazu</w:t>
            </w:r>
          </w:p>
        </w:tc>
      </w:tr>
      <w:tr>
        <w:trPr>
          <w:cantSplit w:val="true"/>
        </w:trPr>
        <w:tc>
          <w:tcPr>
            <w:tcW w:w="3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viel Kaution (Bond) darf mein Vermieter verlangen, und wo wird sie hinterlegt?</w:t>
            </w:r>
          </w:p>
        </w:tc>
        <w:tc>
          <w:tcPr>
            <w:tcW w:w="27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Wohnen</w:t>
            </w:r>
          </w:p>
        </w:tc>
      </w:tr>
      <w:tr>
        <w:trPr>
          <w:cantSplit w:val="true"/>
        </w:trPr>
        <w:tc>
          <w:tcPr>
            <w:tcW w:w="3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Darf ich als Ausländer überhaupt ein Haus in Neuseeland kaufen?</w:t>
            </w:r>
          </w:p>
        </w:tc>
        <w:tc>
          <w:tcPr>
            <w:tcW w:w="27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Wohnen</w:t>
            </w:r>
          </w:p>
        </w:tc>
      </w:tr>
      <w:tr>
        <w:trPr>
          <w:cantSplit w:val="true"/>
        </w:trPr>
        <w:tc>
          <w:tcPr>
            <w:tcW w:w="3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Welche Region passt zu meinem Beruf – Auckland, Wellington oder Christchurch?</w:t>
            </w:r>
          </w:p>
        </w:tc>
        <w:tc>
          <w:tcPr>
            <w:tcW w:w="27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Wohnen</w:t>
            </w:r>
          </w:p>
        </w:tc>
      </w:tr>
      <w:tr>
        <w:trPr>
          <w:cantSplit w:val="true"/>
        </w:trPr>
        <w:tc>
          <w:tcPr>
            <w:tcW w:w="3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Muss ich meinen deutschen Führerschein umtauschen, und wie lange darf ich ihn übergangsweise nutzen?</w:t>
            </w:r>
          </w:p>
        </w:tc>
        <w:tc>
          <w:tcPr>
            <w:tcW w:w="27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Führerschein, Auto, Verkehrsregeln</w:t>
            </w:r>
          </w:p>
        </w:tc>
      </w:tr>
      <w:tr>
        <w:trPr>
          <w:cantSplit w:val="true"/>
        </w:trPr>
        <w:tc>
          <w:tcPr>
            <w:tcW w:w="3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gewöhne ich mich an den Linksverkehr, ohne einen Unfall zu bauen?</w:t>
            </w:r>
          </w:p>
        </w:tc>
        <w:tc>
          <w:tcPr>
            <w:tcW w:w="27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Führerschein, Auto, Verkehrsregeln</w:t>
            </w:r>
          </w:p>
        </w:tc>
      </w:tr>
      <w:tr>
        <w:trPr>
          <w:cantSplit w:val="true"/>
        </w:trPr>
        <w:tc>
          <w:tcPr>
            <w:tcW w:w="373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hat es mit den einspurigen Brücken und unbefestigten Straßen auf sich?</w:t>
            </w:r>
          </w:p>
        </w:tc>
        <w:tc>
          <w:tcPr>
            <w:tcW w:w="274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Führerschein, Auto, Verkehrsregeln</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Neuseeland: Alltag und Kinder</w:t>
      </w:r>
    </w:p>
    <w:tbl>
      <w:tblPr>
        <w:tblW w:w="6480" w:type="dxa"/>
        <w:jc w:val="left"/>
        <w:tblInd w:w="0" w:type="dxa"/>
        <w:tblLayout w:type="fixed"/>
        <w:tblCellMar>
          <w:top w:w="50" w:type="dxa"/>
          <w:left w:w="80" w:type="dxa"/>
          <w:bottom w:w="50" w:type="dxa"/>
          <w:right w:w="80" w:type="dxa"/>
        </w:tblCellMar>
      </w:tblPr>
      <w:tblGrid>
        <w:gridCol w:w="3921"/>
        <w:gridCol w:w="2558"/>
      </w:tblGrid>
      <w:tr>
        <w:trPr>
          <w:tblHeader w:val="true"/>
          <w:cantSplit w:val="true"/>
        </w:trPr>
        <w:tc>
          <w:tcPr>
            <w:tcW w:w="3921"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2558"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Mehr dazu</w:t>
            </w:r>
          </w:p>
        </w:tc>
      </w:tr>
      <w:tr>
        <w:trPr>
          <w:cantSplit w:val="true"/>
        </w:trPr>
        <w:tc>
          <w:tcPr>
            <w:tcW w:w="39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informell ist der Umgangston in Neuseeland wirklich, und darf ich meinen Chef beim Vornamen nennen?</w:t>
            </w:r>
          </w:p>
        </w:tc>
        <w:tc>
          <w:tcPr>
            <w:tcW w:w="25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Alltagskultur</w:t>
            </w:r>
          </w:p>
        </w:tc>
      </w:tr>
      <w:tr>
        <w:trPr>
          <w:cantSplit w:val="true"/>
        </w:trPr>
        <w:tc>
          <w:tcPr>
            <w:tcW w:w="39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Was muss ich über Te Ao Māori und Begrüßungen wie „Kia ora“ wissen?</w:t>
            </w:r>
          </w:p>
        </w:tc>
        <w:tc>
          <w:tcPr>
            <w:tcW w:w="25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Alltagskultur</w:t>
            </w:r>
          </w:p>
        </w:tc>
      </w:tr>
      <w:tr>
        <w:trPr>
          <w:cantSplit w:val="true"/>
        </w:trPr>
        <w:tc>
          <w:tcPr>
            <w:tcW w:w="39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finde ich in Neuseeland schnell Anschluss und Freunde?</w:t>
            </w:r>
          </w:p>
        </w:tc>
        <w:tc>
          <w:tcPr>
            <w:tcW w:w="25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Freunde, Kulturschock</w:t>
            </w:r>
          </w:p>
        </w:tc>
      </w:tr>
      <w:tr>
        <w:trPr>
          <w:cantSplit w:val="true"/>
        </w:trPr>
        <w:tc>
          <w:tcPr>
            <w:tcW w:w="39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gehe ich mit der größten Entfernung und Zeitverschiebung aller vier Länder um?</w:t>
            </w:r>
          </w:p>
        </w:tc>
        <w:tc>
          <w:tcPr>
            <w:tcW w:w="25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Freunde, Kulturschock</w:t>
            </w:r>
          </w:p>
        </w:tc>
      </w:tr>
      <w:tr>
        <w:trPr>
          <w:cantSplit w:val="true"/>
        </w:trPr>
        <w:tc>
          <w:tcPr>
            <w:tcW w:w="39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Ist die Schule für mein Kind in Neuseeland wirklich kostenlos?</w:t>
            </w:r>
          </w:p>
        </w:tc>
        <w:tc>
          <w:tcPr>
            <w:tcW w:w="25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Kinder, Schule, Sprache</w:t>
            </w:r>
          </w:p>
        </w:tc>
      </w:tr>
      <w:tr>
        <w:trPr>
          <w:cantSplit w:val="true"/>
        </w:trPr>
        <w:tc>
          <w:tcPr>
            <w:tcW w:w="3921"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Warum beginnt das neuseeländische Schuljahr im Sommer, und was bedeutet das für unseren Umzugstermin?</w:t>
            </w:r>
          </w:p>
        </w:tc>
        <w:tc>
          <w:tcPr>
            <w:tcW w:w="2558"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Kinder, Schule, Sprache</w:t>
            </w:r>
          </w:p>
        </w:tc>
      </w:tr>
    </w:tbl>
    <w:p>
      <w:pPr>
        <w:pStyle w:val="Normal"/>
        <w:spacing w:lineRule="exact" w:line="180" w:before="0" w:after="0"/>
        <w:rPr/>
      </w:pPr>
      <w:r>
        <w:rPr/>
      </w:r>
    </w:p>
    <w:p>
      <w:pPr>
        <w:pStyle w:val="Heading3"/>
        <w:keepNext w:val="true"/>
        <w:spacing w:before="280" w:after="100"/>
        <w:jc w:val="center"/>
        <w:rPr/>
      </w:pPr>
      <w:r>
        <w:rPr>
          <w:rFonts w:eastAsia="Amazon Ember" w:cs="Amazon Ember" w:ascii="Amazon Ember" w:hAnsi="Amazon Ember"/>
          <w:b/>
          <w:bCs/>
          <w:color w:val="0000FF"/>
          <w:sz w:val="36"/>
          <w:szCs w:val="36"/>
        </w:rPr>
        <w:t>Neuseeland: Arbeiten, Recht und Langfristig</w:t>
      </w:r>
    </w:p>
    <w:tbl>
      <w:tblPr>
        <w:tblW w:w="6480" w:type="dxa"/>
        <w:jc w:val="left"/>
        <w:tblInd w:w="0" w:type="dxa"/>
        <w:tblLayout w:type="fixed"/>
        <w:tblCellMar>
          <w:top w:w="50" w:type="dxa"/>
          <w:left w:w="80" w:type="dxa"/>
          <w:bottom w:w="50" w:type="dxa"/>
          <w:right w:w="80" w:type="dxa"/>
        </w:tblCellMar>
      </w:tblPr>
      <w:tblGrid>
        <w:gridCol w:w="3527"/>
        <w:gridCol w:w="2952"/>
      </w:tblGrid>
      <w:tr>
        <w:trPr>
          <w:tblHeader w:val="true"/>
          <w:cantSplit w:val="true"/>
        </w:trPr>
        <w:tc>
          <w:tcPr>
            <w:tcW w:w="3527"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Deine Frage oder Situation</w:t>
            </w:r>
          </w:p>
        </w:tc>
        <w:tc>
          <w:tcPr>
            <w:tcW w:w="2952" w:type="dxa"/>
            <w:tcBorders>
              <w:top w:val="single" w:sz="4" w:space="0" w:color="B8BEC7"/>
              <w:left w:val="single" w:sz="4" w:space="0" w:color="B8BEC7"/>
              <w:bottom w:val="single" w:sz="4" w:space="0" w:color="B8BEC7"/>
              <w:right w:val="single" w:sz="4" w:space="0" w:color="B8BEC7"/>
            </w:tcBorders>
            <w:shd w:color="auto" w:fill="DDE3EA" w:val="clear"/>
          </w:tcPr>
          <w:p>
            <w:pPr>
              <w:pStyle w:val="Normal"/>
              <w:spacing w:lineRule="exact" w:line="250" w:before="0" w:after="0"/>
              <w:rPr/>
            </w:pPr>
            <w:r>
              <w:rPr>
                <w:rFonts w:eastAsia="Cambria" w:cs="Cambria"/>
                <w:b/>
                <w:bCs/>
                <w:i w:val="false"/>
                <w:iCs w:val="false"/>
                <w:sz w:val="18"/>
                <w:szCs w:val="18"/>
              </w:rPr>
              <w:t>Mehr dazu</w:t>
            </w:r>
          </w:p>
        </w:tc>
      </w:tr>
      <w:tr>
        <w:trPr>
          <w:cantSplit w:val="true"/>
        </w:trPr>
        <w:tc>
          <w:tcPr>
            <w:tcW w:w="35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viel Urlaub steht mir in Neuseeland gesetzlich zu, und was hat es mit der 90-Tage-Probezeit auf sich?</w:t>
            </w:r>
          </w:p>
        </w:tc>
        <w:tc>
          <w:tcPr>
            <w:tcW w:w="2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Arbeitswelt, Jobwechsel</w:t>
            </w:r>
          </w:p>
        </w:tc>
      </w:tr>
      <w:tr>
        <w:trPr>
          <w:cantSplit w:val="true"/>
        </w:trPr>
        <w:tc>
          <w:tcPr>
            <w:tcW w:w="35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wechsle ich mit einem AEWV den Arbeitgeber, ohne meinen Status zu gefährden?</w:t>
            </w:r>
          </w:p>
        </w:tc>
        <w:tc>
          <w:tcPr>
            <w:tcW w:w="2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Arbeitswelt, Jobwechsel</w:t>
            </w:r>
          </w:p>
        </w:tc>
      </w:tr>
      <w:tr>
        <w:trPr>
          <w:cantSplit w:val="true"/>
        </w:trPr>
        <w:tc>
          <w:tcPr>
            <w:tcW w:w="35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Warum ist die neuseeländische Polizei unbewaffnet, und wie verhalte ich mich bei einer Kontrolle?</w:t>
            </w:r>
          </w:p>
        </w:tc>
        <w:tc>
          <w:tcPr>
            <w:tcW w:w="2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Recht, Sicherheit, Polizei</w:t>
            </w:r>
          </w:p>
        </w:tc>
      </w:tr>
      <w:tr>
        <w:trPr>
          <w:cantSplit w:val="true"/>
        </w:trPr>
        <w:tc>
          <w:tcPr>
            <w:tcW w:w="35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ernst muss ich das Erdbebenrisiko nehmen, und was deckt die staatliche Erdbebenversicherung ab?</w:t>
            </w:r>
          </w:p>
        </w:tc>
        <w:tc>
          <w:tcPr>
            <w:tcW w:w="2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Recht, Sicherheit, Polizei</w:t>
            </w:r>
          </w:p>
        </w:tc>
      </w:tr>
      <w:tr>
        <w:trPr>
          <w:cantSplit w:val="true"/>
        </w:trPr>
        <w:tc>
          <w:tcPr>
            <w:tcW w:w="35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Wie lange dauert es, bis ich mich in Neuseeland einbürgern lassen kann?</w:t>
            </w:r>
          </w:p>
        </w:tc>
        <w:tc>
          <w:tcPr>
            <w:tcW w:w="2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Staatsbürgerschaft, Steuerresidenz</w:t>
            </w:r>
          </w:p>
        </w:tc>
      </w:tr>
      <w:tr>
        <w:trPr>
          <w:cantSplit w:val="true"/>
        </w:trPr>
        <w:tc>
          <w:tcPr>
            <w:tcW w:w="3527"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Verliere ich meinen deutschen Pass, wenn ich Neuseeländer werde, und muss ich nach einer Rückkehr weiter neuseeländische Steuern zahlen?</w:t>
            </w:r>
          </w:p>
        </w:tc>
        <w:tc>
          <w:tcPr>
            <w:tcW w:w="2952" w:type="dxa"/>
            <w:tcBorders>
              <w:top w:val="single" w:sz="4" w:space="0" w:color="B8BEC7"/>
              <w:left w:val="single" w:sz="4" w:space="0" w:color="B8BEC7"/>
              <w:bottom w:val="single" w:sz="4" w:space="0" w:color="B8BEC7"/>
              <w:right w:val="single" w:sz="4" w:space="0" w:color="B8BEC7"/>
            </w:tcBorders>
          </w:tcPr>
          <w:p>
            <w:pPr>
              <w:pStyle w:val="Normal"/>
              <w:spacing w:lineRule="exact" w:line="250" w:before="0" w:after="0"/>
              <w:rPr/>
            </w:pPr>
            <w:r>
              <w:rPr>
                <w:rFonts w:eastAsia="Cambria" w:cs="Cambria"/>
                <w:b w:val="false"/>
                <w:bCs w:val="false"/>
                <w:i w:val="false"/>
                <w:iCs w:val="false"/>
                <w:sz w:val="18"/>
                <w:szCs w:val="18"/>
              </w:rPr>
              <w:t>Neuseeland: Staatsbürgerschaft, Steuerresidenz</w:t>
            </w:r>
          </w:p>
        </w:tc>
      </w:tr>
    </w:tbl>
    <w:p>
      <w:pPr>
        <w:pStyle w:val="Normal"/>
        <w:spacing w:lineRule="exact" w:line="180" w:before="0" w:after="0"/>
        <w:rPr/>
      </w:pPr>
      <w:r>
        <w:rPr/>
      </w:r>
    </w:p>
    <w:tbl>
      <w:tblPr>
        <w:tblW w:w="6480" w:type="dxa"/>
        <w:jc w:val="left"/>
        <w:tblInd w:w="0" w:type="dxa"/>
        <w:tblLayout w:type="fixed"/>
        <w:tblCellMar>
          <w:top w:w="110" w:type="dxa"/>
          <w:left w:w="200" w:type="dxa"/>
          <w:bottom w:w="80" w:type="dxa"/>
          <w:right w:w="160" w:type="dxa"/>
        </w:tblCellMar>
      </w:tblPr>
      <w:tblGrid>
        <w:gridCol w:w="6480"/>
      </w:tblGrid>
      <w:tr>
        <w:trPr>
          <w:cantSplit w:val="true"/>
        </w:trPr>
        <w:tc>
          <w:tcPr>
            <w:tcW w:w="6480" w:type="dxa"/>
            <w:tcBorders>
              <w:left w:val="single" w:sz="24" w:space="0" w:color="6B7280"/>
            </w:tcBorders>
            <w:shd w:color="auto" w:fill="F2F3F5" w:val="clear"/>
          </w:tcPr>
          <w:p>
            <w:pPr>
              <w:pStyle w:val="Normal"/>
              <w:keepNext w:val="true"/>
              <w:spacing w:lineRule="exact" w:line="240" w:before="0" w:after="70"/>
              <w:rPr/>
            </w:pPr>
            <w:r>
              <w:rPr>
                <w:rFonts w:eastAsia="Cambria" w:cs="Cambria"/>
                <w:b/>
                <w:bCs/>
                <w:color w:val="6B7280"/>
                <w:spacing w:val="24"/>
                <w:sz w:val="16"/>
                <w:szCs w:val="16"/>
              </w:rPr>
              <w:t>STAND</w:t>
            </w:r>
          </w:p>
          <w:p>
            <w:pPr>
              <w:pStyle w:val="Normal"/>
              <w:keepNext w:val="false"/>
              <w:keepLines w:val="false"/>
              <w:spacing w:lineRule="exact" w:line="264" w:before="0" w:after="80"/>
              <w:jc w:val="left"/>
              <w:rPr/>
            </w:pPr>
            <w:r>
              <w:rPr>
                <w:rFonts w:eastAsia="Cambria" w:cs="Cambria"/>
                <w:b w:val="false"/>
                <w:bCs w:val="false"/>
                <w:i w:val="false"/>
                <w:iCs w:val="false"/>
                <w:sz w:val="20"/>
                <w:szCs w:val="20"/>
              </w:rPr>
              <w:t>September 2026. Kapitelnummern und -zuordnungen können sich bis zur Veröffentlichung noch leicht verschieben; prüfe bei Unstimmigkeiten das Inhaltsverzeichnis.</w:t>
            </w:r>
          </w:p>
        </w:tc>
      </w:tr>
    </w:tbl>
    <w:p>
      <w:pPr>
        <w:pStyle w:val="Normal"/>
        <w:spacing w:lineRule="exact" w:line="220" w:before="0" w:after="0"/>
        <w:rPr/>
      </w:pPr>
      <w:r>
        <w:rPr/>
      </w:r>
      <w:r>
        <w:br w:type="page"/>
      </w:r>
    </w:p>
    <w:p>
      <w:pPr>
        <w:pStyle w:val="Heading2"/>
        <w:keepNext w:val="true"/>
        <w:spacing w:before="0" w:after="300"/>
        <w:jc w:val="center"/>
        <w:rPr/>
      </w:pPr>
      <w:bookmarkStart w:id="232" w:name="__RefHeading___Toc56663_3769931028"/>
      <w:bookmarkStart w:id="233" w:name="s110"/>
      <w:bookmarkEnd w:id="232"/>
      <w:r>
        <w:rPr>
          <w:rFonts w:eastAsia="Amazon Ember" w:cs="Amazon Ember" w:ascii="Amazon Ember" w:hAnsi="Amazon Ember"/>
          <w:b/>
          <w:bCs/>
          <w:color w:val="0000FF"/>
          <w:sz w:val="36"/>
          <w:szCs w:val="36"/>
        </w:rPr>
        <w:t>Über den Autor</w:t>
      </w:r>
      <w:bookmarkEnd w:id="233"/>
    </w:p>
    <w:p>
      <w:pPr>
        <w:pStyle w:val="Normal"/>
        <w:keepNext w:val="false"/>
        <w:keepLines w:val="false"/>
        <w:spacing w:lineRule="exact" w:line="288" w:before="0" w:after="140"/>
        <w:jc w:val="left"/>
        <w:rPr/>
      </w:pPr>
      <w:r>
        <w:rPr>
          <w:rFonts w:eastAsia="Cambria" w:cs="Cambria"/>
          <w:b w:val="false"/>
          <w:bCs w:val="false"/>
          <w:i w:val="false"/>
          <w:iCs w:val="false"/>
          <w:sz w:val="22"/>
          <w:szCs w:val="22"/>
        </w:rPr>
        <w:t>Lothar J. Musiol hat an der Hochschule für angewandte Wissenschaften München studiert und mehr als vierzig Jahre in der Halbleiterindustrie gearbeitet: zuerst bei dem größten Unternehmen der Branche, das Deutschland zu bieten hatte, dann bei einer Reihe amerikanischer Start-ups, wo die Erkenntnisse schneller kamen als die Arbeitsplatzsicherheit. Nebenbei hat er Physik studiert, ernsthaft genug, um genau zu wissen, wie viel er in seinen Büchern vereinfacht und wie viel nicht.</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Die doppelte Staatsbürgerschaft, sinnvoll eingesetzt, erlaubt ihm heute, seine Zeit zwischen San Clemente in Kalifornien und Passau in Bayern zu teilen. Dort beginnt Österreich direkt am Gartenzaun, und zum Haushalt gehören eine verheiratete Tochter, ein mürrischer Teacup-Pomeranian und elf Hühner unterschiedlicher Größe und unterschiedlichen Alters, aufgeführt in der Reihenfolge ihres Dienstalters und nicht ihrer Lautstärke.</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Er schreibt, um komplizierte Dinge klarer und ansprechender zu machen, ohne sie jemals einfacher darzustellen, als sie tatsächlich sind.</w:t>
      </w:r>
      <w:r>
        <w:br w:type="page"/>
      </w:r>
    </w:p>
    <w:p>
      <w:pPr>
        <w:pStyle w:val="Heading2"/>
        <w:keepNext w:val="true"/>
        <w:spacing w:before="0" w:after="300"/>
        <w:jc w:val="center"/>
        <w:rPr/>
      </w:pPr>
      <w:bookmarkStart w:id="234" w:name="__RefHeading___Toc56665_3769931028"/>
      <w:bookmarkStart w:id="235" w:name="s111"/>
      <w:bookmarkEnd w:id="234"/>
      <w:r>
        <w:rPr>
          <w:rFonts w:eastAsia="Amazon Ember" w:cs="Amazon Ember" w:ascii="Amazon Ember" w:hAnsi="Amazon Ember"/>
          <w:b/>
          <w:bCs/>
          <w:color w:val="0000FF"/>
          <w:sz w:val="36"/>
          <w:szCs w:val="36"/>
        </w:rPr>
        <w:t>Eine kleine Bitte</w:t>
      </w:r>
      <w:bookmarkEnd w:id="235"/>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Wenn dir dieses Buch bei einer der größten Entscheidungen deines Lebens geholfen hat, ist das Beste, was du dafür tun kannst, eine Rezension dort zu hinterlassen, wo du es gekauft hast. Rezensionen sind der Weg, auf dem Bücher wie dieses, dicht, konkret und nicht auf den schnellen Effekt angelegt, die Menschen finden, die genau danach suchen.</w:t>
      </w:r>
    </w:p>
    <w:p>
      <w:pPr>
        <w:pStyle w:val="Normal"/>
        <w:keepNext w:val="false"/>
        <w:keepLines w:val="false"/>
        <w:spacing w:lineRule="exact" w:line="288" w:before="0" w:after="140"/>
        <w:jc w:val="left"/>
        <w:rPr/>
      </w:pPr>
      <w:r>
        <w:rPr>
          <w:rFonts w:eastAsia="Cambria" w:cs="Cambria"/>
          <w:b w:val="false"/>
          <w:bCs w:val="false"/>
          <w:i w:val="false"/>
          <w:iCs w:val="false"/>
          <w:sz w:val="22"/>
          <w:szCs w:val="22"/>
        </w:rPr>
        <w:t>Ein Satz genügt. Zum Beispiel: Was hat dir am meisten Zeit oder Geld gespart?</w:t>
      </w:r>
      <w:r>
        <w:br w:type="page"/>
      </w:r>
    </w:p>
    <w:p>
      <w:pPr>
        <w:pStyle w:val="Heading2"/>
        <w:keepNext w:val="true"/>
        <w:spacing w:before="0" w:after="300"/>
        <w:jc w:val="center"/>
        <w:rPr/>
      </w:pPr>
      <w:bookmarkStart w:id="236" w:name="__RefHeading___Toc56667_3769931028"/>
      <w:bookmarkStart w:id="237" w:name="s112"/>
      <w:bookmarkEnd w:id="236"/>
      <w:r>
        <w:rPr>
          <w:rFonts w:eastAsia="Amazon Ember" w:cs="Amazon Ember" w:ascii="Amazon Ember" w:hAnsi="Amazon Ember"/>
          <w:b/>
          <w:bCs/>
          <w:color w:val="0000FF"/>
          <w:sz w:val="36"/>
          <w:szCs w:val="36"/>
        </w:rPr>
        <w:t>Weitere Bücher des Autors</w:t>
      </w:r>
      <w:bookmarkEnd w:id="237"/>
    </w:p>
    <w:p>
      <w:pPr>
        <w:pStyle w:val="Normal"/>
        <w:keepNext w:val="false"/>
        <w:keepLines w:val="false"/>
        <w:spacing w:lineRule="exact" w:line="288" w:before="0" w:after="140"/>
        <w:jc w:val="left"/>
        <w:rPr/>
      </w:pPr>
      <w:r>
        <w:rPr>
          <w:rFonts w:eastAsia="Cambria" w:cs="Cambria"/>
          <w:b w:val="false"/>
          <w:bCs w:val="false"/>
          <w:i w:val="false"/>
          <w:iCs w:val="false"/>
          <w:sz w:val="22"/>
          <w:szCs w:val="22"/>
        </w:rPr>
        <w:t>Wenn du mehr lesen möchtest, hier ein Regal vom selben Autor, in der Richtung, in die dich deine Neugier als Nächstes führt. Die folgenden Titel sind auf Englisch erschienen.</w:t>
      </w:r>
    </w:p>
    <w:p>
      <w:pPr>
        <w:pStyle w:val="Normal"/>
        <w:keepNext w:val="false"/>
        <w:keepLines w:val="false"/>
        <w:spacing w:lineRule="exact" w:line="288" w:before="0" w:after="140"/>
        <w:jc w:val="left"/>
        <w:rPr/>
      </w:pPr>
      <w:r>
        <w:rPr>
          <w:rFonts w:eastAsia="Cambria" w:cs="Cambria"/>
          <w:b/>
          <w:bCs/>
          <w:i w:val="false"/>
          <w:iCs w:val="false"/>
          <w:sz w:val="22"/>
          <w:szCs w:val="22"/>
        </w:rPr>
        <w:t>Wissenschaft für alle.</w:t>
      </w:r>
      <w:r>
        <w:rPr>
          <w:rFonts w:eastAsia="Cambria" w:cs="Cambria"/>
          <w:b w:val="false"/>
          <w:bCs w:val="false"/>
          <w:i w:val="false"/>
          <w:iCs w:val="false"/>
          <w:sz w:val="22"/>
          <w:szCs w:val="22"/>
        </w:rPr>
        <w:t xml:space="preserve"> </w:t>
      </w:r>
      <w:r>
        <w:rPr>
          <w:rFonts w:eastAsia="Cambria" w:cs="Cambria"/>
          <w:b w:val="false"/>
          <w:bCs w:val="false"/>
          <w:i/>
          <w:iCs/>
          <w:sz w:val="22"/>
          <w:szCs w:val="22"/>
        </w:rPr>
        <w:t>The Quantum World</w:t>
      </w:r>
      <w:r>
        <w:rPr>
          <w:rFonts w:eastAsia="Cambria" w:cs="Cambria"/>
          <w:b w:val="false"/>
          <w:bCs w:val="false"/>
          <w:i w:val="false"/>
          <w:iCs w:val="false"/>
          <w:sz w:val="22"/>
          <w:szCs w:val="22"/>
        </w:rPr>
        <w:t xml:space="preserve"> · </w:t>
      </w:r>
      <w:r>
        <w:rPr>
          <w:rFonts w:eastAsia="Cambria" w:cs="Cambria"/>
          <w:b w:val="false"/>
          <w:bCs w:val="false"/>
          <w:i/>
          <w:iCs/>
          <w:sz w:val="22"/>
          <w:szCs w:val="22"/>
        </w:rPr>
        <w:t>Physics Vol. 1 — Motion, Forces, Time, and Relativity</w:t>
      </w:r>
      <w:r>
        <w:rPr>
          <w:rFonts w:eastAsia="Cambria" w:cs="Cambria"/>
          <w:b w:val="false"/>
          <w:bCs w:val="false"/>
          <w:i w:val="false"/>
          <w:iCs w:val="false"/>
          <w:sz w:val="22"/>
          <w:szCs w:val="22"/>
        </w:rPr>
        <w:t xml:space="preserve"> · </w:t>
      </w:r>
      <w:r>
        <w:rPr>
          <w:rFonts w:eastAsia="Cambria" w:cs="Cambria"/>
          <w:b w:val="false"/>
          <w:bCs w:val="false"/>
          <w:i/>
          <w:iCs/>
          <w:sz w:val="22"/>
          <w:szCs w:val="22"/>
        </w:rPr>
        <w:t>Physics Vol. 2 — Gravity, Cosmology, and the Limits of Spacetime</w:t>
      </w:r>
      <w:r>
        <w:rPr>
          <w:rFonts w:eastAsia="Cambria" w:cs="Cambria"/>
          <w:b w:val="false"/>
          <w:bCs w:val="false"/>
          <w:i w:val="false"/>
          <w:iCs w:val="false"/>
          <w:sz w:val="22"/>
          <w:szCs w:val="22"/>
        </w:rPr>
        <w:t xml:space="preserve"> · </w:t>
      </w:r>
      <w:r>
        <w:rPr>
          <w:rFonts w:eastAsia="Cambria" w:cs="Cambria"/>
          <w:b w:val="false"/>
          <w:bCs w:val="false"/>
          <w:i/>
          <w:iCs/>
          <w:sz w:val="22"/>
          <w:szCs w:val="22"/>
        </w:rPr>
        <w:t>Physics Vol. 3 — The Standard Model, Chaos, and the Edge of Knowledge</w:t>
      </w:r>
      <w:r>
        <w:rPr>
          <w:rFonts w:eastAsia="Cambria" w:cs="Cambria"/>
          <w:b w:val="false"/>
          <w:bCs w:val="false"/>
          <w:i w:val="false"/>
          <w:iCs w:val="false"/>
          <w:sz w:val="22"/>
          <w:szCs w:val="22"/>
        </w:rPr>
        <w:t xml:space="preserve"> · </w:t>
      </w:r>
      <w:r>
        <w:rPr>
          <w:rFonts w:eastAsia="Cambria" w:cs="Cambria"/>
          <w:b w:val="false"/>
          <w:bCs w:val="false"/>
          <w:i/>
          <w:iCs/>
          <w:sz w:val="22"/>
          <w:szCs w:val="22"/>
        </w:rPr>
        <w:t>The Quantum Conversation</w:t>
      </w:r>
    </w:p>
    <w:p>
      <w:pPr>
        <w:pStyle w:val="Normal"/>
        <w:keepNext w:val="false"/>
        <w:keepLines w:val="false"/>
        <w:spacing w:lineRule="exact" w:line="288" w:before="0" w:after="140"/>
        <w:jc w:val="left"/>
        <w:rPr/>
      </w:pPr>
      <w:r>
        <w:rPr>
          <w:rFonts w:eastAsia="Cambria" w:cs="Cambria"/>
          <w:b/>
          <w:bCs/>
          <w:i w:val="false"/>
          <w:iCs w:val="false"/>
          <w:sz w:val="22"/>
          <w:szCs w:val="22"/>
        </w:rPr>
        <w:t>Weitere Sachbücher.</w:t>
      </w:r>
      <w:r>
        <w:rPr>
          <w:rFonts w:eastAsia="Cambria" w:cs="Cambria"/>
          <w:b w:val="false"/>
          <w:bCs w:val="false"/>
          <w:i w:val="false"/>
          <w:iCs w:val="false"/>
          <w:sz w:val="22"/>
          <w:szCs w:val="22"/>
        </w:rPr>
        <w:t xml:space="preserve"> </w:t>
      </w:r>
      <w:r>
        <w:rPr>
          <w:rFonts w:eastAsia="Cambria" w:cs="Cambria"/>
          <w:b w:val="false"/>
          <w:bCs w:val="false"/>
          <w:i/>
          <w:iCs/>
          <w:sz w:val="22"/>
          <w:szCs w:val="22"/>
        </w:rPr>
        <w:t>The Mathematics Tower</w:t>
      </w:r>
      <w:r>
        <w:rPr>
          <w:rFonts w:eastAsia="Cambria" w:cs="Cambria"/>
          <w:b w:val="false"/>
          <w:bCs w:val="false"/>
          <w:i w:val="false"/>
          <w:iCs w:val="false"/>
          <w:sz w:val="22"/>
          <w:szCs w:val="22"/>
        </w:rPr>
        <w:t xml:space="preserve"> · </w:t>
      </w:r>
      <w:r>
        <w:rPr>
          <w:rFonts w:eastAsia="Cambria" w:cs="Cambria"/>
          <w:b w:val="false"/>
          <w:bCs w:val="false"/>
          <w:i/>
          <w:iCs/>
          <w:sz w:val="22"/>
          <w:szCs w:val="22"/>
        </w:rPr>
        <w:t>Foundations of Electronics</w:t>
      </w:r>
    </w:p>
    <w:p>
      <w:pPr>
        <w:pStyle w:val="Normal"/>
        <w:keepNext w:val="false"/>
        <w:keepLines w:val="false"/>
        <w:spacing w:lineRule="exact" w:line="288" w:before="0" w:after="140"/>
        <w:jc w:val="left"/>
        <w:rPr/>
      </w:pPr>
      <w:r>
        <w:rPr>
          <w:rFonts w:eastAsia="Cambria" w:cs="Cambria"/>
          <w:b/>
          <w:bCs/>
          <w:i w:val="false"/>
          <w:iCs w:val="false"/>
          <w:sz w:val="22"/>
          <w:szCs w:val="22"/>
        </w:rPr>
        <w:t>Romane.</w:t>
      </w:r>
      <w:r>
        <w:rPr>
          <w:rFonts w:eastAsia="Cambria" w:cs="Cambria"/>
          <w:b w:val="false"/>
          <w:bCs w:val="false"/>
          <w:i w:val="false"/>
          <w:iCs w:val="false"/>
          <w:sz w:val="22"/>
          <w:szCs w:val="22"/>
        </w:rPr>
        <w:t xml:space="preserve"> </w:t>
      </w:r>
      <w:r>
        <w:rPr>
          <w:rFonts w:eastAsia="Cambria" w:cs="Cambria"/>
          <w:b w:val="false"/>
          <w:bCs w:val="false"/>
          <w:i/>
          <w:iCs/>
          <w:sz w:val="22"/>
          <w:szCs w:val="22"/>
        </w:rPr>
        <w:t>The Relativistic Investigation Bureau</w:t>
      </w:r>
      <w:r>
        <w:rPr>
          <w:rFonts w:eastAsia="Cambria" w:cs="Cambria"/>
          <w:b w:val="false"/>
          <w:bCs w:val="false"/>
          <w:i w:val="false"/>
          <w:iCs w:val="false"/>
          <w:sz w:val="22"/>
          <w:szCs w:val="22"/>
        </w:rPr>
        <w:t xml:space="preserve"> · </w:t>
      </w:r>
      <w:r>
        <w:rPr>
          <w:rFonts w:eastAsia="Cambria" w:cs="Cambria"/>
          <w:b w:val="false"/>
          <w:bCs w:val="false"/>
          <w:i/>
          <w:iCs/>
          <w:sz w:val="22"/>
          <w:szCs w:val="22"/>
        </w:rPr>
        <w:t>Schrödinger’s Paperwork</w:t>
      </w:r>
    </w:p>
    <w:sectPr>
      <w:footerReference w:type="even" r:id="rId753"/>
      <w:footerReference w:type="default" r:id="rId754"/>
      <w:footerReference w:type="first" r:id="rId755"/>
      <w:type w:val="nextPage"/>
      <w:pgSz w:w="8640" w:h="12983"/>
      <w:pgMar w:left="1080" w:right="1080" w:gutter="0" w:header="0" w:top="1080" w:footer="708" w:bottom="110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mbria">
    <w:charset w:val="00"/>
    <w:family w:val="swiss"/>
    <w:pitch w:val="variable"/>
  </w:font>
  <w:font w:name="Liberation Sans">
    <w:altName w:val="Arial"/>
    <w:charset w:val="00"/>
    <w:family w:val="swiss"/>
    <w:pitch w:val="variable"/>
  </w:font>
  <w:font w:name="Amazon Ember">
    <w:charset w:val="00"/>
    <w:family w:val="roman"/>
    <w:pitch w:val="variable"/>
  </w:font>
  <w:font w:name="Segoe UI Symbol">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13</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46</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97</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251</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317</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393</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443</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549</w:t>
    </w:r>
    <w:r>
      <w:rPr/>
      <w:fldChar w:fldCharType="end"/>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588</w:t>
    </w:r>
    <w:r>
      <w:rPr/>
      <w:fldChar w:fldCharType="end"/>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678</w:t>
    </w:r>
    <w:r>
      <w:rPr/>
      <w:fldChar w:fldCharType="end"/>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736</w:t>
    </w:r>
    <w:r>
      <w:rPr/>
      <w:fldChar w:fldCharType="end"/>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809</w:t>
    </w:r>
    <w:r>
      <w:rPr/>
      <w:fldChar w:fldCharType="end"/>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1038</w:t>
    </w:r>
    <w:r>
      <w:rPr/>
      <w:fldChar w:fldCharType="end"/>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1272</w:t>
    </w:r>
    <w:r>
      <w:rPr/>
      <w:fldChar w:fldCharType="end"/>
    </w:r>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1668</w:t>
    </w:r>
    <w:r>
      <w:rPr/>
      <w:fldChar w:fldCharType="end"/>
    </w:r>
  </w:p>
</w:ftr>
</file>

<file path=word/footer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40"/>
      </w:pPr>
      <w:rPr>
        <w:rFonts w:ascii="Symbol" w:hAnsi="Symbol" w:cs="Symbol" w:hint="default"/>
      </w:rPr>
    </w:lvl>
    <w:lvl w:ilvl="1">
      <w:start w:val="1"/>
      <w:numFmt w:val="bullet"/>
      <w:lvlText w:val=""/>
      <w:lvlJc w:val="left"/>
      <w:pPr>
        <w:tabs>
          <w:tab w:val="num" w:pos="0"/>
        </w:tabs>
        <w:ind w:left="720" w:hanging="24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lvl w:ilvl="0">
      <w:start w:val="1"/>
      <w:numFmt w:val="decimal"/>
      <w:lvlText w:val="%1."/>
      <w:lvlJc w:val="left"/>
      <w:pPr>
        <w:tabs>
          <w:tab w:val="num" w:pos="0"/>
        </w:tabs>
        <w:ind w:left="420" w:hanging="330"/>
      </w:pPr>
      <w:rPr/>
    </w:lvl>
    <w:lvl w:ilvl="1">
      <w:start w:val="1"/>
      <w:numFmt w:val="lowerLetter"/>
      <w:lvlText w:val="%2)"/>
      <w:lvlJc w:val="left"/>
      <w:pPr>
        <w:tabs>
          <w:tab w:val="num" w:pos="0"/>
        </w:tabs>
        <w:ind w:left="800" w:hanging="33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1"/>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num>
  <w:num w:numId="57">
    <w:abstractNumId w:val="2"/>
  </w:num>
  <w:num w:numId="58">
    <w:abstractNumId w:val="2"/>
  </w:num>
  <w:num w:numId="59">
    <w:abstractNumId w:val="2"/>
  </w:num>
  <w:num w:numId="60">
    <w:abstractNumId w:val="2"/>
    <w:lvlOverride w:ilvl="0">
      <w:startOverride w:val="1"/>
    </w:lvlOverride>
  </w:num>
  <w:num w:numId="61">
    <w:abstractNumId w:val="2"/>
  </w:num>
  <w:num w:numId="62">
    <w:abstractNumId w:val="2"/>
  </w:num>
  <w:num w:numId="63">
    <w:abstractNumId w:val="2"/>
  </w:num>
  <w:num w:numId="64">
    <w:abstractNumId w:val="2"/>
  </w:num>
  <w:num w:numId="65">
    <w:abstractNumId w:val="2"/>
    <w:lvlOverride w:ilvl="0">
      <w:startOverride w:val="1"/>
    </w:lvlOverride>
  </w:num>
  <w:num w:numId="66">
    <w:abstractNumId w:val="2"/>
  </w:num>
  <w:num w:numId="67">
    <w:abstractNumId w:val="2"/>
  </w:num>
  <w:num w:numId="68">
    <w:abstractNumId w:val="2"/>
  </w:num>
  <w:num w:numId="69">
    <w:abstractNumId w:val="2"/>
    <w:lvlOverride w:ilvl="0">
      <w:startOverride w:val="1"/>
    </w:lvlOverride>
  </w:num>
  <w:num w:numId="70">
    <w:abstractNumId w:val="2"/>
  </w:num>
  <w:num w:numId="71">
    <w:abstractNumId w:val="2"/>
  </w:num>
  <w:num w:numId="72">
    <w:abstractNumId w:val="2"/>
  </w:num>
  <w:num w:numId="73">
    <w:abstractNumId w:val="2"/>
  </w:num>
  <w:num w:numId="74">
    <w:abstractNumId w:val="2"/>
    <w:lvlOverride w:ilvl="0">
      <w:startOverride w:val="1"/>
    </w:lvlOverride>
  </w:num>
  <w:num w:numId="75">
    <w:abstractNumId w:val="2"/>
  </w:num>
  <w:num w:numId="76">
    <w:abstractNumId w:val="2"/>
  </w:num>
  <w:num w:numId="77">
    <w:abstractNumId w:val="2"/>
  </w:num>
  <w:num w:numId="78">
    <w:abstractNumId w:val="2"/>
    <w:lvlOverride w:ilvl="0">
      <w:startOverride w:val="1"/>
    </w:lvlOverride>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lvlOverride w:ilvl="0">
      <w:startOverride w:val="1"/>
    </w:lvlOverride>
  </w:num>
  <w:num w:numId="87">
    <w:abstractNumId w:val="2"/>
    <w:lvlOverride w:ilvl="0">
      <w:startOverride w:val="1"/>
    </w:lvlOverride>
  </w:num>
  <w:num w:numId="88">
    <w:abstractNumId w:val="2"/>
  </w:num>
  <w:num w:numId="89">
    <w:abstractNumId w:val="2"/>
  </w:num>
  <w:num w:numId="90">
    <w:abstractNumId w:val="2"/>
  </w:num>
  <w:num w:numId="91">
    <w:abstractNumId w:val="2"/>
  </w:num>
  <w:num w:numId="92">
    <w:abstractNumId w:val="2"/>
  </w:num>
  <w:num w:numId="93">
    <w:abstractNumId w:val="2"/>
    <w:lvlOverride w:ilvl="0">
      <w:startOverride w:val="1"/>
    </w:lvlOverride>
  </w:num>
  <w:num w:numId="94">
    <w:abstractNumId w:val="2"/>
    <w:lvlOverride w:ilvl="0">
      <w:startOverride w:val="1"/>
    </w:lvlOverride>
  </w:num>
  <w:num w:numId="95">
    <w:abstractNumId w:val="2"/>
  </w:num>
  <w:num w:numId="96">
    <w:abstractNumId w:val="2"/>
  </w:num>
  <w:num w:numId="97">
    <w:abstractNumId w:val="2"/>
    <w:lvlOverride w:ilvl="0">
      <w:startOverride w:val="1"/>
    </w:lvlOverride>
  </w:num>
  <w:num w:numId="98">
    <w:abstractNumId w:val="2"/>
    <w:lvlOverride w:ilvl="0">
      <w:startOverride w:val="1"/>
    </w:lvlOverride>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lvlOverride w:ilvl="0">
      <w:startOverride w:val="1"/>
    </w:lvlOverride>
  </w:num>
  <w:num w:numId="106">
    <w:abstractNumId w:val="2"/>
  </w:num>
  <w:num w:numId="107">
    <w:abstractNumId w:val="2"/>
  </w:num>
  <w:num w:numId="108">
    <w:abstractNumId w:val="2"/>
  </w:num>
  <w:num w:numId="109">
    <w:abstractNumId w:val="2"/>
  </w:num>
  <w:num w:numId="110">
    <w:abstractNumId w:val="2"/>
    <w:lvlOverride w:ilvl="0">
      <w:startOverride w:val="1"/>
    </w:lvlOverride>
  </w:num>
  <w:num w:numId="111">
    <w:abstractNumId w:val="2"/>
  </w:num>
  <w:num w:numId="112">
    <w:abstractNumId w:val="2"/>
  </w:num>
  <w:num w:numId="113">
    <w:abstractNumId w:val="2"/>
  </w:num>
  <w:num w:numId="114">
    <w:abstractNumId w:val="2"/>
    <w:lvlOverride w:ilvl="0">
      <w:startOverride w:val="1"/>
    </w:lvlOverride>
  </w:num>
  <w:num w:numId="115">
    <w:abstractNumId w:val="2"/>
    <w:lvlOverride w:ilvl="0">
      <w:startOverride w:val="1"/>
    </w:lvlOverride>
  </w:num>
  <w:num w:numId="116">
    <w:abstractNumId w:val="2"/>
  </w:num>
  <w:num w:numId="117">
    <w:abstractNumId w:val="2"/>
  </w:num>
  <w:num w:numId="118">
    <w:abstractNumId w:val="2"/>
  </w:num>
  <w:num w:numId="119">
    <w:abstractNumId w:val="2"/>
    <w:lvlOverride w:ilvl="0">
      <w:startOverride w:val="1"/>
    </w:lvlOverride>
  </w:num>
  <w:num w:numId="120">
    <w:abstractNumId w:val="2"/>
    <w:lvlOverride w:ilvl="0">
      <w:startOverride w:val="1"/>
    </w:lvlOverride>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lvlOverride w:ilvl="0">
      <w:startOverride w:val="1"/>
    </w:lvlOverride>
  </w:num>
  <w:num w:numId="130">
    <w:abstractNumId w:val="2"/>
  </w:num>
  <w:num w:numId="131">
    <w:abstractNumId w:val="2"/>
  </w:num>
  <w:num w:numId="132">
    <w:abstractNumId w:val="2"/>
    <w:lvlOverride w:ilvl="0">
      <w:startOverride w:val="1"/>
    </w:lvlOverride>
  </w:num>
  <w:num w:numId="133">
    <w:abstractNumId w:val="2"/>
  </w:num>
  <w:num w:numId="134">
    <w:abstractNumId w:val="2"/>
  </w:num>
  <w:num w:numId="135">
    <w:abstractNumId w:val="2"/>
    <w:lvlOverride w:ilvl="0">
      <w:startOverride w:val="1"/>
    </w:lvlOverride>
  </w:num>
  <w:num w:numId="136">
    <w:abstractNumId w:val="2"/>
  </w:num>
  <w:num w:numId="137">
    <w:abstractNumId w:val="2"/>
  </w:num>
  <w:num w:numId="138">
    <w:abstractNumId w:val="2"/>
  </w:num>
  <w:num w:numId="139">
    <w:abstractNumId w:val="2"/>
  </w:num>
  <w:num w:numId="140">
    <w:abstractNumId w:val="2"/>
    <w:lvlOverride w:ilvl="0">
      <w:startOverride w:val="1"/>
    </w:lvlOverride>
  </w:num>
  <w:num w:numId="141">
    <w:abstractNumId w:val="2"/>
  </w:num>
  <w:num w:numId="142">
    <w:abstractNumId w:val="2"/>
  </w:num>
  <w:num w:numId="143">
    <w:abstractNumId w:val="2"/>
    <w:lvlOverride w:ilvl="0">
      <w:startOverride w:val="1"/>
    </w:lvlOverride>
  </w:num>
  <w:num w:numId="144">
    <w:abstractNumId w:val="2"/>
  </w:num>
  <w:num w:numId="145">
    <w:abstractNumId w:val="2"/>
  </w:num>
  <w:num w:numId="146">
    <w:abstractNumId w:val="2"/>
  </w:num>
  <w:num w:numId="147">
    <w:abstractNumId w:val="2"/>
  </w:num>
  <w:num w:numId="148">
    <w:abstractNumId w:val="2"/>
  </w:num>
  <w:num w:numId="149">
    <w:abstractNumId w:val="2"/>
    <w:lvlOverride w:ilvl="0">
      <w:startOverride w:val="1"/>
    </w:lvlOverride>
  </w:num>
  <w:num w:numId="150">
    <w:abstractNumId w:val="2"/>
    <w:lvlOverride w:ilvl="0">
      <w:startOverride w:val="1"/>
    </w:lvlOverride>
  </w:num>
  <w:num w:numId="151">
    <w:abstractNumId w:val="2"/>
  </w:num>
  <w:num w:numId="152">
    <w:abstractNumId w:val="2"/>
  </w:num>
  <w:num w:numId="153">
    <w:abstractNumId w:val="2"/>
  </w:num>
  <w:num w:numId="154">
    <w:abstractNumId w:val="2"/>
    <w:lvlOverride w:ilvl="0">
      <w:startOverride w:val="1"/>
    </w:lvlOverride>
  </w:num>
  <w:num w:numId="155">
    <w:abstractNumId w:val="2"/>
  </w:num>
  <w:num w:numId="156">
    <w:abstractNumId w:val="2"/>
  </w:num>
  <w:num w:numId="157">
    <w:abstractNumId w:val="2"/>
  </w:num>
  <w:num w:numId="158">
    <w:abstractNumId w:val="2"/>
  </w:num>
  <w:num w:numId="159">
    <w:abstractNumId w:val="2"/>
    <w:lvlOverride w:ilvl="0">
      <w:startOverride w:val="1"/>
    </w:lvlOverride>
  </w:num>
  <w:num w:numId="160">
    <w:abstractNumId w:val="2"/>
  </w:num>
  <w:num w:numId="161">
    <w:abstractNumId w:val="2"/>
  </w:num>
  <w:num w:numId="162">
    <w:abstractNumId w:val="2"/>
  </w:num>
  <w:num w:numId="163">
    <w:abstractNumId w:val="2"/>
  </w:num>
  <w:num w:numId="164">
    <w:abstractNumId w:val="2"/>
    <w:lvlOverride w:ilvl="0">
      <w:startOverride w:val="1"/>
    </w:lvlOverride>
  </w:num>
  <w:num w:numId="165">
    <w:abstractNumId w:val="2"/>
  </w:num>
  <w:num w:numId="166">
    <w:abstractNumId w:val="2"/>
  </w:num>
  <w:num w:numId="167">
    <w:abstractNumId w:val="2"/>
    <w:lvlOverride w:ilvl="0">
      <w:startOverride w:val="1"/>
    </w:lvlOverride>
  </w:num>
  <w:num w:numId="168">
    <w:abstractNumId w:val="2"/>
  </w:num>
  <w:num w:numId="169">
    <w:abstractNumId w:val="2"/>
  </w:num>
  <w:num w:numId="170">
    <w:abstractNumId w:val="2"/>
  </w:num>
  <w:num w:numId="171">
    <w:abstractNumId w:val="2"/>
  </w:num>
  <w:num w:numId="172">
    <w:abstractNumId w:val="2"/>
    <w:lvlOverride w:ilvl="0">
      <w:startOverride w:val="1"/>
    </w:lvlOverride>
  </w:num>
  <w:num w:numId="173">
    <w:abstractNumId w:val="2"/>
  </w:num>
  <w:num w:numId="174">
    <w:abstractNumId w:val="2"/>
  </w:num>
  <w:num w:numId="175">
    <w:abstractNumId w:val="2"/>
  </w:num>
  <w:num w:numId="176">
    <w:abstractNumId w:val="2"/>
  </w:num>
  <w:num w:numId="177">
    <w:abstractNumId w:val="2"/>
    <w:lvlOverride w:ilvl="0">
      <w:startOverride w:val="1"/>
    </w:lvlOverride>
  </w:num>
  <w:num w:numId="178">
    <w:abstractNumId w:val="2"/>
    <w:lvlOverride w:ilvl="0">
      <w:startOverride w:val="1"/>
    </w:lvlOverride>
  </w:num>
  <w:num w:numId="179">
    <w:abstractNumId w:val="2"/>
  </w:num>
  <w:num w:numId="180">
    <w:abstractNumId w:val="2"/>
  </w:num>
  <w:num w:numId="181">
    <w:abstractNumId w:val="2"/>
  </w:num>
  <w:num w:numId="182">
    <w:abstractNumId w:val="2"/>
  </w:num>
  <w:num w:numId="183">
    <w:abstractNumId w:val="2"/>
    <w:lvlOverride w:ilvl="0">
      <w:startOverride w:val="1"/>
    </w:lvlOverride>
  </w:num>
  <w:num w:numId="184">
    <w:abstractNumId w:val="2"/>
  </w:num>
  <w:num w:numId="185">
    <w:abstractNumId w:val="2"/>
  </w:num>
  <w:num w:numId="186">
    <w:abstractNumId w:val="2"/>
  </w:num>
  <w:num w:numId="187">
    <w:abstractNumId w:val="2"/>
    <w:lvlOverride w:ilvl="0">
      <w:startOverride w:val="1"/>
    </w:lvlOverride>
  </w:num>
  <w:num w:numId="188">
    <w:abstractNumId w:val="2"/>
    <w:lvlOverride w:ilvl="0">
      <w:startOverride w:val="1"/>
    </w:lvlOverride>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lvlOverride w:ilvl="0">
      <w:startOverride w:val="1"/>
    </w:lvlOverride>
  </w:num>
  <w:num w:numId="204">
    <w:abstractNumId w:val="2"/>
  </w:num>
  <w:num w:numId="205">
    <w:abstractNumId w:val="2"/>
  </w:num>
  <w:num w:numId="206">
    <w:abstractNumId w:val="2"/>
  </w:num>
  <w:num w:numId="207">
    <w:abstractNumId w:val="2"/>
  </w:num>
  <w:num w:numId="208">
    <w:abstractNumId w:val="2"/>
    <w:lvlOverride w:ilvl="0">
      <w:startOverride w:val="1"/>
    </w:lvlOverride>
  </w:num>
  <w:num w:numId="209">
    <w:abstractNumId w:val="2"/>
  </w:num>
  <w:num w:numId="210">
    <w:abstractNumId w:val="2"/>
  </w:num>
  <w:num w:numId="211">
    <w:abstractNumId w:val="2"/>
  </w:num>
  <w:num w:numId="212">
    <w:abstractNumId w:val="2"/>
  </w:num>
  <w:num w:numId="213">
    <w:abstractNumId w:val="2"/>
  </w:num>
  <w:num w:numId="214">
    <w:abstractNumId w:val="2"/>
    <w:lvlOverride w:ilvl="0">
      <w:startOverride w:val="1"/>
    </w:lvlOverride>
  </w:num>
  <w:num w:numId="215">
    <w:abstractNumId w:val="2"/>
  </w:num>
  <w:num w:numId="216">
    <w:abstractNumId w:val="2"/>
  </w:num>
  <w:num w:numId="217">
    <w:abstractNumId w:val="2"/>
  </w:num>
  <w:num w:numId="218">
    <w:abstractNumId w:val="2"/>
    <w:lvlOverride w:ilvl="0">
      <w:startOverride w:val="1"/>
    </w:lvlOverride>
  </w:num>
  <w:num w:numId="219">
    <w:abstractNumId w:val="2"/>
    <w:lvlOverride w:ilvl="0">
      <w:startOverride w:val="1"/>
    </w:lvlOverride>
  </w:num>
  <w:num w:numId="220">
    <w:abstractNumId w:val="2"/>
  </w:num>
  <w:num w:numId="221">
    <w:abstractNumId w:val="2"/>
  </w:num>
  <w:num w:numId="222">
    <w:abstractNumId w:val="2"/>
  </w:num>
  <w:num w:numId="223">
    <w:abstractNumId w:val="2"/>
  </w:num>
  <w:num w:numId="224">
    <w:abstractNumId w:val="2"/>
    <w:lvlOverride w:ilvl="0">
      <w:startOverride w:val="1"/>
    </w:lvlOverride>
  </w:num>
  <w:num w:numId="225">
    <w:abstractNumId w:val="2"/>
  </w:num>
  <w:num w:numId="226">
    <w:abstractNumId w:val="2"/>
  </w:num>
  <w:num w:numId="227">
    <w:abstractNumId w:val="2"/>
  </w:num>
  <w:num w:numId="228">
    <w:abstractNumId w:val="2"/>
  </w:num>
  <w:num w:numId="229">
    <w:abstractNumId w:val="2"/>
  </w:num>
  <w:num w:numId="230">
    <w:abstractNumId w:val="2"/>
    <w:lvlOverride w:ilvl="0">
      <w:startOverride w:val="1"/>
    </w:lvlOverride>
  </w:num>
  <w:num w:numId="231">
    <w:abstractNumId w:val="2"/>
    <w:lvlOverride w:ilvl="0">
      <w:startOverride w:val="1"/>
    </w:lvlOverride>
  </w:num>
  <w:num w:numId="232">
    <w:abstractNumId w:val="2"/>
  </w:num>
  <w:num w:numId="233">
    <w:abstractNumId w:val="2"/>
  </w:num>
  <w:num w:numId="234">
    <w:abstractNumId w:val="2"/>
    <w:lvlOverride w:ilvl="0">
      <w:startOverride w:val="1"/>
    </w:lvlOverride>
  </w:num>
  <w:num w:numId="235">
    <w:abstractNumId w:val="2"/>
  </w:num>
  <w:num w:numId="236">
    <w:abstractNumId w:val="2"/>
  </w:num>
  <w:num w:numId="237">
    <w:abstractNumId w:val="2"/>
    <w:lvlOverride w:ilvl="0">
      <w:startOverride w:val="1"/>
    </w:lvlOverride>
  </w:num>
  <w:num w:numId="238">
    <w:abstractNumId w:val="2"/>
  </w:num>
  <w:num w:numId="239">
    <w:abstractNumId w:val="2"/>
  </w:num>
  <w:num w:numId="240">
    <w:abstractNumId w:val="2"/>
    <w:lvlOverride w:ilvl="0">
      <w:startOverride w:val="1"/>
    </w:lvlOverride>
  </w:num>
  <w:num w:numId="241">
    <w:abstractNumId w:val="2"/>
  </w:num>
  <w:num w:numId="242">
    <w:abstractNumId w:val="2"/>
  </w:num>
  <w:num w:numId="243">
    <w:abstractNumId w:val="2"/>
    <w:lvlOverride w:ilvl="0">
      <w:startOverride w:val="1"/>
    </w:lvlOverride>
  </w:num>
  <w:num w:numId="244">
    <w:abstractNumId w:val="2"/>
  </w:num>
  <w:num w:numId="245">
    <w:abstractNumId w:val="2"/>
  </w:num>
  <w:num w:numId="246">
    <w:abstractNumId w:val="2"/>
  </w:num>
  <w:num w:numId="247">
    <w:abstractNumId w:val="2"/>
  </w:num>
  <w:num w:numId="248">
    <w:abstractNumId w:val="2"/>
    <w:lvlOverride w:ilvl="0">
      <w:startOverride w:val="1"/>
    </w:lvlOverride>
  </w:num>
  <w:num w:numId="249">
    <w:abstractNumId w:val="2"/>
  </w:num>
  <w:num w:numId="250">
    <w:abstractNumId w:val="2"/>
    <w:lvlOverride w:ilvl="0">
      <w:startOverride w:val="1"/>
    </w:lvlOverride>
  </w:num>
  <w:num w:numId="251">
    <w:abstractNumId w:val="2"/>
  </w:num>
  <w:num w:numId="252">
    <w:abstractNumId w:val="2"/>
  </w:num>
  <w:num w:numId="253">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de-DE" w:eastAsia="zh-CN" w:bidi="hi-IN"/>
      </w:rPr>
    </w:rPrDefault>
    <w:pPrDefault>
      <w:pPr>
        <w:suppressAutoHyphens w:val="true"/>
      </w:pPr>
    </w:pPrDefault>
  </w:docDefaults>
  <w:style w:type="paragraph" w:styleId="Normal">
    <w:name w:val="Normal"/>
    <w:qFormat/>
    <w:pPr>
      <w:widowControl/>
      <w:bidi w:val="0"/>
      <w:spacing w:lineRule="exact" w:line="288" w:before="0" w:after="0"/>
      <w:jc w:val="left"/>
    </w:pPr>
    <w:rPr>
      <w:rFonts w:ascii="Cambria" w:hAnsi="Cambria" w:eastAsia="Cambria" w:cs="Cambria"/>
      <w:color w:val="auto"/>
      <w:kern w:val="0"/>
      <w:sz w:val="22"/>
      <w:szCs w:val="22"/>
      <w:lang w:val="de-DE" w:eastAsia="zh-CN" w:bidi="hi-IN"/>
    </w:rPr>
  </w:style>
  <w:style w:type="paragraph" w:styleId="Heading1">
    <w:name w:val="Heading 1"/>
    <w:basedOn w:val="Heading"/>
    <w:qFormat/>
    <w:pPr>
      <w:spacing w:before="0" w:after="360"/>
      <w:outlineLvl w:val="0"/>
    </w:pPr>
    <w:rPr>
      <w:rFonts w:ascii="Cambria" w:hAnsi="Cambria" w:eastAsia="Cambria" w:cs="Cambria"/>
      <w:b/>
      <w:bCs/>
      <w:color w:val="1F3A5F"/>
      <w:sz w:val="48"/>
      <w:szCs w:val="48"/>
    </w:rPr>
  </w:style>
  <w:style w:type="paragraph" w:styleId="Heading2">
    <w:name w:val="Heading 2"/>
    <w:basedOn w:val="Heading"/>
    <w:qFormat/>
    <w:pPr>
      <w:spacing w:before="0" w:after="300"/>
      <w:outlineLvl w:val="1"/>
    </w:pPr>
    <w:rPr>
      <w:rFonts w:ascii="Cambria" w:hAnsi="Cambria" w:eastAsia="Cambria" w:cs="Cambria"/>
      <w:b/>
      <w:bCs/>
      <w:color w:val="1F3A5F"/>
      <w:sz w:val="34"/>
      <w:szCs w:val="34"/>
    </w:rPr>
  </w:style>
  <w:style w:type="paragraph" w:styleId="Heading3">
    <w:name w:val="Heading 3"/>
    <w:basedOn w:val="Heading"/>
    <w:qFormat/>
    <w:pPr>
      <w:spacing w:before="280" w:after="100"/>
      <w:outlineLvl w:val="2"/>
    </w:pPr>
    <w:rPr>
      <w:rFonts w:ascii="Cambria" w:hAnsi="Cambria" w:eastAsia="Cambria" w:cs="Cambria"/>
      <w:b/>
      <w:bCs/>
      <w:color w:val="1F3A5F"/>
      <w:sz w:val="26"/>
      <w:szCs w:val="26"/>
    </w:rPr>
  </w:style>
  <w:style w:type="paragraph" w:styleId="Heading4">
    <w:name w:val="Heading 4"/>
    <w:basedOn w:val="Heading"/>
    <w:qFormat/>
    <w:pPr>
      <w:spacing w:before="200" w:after="80"/>
      <w:outlineLvl w:val="3"/>
    </w:pPr>
    <w:rPr>
      <w:rFonts w:ascii="Cambria" w:hAnsi="Cambria" w:eastAsia="Cambria" w:cs="Cambria"/>
      <w:b/>
      <w:bCs/>
      <w:i/>
      <w:iCs/>
      <w:sz w:val="22"/>
      <w:szCs w:val="22"/>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spacing w:before="240" w:after="300"/>
      <w:jc w:val="center"/>
    </w:pPr>
    <w:rPr>
      <w:rFonts w:ascii="Cambria" w:hAnsi="Cambria" w:eastAsia="Cambria" w:cs="Cambria"/>
      <w:b/>
      <w:bCs/>
      <w:sz w:val="60"/>
      <w:szCs w:val="60"/>
    </w:rPr>
  </w:style>
  <w:style w:type="paragraph" w:styleId="StrongEmphasis">
    <w:name w:val="Strong Emphasis"/>
    <w:qFormat/>
    <w:pPr>
      <w:widowControl/>
      <w:bidi w:val="0"/>
      <w:spacing w:lineRule="exact" w:line="288" w:before="0" w:after="0"/>
      <w:jc w:val="left"/>
    </w:pPr>
    <w:rPr>
      <w:rFonts w:ascii="Cambria" w:hAnsi="Cambria" w:eastAsia="Cambria" w:cs="Cambria"/>
      <w:b/>
      <w:bCs/>
      <w:color w:val="auto"/>
      <w:kern w:val="0"/>
      <w:sz w:val="22"/>
      <w:szCs w:val="22"/>
      <w:lang w:val="de-DE" w:eastAsia="zh-CN" w:bidi="hi-IN"/>
    </w:rPr>
  </w:style>
  <w:style w:type="paragraph" w:styleId="ListParagraph">
    <w:name w:val="List Paragraph"/>
    <w:qFormat/>
    <w:pPr>
      <w:widowControl/>
      <w:bidi w:val="0"/>
      <w:spacing w:lineRule="exact" w:line="288" w:before="0" w:after="0"/>
      <w:jc w:val="left"/>
    </w:pPr>
    <w:rPr>
      <w:rFonts w:ascii="Cambria" w:hAnsi="Cambria" w:eastAsia="Cambria" w:cs="Cambria"/>
      <w:color w:val="auto"/>
      <w:kern w:val="0"/>
      <w:sz w:val="22"/>
      <w:szCs w:val="22"/>
      <w:lang w:val="de-D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spacing w:before="200" w:after="60"/>
    </w:pPr>
    <w:rPr>
      <w:rFonts w:ascii="Cambria" w:hAnsi="Cambria" w:eastAsia="Cambria" w:cs="Cambria"/>
      <w:b/>
      <w:bCs/>
      <w:sz w:val="22"/>
      <w:szCs w:val="22"/>
    </w:rPr>
  </w:style>
  <w:style w:type="paragraph" w:styleId="TOC2">
    <w:name w:val="TOC 2"/>
    <w:basedOn w:val="Index"/>
    <w:pPr>
      <w:spacing w:before="0" w:after="30"/>
      <w:ind w:left="240"/>
    </w:pPr>
    <w:rPr>
      <w:rFonts w:ascii="Cambria" w:hAnsi="Cambria" w:eastAsia="Cambria" w:cs="Cambria"/>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hyperlink" Target="https://auswaertiges-amt.de/" TargetMode="External"/><Relationship Id="rId15" Type="http://schemas.openxmlformats.org/officeDocument/2006/relationships/hyperlink" Target="https://bva.bund.de/" TargetMode="External"/><Relationship Id="rId16" Type="http://schemas.openxmlformats.org/officeDocument/2006/relationships/hyperlink" Target="https://raphaelswerk.de/" TargetMode="External"/><Relationship Id="rId17" Type="http://schemas.openxmlformats.org/officeDocument/2006/relationships/hyperlink" Target="https://harzing.com/" TargetMode="External"/><Relationship Id="rId18" Type="http://schemas.openxmlformats.org/officeDocument/2006/relationships/hyperlink" Target="https://iza.org/" TargetMode="External"/><Relationship Id="rId19" Type="http://schemas.openxmlformats.org/officeDocument/2006/relationships/hyperlink" Target="https://oecd.org/" TargetMode="External"/><Relationship Id="rId20" Type="http://schemas.openxmlformats.org/officeDocument/2006/relationships/hyperlink" Target="https://gesetze-im-internet.de/stag" TargetMode="External"/><Relationship Id="rId21" Type="http://schemas.openxmlformats.org/officeDocument/2006/relationships/hyperlink" Target="https://canada.ca/" TargetMode="External"/><Relationship Id="rId22" Type="http://schemas.openxmlformats.org/officeDocument/2006/relationships/hyperlink" Target="https://immi.homeaffairs.gov.au/" TargetMode="External"/><Relationship Id="rId23" Type="http://schemas.openxmlformats.org/officeDocument/2006/relationships/hyperlink" Target="https://immigration.govt.nz/" TargetMode="External"/><Relationship Id="rId24" Type="http://schemas.openxmlformats.org/officeDocument/2006/relationships/hyperlink" Target="https://numbeo.com/" TargetMode="External"/><Relationship Id="rId25" Type="http://schemas.openxmlformats.org/officeDocument/2006/relationships/footer" Target="footer13.xml"/><Relationship Id="rId26" Type="http://schemas.openxmlformats.org/officeDocument/2006/relationships/footer" Target="footer14.xml"/><Relationship Id="rId27" Type="http://schemas.openxmlformats.org/officeDocument/2006/relationships/footer" Target="footer15.xml"/><Relationship Id="rId28" Type="http://schemas.openxmlformats.org/officeDocument/2006/relationships/footer" Target="footer16.xml"/><Relationship Id="rId29" Type="http://schemas.openxmlformats.org/officeDocument/2006/relationships/footer" Target="footer17.xml"/><Relationship Id="rId30" Type="http://schemas.openxmlformats.org/officeDocument/2006/relationships/footer" Target="footer18.xml"/><Relationship Id="rId31" Type="http://schemas.openxmlformats.org/officeDocument/2006/relationships/hyperlink" Target="https://uscis.gov/working-in-the-united-states" TargetMode="External"/><Relationship Id="rId32" Type="http://schemas.openxmlformats.org/officeDocument/2006/relationships/hyperlink" Target="https://irs.gov/" TargetMode="External"/><Relationship Id="rId33" Type="http://schemas.openxmlformats.org/officeDocument/2006/relationships/hyperlink" Target="https://healthcare.gov/" TargetMode="External"/><Relationship Id="rId34" Type="http://schemas.openxmlformats.org/officeDocument/2006/relationships/hyperlink" Target="https://data.worldbank.org/" TargetMode="External"/><Relationship Id="rId35" Type="http://schemas.openxmlformats.org/officeDocument/2006/relationships/hyperlink" Target="https://bls.gov/oes" TargetMode="External"/><Relationship Id="rId36" Type="http://schemas.openxmlformats.org/officeDocument/2006/relationships/hyperlink" Target="https://freddiemac.com/pmms" TargetMode="External"/><Relationship Id="rId37" Type="http://schemas.openxmlformats.org/officeDocument/2006/relationships/hyperlink" Target="https://uscis.gov/" TargetMode="External"/><Relationship Id="rId38" Type="http://schemas.openxmlformats.org/officeDocument/2006/relationships/hyperlink" Target="https://irs.gov/pub/irs-trty/germany.pdf" TargetMode="External"/><Relationship Id="rId39" Type="http://schemas.openxmlformats.org/officeDocument/2006/relationships/hyperlink" Target="https://irs.gov/businesses/comparison-of-form-8938-and-fbar-requirements" TargetMode="External"/><Relationship Id="rId40" Type="http://schemas.openxmlformats.org/officeDocument/2006/relationships/hyperlink" Target="https://consumerfinance.gov/" TargetMode="External"/><Relationship Id="rId41" Type="http://schemas.openxmlformats.org/officeDocument/2006/relationships/hyperlink" Target="https://childcareaware.org/" TargetMode="External"/><Relationship Id="rId42" Type="http://schemas.openxmlformats.org/officeDocument/2006/relationships/hyperlink" Target="https://bundesfinanzministerium.de/" TargetMode="External"/><Relationship Id="rId43" Type="http://schemas.openxmlformats.org/officeDocument/2006/relationships/hyperlink" Target="https://irs.gov/individuals/tax-withholding-estimator" TargetMode="External"/><Relationship Id="rId44" Type="http://schemas.openxmlformats.org/officeDocument/2006/relationships/hyperlink" Target="https://kff.org/health-costs" TargetMode="External"/><Relationship Id="rId45" Type="http://schemas.openxmlformats.org/officeDocument/2006/relationships/hyperlink" Target="https://uscis.gov/green-card/green-card-eligibility/green-card-for-employment-based-immigrants" TargetMode="External"/><Relationship Id="rId46" Type="http://schemas.openxmlformats.org/officeDocument/2006/relationships/hyperlink" Target="https://familienportal.de/" TargetMode="External"/><Relationship Id="rId47" Type="http://schemas.openxmlformats.org/officeDocument/2006/relationships/hyperlink" Target="https://destatis.de/" TargetMode="External"/><Relationship Id="rId48" Type="http://schemas.openxmlformats.org/officeDocument/2006/relationships/footer" Target="footer19.xml"/><Relationship Id="rId49" Type="http://schemas.openxmlformats.org/officeDocument/2006/relationships/footer" Target="footer20.xml"/><Relationship Id="rId50" Type="http://schemas.openxmlformats.org/officeDocument/2006/relationships/footer" Target="footer21.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hyperlink" Target="https://uscis.gov/working-in-the-united-states" TargetMode="External"/><Relationship Id="rId55" Type="http://schemas.openxmlformats.org/officeDocument/2006/relationships/hyperlink" Target="https://uscis.gov/green-card" TargetMode="External"/><Relationship Id="rId56" Type="http://schemas.openxmlformats.org/officeDocument/2006/relationships/hyperlink" Target="https://travel.state.gov/visa" TargetMode="External"/><Relationship Id="rId57" Type="http://schemas.openxmlformats.org/officeDocument/2006/relationships/hyperlink" Target="https://travel.state.gov/visa-bulletin" TargetMode="External"/><Relationship Id="rId58" Type="http://schemas.openxmlformats.org/officeDocument/2006/relationships/hyperlink" Target="https://ice.gov/sevis" TargetMode="External"/><Relationship Id="rId59" Type="http://schemas.openxmlformats.org/officeDocument/2006/relationships/hyperlink" Target="https://cbp.gov/travel" TargetMode="External"/><Relationship Id="rId60" Type="http://schemas.openxmlformats.org/officeDocument/2006/relationships/hyperlink" Target="https://uscis.gov/working-in-the-united-states/h-1b-specialty-occupations" TargetMode="External"/><Relationship Id="rId61" Type="http://schemas.openxmlformats.org/officeDocument/2006/relationships/hyperlink" Target="https://uscis.gov/newsroom/alerts/h-1b-faq" TargetMode="External"/><Relationship Id="rId62" Type="http://schemas.openxmlformats.org/officeDocument/2006/relationships/hyperlink" Target="https://uscis.gov/g-1055" TargetMode="External"/><Relationship Id="rId63" Type="http://schemas.openxmlformats.org/officeDocument/2006/relationships/hyperlink" Target="https://federalregister.gov/" TargetMode="External"/><Relationship Id="rId64" Type="http://schemas.openxmlformats.org/officeDocument/2006/relationships/hyperlink" Target="https://dol.gov/agencies/eta/foreign-labor/programs/h-1b" TargetMode="External"/><Relationship Id="rId65" Type="http://schemas.openxmlformats.org/officeDocument/2006/relationships/hyperlink" Target="https://dol.gov/agencies/whd/immigration/h1b/projectfirewall" TargetMode="External"/><Relationship Id="rId66" Type="http://schemas.openxmlformats.org/officeDocument/2006/relationships/hyperlink" Target="https://travel.state.gov/" TargetMode="External"/><Relationship Id="rId67" Type="http://schemas.openxmlformats.org/officeDocument/2006/relationships/hyperlink" Target="https://de.usembassy.gov/visas" TargetMode="External"/><Relationship Id="rId68" Type="http://schemas.openxmlformats.org/officeDocument/2006/relationships/hyperlink" Target="https://travel.state.gov/visabulletin" TargetMode="External"/><Relationship Id="rId69" Type="http://schemas.openxmlformats.org/officeDocument/2006/relationships/hyperlink" Target="https://uscis.gov/green-card" TargetMode="External"/><Relationship Id="rId70" Type="http://schemas.openxmlformats.org/officeDocument/2006/relationships/hyperlink" Target="https://uscis.gov/g-1055" TargetMode="External"/><Relationship Id="rId71" Type="http://schemas.openxmlformats.org/officeDocument/2006/relationships/hyperlink" Target="https://flag.dol.gov/processingtimes" TargetMode="External"/><Relationship Id="rId72" Type="http://schemas.openxmlformats.org/officeDocument/2006/relationships/hyperlink" Target="https://de.usembassy.gov/" TargetMode="External"/><Relationship Id="rId73" Type="http://schemas.openxmlformats.org/officeDocument/2006/relationships/hyperlink" Target="https://federalregister.gov/" TargetMode="External"/><Relationship Id="rId74" Type="http://schemas.openxmlformats.org/officeDocument/2006/relationships/hyperlink" Target="https://irs.gov/individuals/international-taxpayers" TargetMode="External"/><Relationship Id="rId75" Type="http://schemas.openxmlformats.org/officeDocument/2006/relationships/hyperlink" Target="https://sss.gov/" TargetMode="External"/><Relationship Id="rId76" Type="http://schemas.openxmlformats.org/officeDocument/2006/relationships/hyperlink" Target="https://travel.state.gov/" TargetMode="External"/><Relationship Id="rId77" Type="http://schemas.openxmlformats.org/officeDocument/2006/relationships/hyperlink" Target="https://uscis.gov/" TargetMode="External"/><Relationship Id="rId78" Type="http://schemas.openxmlformats.org/officeDocument/2006/relationships/hyperlink" Target="https://flag.dol.gov/processingtimes" TargetMode="External"/><Relationship Id="rId79" Type="http://schemas.openxmlformats.org/officeDocument/2006/relationships/hyperlink" Target="https://uscis.gov/g-1055" TargetMode="External"/><Relationship Id="rId80" Type="http://schemas.openxmlformats.org/officeDocument/2006/relationships/hyperlink" Target="https://ecfr.gov/" TargetMode="External"/><Relationship Id="rId81" Type="http://schemas.openxmlformats.org/officeDocument/2006/relationships/hyperlink" Target="https://federalregister.gov/" TargetMode="External"/><Relationship Id="rId82" Type="http://schemas.openxmlformats.org/officeDocument/2006/relationships/hyperlink" Target="https://gesetze-im-internet.de/aufenthg_2004/__18c.html" TargetMode="External"/><Relationship Id="rId83" Type="http://schemas.openxmlformats.org/officeDocument/2006/relationships/hyperlink" Target="https://studyinthestates.dhs.gov/" TargetMode="External"/><Relationship Id="rId84" Type="http://schemas.openxmlformats.org/officeDocument/2006/relationships/hyperlink" Target="https://uscis.gov/working-in-the-united-states/students-and-exchange-visitors" TargetMode="External"/><Relationship Id="rId85" Type="http://schemas.openxmlformats.org/officeDocument/2006/relationships/hyperlink" Target="https://uscis.gov/g-1055" TargetMode="External"/><Relationship Id="rId86" Type="http://schemas.openxmlformats.org/officeDocument/2006/relationships/hyperlink" Target="https://ice.gov/sevis/i901" TargetMode="External"/><Relationship Id="rId87" Type="http://schemas.openxmlformats.org/officeDocument/2006/relationships/hyperlink" Target="https://travel.state.gov/" TargetMode="External"/><Relationship Id="rId88" Type="http://schemas.openxmlformats.org/officeDocument/2006/relationships/hyperlink" Target="https://irs.gov/individuals/international-taxpayers" TargetMode="External"/><Relationship Id="rId89" Type="http://schemas.openxmlformats.org/officeDocument/2006/relationships/hyperlink" Target="https://daad.de/" TargetMode="External"/><Relationship Id="rId90" Type="http://schemas.openxmlformats.org/officeDocument/2006/relationships/hyperlink" Target="https://fulbright.de/" TargetMode="External"/><Relationship Id="rId91" Type="http://schemas.openxmlformats.org/officeDocument/2006/relationships/hyperlink" Target="https://opendoorsdata.org/" TargetMode="External"/><Relationship Id="rId92" Type="http://schemas.openxmlformats.org/officeDocument/2006/relationships/hyperlink" Target="https://uscis.gov/working-in-the-united-states/temporary-workers" TargetMode="External"/><Relationship Id="rId93" Type="http://schemas.openxmlformats.org/officeDocument/2006/relationships/hyperlink" Target="https://uscis.gov/g-1055" TargetMode="External"/><Relationship Id="rId94" Type="http://schemas.openxmlformats.org/officeDocument/2006/relationships/hyperlink" Target="https://uscis.gov/working-in-the-united-states/international-entrepreneur-rule" TargetMode="External"/><Relationship Id="rId95" Type="http://schemas.openxmlformats.org/officeDocument/2006/relationships/hyperlink" Target="https://exchanges.state.gov/" TargetMode="External"/><Relationship Id="rId96" Type="http://schemas.openxmlformats.org/officeDocument/2006/relationships/hyperlink" Target="https://travel.state.gov/content/travel/en/us-visas/business/b-1-fact-sheet.html" TargetMode="External"/><Relationship Id="rId97" Type="http://schemas.openxmlformats.org/officeDocument/2006/relationships/hyperlink" Target="https://esta.cbp.dhs.gov/" TargetMode="External"/><Relationship Id="rId98" Type="http://schemas.openxmlformats.org/officeDocument/2006/relationships/hyperlink" Target="https://cbp.gov/travel/international-visitors/visa-waiver-program" TargetMode="External"/><Relationship Id="rId99" Type="http://schemas.openxmlformats.org/officeDocument/2006/relationships/hyperlink" Target="https://dvprogram.state.gov/" TargetMode="External"/><Relationship Id="rId100" Type="http://schemas.openxmlformats.org/officeDocument/2006/relationships/hyperlink" Target="https://de.usembassy.gov/" TargetMode="External"/><Relationship Id="rId101" Type="http://schemas.openxmlformats.org/officeDocument/2006/relationships/hyperlink" Target="https://uscis.gov/i-765" TargetMode="External"/><Relationship Id="rId102" Type="http://schemas.openxmlformats.org/officeDocument/2006/relationships/hyperlink" Target="https://uscis.gov/g-1055" TargetMode="External"/><Relationship Id="rId103" Type="http://schemas.openxmlformats.org/officeDocument/2006/relationships/hyperlink" Target="https://uscis.gov/working-in-the-united-states/temporary-workers/l-1a-intracompany-transferee-executive-or-manager" TargetMode="External"/><Relationship Id="rId104" Type="http://schemas.openxmlformats.org/officeDocument/2006/relationships/hyperlink" Target="https://uscis.gov/policy-manual/volume-6-part-b-chapter-6" TargetMode="External"/><Relationship Id="rId105" Type="http://schemas.openxmlformats.org/officeDocument/2006/relationships/hyperlink" Target="https://uscis.gov/policy-manual/volume-7-part-a-chapter-7" TargetMode="External"/><Relationship Id="rId106" Type="http://schemas.openxmlformats.org/officeDocument/2006/relationships/hyperlink" Target="https://i94.cbp.dhs.gov/" TargetMode="External"/><Relationship Id="rId107" Type="http://schemas.openxmlformats.org/officeDocument/2006/relationships/hyperlink" Target="https://reginfo.gov/" TargetMode="External"/><Relationship Id="rId108" Type="http://schemas.openxmlformats.org/officeDocument/2006/relationships/hyperlink" Target="https://michigan.gov/mde" TargetMode="External"/><Relationship Id="rId109" Type="http://schemas.openxmlformats.org/officeDocument/2006/relationships/hyperlink" Target="https://travel.state.gov/visas" TargetMode="External"/><Relationship Id="rId110" Type="http://schemas.openxmlformats.org/officeDocument/2006/relationships/hyperlink" Target="https://de.usembassy.gov/visas" TargetMode="External"/><Relationship Id="rId111" Type="http://schemas.openxmlformats.org/officeDocument/2006/relationships/hyperlink" Target="https://ceac.state.gov/genniv" TargetMode="External"/><Relationship Id="rId112" Type="http://schemas.openxmlformats.org/officeDocument/2006/relationships/hyperlink" Target="https://uscis.gov/g-1055" TargetMode="External"/><Relationship Id="rId113" Type="http://schemas.openxmlformats.org/officeDocument/2006/relationships/hyperlink" Target="https://uscis.gov/working-in-the-united-states/h-1b-specialty-occupations" TargetMode="External"/><Relationship Id="rId114" Type="http://schemas.openxmlformats.org/officeDocument/2006/relationships/hyperlink" Target="https://uscis.gov/processing-times" TargetMode="External"/><Relationship Id="rId115" Type="http://schemas.openxmlformats.org/officeDocument/2006/relationships/hyperlink" Target="https://uscis.gov/avoid-scams" TargetMode="External"/><Relationship Id="rId116" Type="http://schemas.openxmlformats.org/officeDocument/2006/relationships/hyperlink" Target="https://reportfraud.ftc.gov/" TargetMode="External"/><Relationship Id="rId117" Type="http://schemas.openxmlformats.org/officeDocument/2006/relationships/footer" Target="footer25.xml"/><Relationship Id="rId118" Type="http://schemas.openxmlformats.org/officeDocument/2006/relationships/footer" Target="footer26.xml"/><Relationship Id="rId119" Type="http://schemas.openxmlformats.org/officeDocument/2006/relationships/footer" Target="footer27.xml"/><Relationship Id="rId120" Type="http://schemas.openxmlformats.org/officeDocument/2006/relationships/footer" Target="footer28.xml"/><Relationship Id="rId121" Type="http://schemas.openxmlformats.org/officeDocument/2006/relationships/footer" Target="footer29.xml"/><Relationship Id="rId122" Type="http://schemas.openxmlformats.org/officeDocument/2006/relationships/footer" Target="footer30.xml"/><Relationship Id="rId123" Type="http://schemas.openxmlformats.org/officeDocument/2006/relationships/hyperlink" Target="https://bls.gov/" TargetMode="External"/><Relationship Id="rId124" Type="http://schemas.openxmlformats.org/officeDocument/2006/relationships/hyperlink" Target="https://nar.realtor/" TargetMode="External"/><Relationship Id="rId125" Type="http://schemas.openxmlformats.org/officeDocument/2006/relationships/hyperlink" Target="https://zumper.com/rent-research" TargetMode="External"/><Relationship Id="rId126" Type="http://schemas.openxmlformats.org/officeDocument/2006/relationships/hyperlink" Target="https://census.gov/" TargetMode="External"/><Relationship Id="rId127" Type="http://schemas.openxmlformats.org/officeDocument/2006/relationships/hyperlink" Target="https://taxfoundation.org/" TargetMode="External"/><Relationship Id="rId128" Type="http://schemas.openxmlformats.org/officeDocument/2006/relationships/hyperlink" Target="https://uscis.gov/" TargetMode="External"/><Relationship Id="rId129" Type="http://schemas.openxmlformats.org/officeDocument/2006/relationships/hyperlink" Target="https://hud.gov/fairhousing" TargetMode="External"/><Relationship Id="rId130" Type="http://schemas.openxmlformats.org/officeDocument/2006/relationships/hyperlink" Target="https://consumer.ftc.gov/" TargetMode="External"/><Relationship Id="rId131" Type="http://schemas.openxmlformats.org/officeDocument/2006/relationships/hyperlink" Target="https://reportfraud.ftc.gov/" TargetMode="External"/><Relationship Id="rId132" Type="http://schemas.openxmlformats.org/officeDocument/2006/relationships/hyperlink" Target="https://nyc.gov/site/dca/about/FAQ-Broker-Fees.page" TargetMode="External"/><Relationship Id="rId133" Type="http://schemas.openxmlformats.org/officeDocument/2006/relationships/hyperlink" Target="https://seattle.gov/rentinginseattle" TargetMode="External"/><Relationship Id="rId134" Type="http://schemas.openxmlformats.org/officeDocument/2006/relationships/hyperlink" Target="https://michiganlegalhelp.org/" TargetMode="External"/><Relationship Id="rId135" Type="http://schemas.openxmlformats.org/officeDocument/2006/relationships/hyperlink" Target="https://commerce.wa.gov/housing-policy/hb1217-landlord-resource-center" TargetMode="External"/><Relationship Id="rId136" Type="http://schemas.openxmlformats.org/officeDocument/2006/relationships/hyperlink" Target="https://gesetze-im-internet.de/bgb" TargetMode="External"/><Relationship Id="rId137" Type="http://schemas.openxmlformats.org/officeDocument/2006/relationships/hyperlink" Target="https://consumerfinance.gov/owning-a-home" TargetMode="External"/><Relationship Id="rId138" Type="http://schemas.openxmlformats.org/officeDocument/2006/relationships/hyperlink" Target="https://selling-guide.fanniemae.com/" TargetMode="External"/><Relationship Id="rId139" Type="http://schemas.openxmlformats.org/officeDocument/2006/relationships/hyperlink" Target="https://hud.gov/sites/default/files/OCHCO/documents/2025-09hsgml.pdf" TargetMode="External"/><Relationship Id="rId140" Type="http://schemas.openxmlformats.org/officeDocument/2006/relationships/hyperlink" Target="https://freddiemac.com/pmms" TargetMode="External"/><Relationship Id="rId141" Type="http://schemas.openxmlformats.org/officeDocument/2006/relationships/hyperlink" Target="https://fhfa.gov/" TargetMode="External"/><Relationship Id="rId142" Type="http://schemas.openxmlformats.org/officeDocument/2006/relationships/hyperlink" Target="https://irs.gov/publications/p936" TargetMode="External"/><Relationship Id="rId143" Type="http://schemas.openxmlformats.org/officeDocument/2006/relationships/hyperlink" Target="https://irs.gov/taxtopics/tc701" TargetMode="External"/><Relationship Id="rId144" Type="http://schemas.openxmlformats.org/officeDocument/2006/relationships/hyperlink" Target="https://fema.gov/flood-maps" TargetMode="External"/><Relationship Id="rId145" Type="http://schemas.openxmlformats.org/officeDocument/2006/relationships/hyperlink" Target="https://gesetze-im-internet.de/estg/__23.html" TargetMode="External"/><Relationship Id="rId146" Type="http://schemas.openxmlformats.org/officeDocument/2006/relationships/footer" Target="footer31.xml"/><Relationship Id="rId147" Type="http://schemas.openxmlformats.org/officeDocument/2006/relationships/footer" Target="footer32.xml"/><Relationship Id="rId148" Type="http://schemas.openxmlformats.org/officeDocument/2006/relationships/footer" Target="footer33.xml"/><Relationship Id="rId149" Type="http://schemas.openxmlformats.org/officeDocument/2006/relationships/footer" Target="footer34.xml"/><Relationship Id="rId150" Type="http://schemas.openxmlformats.org/officeDocument/2006/relationships/footer" Target="footer35.xml"/><Relationship Id="rId151" Type="http://schemas.openxmlformats.org/officeDocument/2006/relationships/footer" Target="footer36.xml"/><Relationship Id="rId152" Type="http://schemas.openxmlformats.org/officeDocument/2006/relationships/hyperlink" Target="https://uscis.gov/processing-times" TargetMode="External"/><Relationship Id="rId153" Type="http://schemas.openxmlformats.org/officeDocument/2006/relationships/hyperlink" Target="https://uscis.gov/working-in-the-united-states/h-1b-specialty-occupations" TargetMode="External"/><Relationship Id="rId154" Type="http://schemas.openxmlformats.org/officeDocument/2006/relationships/hyperlink" Target="https://travel.state.gov/" TargetMode="External"/><Relationship Id="rId155" Type="http://schemas.openxmlformats.org/officeDocument/2006/relationships/hyperlink" Target="https://gesetze-im-internet.de/" TargetMode="External"/><Relationship Id="rId156" Type="http://schemas.openxmlformats.org/officeDocument/2006/relationships/hyperlink" Target="https://deutsche-rentenversicherung.de/" TargetMode="External"/><Relationship Id="rId157" Type="http://schemas.openxmlformats.org/officeDocument/2006/relationships/hyperlink" Target="https://gesetze-im-internet.de/" TargetMode="External"/><Relationship Id="rId158" Type="http://schemas.openxmlformats.org/officeDocument/2006/relationships/hyperlink" Target="https://rundfunkbeitrag.de/" TargetMode="External"/><Relationship Id="rId159" Type="http://schemas.openxmlformats.org/officeDocument/2006/relationships/hyperlink" Target="https://deutschepost.de/de/n/nachsendeservice.html" TargetMode="External"/><Relationship Id="rId160" Type="http://schemas.openxmlformats.org/officeDocument/2006/relationships/hyperlink" Target="https://germany.info/us-en/service" TargetMode="External"/><Relationship Id="rId161" Type="http://schemas.openxmlformats.org/officeDocument/2006/relationships/hyperlink" Target="https://auswaertiges-amt.de/" TargetMode="External"/><Relationship Id="rId162" Type="http://schemas.openxmlformats.org/officeDocument/2006/relationships/hyperlink" Target="https://vorsorgeregister.de/" TargetMode="External"/><Relationship Id="rId163" Type="http://schemas.openxmlformats.org/officeDocument/2006/relationships/hyperlink" Target="https://arbeitsagentur.de/" TargetMode="External"/><Relationship Id="rId164" Type="http://schemas.openxmlformats.org/officeDocument/2006/relationships/hyperlink" Target="https://familienportal.de/" TargetMode="External"/><Relationship Id="rId165" Type="http://schemas.openxmlformats.org/officeDocument/2006/relationships/hyperlink" Target="https://bmvg.de/" TargetMode="External"/><Relationship Id="rId166" Type="http://schemas.openxmlformats.org/officeDocument/2006/relationships/hyperlink" Target="https://gesetze-im-internet.de/" TargetMode="External"/><Relationship Id="rId167" Type="http://schemas.openxmlformats.org/officeDocument/2006/relationships/hyperlink" Target="https://deutsche-rentenversicherung.de/" TargetMode="External"/><Relationship Id="rId168" Type="http://schemas.openxmlformats.org/officeDocument/2006/relationships/hyperlink" Target="https://bzst.de/" TargetMode="External"/><Relationship Id="rId169" Type="http://schemas.openxmlformats.org/officeDocument/2006/relationships/hyperlink" Target="https://bundesfinanzministerium.de/" TargetMode="External"/><Relationship Id="rId170" Type="http://schemas.openxmlformats.org/officeDocument/2006/relationships/hyperlink" Target="https://irs.gov/pub/irs-trty/germany.pdf" TargetMode="External"/><Relationship Id="rId171" Type="http://schemas.openxmlformats.org/officeDocument/2006/relationships/hyperlink" Target="https://irs.gov/instructions/i8621" TargetMode="External"/><Relationship Id="rId172" Type="http://schemas.openxmlformats.org/officeDocument/2006/relationships/hyperlink" Target="https://gesetze-im-internet.de/" TargetMode="External"/><Relationship Id="rId173" Type="http://schemas.openxmlformats.org/officeDocument/2006/relationships/hyperlink" Target="https://gkv-spitzenverband.de/" TargetMode="External"/><Relationship Id="rId174" Type="http://schemas.openxmlformats.org/officeDocument/2006/relationships/hyperlink" Target="https://tk.de/" TargetMode="External"/><Relationship Id="rId175" Type="http://schemas.openxmlformats.org/officeDocument/2006/relationships/hyperlink" Target="https://kff.org/" TargetMode="External"/><Relationship Id="rId176" Type="http://schemas.openxmlformats.org/officeDocument/2006/relationships/hyperlink" Target="https://cdc.gov/vaccines" TargetMode="External"/><Relationship Id="rId177" Type="http://schemas.openxmlformats.org/officeDocument/2006/relationships/hyperlink" Target="https://cbp.gov/" TargetMode="External"/><Relationship Id="rId178" Type="http://schemas.openxmlformats.org/officeDocument/2006/relationships/hyperlink" Target="https://germany.info/us-de/service" TargetMode="External"/><Relationship Id="rId179" Type="http://schemas.openxmlformats.org/officeDocument/2006/relationships/hyperlink" Target="https://bfaa.diplo.de/" TargetMode="External"/><Relationship Id="rId180" Type="http://schemas.openxmlformats.org/officeDocument/2006/relationships/hyperlink" Target="https://bundesjustizamt.de/" TargetMode="External"/><Relationship Id="rId181" Type="http://schemas.openxmlformats.org/officeDocument/2006/relationships/hyperlink" Target="https://uscis.gov/" TargetMode="External"/><Relationship Id="rId182" Type="http://schemas.openxmlformats.org/officeDocument/2006/relationships/hyperlink" Target="https://law.cornell.edu/cfr/text/8/103.2" TargetMode="External"/><Relationship Id="rId183" Type="http://schemas.openxmlformats.org/officeDocument/2006/relationships/hyperlink" Target="https://travel.state.gov/" TargetMode="External"/><Relationship Id="rId184" Type="http://schemas.openxmlformats.org/officeDocument/2006/relationships/hyperlink" Target="https://wes.org/evaluations" TargetMode="External"/><Relationship Id="rId185" Type="http://schemas.openxmlformats.org/officeDocument/2006/relationships/hyperlink" Target="https://ece.org/" TargetMode="External"/><Relationship Id="rId186" Type="http://schemas.openxmlformats.org/officeDocument/2006/relationships/hyperlink" Target="https://naces.org/members" TargetMode="External"/><Relationship Id="rId187" Type="http://schemas.openxmlformats.org/officeDocument/2006/relationships/hyperlink" Target="https://ncees.org/engineering/pe" TargetMode="External"/><Relationship Id="rId188" Type="http://schemas.openxmlformats.org/officeDocument/2006/relationships/hyperlink" Target="https://ecfmg.org/certification-pathways" TargetMode="External"/><Relationship Id="rId189" Type="http://schemas.openxmlformats.org/officeDocument/2006/relationships/hyperlink" Target="https://trumerit.org/" TargetMode="External"/><Relationship Id="rId190" Type="http://schemas.openxmlformats.org/officeDocument/2006/relationships/hyperlink" Target="https://nclex.com/" TargetMode="External"/><Relationship Id="rId191" Type="http://schemas.openxmlformats.org/officeDocument/2006/relationships/footer" Target="footer37.xml"/><Relationship Id="rId192" Type="http://schemas.openxmlformats.org/officeDocument/2006/relationships/footer" Target="footer38.xml"/><Relationship Id="rId193" Type="http://schemas.openxmlformats.org/officeDocument/2006/relationships/footer" Target="footer39.xml"/><Relationship Id="rId194" Type="http://schemas.openxmlformats.org/officeDocument/2006/relationships/footer" Target="footer40.xml"/><Relationship Id="rId195" Type="http://schemas.openxmlformats.org/officeDocument/2006/relationships/footer" Target="footer41.xml"/><Relationship Id="rId196" Type="http://schemas.openxmlformats.org/officeDocument/2006/relationships/footer" Target="footer42.xml"/><Relationship Id="rId197" Type="http://schemas.openxmlformats.org/officeDocument/2006/relationships/hyperlink" Target="https://cbp.gov/document/forms/form-3299-declaration-free-entry-unaccompanied-articles" TargetMode="External"/><Relationship Id="rId198" Type="http://schemas.openxmlformats.org/officeDocument/2006/relationships/hyperlink" Target="https://law.cornell.edu/cfr/text/19/148.52" TargetMode="External"/><Relationship Id="rId199" Type="http://schemas.openxmlformats.org/officeDocument/2006/relationships/hyperlink" Target="https://aphis.usda.gov/" TargetMode="External"/><Relationship Id="rId200" Type="http://schemas.openxmlformats.org/officeDocument/2006/relationships/hyperlink" Target="https://irs.gov/pub/irs-pdf/p15b.pdf" TargetMode="External"/><Relationship Id="rId201" Type="http://schemas.openxmlformats.org/officeDocument/2006/relationships/hyperlink" Target="https://fidi.org/" TargetMode="External"/><Relationship Id="rId202" Type="http://schemas.openxmlformats.org/officeDocument/2006/relationships/hyperlink" Target="https://fmcsa.dot.gov/" TargetMode="External"/><Relationship Id="rId203" Type="http://schemas.openxmlformats.org/officeDocument/2006/relationships/hyperlink" Target="https://zoll.de/" TargetMode="External"/><Relationship Id="rId204" Type="http://schemas.openxmlformats.org/officeDocument/2006/relationships/hyperlink" Target="https://cbp.gov/" TargetMode="External"/><Relationship Id="rId205" Type="http://schemas.openxmlformats.org/officeDocument/2006/relationships/hyperlink" Target="https://ecfr.gov/" TargetMode="External"/><Relationship Id="rId206" Type="http://schemas.openxmlformats.org/officeDocument/2006/relationships/hyperlink" Target="https://federalregister.gov/" TargetMode="External"/><Relationship Id="rId207" Type="http://schemas.openxmlformats.org/officeDocument/2006/relationships/hyperlink" Target="https://nhtsa.gov/vehicle-safety/car-seats-and-booster-seats" TargetMode="External"/><Relationship Id="rId208" Type="http://schemas.openxmlformats.org/officeDocument/2006/relationships/hyperlink" Target="https://cpsc.gov/recalls" TargetMode="External"/><Relationship Id="rId209" Type="http://schemas.openxmlformats.org/officeDocument/2006/relationships/hyperlink" Target="https://iec.ch/world-plugs" TargetMode="External"/><Relationship Id="rId210" Type="http://schemas.openxmlformats.org/officeDocument/2006/relationships/hyperlink" Target="https://zoll.de/" TargetMode="External"/><Relationship Id="rId211" Type="http://schemas.openxmlformats.org/officeDocument/2006/relationships/hyperlink" Target="https://cdc.gov/importation" TargetMode="External"/><Relationship Id="rId212" Type="http://schemas.openxmlformats.org/officeDocument/2006/relationships/hyperlink" Target="https://aphis.usda.gov/pet-travel" TargetMode="External"/><Relationship Id="rId213" Type="http://schemas.openxmlformats.org/officeDocument/2006/relationships/hyperlink" Target="https://dab.hawaii.gov/ai" TargetMode="External"/><Relationship Id="rId214" Type="http://schemas.openxmlformats.org/officeDocument/2006/relationships/hyperlink" Target="https://maricopa.gov/226/Dog-License" TargetMode="External"/><Relationship Id="rId215" Type="http://schemas.openxmlformats.org/officeDocument/2006/relationships/hyperlink" Target="https://fws.gov/" TargetMode="External"/><Relationship Id="rId216" Type="http://schemas.openxmlformats.org/officeDocument/2006/relationships/hyperlink" Target="https://zoll.de/" TargetMode="External"/><Relationship Id="rId217" Type="http://schemas.openxmlformats.org/officeDocument/2006/relationships/footer" Target="footer43.xml"/><Relationship Id="rId218" Type="http://schemas.openxmlformats.org/officeDocument/2006/relationships/footer" Target="footer44.xml"/><Relationship Id="rId219" Type="http://schemas.openxmlformats.org/officeDocument/2006/relationships/footer" Target="footer45.xml"/><Relationship Id="rId220" Type="http://schemas.openxmlformats.org/officeDocument/2006/relationships/footer" Target="footer46.xml"/><Relationship Id="rId221" Type="http://schemas.openxmlformats.org/officeDocument/2006/relationships/footer" Target="footer47.xml"/><Relationship Id="rId222" Type="http://schemas.openxmlformats.org/officeDocument/2006/relationships/footer" Target="footer48.xml"/><Relationship Id="rId223" Type="http://schemas.openxmlformats.org/officeDocument/2006/relationships/hyperlink" Target="https://cbp.gov/travel/international-visitors/i-94" TargetMode="External"/><Relationship Id="rId224" Type="http://schemas.openxmlformats.org/officeDocument/2006/relationships/hyperlink" Target="https://i94.cbp.dhs.gov/" TargetMode="External"/><Relationship Id="rId225" Type="http://schemas.openxmlformats.org/officeDocument/2006/relationships/hyperlink" Target="https://federalregister.gov/d/2025-19655" TargetMode="External"/><Relationship Id="rId226" Type="http://schemas.openxmlformats.org/officeDocument/2006/relationships/hyperlink" Target="https://uscis.gov/i-9" TargetMode="External"/><Relationship Id="rId227" Type="http://schemas.openxmlformats.org/officeDocument/2006/relationships/hyperlink" Target="https://irs.gov/forms-pubs/about-form-w-4" TargetMode="External"/><Relationship Id="rId228" Type="http://schemas.openxmlformats.org/officeDocument/2006/relationships/hyperlink" Target="https://reportfraud.ftc.gov/" TargetMode="External"/><Relationship Id="rId229" Type="http://schemas.openxmlformats.org/officeDocument/2006/relationships/hyperlink" Target="https://germany.info/" TargetMode="External"/><Relationship Id="rId230" Type="http://schemas.openxmlformats.org/officeDocument/2006/relationships/hyperlink" Target="https://ssa.gov/forms/ss-5.pdf" TargetMode="External"/><Relationship Id="rId231" Type="http://schemas.openxmlformats.org/officeDocument/2006/relationships/hyperlink" Target="https://ssa.gov/international/Agreement_Pamphlets/germany.html" TargetMode="External"/><Relationship Id="rId232" Type="http://schemas.openxmlformats.org/officeDocument/2006/relationships/hyperlink" Target="https://ssa.gov/number-card" TargetMode="External"/><Relationship Id="rId233" Type="http://schemas.openxmlformats.org/officeDocument/2006/relationships/hyperlink" Target="https://irs.gov/individuals/how-do-i-apply-for-an-itin" TargetMode="External"/><Relationship Id="rId234" Type="http://schemas.openxmlformats.org/officeDocument/2006/relationships/hyperlink" Target="https://irs.gov/identity-theft-fraud-scams/get-an-identity-protection-pin" TargetMode="External"/><Relationship Id="rId235" Type="http://schemas.openxmlformats.org/officeDocument/2006/relationships/hyperlink" Target="https://consumer.ftc.gov/articles/what-know-about-credit-freezes-fraud-alerts" TargetMode="External"/><Relationship Id="rId236" Type="http://schemas.openxmlformats.org/officeDocument/2006/relationships/hyperlink" Target="https://myfico.com/" TargetMode="External"/><Relationship Id="rId237" Type="http://schemas.openxmlformats.org/officeDocument/2006/relationships/hyperlink" Target="https://annualcreditreport.com/" TargetMode="External"/><Relationship Id="rId238" Type="http://schemas.openxmlformats.org/officeDocument/2006/relationships/hyperlink" Target="https://federalreserve.gov/releases/g19" TargetMode="External"/><Relationship Id="rId239" Type="http://schemas.openxmlformats.org/officeDocument/2006/relationships/hyperlink" Target="https://consumer.ftc.gov/articles/what-know-about-credit-freezes-fraud-alerts" TargetMode="External"/><Relationship Id="rId240" Type="http://schemas.openxmlformats.org/officeDocument/2006/relationships/hyperlink" Target="https://identitytheft.gov/" TargetMode="External"/><Relationship Id="rId241" Type="http://schemas.openxmlformats.org/officeDocument/2006/relationships/hyperlink" Target="https://irs.gov/identity-theft-fraud-scams/get-an-identity-protection-pin" TargetMode="External"/><Relationship Id="rId242" Type="http://schemas.openxmlformats.org/officeDocument/2006/relationships/hyperlink" Target="https://novacredit.com/credit-passport" TargetMode="External"/><Relationship Id="rId243" Type="http://schemas.openxmlformats.org/officeDocument/2006/relationships/hyperlink" Target="https://wise.com/" TargetMode="External"/><Relationship Id="rId244" Type="http://schemas.openxmlformats.org/officeDocument/2006/relationships/hyperlink" Target="https://healthcare.gov/" TargetMode="External"/><Relationship Id="rId245" Type="http://schemas.openxmlformats.org/officeDocument/2006/relationships/hyperlink" Target="https://cms.gov/nosurprises/consumers" TargetMode="External"/><Relationship Id="rId246" Type="http://schemas.openxmlformats.org/officeDocument/2006/relationships/hyperlink" Target="https://dol.gov/agencies/ebsa" TargetMode="External"/><Relationship Id="rId247" Type="http://schemas.openxmlformats.org/officeDocument/2006/relationships/hyperlink" Target="https://irs.gov/publications/p969" TargetMode="External"/><Relationship Id="rId248" Type="http://schemas.openxmlformats.org/officeDocument/2006/relationships/hyperlink" Target="https://kff.org/health-costs/2025-employer-health-benefits-survey" TargetMode="External"/><Relationship Id="rId249" Type="http://schemas.openxmlformats.org/officeDocument/2006/relationships/hyperlink" Target="https://census.gov/library/publications/2026/demo/p60-291.html" TargetMode="External"/><Relationship Id="rId250" Type="http://schemas.openxmlformats.org/officeDocument/2006/relationships/hyperlink" Target="https://988lifeline.org/" TargetMode="External"/><Relationship Id="rId251" Type="http://schemas.openxmlformats.org/officeDocument/2006/relationships/hyperlink" Target="https://findtreatment.gov/" TargetMode="External"/><Relationship Id="rId252" Type="http://schemas.openxmlformats.org/officeDocument/2006/relationships/hyperlink" Target="https://germany.info/us-de" TargetMode="External"/><Relationship Id="rId253" Type="http://schemas.openxmlformats.org/officeDocument/2006/relationships/hyperlink" Target="https://dmv.ca.gov/" TargetMode="External"/><Relationship Id="rId254" Type="http://schemas.openxmlformats.org/officeDocument/2006/relationships/hyperlink" Target="https://dmv.ny.gov/" TargetMode="External"/><Relationship Id="rId255" Type="http://schemas.openxmlformats.org/officeDocument/2006/relationships/hyperlink" Target="https://dps.texas.gov/" TargetMode="External"/><Relationship Id="rId256" Type="http://schemas.openxmlformats.org/officeDocument/2006/relationships/hyperlink" Target="https://dol.wa.gov/" TargetMode="External"/><Relationship Id="rId257" Type="http://schemas.openxmlformats.org/officeDocument/2006/relationships/hyperlink" Target="https://dmv.colorado.gov/" TargetMode="External"/><Relationship Id="rId258" Type="http://schemas.openxmlformats.org/officeDocument/2006/relationships/hyperlink" Target="https://ncdot.gov/dmv" TargetMode="External"/><Relationship Id="rId259" Type="http://schemas.openxmlformats.org/officeDocument/2006/relationships/hyperlink" Target="https://flhsmv.gov/" TargetMode="External"/><Relationship Id="rId260" Type="http://schemas.openxmlformats.org/officeDocument/2006/relationships/hyperlink" Target="https://oregon.gov/odot/dmv" TargetMode="External"/><Relationship Id="rId261" Type="http://schemas.openxmlformats.org/officeDocument/2006/relationships/hyperlink" Target="https://dld.utah.gov/" TargetMode="External"/><Relationship Id="rId262" Type="http://schemas.openxmlformats.org/officeDocument/2006/relationships/hyperlink" Target="https://tsa.gov/real-id" TargetMode="External"/><Relationship Id="rId263" Type="http://schemas.openxmlformats.org/officeDocument/2006/relationships/hyperlink" Target="https://cbp.gov/trade/basic-import-export/importing-car" TargetMode="External"/><Relationship Id="rId264" Type="http://schemas.openxmlformats.org/officeDocument/2006/relationships/hyperlink" Target="https://eia.gov/petroleum/gasdiesel" TargetMode="External"/><Relationship Id="rId265" Type="http://schemas.openxmlformats.org/officeDocument/2006/relationships/hyperlink" Target="https://irs.gov/individuals/international-taxpayers/taxation-of-nonresident-aliens" TargetMode="External"/><Relationship Id="rId266" Type="http://schemas.openxmlformats.org/officeDocument/2006/relationships/hyperlink" Target="https://irs.gov/publications/p519" TargetMode="External"/><Relationship Id="rId267" Type="http://schemas.openxmlformats.org/officeDocument/2006/relationships/hyperlink" Target="https://irs.gov/credits-deductions/individuals/child-tax-credit" TargetMode="External"/><Relationship Id="rId268" Type="http://schemas.openxmlformats.org/officeDocument/2006/relationships/hyperlink" Target="https://irs.gov/businesses/small-businesses-self-employed/report-of-foreign-bank-and-financial-accounts-fbar" TargetMode="External"/><Relationship Id="rId269" Type="http://schemas.openxmlformats.org/officeDocument/2006/relationships/hyperlink" Target="https://irs.gov/businesses/comparison-of-form-8938-and-fbar-requirements" TargetMode="External"/><Relationship Id="rId270" Type="http://schemas.openxmlformats.org/officeDocument/2006/relationships/hyperlink" Target="https://irs.gov/pub/irs-trty/germany.pdf" TargetMode="External"/><Relationship Id="rId271" Type="http://schemas.openxmlformats.org/officeDocument/2006/relationships/hyperlink" Target="https://irs.gov/payments/failure-to-file-penalty" TargetMode="External"/><Relationship Id="rId272" Type="http://schemas.openxmlformats.org/officeDocument/2006/relationships/hyperlink" Target="https://irs.gov/tax-professionals/choosing-a-tax-professional" TargetMode="External"/><Relationship Id="rId273" Type="http://schemas.openxmlformats.org/officeDocument/2006/relationships/hyperlink" Target="https://irs.gov/newsroom/tax-scams-consumer-alerts" TargetMode="External"/><Relationship Id="rId274" Type="http://schemas.openxmlformats.org/officeDocument/2006/relationships/footer" Target="footer49.xml"/><Relationship Id="rId275" Type="http://schemas.openxmlformats.org/officeDocument/2006/relationships/footer" Target="footer50.xml"/><Relationship Id="rId276" Type="http://schemas.openxmlformats.org/officeDocument/2006/relationships/footer" Target="footer51.xml"/><Relationship Id="rId277" Type="http://schemas.openxmlformats.org/officeDocument/2006/relationships/footer" Target="footer52.xml"/><Relationship Id="rId278" Type="http://schemas.openxmlformats.org/officeDocument/2006/relationships/footer" Target="footer53.xml"/><Relationship Id="rId279" Type="http://schemas.openxmlformats.org/officeDocument/2006/relationships/footer" Target="footer54.xml"/><Relationship Id="rId280" Type="http://schemas.openxmlformats.org/officeDocument/2006/relationships/hyperlink" Target="https://dol.gov/agencies/whd/fmla" TargetMode="External"/><Relationship Id="rId281" Type="http://schemas.openxmlformats.org/officeDocument/2006/relationships/hyperlink" Target="https://dol.gov/agencies/whd/flsa" TargetMode="External"/><Relationship Id="rId282" Type="http://schemas.openxmlformats.org/officeDocument/2006/relationships/hyperlink" Target="https://eeoc.gov/" TargetMode="External"/><Relationship Id="rId283" Type="http://schemas.openxmlformats.org/officeDocument/2006/relationships/hyperlink" Target="https://ftc.gov/" TargetMode="External"/><Relationship Id="rId284" Type="http://schemas.openxmlformats.org/officeDocument/2006/relationships/hyperlink" Target="https://bls.gov/ebs" TargetMode="External"/><Relationship Id="rId285" Type="http://schemas.openxmlformats.org/officeDocument/2006/relationships/hyperlink" Target="https://bls.gov/oes" TargetMode="External"/><Relationship Id="rId286" Type="http://schemas.openxmlformats.org/officeDocument/2006/relationships/hyperlink" Target="https://irs.gov/retirement-plans/401k-plans" TargetMode="External"/><Relationship Id="rId287" Type="http://schemas.openxmlformats.org/officeDocument/2006/relationships/hyperlink" Target="https://dol.gov/agencies/eta/foreign-labor/programs/h-1b" TargetMode="External"/><Relationship Id="rId288" Type="http://schemas.openxmlformats.org/officeDocument/2006/relationships/hyperlink" Target="https://careeronestop.org/" TargetMode="External"/><Relationship Id="rId289" Type="http://schemas.openxmlformats.org/officeDocument/2006/relationships/hyperlink" Target="https://uscis.gov/working-in-the-united-states/h-1b-specialty-occupations" TargetMode="External"/><Relationship Id="rId290" Type="http://schemas.openxmlformats.org/officeDocument/2006/relationships/hyperlink" Target="https://uscis.gov/g-1055" TargetMode="External"/><Relationship Id="rId291" Type="http://schemas.openxmlformats.org/officeDocument/2006/relationships/hyperlink" Target="https://uscis.gov/policy-manual/volume-7-part-e-chapter-5" TargetMode="External"/><Relationship Id="rId292" Type="http://schemas.openxmlformats.org/officeDocument/2006/relationships/hyperlink" Target="https://uscis.gov/ar-11" TargetMode="External"/><Relationship Id="rId293" Type="http://schemas.openxmlformats.org/officeDocument/2006/relationships/hyperlink" Target="https://federalregister.gov/" TargetMode="External"/><Relationship Id="rId294" Type="http://schemas.openxmlformats.org/officeDocument/2006/relationships/hyperlink" Target="https://dol.gov/agencies/eta/foreign-labor/programs/h-1b" TargetMode="External"/><Relationship Id="rId295" Type="http://schemas.openxmlformats.org/officeDocument/2006/relationships/hyperlink" Target="https://dol.gov/general/topic/health-plans/cobra" TargetMode="External"/><Relationship Id="rId296" Type="http://schemas.openxmlformats.org/officeDocument/2006/relationships/hyperlink" Target="https://dol.gov/agencies/eta/layoffs/warn" TargetMode="External"/><Relationship Id="rId297" Type="http://schemas.openxmlformats.org/officeDocument/2006/relationships/footer" Target="footer55.xml"/><Relationship Id="rId298" Type="http://schemas.openxmlformats.org/officeDocument/2006/relationships/footer" Target="footer56.xml"/><Relationship Id="rId299" Type="http://schemas.openxmlformats.org/officeDocument/2006/relationships/footer" Target="footer57.xml"/><Relationship Id="rId300" Type="http://schemas.openxmlformats.org/officeDocument/2006/relationships/footer" Target="footer58.xml"/><Relationship Id="rId301" Type="http://schemas.openxmlformats.org/officeDocument/2006/relationships/footer" Target="footer59.xml"/><Relationship Id="rId302" Type="http://schemas.openxmlformats.org/officeDocument/2006/relationships/footer" Target="footer60.xml"/><Relationship Id="rId303" Type="http://schemas.openxmlformats.org/officeDocument/2006/relationships/hyperlink" Target="https://pewresearch.org/religion" TargetMode="External"/><Relationship Id="rId304" Type="http://schemas.openxmlformats.org/officeDocument/2006/relationships/hyperlink" Target="https://pewresearch.org/short-reads" TargetMode="External"/><Relationship Id="rId305" Type="http://schemas.openxmlformats.org/officeDocument/2006/relationships/hyperlink" Target="https://dol.gov/agencies/whd" TargetMode="External"/><Relationship Id="rId306" Type="http://schemas.openxmlformats.org/officeDocument/2006/relationships/hyperlink" Target="https://ftc.gov/" TargetMode="External"/><Relationship Id="rId307" Type="http://schemas.openxmlformats.org/officeDocument/2006/relationships/hyperlink" Target="https://fec.gov/" TargetMode="External"/><Relationship Id="rId308" Type="http://schemas.openxmlformats.org/officeDocument/2006/relationships/hyperlink" Target="https://uscis.gov/policy-manual" TargetMode="External"/><Relationship Id="rId309" Type="http://schemas.openxmlformats.org/officeDocument/2006/relationships/hyperlink" Target="https://dea.gov/marijuana-rescheduling-regulatory-actions" TargetMode="External"/><Relationship Id="rId310" Type="http://schemas.openxmlformats.org/officeDocument/2006/relationships/hyperlink" Target="https://opm.gov/policy-data-oversight/pay-leave/federal-holidays" TargetMode="External"/><Relationship Id="rId311" Type="http://schemas.openxmlformats.org/officeDocument/2006/relationships/hyperlink" Target="https://alcoholpolicy.niaaa.nih.gov/" TargetMode="External"/><Relationship Id="rId312" Type="http://schemas.openxmlformats.org/officeDocument/2006/relationships/hyperlink" Target="https://news.ku.edu/" TargetMode="External"/><Relationship Id="rId313" Type="http://schemas.openxmlformats.org/officeDocument/2006/relationships/hyperlink" Target="https://census.gov/topics/population/migration" TargetMode="External"/><Relationship Id="rId314" Type="http://schemas.openxmlformats.org/officeDocument/2006/relationships/hyperlink" Target="https://ekd.de/auslandsgemeinden-amerika-47196.htm" TargetMode="External"/><Relationship Id="rId315" Type="http://schemas.openxmlformats.org/officeDocument/2006/relationships/hyperlink" Target="https://goethe.de/ins/us" TargetMode="External"/><Relationship Id="rId316" Type="http://schemas.openxmlformats.org/officeDocument/2006/relationships/hyperlink" Target="https://idealist.org/" TargetMode="External"/><Relationship Id="rId317" Type="http://schemas.openxmlformats.org/officeDocument/2006/relationships/hyperlink" Target="https://uscis.gov/" TargetMode="External"/><Relationship Id="rId318" Type="http://schemas.openxmlformats.org/officeDocument/2006/relationships/hyperlink" Target="https://help.meetup.com/" TargetMode="External"/><Relationship Id="rId319" Type="http://schemas.openxmlformats.org/officeDocument/2006/relationships/hyperlink" Target="https://988lifeline.org/" TargetMode="External"/><Relationship Id="rId320" Type="http://schemas.openxmlformats.org/officeDocument/2006/relationships/hyperlink" Target="https://samhsa.gov/mental-health/988/faqs" TargetMode="External"/><Relationship Id="rId321" Type="http://schemas.openxmlformats.org/officeDocument/2006/relationships/hyperlink" Target="https://findtreatment.gov/" TargetMode="External"/><Relationship Id="rId322" Type="http://schemas.openxmlformats.org/officeDocument/2006/relationships/hyperlink" Target="https://psychologytoday.com/us/therapists/german" TargetMode="External"/><Relationship Id="rId323" Type="http://schemas.openxmlformats.org/officeDocument/2006/relationships/hyperlink" Target="https://openpathcollective.org/" TargetMode="External"/><Relationship Id="rId324" Type="http://schemas.openxmlformats.org/officeDocument/2006/relationships/hyperlink" Target="https://opm.gov/" TargetMode="External"/><Relationship Id="rId325" Type="http://schemas.openxmlformats.org/officeDocument/2006/relationships/hyperlink" Target="https://nces.ed.gov/fastfacts" TargetMode="External"/><Relationship Id="rId326" Type="http://schemas.openxmlformats.org/officeDocument/2006/relationships/hyperlink" Target="https://cpsc.gov/" TargetMode="External"/><Relationship Id="rId327" Type="http://schemas.openxmlformats.org/officeDocument/2006/relationships/hyperlink" Target="https://ftc.gov/" TargetMode="External"/><Relationship Id="rId328" Type="http://schemas.openxmlformats.org/officeDocument/2006/relationships/hyperlink" Target="https://weather.gov/safety" TargetMode="External"/><Relationship Id="rId329" Type="http://schemas.openxmlformats.org/officeDocument/2006/relationships/hyperlink" Target="https://aad.org/" TargetMode="External"/><Relationship Id="rId330" Type="http://schemas.openxmlformats.org/officeDocument/2006/relationships/hyperlink" Target="https://tax.ny.gov/" TargetMode="External"/><Relationship Id="rId331" Type="http://schemas.openxmlformats.org/officeDocument/2006/relationships/hyperlink" Target="https://revenue.pa.gov/" TargetMode="External"/><Relationship Id="rId332" Type="http://schemas.openxmlformats.org/officeDocument/2006/relationships/hyperlink" Target="https://fna.usda.gov/research/cnpp/usda-food-plans" TargetMode="External"/><Relationship Id="rId333" Type="http://schemas.openxmlformats.org/officeDocument/2006/relationships/hyperlink" Target="https://fna.usda.gov/nslp" TargetMode="External"/><Relationship Id="rId334" Type="http://schemas.openxmlformats.org/officeDocument/2006/relationships/hyperlink" Target="https://bls.gov/" TargetMode="External"/><Relationship Id="rId335" Type="http://schemas.openxmlformats.org/officeDocument/2006/relationships/hyperlink" Target="https://usda.gov/topics/organic" TargetMode="External"/><Relationship Id="rId336" Type="http://schemas.openxmlformats.org/officeDocument/2006/relationships/hyperlink" Target="https://fda.gov/food" TargetMode="External"/><Relationship Id="rId337" Type="http://schemas.openxmlformats.org/officeDocument/2006/relationships/hyperlink" Target="https://epa.gov/ground-water-and-drinking-water" TargetMode="External"/><Relationship Id="rId338" Type="http://schemas.openxmlformats.org/officeDocument/2006/relationships/hyperlink" Target="https://alcoholpolicy.niaaa.nih.gov/" TargetMode="External"/><Relationship Id="rId339" Type="http://schemas.openxmlformats.org/officeDocument/2006/relationships/hyperlink" Target="https://cbp.gov/" TargetMode="External"/><Relationship Id="rId340" Type="http://schemas.openxmlformats.org/officeDocument/2006/relationships/footer" Target="footer61.xml"/><Relationship Id="rId341" Type="http://schemas.openxmlformats.org/officeDocument/2006/relationships/footer" Target="footer62.xml"/><Relationship Id="rId342" Type="http://schemas.openxmlformats.org/officeDocument/2006/relationships/footer" Target="footer63.xml"/><Relationship Id="rId343" Type="http://schemas.openxmlformats.org/officeDocument/2006/relationships/footer" Target="footer64.xml"/><Relationship Id="rId344" Type="http://schemas.openxmlformats.org/officeDocument/2006/relationships/footer" Target="footer65.xml"/><Relationship Id="rId345" Type="http://schemas.openxmlformats.org/officeDocument/2006/relationships/footer" Target="footer66.xml"/><Relationship Id="rId346" Type="http://schemas.openxmlformats.org/officeDocument/2006/relationships/hyperlink" Target="https://nces.ed.gov/fastfacts" TargetMode="External"/><Relationship Id="rId347" Type="http://schemas.openxmlformats.org/officeDocument/2006/relationships/hyperlink" Target="https://nces.ed.gov/programs/digest" TargetMode="External"/><Relationship Id="rId348" Type="http://schemas.openxmlformats.org/officeDocument/2006/relationships/hyperlink" Target="https://ed.gov/" TargetMode="External"/><Relationship Id="rId349" Type="http://schemas.openxmlformats.org/officeDocument/2006/relationships/hyperlink" Target="https://greatschools.org/gk/ratings" TargetMode="External"/><Relationship Id="rId350" Type="http://schemas.openxmlformats.org/officeDocument/2006/relationships/hyperlink" Target="https://mischooldata.org/" TargetMode="External"/><Relationship Id="rId351" Type="http://schemas.openxmlformats.org/officeDocument/2006/relationships/hyperlink" Target="https://auslandsschulwesen.de/" TargetMode="External"/><Relationship Id="rId352" Type="http://schemas.openxmlformats.org/officeDocument/2006/relationships/hyperlink" Target="https://collegeboard.org/" TargetMode="External"/><Relationship Id="rId353" Type="http://schemas.openxmlformats.org/officeDocument/2006/relationships/hyperlink" Target="https://wida.wisc.edu/assess/screener" TargetMode="External"/><Relationship Id="rId354" Type="http://schemas.openxmlformats.org/officeDocument/2006/relationships/hyperlink" Target="https://ed.gov/" TargetMode="External"/><Relationship Id="rId355" Type="http://schemas.openxmlformats.org/officeDocument/2006/relationships/hyperlink" Target="https://law.cornell.edu/uscode/text/20/6312" TargetMode="External"/><Relationship Id="rId356" Type="http://schemas.openxmlformats.org/officeDocument/2006/relationships/hyperlink" Target="https://aefla.ed.gov/" TargetMode="External"/><Relationship Id="rId357" Type="http://schemas.openxmlformats.org/officeDocument/2006/relationships/hyperlink" Target="https://gissv.org/gissv-home-english/locations/saturday-school" TargetMode="External"/><Relationship Id="rId358" Type="http://schemas.openxmlformats.org/officeDocument/2006/relationships/hyperlink" Target="https://tcgis.org/" TargetMode="External"/><Relationship Id="rId359" Type="http://schemas.openxmlformats.org/officeDocument/2006/relationships/hyperlink" Target="https://goethe.de/ins/us/en/spr/prf.html" TargetMode="External"/><Relationship Id="rId360" Type="http://schemas.openxmlformats.org/officeDocument/2006/relationships/hyperlink" Target="https://ets.org/toefl" TargetMode="External"/><Relationship Id="rId361" Type="http://schemas.openxmlformats.org/officeDocument/2006/relationships/hyperlink" Target="https://ielts.org/" TargetMode="External"/><Relationship Id="rId362" Type="http://schemas.openxmlformats.org/officeDocument/2006/relationships/hyperlink" Target="https://supremecourt.gov/opinions/25pdf/25-365_4hdj.pdf" TargetMode="External"/><Relationship Id="rId363" Type="http://schemas.openxmlformats.org/officeDocument/2006/relationships/hyperlink" Target="https://germany.info/" TargetMode="External"/><Relationship Id="rId364" Type="http://schemas.openxmlformats.org/officeDocument/2006/relationships/hyperlink" Target="https://dol.gov/agencies/whd/fmla" TargetMode="External"/><Relationship Id="rId365" Type="http://schemas.openxmlformats.org/officeDocument/2006/relationships/hyperlink" Target="https://childcareaware.org/" TargetMode="External"/><Relationship Id="rId366" Type="http://schemas.openxmlformats.org/officeDocument/2006/relationships/hyperlink" Target="https://j1visa.state.gov/programs/au-pair" TargetMode="External"/><Relationship Id="rId367" Type="http://schemas.openxmlformats.org/officeDocument/2006/relationships/hyperlink" Target="https://research.collegeboard.org/trends/college-pricing" TargetMode="External"/><Relationship Id="rId368" Type="http://schemas.openxmlformats.org/officeDocument/2006/relationships/hyperlink" Target="https://studentaid.gov/" TargetMode="External"/><Relationship Id="rId369" Type="http://schemas.openxmlformats.org/officeDocument/2006/relationships/hyperlink" Target="https://daad.org/en/study-research-in-germany/study-in-germany/undergraduate" TargetMode="External"/><Relationship Id="rId370" Type="http://schemas.openxmlformats.org/officeDocument/2006/relationships/footer" Target="footer67.xml"/><Relationship Id="rId371" Type="http://schemas.openxmlformats.org/officeDocument/2006/relationships/footer" Target="footer68.xml"/><Relationship Id="rId372" Type="http://schemas.openxmlformats.org/officeDocument/2006/relationships/footer" Target="footer69.xml"/><Relationship Id="rId373" Type="http://schemas.openxmlformats.org/officeDocument/2006/relationships/footer" Target="footer70.xml"/><Relationship Id="rId374" Type="http://schemas.openxmlformats.org/officeDocument/2006/relationships/footer" Target="footer71.xml"/><Relationship Id="rId375" Type="http://schemas.openxmlformats.org/officeDocument/2006/relationships/footer" Target="footer72.xml"/><Relationship Id="rId376" Type="http://schemas.openxmlformats.org/officeDocument/2006/relationships/hyperlink" Target="https://ssa.gov/international/Agreement_Pamphlets/germany.html" TargetMode="External"/><Relationship Id="rId377" Type="http://schemas.openxmlformats.org/officeDocument/2006/relationships/hyperlink" Target="https://ssa.gov/benefits/retirement/social-security-fairness-act.html" TargetMode="External"/><Relationship Id="rId378" Type="http://schemas.openxmlformats.org/officeDocument/2006/relationships/hyperlink" Target="https://medicare.gov/basics/costs" TargetMode="External"/><Relationship Id="rId379" Type="http://schemas.openxmlformats.org/officeDocument/2006/relationships/hyperlink" Target="https://irs.gov/businesses/small-businesses-self-employed/whats-new-estate-and-gift-tax" TargetMode="External"/><Relationship Id="rId380" Type="http://schemas.openxmlformats.org/officeDocument/2006/relationships/hyperlink" Target="https://irs.gov/instructions/i3520" TargetMode="External"/><Relationship Id="rId381" Type="http://schemas.openxmlformats.org/officeDocument/2006/relationships/hyperlink" Target="https://deutsche-rentenversicherung.de/" TargetMode="External"/><Relationship Id="rId382" Type="http://schemas.openxmlformats.org/officeDocument/2006/relationships/hyperlink" Target="https://gesetze-im-internet.de/erbstg_1974" TargetMode="External"/><Relationship Id="rId383" Type="http://schemas.openxmlformats.org/officeDocument/2006/relationships/hyperlink" Target="https://letsmakeaplan.org/" TargetMode="External"/><Relationship Id="rId384" Type="http://schemas.openxmlformats.org/officeDocument/2006/relationships/hyperlink" Target="https://uscis.gov/alienregistration" TargetMode="External"/><Relationship Id="rId385" Type="http://schemas.openxmlformats.org/officeDocument/2006/relationships/hyperlink" Target="https://uscis.gov/ar-11" TargetMode="External"/><Relationship Id="rId386" Type="http://schemas.openxmlformats.org/officeDocument/2006/relationships/hyperlink" Target="https://sss.gov/" TargetMode="External"/><Relationship Id="rId387" Type="http://schemas.openxmlformats.org/officeDocument/2006/relationships/hyperlink" Target="https://law.cornell.edu/uscode/text/18/922" TargetMode="External"/><Relationship Id="rId388" Type="http://schemas.openxmlformats.org/officeDocument/2006/relationships/hyperlink" Target="https://mapresearch.org/equality-maps" TargetMode="External"/><Relationship Id="rId389" Type="http://schemas.openxmlformats.org/officeDocument/2006/relationships/hyperlink" Target="https://dea.gov/marijuana-rescheduling-regulatory-actions" TargetMode="External"/><Relationship Id="rId390" Type="http://schemas.openxmlformats.org/officeDocument/2006/relationships/hyperlink" Target="https://reportfraud.ftc.gov/" TargetMode="External"/><Relationship Id="rId391" Type="http://schemas.openxmlformats.org/officeDocument/2006/relationships/hyperlink" Target="https://identitytheft.gov/" TargetMode="External"/><Relationship Id="rId392" Type="http://schemas.openxmlformats.org/officeDocument/2006/relationships/hyperlink" Target="https://ready.gov/" TargetMode="External"/><Relationship Id="rId393" Type="http://schemas.openxmlformats.org/officeDocument/2006/relationships/hyperlink" Target="https://weather.gov/" TargetMode="External"/><Relationship Id="rId394" Type="http://schemas.openxmlformats.org/officeDocument/2006/relationships/hyperlink" Target="https://germany.info/us-de/service/hilfe" TargetMode="External"/><Relationship Id="rId395" Type="http://schemas.openxmlformats.org/officeDocument/2006/relationships/hyperlink" Target="https://aclu.org/know-your-rights/photographers" TargetMode="External"/><Relationship Id="rId396" Type="http://schemas.openxmlformats.org/officeDocument/2006/relationships/hyperlink" Target="https://uscis.gov/n-400" TargetMode="External"/><Relationship Id="rId397" Type="http://schemas.openxmlformats.org/officeDocument/2006/relationships/hyperlink" Target="https://uscis.gov/citizenship" TargetMode="External"/><Relationship Id="rId398" Type="http://schemas.openxmlformats.org/officeDocument/2006/relationships/hyperlink" Target="https://uscis.gov/g-1055" TargetMode="External"/><Relationship Id="rId399" Type="http://schemas.openxmlformats.org/officeDocument/2006/relationships/hyperlink" Target="https://egov.uscis.gov/processing-times" TargetMode="External"/><Relationship Id="rId400" Type="http://schemas.openxmlformats.org/officeDocument/2006/relationships/hyperlink" Target="https://travel.state.gov/" TargetMode="External"/><Relationship Id="rId401" Type="http://schemas.openxmlformats.org/officeDocument/2006/relationships/hyperlink" Target="https://irs.gov/individuals/international-taxpayers/expatriation-tax" TargetMode="External"/><Relationship Id="rId402" Type="http://schemas.openxmlformats.org/officeDocument/2006/relationships/hyperlink" Target="https://bva.bund.de/" TargetMode="External"/><Relationship Id="rId403" Type="http://schemas.openxmlformats.org/officeDocument/2006/relationships/hyperlink" Target="https://germany.info/us-en" TargetMode="External"/><Relationship Id="rId404" Type="http://schemas.openxmlformats.org/officeDocument/2006/relationships/hyperlink" Target="https://bundeswahlleiterin.de/" TargetMode="External"/><Relationship Id="rId405" Type="http://schemas.openxmlformats.org/officeDocument/2006/relationships/hyperlink" Target="https://supremecourt.gov/opinions/25pdf/25-365_4hdj.pdf" TargetMode="External"/><Relationship Id="rId406" Type="http://schemas.openxmlformats.org/officeDocument/2006/relationships/hyperlink" Target="https://uscis.gov/green-card" TargetMode="External"/><Relationship Id="rId407" Type="http://schemas.openxmlformats.org/officeDocument/2006/relationships/hyperlink" Target="https://uscis.gov/i-131" TargetMode="External"/><Relationship Id="rId408" Type="http://schemas.openxmlformats.org/officeDocument/2006/relationships/hyperlink" Target="https://irs.gov/individuals/international-taxpayers/expatriation-tax" TargetMode="External"/><Relationship Id="rId409" Type="http://schemas.openxmlformats.org/officeDocument/2006/relationships/hyperlink" Target="https://irs.gov/individuals/international-taxpayers/firpta-withholding" TargetMode="External"/><Relationship Id="rId410" Type="http://schemas.openxmlformats.org/officeDocument/2006/relationships/hyperlink" Target="https://gesetze-im-internet.de/sgb_5" TargetMode="External"/><Relationship Id="rId411" Type="http://schemas.openxmlformats.org/officeDocument/2006/relationships/hyperlink" Target="https://deutsche-rentenversicherung.de/" TargetMode="External"/><Relationship Id="rId412" Type="http://schemas.openxmlformats.org/officeDocument/2006/relationships/hyperlink" Target="https://zoll.de/" TargetMode="External"/><Relationship Id="rId413" Type="http://schemas.openxmlformats.org/officeDocument/2006/relationships/hyperlink" Target="https://daad.org/" TargetMode="External"/><Relationship Id="rId414" Type="http://schemas.openxmlformats.org/officeDocument/2006/relationships/footer" Target="footer73.xml"/><Relationship Id="rId415" Type="http://schemas.openxmlformats.org/officeDocument/2006/relationships/footer" Target="footer74.xml"/><Relationship Id="rId416" Type="http://schemas.openxmlformats.org/officeDocument/2006/relationships/footer" Target="footer75.xml"/><Relationship Id="rId417" Type="http://schemas.openxmlformats.org/officeDocument/2006/relationships/footer" Target="footer76.xml"/><Relationship Id="rId418" Type="http://schemas.openxmlformats.org/officeDocument/2006/relationships/footer" Target="footer77.xml"/><Relationship Id="rId419" Type="http://schemas.openxmlformats.org/officeDocument/2006/relationships/footer" Target="footer78.xml"/><Relationship Id="rId420" Type="http://schemas.openxmlformats.org/officeDocument/2006/relationships/hyperlink" Target="https://immi.homeaffairs.gov.au/" TargetMode="External"/><Relationship Id="rId421" Type="http://schemas.openxmlformats.org/officeDocument/2006/relationships/hyperlink" Target="https://ato.gov.au/" TargetMode="External"/><Relationship Id="rId422" Type="http://schemas.openxmlformats.org/officeDocument/2006/relationships/hyperlink" Target="https://servicesaustralia.gov.au/" TargetMode="External"/><Relationship Id="rId423" Type="http://schemas.openxmlformats.org/officeDocument/2006/relationships/hyperlink" Target="https://ato.gov.au/" TargetMode="External"/><Relationship Id="rId424" Type="http://schemas.openxmlformats.org/officeDocument/2006/relationships/hyperlink" Target="https://oecd.org/" TargetMode="External"/><Relationship Id="rId425" Type="http://schemas.openxmlformats.org/officeDocument/2006/relationships/hyperlink" Target="https://numbeo.com/" TargetMode="External"/><Relationship Id="rId426" Type="http://schemas.openxmlformats.org/officeDocument/2006/relationships/hyperlink" Target="https://immi.homeaffairs.gov.au/" TargetMode="External"/><Relationship Id="rId427" Type="http://schemas.openxmlformats.org/officeDocument/2006/relationships/hyperlink" Target="https://immi.homeaffairs.gov.au/visas/working-in-australia/skillselect" TargetMode="External"/><Relationship Id="rId428" Type="http://schemas.openxmlformats.org/officeDocument/2006/relationships/hyperlink" Target="https://immi.homeaffairs.gov.au/" TargetMode="External"/><Relationship Id="rId429" Type="http://schemas.openxmlformats.org/officeDocument/2006/relationships/hyperlink" Target="https://immi.homeaffairs.gov.au/" TargetMode="External"/><Relationship Id="rId430" Type="http://schemas.openxmlformats.org/officeDocument/2006/relationships/hyperlink" Target="https://immi.homeaffairs.gov.au/visas/getting-a-visa/fees-and-charges" TargetMode="External"/><Relationship Id="rId431" Type="http://schemas.openxmlformats.org/officeDocument/2006/relationships/hyperlink" Target="https://immi.homeaffairs.gov.au/" TargetMode="External"/><Relationship Id="rId432" Type="http://schemas.openxmlformats.org/officeDocument/2006/relationships/hyperlink" Target="https://immi.homeaffairs.gov.au/" TargetMode="External"/><Relationship Id="rId433" Type="http://schemas.openxmlformats.org/officeDocument/2006/relationships/hyperlink" Target="https://immi.homeaffairs.gov.au/" TargetMode="External"/><Relationship Id="rId434" Type="http://schemas.openxmlformats.org/officeDocument/2006/relationships/hyperlink" Target="https://immi.homeaffairs.gov.au/" TargetMode="External"/><Relationship Id="rId435" Type="http://schemas.openxmlformats.org/officeDocument/2006/relationships/hyperlink" Target="https://immi.homeaffairs.gov.au/" TargetMode="External"/><Relationship Id="rId436" Type="http://schemas.openxmlformats.org/officeDocument/2006/relationships/hyperlink" Target="https://immi.homeaffairs.gov.au/visas/working-in-australia/skillselect" TargetMode="External"/><Relationship Id="rId437" Type="http://schemas.openxmlformats.org/officeDocument/2006/relationships/hyperlink" Target="https://immi.homeaffairs.gov.au/visas/getting-a-visa/fees-and-charges" TargetMode="External"/><Relationship Id="rId438" Type="http://schemas.openxmlformats.org/officeDocument/2006/relationships/hyperlink" Target="https://dewr.gov.au/" TargetMode="External"/><Relationship Id="rId439" Type="http://schemas.openxmlformats.org/officeDocument/2006/relationships/hyperlink" Target="https://immi.homeaffairs.gov.au/" TargetMode="External"/><Relationship Id="rId440" Type="http://schemas.openxmlformats.org/officeDocument/2006/relationships/hyperlink" Target="https://immi.homeaffairs.gov.au/" TargetMode="External"/><Relationship Id="rId441" Type="http://schemas.openxmlformats.org/officeDocument/2006/relationships/hyperlink" Target="https://immi.homeaffairs.gov.au/" TargetMode="External"/><Relationship Id="rId442" Type="http://schemas.openxmlformats.org/officeDocument/2006/relationships/hyperlink" Target="https://immi.homeaffairs.gov.au/" TargetMode="External"/><Relationship Id="rId443" Type="http://schemas.openxmlformats.org/officeDocument/2006/relationships/hyperlink" Target="https://immi.homeaffairs.gov.au/visas/getting-a-visa/visa-processing-times" TargetMode="External"/><Relationship Id="rId444" Type="http://schemas.openxmlformats.org/officeDocument/2006/relationships/hyperlink" Target="https://ato.gov.au/" TargetMode="External"/><Relationship Id="rId445" Type="http://schemas.openxmlformats.org/officeDocument/2006/relationships/hyperlink" Target="https://immi.homeaffairs.gov.au/" TargetMode="External"/><Relationship Id="rId446" Type="http://schemas.openxmlformats.org/officeDocument/2006/relationships/hyperlink" Target="https://immi.homeaffairs.gov.au/visas/working-in-australia/skillselect" TargetMode="External"/><Relationship Id="rId447" Type="http://schemas.openxmlformats.org/officeDocument/2006/relationships/hyperlink" Target="https://immi.homeaffairs.gov.au/visas/getting-a-visa/visa-processing-times" TargetMode="External"/><Relationship Id="rId448" Type="http://schemas.openxmlformats.org/officeDocument/2006/relationships/hyperlink" Target="https://portal.mara.gov.au/" TargetMode="External"/><Relationship Id="rId449" Type="http://schemas.openxmlformats.org/officeDocument/2006/relationships/hyperlink" Target="https://bundesjustizamt.de/" TargetMode="External"/><Relationship Id="rId450" Type="http://schemas.openxmlformats.org/officeDocument/2006/relationships/hyperlink" Target="https://bfaa.diplo.de/" TargetMode="External"/><Relationship Id="rId451" Type="http://schemas.openxmlformats.org/officeDocument/2006/relationships/hyperlink" Target="https://australien.diplo.de/" TargetMode="External"/><Relationship Id="rId452" Type="http://schemas.openxmlformats.org/officeDocument/2006/relationships/hyperlink" Target="https://immi.homeaffairs.gov.au/" TargetMode="External"/><Relationship Id="rId453" Type="http://schemas.openxmlformats.org/officeDocument/2006/relationships/hyperlink" Target="https://abf.gov.au/" TargetMode="External"/><Relationship Id="rId454" Type="http://schemas.openxmlformats.org/officeDocument/2006/relationships/hyperlink" Target="https://ato.gov.au/" TargetMode="External"/><Relationship Id="rId455" Type="http://schemas.openxmlformats.org/officeDocument/2006/relationships/hyperlink" Target="https://servicesaustralia.gov.au/" TargetMode="External"/><Relationship Id="rId456" Type="http://schemas.openxmlformats.org/officeDocument/2006/relationships/hyperlink" Target="https://australien.diplo.de/" TargetMode="External"/><Relationship Id="rId457" Type="http://schemas.openxmlformats.org/officeDocument/2006/relationships/hyperlink" Target="https://ato.gov.au/" TargetMode="External"/><Relationship Id="rId458" Type="http://schemas.openxmlformats.org/officeDocument/2006/relationships/hyperlink" Target="https://servicesaustralia.gov.au/" TargetMode="External"/><Relationship Id="rId459" Type="http://schemas.openxmlformats.org/officeDocument/2006/relationships/hyperlink" Target="https://moneysmart.gov.au/" TargetMode="External"/><Relationship Id="rId460" Type="http://schemas.openxmlformats.org/officeDocument/2006/relationships/hyperlink" Target="https://equifax.com.au/" TargetMode="External"/><Relationship Id="rId461" Type="http://schemas.openxmlformats.org/officeDocument/2006/relationships/hyperlink" Target="https://experian.com.au/" TargetMode="External"/><Relationship Id="rId462" Type="http://schemas.openxmlformats.org/officeDocument/2006/relationships/hyperlink" Target="https://illion.com.au/" TargetMode="External"/><Relationship Id="rId463" Type="http://schemas.openxmlformats.org/officeDocument/2006/relationships/hyperlink" Target="https://commbank.com.au/" TargetMode="External"/><Relationship Id="rId464" Type="http://schemas.openxmlformats.org/officeDocument/2006/relationships/hyperlink" Target="https://westpac.com.au/" TargetMode="External"/><Relationship Id="rId465" Type="http://schemas.openxmlformats.org/officeDocument/2006/relationships/hyperlink" Target="https://nab.com.au/" TargetMode="External"/><Relationship Id="rId466" Type="http://schemas.openxmlformats.org/officeDocument/2006/relationships/hyperlink" Target="https://anz.com.au/" TargetMode="External"/><Relationship Id="rId467" Type="http://schemas.openxmlformats.org/officeDocument/2006/relationships/hyperlink" Target="https://mygov.au/" TargetMode="External"/><Relationship Id="rId468" Type="http://schemas.openxmlformats.org/officeDocument/2006/relationships/hyperlink" Target="https://servicesaustralia.gov.au/" TargetMode="External"/><Relationship Id="rId469" Type="http://schemas.openxmlformats.org/officeDocument/2006/relationships/hyperlink" Target="https://ato.gov.au/" TargetMode="External"/><Relationship Id="rId470" Type="http://schemas.openxmlformats.org/officeDocument/2006/relationships/hyperlink" Target="https://immi.homeaffairs.gov.au/" TargetMode="External"/><Relationship Id="rId471" Type="http://schemas.openxmlformats.org/officeDocument/2006/relationships/hyperlink" Target="https://privatehealth.gov.au/" TargetMode="External"/><Relationship Id="rId472" Type="http://schemas.openxmlformats.org/officeDocument/2006/relationships/hyperlink" Target="https://australien.diplo.de/" TargetMode="External"/><Relationship Id="rId473" Type="http://schemas.openxmlformats.org/officeDocument/2006/relationships/hyperlink" Target="https://firb.gov.au/" TargetMode="External"/><Relationship Id="rId474" Type="http://schemas.openxmlformats.org/officeDocument/2006/relationships/hyperlink" Target="https://ato.gov.au/" TargetMode="External"/><Relationship Id="rId475" Type="http://schemas.openxmlformats.org/officeDocument/2006/relationships/hyperlink" Target="https://fairtrading.nsw.gov.au/" TargetMode="External"/><Relationship Id="rId476" Type="http://schemas.openxmlformats.org/officeDocument/2006/relationships/hyperlink" Target="https://domain.com.au/" TargetMode="External"/><Relationship Id="rId477" Type="http://schemas.openxmlformats.org/officeDocument/2006/relationships/hyperlink" Target="https://cotality.com/" TargetMode="External"/><Relationship Id="rId478" Type="http://schemas.openxmlformats.org/officeDocument/2006/relationships/hyperlink" Target="https://australien.diplo.de/" TargetMode="External"/><Relationship Id="rId479" Type="http://schemas.openxmlformats.org/officeDocument/2006/relationships/hyperlink" Target="https://transport.vic.gov.au/" TargetMode="External"/><Relationship Id="rId480" Type="http://schemas.openxmlformats.org/officeDocument/2006/relationships/hyperlink" Target="https://service.nsw.gov.au/" TargetMode="External"/><Relationship Id="rId481" Type="http://schemas.openxmlformats.org/officeDocument/2006/relationships/hyperlink" Target="https://tmr.qld.gov.au/" TargetMode="External"/><Relationship Id="rId482" Type="http://schemas.openxmlformats.org/officeDocument/2006/relationships/hyperlink" Target="https://australien.diplo.de/" TargetMode="External"/><Relationship Id="rId483" Type="http://schemas.openxmlformats.org/officeDocument/2006/relationships/hyperlink" Target="https://austroads.gov.au/" TargetMode="External"/><Relationship Id="rId484" Type="http://schemas.openxmlformats.org/officeDocument/2006/relationships/hyperlink" Target="https://nsw.gov.au/" TargetMode="External"/><Relationship Id="rId485" Type="http://schemas.openxmlformats.org/officeDocument/2006/relationships/hyperlink" Target="https://kangaroomanagementtaskforce.com.au/" TargetMode="External"/><Relationship Id="rId486" Type="http://schemas.openxmlformats.org/officeDocument/2006/relationships/hyperlink" Target="https://csiro.au/" TargetMode="External"/><Relationship Id="rId487" Type="http://schemas.openxmlformats.org/officeDocument/2006/relationships/hyperlink" Target="https://nrma.com.au/" TargetMode="External"/><Relationship Id="rId488" Type="http://schemas.openxmlformats.org/officeDocument/2006/relationships/hyperlink" Target="https://racv.com.au/" TargetMode="External"/><Relationship Id="rId489" Type="http://schemas.openxmlformats.org/officeDocument/2006/relationships/hyperlink" Target="https://culturalatlas.sbs.com.au/" TargetMode="External"/><Relationship Id="rId490" Type="http://schemas.openxmlformats.org/officeDocument/2006/relationships/hyperlink" Target="https://australien.diplo.de/" TargetMode="External"/><Relationship Id="rId491" Type="http://schemas.openxmlformats.org/officeDocument/2006/relationships/hyperlink" Target="https://fairwork.gov.au/" TargetMode="External"/><Relationship Id="rId492" Type="http://schemas.openxmlformats.org/officeDocument/2006/relationships/hyperlink" Target="https://australia.com/" TargetMode="External"/><Relationship Id="rId493" Type="http://schemas.openxmlformats.org/officeDocument/2006/relationships/hyperlink" Target="https://youtube.com/@wired" TargetMode="External"/><Relationship Id="rId494" Type="http://schemas.openxmlformats.org/officeDocument/2006/relationships/hyperlink" Target="https://ardalpha.de/" TargetMode="External"/><Relationship Id="rId495" Type="http://schemas.openxmlformats.org/officeDocument/2006/relationships/hyperlink" Target="https://justwatch.de/" TargetMode="External"/><Relationship Id="rId496" Type="http://schemas.openxmlformats.org/officeDocument/2006/relationships/hyperlink" Target="https://australien.diplo.de/" TargetMode="External"/><Relationship Id="rId497" Type="http://schemas.openxmlformats.org/officeDocument/2006/relationships/hyperlink" Target="https://goethe.de/ins/au" TargetMode="External"/><Relationship Id="rId498" Type="http://schemas.openxmlformats.org/officeDocument/2006/relationships/hyperlink" Target="https://lifeline.org.au/" TargetMode="External"/><Relationship Id="rId499" Type="http://schemas.openxmlformats.org/officeDocument/2006/relationships/hyperlink" Target="https://sls.com.au/" TargetMode="External"/><Relationship Id="rId500" Type="http://schemas.openxmlformats.org/officeDocument/2006/relationships/hyperlink" Target="https://rfs.nsw.gov.au/" TargetMode="External"/><Relationship Id="rId501" Type="http://schemas.openxmlformats.org/officeDocument/2006/relationships/hyperlink" Target="https://ses.nsw.gov.au/" TargetMode="External"/><Relationship Id="rId502" Type="http://schemas.openxmlformats.org/officeDocument/2006/relationships/hyperlink" Target="https://abs.gov.au/statistics/people/education/schools" TargetMode="External"/><Relationship Id="rId503" Type="http://schemas.openxmlformats.org/officeDocument/2006/relationships/hyperlink" Target="https://acara.edu.au/" TargetMode="External"/><Relationship Id="rId504" Type="http://schemas.openxmlformats.org/officeDocument/2006/relationships/hyperlink" Target="https://education.nsw.gov.au/" TargetMode="External"/><Relationship Id="rId505" Type="http://schemas.openxmlformats.org/officeDocument/2006/relationships/hyperlink" Target="https://auslandsschulwesen.de/" TargetMode="External"/><Relationship Id="rId506" Type="http://schemas.openxmlformats.org/officeDocument/2006/relationships/hyperlink" Target="https://goethe.de/ins/au" TargetMode="External"/><Relationship Id="rId507" Type="http://schemas.openxmlformats.org/officeDocument/2006/relationships/hyperlink" Target="https://uac.edu.au/" TargetMode="External"/><Relationship Id="rId508" Type="http://schemas.openxmlformats.org/officeDocument/2006/relationships/hyperlink" Target="https://fairwork.gov.au/" TargetMode="External"/><Relationship Id="rId509" Type="http://schemas.openxmlformats.org/officeDocument/2006/relationships/hyperlink" Target="https://fwc.gov.au/" TargetMode="External"/><Relationship Id="rId510" Type="http://schemas.openxmlformats.org/officeDocument/2006/relationships/hyperlink" Target="https://immi.homeaffairs.gov.au/visas/getting-a-visa/visa-listing/skills-in-demand-visa-subclass-482" TargetMode="External"/><Relationship Id="rId511" Type="http://schemas.openxmlformats.org/officeDocument/2006/relationships/hyperlink" Target="https://ato.gov.au/super" TargetMode="External"/><Relationship Id="rId512" Type="http://schemas.openxmlformats.org/officeDocument/2006/relationships/hyperlink" Target="https://fairwork.gov.au/employment-conditions/right-to-disconnect" TargetMode="External"/><Relationship Id="rId513" Type="http://schemas.openxmlformats.org/officeDocument/2006/relationships/hyperlink" Target="https://afdrs.com.au/" TargetMode="External"/><Relationship Id="rId514" Type="http://schemas.openxmlformats.org/officeDocument/2006/relationships/hyperlink" Target="https://bom.gov.au/" TargetMode="External"/><Relationship Id="rId515" Type="http://schemas.openxmlformats.org/officeDocument/2006/relationships/hyperlink" Target="https://rfs.nsw.gov.au/" TargetMode="External"/><Relationship Id="rId516" Type="http://schemas.openxmlformats.org/officeDocument/2006/relationships/hyperlink" Target="https://cfa.vic.gov.au/" TargetMode="External"/><Relationship Id="rId517" Type="http://schemas.openxmlformats.org/officeDocument/2006/relationships/hyperlink" Target="https://health.gov.au/" TargetMode="External"/><Relationship Id="rId518" Type="http://schemas.openxmlformats.org/officeDocument/2006/relationships/hyperlink" Target="https://tga.gov.au/" TargetMode="External"/><Relationship Id="rId519" Type="http://schemas.openxmlformats.org/officeDocument/2006/relationships/hyperlink" Target="https://legislation.act.gov.au/" TargetMode="External"/><Relationship Id="rId520" Type="http://schemas.openxmlformats.org/officeDocument/2006/relationships/hyperlink" Target="https://acic.gov.au/" TargetMode="External"/><Relationship Id="rId521" Type="http://schemas.openxmlformats.org/officeDocument/2006/relationships/hyperlink" Target="https://transport.nsw.gov.au/" TargetMode="External"/><Relationship Id="rId522" Type="http://schemas.openxmlformats.org/officeDocument/2006/relationships/hyperlink" Target="https://germany.info/" TargetMode="External"/><Relationship Id="rId523" Type="http://schemas.openxmlformats.org/officeDocument/2006/relationships/hyperlink" Target="https://homeaffairs.gov.au/" TargetMode="External"/><Relationship Id="rId524" Type="http://schemas.openxmlformats.org/officeDocument/2006/relationships/hyperlink" Target="https://ato.gov.au/" TargetMode="External"/><Relationship Id="rId525" Type="http://schemas.openxmlformats.org/officeDocument/2006/relationships/hyperlink" Target="https://bmi.bund.de/" TargetMode="External"/><Relationship Id="rId526" Type="http://schemas.openxmlformats.org/officeDocument/2006/relationships/hyperlink" Target="https://auswaertiges-amt.de/" TargetMode="External"/><Relationship Id="rId527" Type="http://schemas.openxmlformats.org/officeDocument/2006/relationships/hyperlink" Target="https://germany.info/" TargetMode="External"/><Relationship Id="rId528" Type="http://schemas.openxmlformats.org/officeDocument/2006/relationships/footer" Target="footer79.xml"/><Relationship Id="rId529" Type="http://schemas.openxmlformats.org/officeDocument/2006/relationships/footer" Target="footer80.xml"/><Relationship Id="rId530" Type="http://schemas.openxmlformats.org/officeDocument/2006/relationships/footer" Target="footer81.xml"/><Relationship Id="rId531" Type="http://schemas.openxmlformats.org/officeDocument/2006/relationships/footer" Target="footer82.xml"/><Relationship Id="rId532" Type="http://schemas.openxmlformats.org/officeDocument/2006/relationships/footer" Target="footer83.xml"/><Relationship Id="rId533" Type="http://schemas.openxmlformats.org/officeDocument/2006/relationships/footer" Target="footer84.xml"/><Relationship Id="rId534" Type="http://schemas.openxmlformats.org/officeDocument/2006/relationships/hyperlink" Target="https://canada.ca/en/revenue-agency" TargetMode="External"/><Relationship Id="rId535" Type="http://schemas.openxmlformats.org/officeDocument/2006/relationships/hyperlink" Target="https://gov.bc.ca/" TargetMode="External"/><Relationship Id="rId536" Type="http://schemas.openxmlformats.org/officeDocument/2006/relationships/hyperlink" Target="https://taxtips.ca/" TargetMode="External"/><Relationship Id="rId537" Type="http://schemas.openxmlformats.org/officeDocument/2006/relationships/hyperlink" Target="https://taxtips.ca/" TargetMode="External"/><Relationship Id="rId538" Type="http://schemas.openxmlformats.org/officeDocument/2006/relationships/hyperlink" Target="https://ircc.canada.ca/english/information/fees" TargetMode="External"/><Relationship Id="rId539" Type="http://schemas.openxmlformats.org/officeDocument/2006/relationships/hyperlink" Target="https://oecd.org/" TargetMode="External"/><Relationship Id="rId540" Type="http://schemas.openxmlformats.org/officeDocument/2006/relationships/hyperlink" Target="https://numbeo.com/" TargetMode="External"/><Relationship Id="rId541" Type="http://schemas.openxmlformats.org/officeDocument/2006/relationships/hyperlink" Target="https://canada.ca/en/immigration-refugees-citizenship" TargetMode="External"/><Relationship Id="rId542" Type="http://schemas.openxmlformats.org/officeDocument/2006/relationships/hyperlink" Target="https://canada.ca/" TargetMode="External"/><Relationship Id="rId543" Type="http://schemas.openxmlformats.org/officeDocument/2006/relationships/hyperlink" Target="https://ircc.canada.ca/english/information/fees" TargetMode="External"/><Relationship Id="rId544" Type="http://schemas.openxmlformats.org/officeDocument/2006/relationships/hyperlink" Target="https://canada.ca/en/employment-social-development" TargetMode="External"/><Relationship Id="rId545" Type="http://schemas.openxmlformats.org/officeDocument/2006/relationships/hyperlink" Target="https://canada.ca/" TargetMode="External"/><Relationship Id="rId546" Type="http://schemas.openxmlformats.org/officeDocument/2006/relationships/hyperlink" Target="https://canada.ca/" TargetMode="External"/><Relationship Id="rId547" Type="http://schemas.openxmlformats.org/officeDocument/2006/relationships/hyperlink" Target="https://canada.ca/en/immigration-refugees-citizenship/services/immigrate-canada/express-entry.html" TargetMode="External"/><Relationship Id="rId548" Type="http://schemas.openxmlformats.org/officeDocument/2006/relationships/hyperlink" Target="https://canada.ca/.../express-entry/eligibility/criteria-comprehensive-ranking-system.html" TargetMode="External"/><Relationship Id="rId549" Type="http://schemas.openxmlformats.org/officeDocument/2006/relationships/hyperlink" Target="https://canada.ca/.../express-entry/eligibility/federal-skilled-workers.html" TargetMode="External"/><Relationship Id="rId550" Type="http://schemas.openxmlformats.org/officeDocument/2006/relationships/hyperlink" Target="https://canada.ca/.../provincial-nominees.html" TargetMode="External"/><Relationship Id="rId551" Type="http://schemas.openxmlformats.org/officeDocument/2006/relationships/hyperlink" Target="https://ircc.canada.ca/english/information/fees/fees.asp" TargetMode="External"/><Relationship Id="rId552" Type="http://schemas.openxmlformats.org/officeDocument/2006/relationships/hyperlink" Target="https://ontario.ca/page/ontario-immigrant-nominee-program" TargetMode="External"/><Relationship Id="rId553" Type="http://schemas.openxmlformats.org/officeDocument/2006/relationships/hyperlink" Target="https://welcomebc.ca/immigrate-to-b-c/about-the-bc-pnp" TargetMode="External"/><Relationship Id="rId554" Type="http://schemas.openxmlformats.org/officeDocument/2006/relationships/hyperlink" Target="https://ircc.canada.ca/english/information/fees/fees.asp" TargetMode="External"/><Relationship Id="rId555" Type="http://schemas.openxmlformats.org/officeDocument/2006/relationships/hyperlink" Target="https://canada.ca/.../sponsor-spouse-partner-child.html" TargetMode="External"/><Relationship Id="rId556" Type="http://schemas.openxmlformats.org/officeDocument/2006/relationships/hyperlink" Target="https://canada.ca/.../sponsor-parents-grandparents/eligibility/income.html" TargetMode="External"/><Relationship Id="rId557" Type="http://schemas.openxmlformats.org/officeDocument/2006/relationships/hyperlink" Target="https://canada.ca/.../super-visa.html" TargetMode="External"/><Relationship Id="rId558" Type="http://schemas.openxmlformats.org/officeDocument/2006/relationships/hyperlink" Target="https://canada.ca/.../start-visa.html" TargetMode="External"/><Relationship Id="rId559" Type="http://schemas.openxmlformats.org/officeDocument/2006/relationships/hyperlink" Target="https://canada.ca/" TargetMode="External"/><Relationship Id="rId560" Type="http://schemas.openxmlformats.org/officeDocument/2006/relationships/hyperlink" Target="https://bzst.de/" TargetMode="External"/><Relationship Id="rId561" Type="http://schemas.openxmlformats.org/officeDocument/2006/relationships/hyperlink" Target="https://ircc.canada.ca/english/information/fees/fees.asp" TargetMode="External"/><Relationship Id="rId562" Type="http://schemas.openxmlformats.org/officeDocument/2006/relationships/hyperlink" Target="https://canada.ca/en/immigration-refugees-citizenship/services/application/check-processing-times.html" TargetMode="External"/><Relationship Id="rId563" Type="http://schemas.openxmlformats.org/officeDocument/2006/relationships/hyperlink" Target="https://canada.ca/en/immigration-refugees-citizenship/corporate/partners-service-providers/panel-physicians.html" TargetMode="External"/><Relationship Id="rId564" Type="http://schemas.openxmlformats.org/officeDocument/2006/relationships/hyperlink" Target="https://canada.ca/en/immigration-refugees-citizenship/services/application/medical-police/police-certificates/how/germany.html" TargetMode="External"/><Relationship Id="rId565" Type="http://schemas.openxmlformats.org/officeDocument/2006/relationships/hyperlink" Target="https://college-ic.ca/" TargetMode="External"/><Relationship Id="rId566" Type="http://schemas.openxmlformats.org/officeDocument/2006/relationships/hyperlink" Target="https://visa.vfsglobal.com/deu/de/can" TargetMode="External"/><Relationship Id="rId567" Type="http://schemas.openxmlformats.org/officeDocument/2006/relationships/hyperlink" Target="https://kanada.diplo.de/" TargetMode="External"/><Relationship Id="rId568" Type="http://schemas.openxmlformats.org/officeDocument/2006/relationships/hyperlink" Target="https://bundesjustizamt.de/" TargetMode="External"/><Relationship Id="rId569" Type="http://schemas.openxmlformats.org/officeDocument/2006/relationships/hyperlink" Target="https://cbsa-asfc.gc.ca/" TargetMode="External"/><Relationship Id="rId570" Type="http://schemas.openxmlformats.org/officeDocument/2006/relationships/hyperlink" Target="https://canada.ca/en/employment-social-development/services/sin.html" TargetMode="External"/><Relationship Id="rId571" Type="http://schemas.openxmlformats.org/officeDocument/2006/relationships/hyperlink" Target="https://ontario.ca/page/apply-ohip-and-get-health-card" TargetMode="External"/><Relationship Id="rId572" Type="http://schemas.openxmlformats.org/officeDocument/2006/relationships/hyperlink" Target="https://www2.gov.bc.ca/gov/content/health/health-drug-coverage/msp" TargetMode="External"/><Relationship Id="rId573" Type="http://schemas.openxmlformats.org/officeDocument/2006/relationships/hyperlink" Target="https://canada.ca/en/revenue-agency/services/tax/individuals/international-tax/newcomers-canada-immigrants.html" TargetMode="External"/><Relationship Id="rId574" Type="http://schemas.openxmlformats.org/officeDocument/2006/relationships/hyperlink" Target="https://kanada.diplo.de/" TargetMode="External"/><Relationship Id="rId575" Type="http://schemas.openxmlformats.org/officeDocument/2006/relationships/hyperlink" Target="https://canada.ca/en/revenue-agency" TargetMode="External"/><Relationship Id="rId576" Type="http://schemas.openxmlformats.org/officeDocument/2006/relationships/hyperlink" Target="https://canada.ca/en/employment-social-development/services/sin" TargetMode="External"/><Relationship Id="rId577" Type="http://schemas.openxmlformats.org/officeDocument/2006/relationships/hyperlink" Target="https://www2.gov.bc.ca/gov/content/taxes/income-taxes" TargetMode="External"/><Relationship Id="rId578" Type="http://schemas.openxmlformats.org/officeDocument/2006/relationships/hyperlink" Target="https://taxtips.ca/" TargetMode="External"/><Relationship Id="rId579" Type="http://schemas.openxmlformats.org/officeDocument/2006/relationships/hyperlink" Target="https://rbc.com/" TargetMode="External"/><Relationship Id="rId580" Type="http://schemas.openxmlformats.org/officeDocument/2006/relationships/hyperlink" Target="https://td.com/" TargetMode="External"/><Relationship Id="rId581" Type="http://schemas.openxmlformats.org/officeDocument/2006/relationships/hyperlink" Target="https://scotiabank.com/" TargetMode="External"/><Relationship Id="rId582" Type="http://schemas.openxmlformats.org/officeDocument/2006/relationships/hyperlink" Target="https://bmo.com/" TargetMode="External"/><Relationship Id="rId583" Type="http://schemas.openxmlformats.org/officeDocument/2006/relationships/hyperlink" Target="https://cibc.com/" TargetMode="External"/><Relationship Id="rId584" Type="http://schemas.openxmlformats.org/officeDocument/2006/relationships/hyperlink" Target="https://equifax.ca/" TargetMode="External"/><Relationship Id="rId585" Type="http://schemas.openxmlformats.org/officeDocument/2006/relationships/hyperlink" Target="https://transunion.ca/" TargetMode="External"/><Relationship Id="rId586" Type="http://schemas.openxmlformats.org/officeDocument/2006/relationships/hyperlink" Target="https://canada.ca/en/health-canada" TargetMode="External"/><Relationship Id="rId587" Type="http://schemas.openxmlformats.org/officeDocument/2006/relationships/hyperlink" Target="https://ontario.ca/page/apply-ohip-and-get-health-card" TargetMode="External"/><Relationship Id="rId588" Type="http://schemas.openxmlformats.org/officeDocument/2006/relationships/hyperlink" Target="https://www2.gov.bc.ca/gov/content/health/health-drug-coverage/msp" TargetMode="External"/><Relationship Id="rId589" Type="http://schemas.openxmlformats.org/officeDocument/2006/relationships/hyperlink" Target="https://ramq.gouv.qc.ca/" TargetMode="External"/><Relationship Id="rId590" Type="http://schemas.openxmlformats.org/officeDocument/2006/relationships/hyperlink" Target="https://alberta.ca/ahcip" TargetMode="External"/><Relationship Id="rId591" Type="http://schemas.openxmlformats.org/officeDocument/2006/relationships/hyperlink" Target="https://saskatchewan.ca/residents/health" TargetMode="External"/><Relationship Id="rId592" Type="http://schemas.openxmlformats.org/officeDocument/2006/relationships/hyperlink" Target="https://statcan.gc.ca/" TargetMode="External"/><Relationship Id="rId593" Type="http://schemas.openxmlformats.org/officeDocument/2006/relationships/hyperlink" Target="https://cmhc-schl.gc.ca/" TargetMode="External"/><Relationship Id="rId594" Type="http://schemas.openxmlformats.org/officeDocument/2006/relationships/hyperlink" Target="https://canada.ca/" TargetMode="External"/><Relationship Id="rId595" Type="http://schemas.openxmlformats.org/officeDocument/2006/relationships/hyperlink" Target="https://gov.bc.ca/" TargetMode="External"/><Relationship Id="rId596" Type="http://schemas.openxmlformats.org/officeDocument/2006/relationships/hyperlink" Target="https://ontario.ca/" TargetMode="External"/><Relationship Id="rId597" Type="http://schemas.openxmlformats.org/officeDocument/2006/relationships/hyperlink" Target="https://kanada.diplo.de/" TargetMode="External"/><Relationship Id="rId598" Type="http://schemas.openxmlformats.org/officeDocument/2006/relationships/hyperlink" Target="https://drivetest.ca/" TargetMode="External"/><Relationship Id="rId599" Type="http://schemas.openxmlformats.org/officeDocument/2006/relationships/hyperlink" Target="https://icbc.com/" TargetMode="External"/><Relationship Id="rId600" Type="http://schemas.openxmlformats.org/officeDocument/2006/relationships/hyperlink" Target="https://saaq.gouv.qc.ca/" TargetMode="External"/><Relationship Id="rId601" Type="http://schemas.openxmlformats.org/officeDocument/2006/relationships/hyperlink" Target="https://rcmp.ca/" TargetMode="External"/><Relationship Id="rId602" Type="http://schemas.openxmlformats.org/officeDocument/2006/relationships/hyperlink" Target="https://quebec.ca/" TargetMode="External"/><Relationship Id="rId603" Type="http://schemas.openxmlformats.org/officeDocument/2006/relationships/hyperlink" Target="https://wildlifecollisions.ca/" TargetMode="External"/><Relationship Id="rId604" Type="http://schemas.openxmlformats.org/officeDocument/2006/relationships/hyperlink" Target="https://rates.ca/" TargetMode="External"/><Relationship Id="rId605" Type="http://schemas.openxmlformats.org/officeDocument/2006/relationships/hyperlink" Target="https://kanada.diplo.de/" TargetMode="External"/><Relationship Id="rId606" Type="http://schemas.openxmlformats.org/officeDocument/2006/relationships/hyperlink" Target="https://bpb.de/" TargetMode="External"/><Relationship Id="rId607" Type="http://schemas.openxmlformats.org/officeDocument/2006/relationships/hyperlink" Target="https://bpb.de/" TargetMode="External"/><Relationship Id="rId608" Type="http://schemas.openxmlformats.org/officeDocument/2006/relationships/hyperlink" Target="https://canada.ca/" TargetMode="External"/><Relationship Id="rId609" Type="http://schemas.openxmlformats.org/officeDocument/2006/relationships/hyperlink" Target="https://quebec.ca/" TargetMode="External"/><Relationship Id="rId610" Type="http://schemas.openxmlformats.org/officeDocument/2006/relationships/hyperlink" Target="https://lexology.com/" TargetMode="External"/><Relationship Id="rId611" Type="http://schemas.openxmlformats.org/officeDocument/2006/relationships/hyperlink" Target="https://cbc.ca/" TargetMode="External"/><Relationship Id="rId612" Type="http://schemas.openxmlformats.org/officeDocument/2006/relationships/hyperlink" Target="https://kanada.diplo.de/" TargetMode="External"/><Relationship Id="rId613" Type="http://schemas.openxmlformats.org/officeDocument/2006/relationships/hyperlink" Target="https://kanada.diplo.de/" TargetMode="External"/><Relationship Id="rId614" Type="http://schemas.openxmlformats.org/officeDocument/2006/relationships/hyperlink" Target="https://goethe.de/ins/ca" TargetMode="External"/><Relationship Id="rId615" Type="http://schemas.openxmlformats.org/officeDocument/2006/relationships/hyperlink" Target="https://988.ca/" TargetMode="External"/><Relationship Id="rId616" Type="http://schemas.openxmlformats.org/officeDocument/2006/relationships/hyperlink" Target="https://kidshelpphone.ca/" TargetMode="External"/><Relationship Id="rId617" Type="http://schemas.openxmlformats.org/officeDocument/2006/relationships/hyperlink" Target="https://canada.ca/" TargetMode="External"/><Relationship Id="rId618" Type="http://schemas.openxmlformats.org/officeDocument/2006/relationships/hyperlink" Target="https://vwgs.org/" TargetMode="External"/><Relationship Id="rId619" Type="http://schemas.openxmlformats.org/officeDocument/2006/relationships/hyperlink" Target="https://calgarygermanschool.com/" TargetMode="External"/><Relationship Id="rId620" Type="http://schemas.openxmlformats.org/officeDocument/2006/relationships/hyperlink" Target="https://ontario.ca/page/education-and-training" TargetMode="External"/><Relationship Id="rId621" Type="http://schemas.openxmlformats.org/officeDocument/2006/relationships/hyperlink" Target="https://education.gouv.qc.ca/" TargetMode="External"/><Relationship Id="rId622" Type="http://schemas.openxmlformats.org/officeDocument/2006/relationships/hyperlink" Target="https://quebec.ca/" TargetMode="External"/><Relationship Id="rId623" Type="http://schemas.openxmlformats.org/officeDocument/2006/relationships/hyperlink" Target="https://canada.ca/en/employment-social-development/campaigns/child-care.html" TargetMode="External"/><Relationship Id="rId624" Type="http://schemas.openxmlformats.org/officeDocument/2006/relationships/hyperlink" Target="https://auslandsschulwesen.de/" TargetMode="External"/><Relationship Id="rId625" Type="http://schemas.openxmlformats.org/officeDocument/2006/relationships/hyperlink" Target="https://gistonline.ca/" TargetMode="External"/><Relationship Id="rId626" Type="http://schemas.openxmlformats.org/officeDocument/2006/relationships/hyperlink" Target="https://vwgs.org/" TargetMode="External"/><Relationship Id="rId627" Type="http://schemas.openxmlformats.org/officeDocument/2006/relationships/hyperlink" Target="https://calgarygermanschool.com/" TargetMode="External"/><Relationship Id="rId628" Type="http://schemas.openxmlformats.org/officeDocument/2006/relationships/hyperlink" Target="https://canada.ca/en/employment-social-development/services/foreign-workers" TargetMode="External"/><Relationship Id="rId629" Type="http://schemas.openxmlformats.org/officeDocument/2006/relationships/hyperlink" Target="https://canada.ca/en/immigration-refugees-citizenship/services/work-canada" TargetMode="External"/><Relationship Id="rId630" Type="http://schemas.openxmlformats.org/officeDocument/2006/relationships/hyperlink" Target="https://canada.ca/en/immigration-refugees-citizenship/services/work-canada/permit/temporary/vulnerable-workers.html" TargetMode="External"/><Relationship Id="rId631" Type="http://schemas.openxmlformats.org/officeDocument/2006/relationships/hyperlink" Target="https://jobbank.gc.ca/" TargetMode="External"/><Relationship Id="rId632" Type="http://schemas.openxmlformats.org/officeDocument/2006/relationships/hyperlink" Target="https://ontario.ca/document/your-guide-employment-standards-act-0" TargetMode="External"/><Relationship Id="rId633" Type="http://schemas.openxmlformats.org/officeDocument/2006/relationships/hyperlink" Target="https://alberta.ca/employment-standards" TargetMode="External"/><Relationship Id="rId634" Type="http://schemas.openxmlformats.org/officeDocument/2006/relationships/hyperlink" Target="https://rcmp.ca/en/bc/corporate-information/newcomers-guide/interactions-police" TargetMode="External"/><Relationship Id="rId635" Type="http://schemas.openxmlformats.org/officeDocument/2006/relationships/hyperlink" Target="https://rcmp.ca/en/firearms" TargetMode="External"/><Relationship Id="rId636" Type="http://schemas.openxmlformats.org/officeDocument/2006/relationships/hyperlink" Target="https://canada.ca/" TargetMode="External"/><Relationship Id="rId637" Type="http://schemas.openxmlformats.org/officeDocument/2006/relationships/hyperlink" Target="https://canada.ca/en/health-canada/services/drugs-medication/cannabis.html" TargetMode="External"/><Relationship Id="rId638" Type="http://schemas.openxmlformats.org/officeDocument/2006/relationships/hyperlink" Target="https://cbsa-asfc.gc.ca/" TargetMode="External"/><Relationship Id="rId639" Type="http://schemas.openxmlformats.org/officeDocument/2006/relationships/hyperlink" Target="https://alertready.ca/" TargetMode="External"/><Relationship Id="rId640" Type="http://schemas.openxmlformats.org/officeDocument/2006/relationships/hyperlink" Target="https://weather.gc.ca/" TargetMode="External"/><Relationship Id="rId641" Type="http://schemas.openxmlformats.org/officeDocument/2006/relationships/hyperlink" Target="https://auswaertiges-amt.de/" TargetMode="External"/><Relationship Id="rId642" Type="http://schemas.openxmlformats.org/officeDocument/2006/relationships/hyperlink" Target="https://canada.ca/" TargetMode="External"/><Relationship Id="rId643" Type="http://schemas.openxmlformats.org/officeDocument/2006/relationships/hyperlink" Target="https://canada.ca/" TargetMode="External"/><Relationship Id="rId644" Type="http://schemas.openxmlformats.org/officeDocument/2006/relationships/hyperlink" Target="https://cra-arc.gc.ca/" TargetMode="External"/><Relationship Id="rId645" Type="http://schemas.openxmlformats.org/officeDocument/2006/relationships/hyperlink" Target="https://bmi.bund.de/" TargetMode="External"/><Relationship Id="rId646" Type="http://schemas.openxmlformats.org/officeDocument/2006/relationships/hyperlink" Target="https://kanada.diplo.de/" TargetMode="External"/><Relationship Id="rId647" Type="http://schemas.openxmlformats.org/officeDocument/2006/relationships/footer" Target="footer85.xml"/><Relationship Id="rId648" Type="http://schemas.openxmlformats.org/officeDocument/2006/relationships/footer" Target="footer86.xml"/><Relationship Id="rId649" Type="http://schemas.openxmlformats.org/officeDocument/2006/relationships/footer" Target="footer87.xml"/><Relationship Id="rId650" Type="http://schemas.openxmlformats.org/officeDocument/2006/relationships/footer" Target="footer88.xml"/><Relationship Id="rId651" Type="http://schemas.openxmlformats.org/officeDocument/2006/relationships/footer" Target="footer89.xml"/><Relationship Id="rId652" Type="http://schemas.openxmlformats.org/officeDocument/2006/relationships/footer" Target="footer90.xml"/><Relationship Id="rId653" Type="http://schemas.openxmlformats.org/officeDocument/2006/relationships/hyperlink" Target="https://immigration.govt.nz/" TargetMode="External"/><Relationship Id="rId654" Type="http://schemas.openxmlformats.org/officeDocument/2006/relationships/hyperlink" Target="https://ird.govt.nz/" TargetMode="External"/><Relationship Id="rId655" Type="http://schemas.openxmlformats.org/officeDocument/2006/relationships/hyperlink" Target="https://acc.co.nz/" TargetMode="External"/><Relationship Id="rId656" Type="http://schemas.openxmlformats.org/officeDocument/2006/relationships/hyperlink" Target="https://oecd.org/" TargetMode="External"/><Relationship Id="rId657" Type="http://schemas.openxmlformats.org/officeDocument/2006/relationships/hyperlink" Target="https://numbeo.com/" TargetMode="External"/><Relationship Id="rId658" Type="http://schemas.openxmlformats.org/officeDocument/2006/relationships/hyperlink" Target="https://stats.govt.nz/" TargetMode="External"/><Relationship Id="rId659" Type="http://schemas.openxmlformats.org/officeDocument/2006/relationships/hyperlink" Target="https://immigration.govt.nz/" TargetMode="External"/><Relationship Id="rId660" Type="http://schemas.openxmlformats.org/officeDocument/2006/relationships/hyperlink" Target="https://immigration.govt.nz/" TargetMode="External"/><Relationship Id="rId661" Type="http://schemas.openxmlformats.org/officeDocument/2006/relationships/hyperlink" Target="https://immigration.govt.nz/" TargetMode="External"/><Relationship Id="rId662" Type="http://schemas.openxmlformats.org/officeDocument/2006/relationships/hyperlink" Target="https://immigration.govt.nz/" TargetMode="External"/><Relationship Id="rId663" Type="http://schemas.openxmlformats.org/officeDocument/2006/relationships/hyperlink" Target="https://immigration.govt.nz/" TargetMode="External"/><Relationship Id="rId664" Type="http://schemas.openxmlformats.org/officeDocument/2006/relationships/hyperlink" Target="https://immigration.govt.nz/" TargetMode="External"/><Relationship Id="rId665" Type="http://schemas.openxmlformats.org/officeDocument/2006/relationships/hyperlink" Target="https://immigration.govt.nz/new-zealand-visas/visas/visa/accredited-employer-work-visa" TargetMode="External"/><Relationship Id="rId666" Type="http://schemas.openxmlformats.org/officeDocument/2006/relationships/hyperlink" Target="https://immigration.govt.nz/new-zealand-visas/visas/visa/skilled-migrant-category-resident-visa" TargetMode="External"/><Relationship Id="rId667" Type="http://schemas.openxmlformats.org/officeDocument/2006/relationships/hyperlink" Target="https://immigration.govt.nz/new-zealand-visas/preparing-a-visa-application/working-in-nz/green-list" TargetMode="External"/><Relationship Id="rId668" Type="http://schemas.openxmlformats.org/officeDocument/2006/relationships/hyperlink" Target="https://immigration.govt.nz/.../skilled-migrant-category-resident-visa-wage-rate-thresholds" TargetMode="External"/><Relationship Id="rId669" Type="http://schemas.openxmlformats.org/officeDocument/2006/relationships/hyperlink" Target="https://immigration.govt.nz/assets/inz/documents/forms-and-guides/Fees-Guide-INZ-1028.pdf" TargetMode="External"/><Relationship Id="rId670" Type="http://schemas.openxmlformats.org/officeDocument/2006/relationships/hyperlink" Target="https://immigration.govt.nz/process-to-apply/applying-for-a-visa/providing-evidence-and-documents-to-support-your-visa-application/health-requirements" TargetMode="External"/><Relationship Id="rId671" Type="http://schemas.openxmlformats.org/officeDocument/2006/relationships/hyperlink" Target="https://immigration.govt.nz/new-zealand-visas/visas/visa/partner-of-a-new-zealander-resident-visa" TargetMode="External"/><Relationship Id="rId672" Type="http://schemas.openxmlformats.org/officeDocument/2006/relationships/hyperlink" Target="https://immigration.govt.nz/assets/inz/documents/forms-and-guides/Fees-Guide-INZ-1028.pdf" TargetMode="External"/><Relationship Id="rId673" Type="http://schemas.openxmlformats.org/officeDocument/2006/relationships/hyperlink" Target="https://immigration.govt.nz/about-us/news-centre" TargetMode="External"/><Relationship Id="rId674" Type="http://schemas.openxmlformats.org/officeDocument/2006/relationships/hyperlink" Target="https://immigration.govt.nz/new-zealand-visas/visas/visa/active-investor-plus-visa" TargetMode="External"/><Relationship Id="rId675" Type="http://schemas.openxmlformats.org/officeDocument/2006/relationships/hyperlink" Target="https://immigration.govt.nz/new-zealand-visas/visas/visa/parent-resident-visa" TargetMode="External"/><Relationship Id="rId676" Type="http://schemas.openxmlformats.org/officeDocument/2006/relationships/hyperlink" Target="https://workandincome.govt.nz/" TargetMode="External"/><Relationship Id="rId677" Type="http://schemas.openxmlformats.org/officeDocument/2006/relationships/hyperlink" Target="https://immigration.govt.nz/" TargetMode="External"/><Relationship Id="rId678" Type="http://schemas.openxmlformats.org/officeDocument/2006/relationships/hyperlink" Target="https://immigration.govt.nz/assets/inz/documents/forms-and-guides/Fees-Guide-INZ-1028.pdf" TargetMode="External"/><Relationship Id="rId679" Type="http://schemas.openxmlformats.org/officeDocument/2006/relationships/hyperlink" Target="https://immigration.govt.nz/process-to-apply/applying-for-a-visa/providing-evidence-and-documents-to-support-your-visa-application/health-requirements" TargetMode="External"/><Relationship Id="rId680" Type="http://schemas.openxmlformats.org/officeDocument/2006/relationships/hyperlink" Target="https://immigration.govt.nz/process-to-apply/applying-for-a-visa/providing-evidence-and-documents-to-support-your-visa-application/good-character-requirements-and-police-certificates/police-certificates" TargetMode="External"/><Relationship Id="rId681" Type="http://schemas.openxmlformats.org/officeDocument/2006/relationships/hyperlink" Target="https://iaa.govt.nz/" TargetMode="External"/><Relationship Id="rId682" Type="http://schemas.openxmlformats.org/officeDocument/2006/relationships/hyperlink" Target="https://wellington.diplo.de/" TargetMode="External"/><Relationship Id="rId683" Type="http://schemas.openxmlformats.org/officeDocument/2006/relationships/hyperlink" Target="https://bundesjustizamt.de/" TargetMode="External"/><Relationship Id="rId684" Type="http://schemas.openxmlformats.org/officeDocument/2006/relationships/hyperlink" Target="https://travellerdeclaration.govt.nz/" TargetMode="External"/><Relationship Id="rId685" Type="http://schemas.openxmlformats.org/officeDocument/2006/relationships/hyperlink" Target="https://mpi.govt.nz/" TargetMode="External"/><Relationship Id="rId686" Type="http://schemas.openxmlformats.org/officeDocument/2006/relationships/hyperlink" Target="https://ird.govt.nz/" TargetMode="External"/><Relationship Id="rId687" Type="http://schemas.openxmlformats.org/officeDocument/2006/relationships/hyperlink" Target="https://immigration.govt.nz/" TargetMode="External"/><Relationship Id="rId688" Type="http://schemas.openxmlformats.org/officeDocument/2006/relationships/hyperlink" Target="https://tenancy.govt.nz/" TargetMode="External"/><Relationship Id="rId689" Type="http://schemas.openxmlformats.org/officeDocument/2006/relationships/hyperlink" Target="https://wellington.diplo.de/" TargetMode="External"/><Relationship Id="rId690" Type="http://schemas.openxmlformats.org/officeDocument/2006/relationships/hyperlink" Target="https://ird.govt.nz/" TargetMode="External"/><Relationship Id="rId691" Type="http://schemas.openxmlformats.org/officeDocument/2006/relationships/hyperlink" Target="https://immigration.govt.nz/" TargetMode="External"/><Relationship Id="rId692" Type="http://schemas.openxmlformats.org/officeDocument/2006/relationships/hyperlink" Target="https://centrix.co.nz/" TargetMode="External"/><Relationship Id="rId693" Type="http://schemas.openxmlformats.org/officeDocument/2006/relationships/hyperlink" Target="https://equifax.co.nz/nz" TargetMode="External"/><Relationship Id="rId694" Type="http://schemas.openxmlformats.org/officeDocument/2006/relationships/hyperlink" Target="https://illion.co.nz/" TargetMode="External"/><Relationship Id="rId695" Type="http://schemas.openxmlformats.org/officeDocument/2006/relationships/hyperlink" Target="https://anz.co.nz/" TargetMode="External"/><Relationship Id="rId696" Type="http://schemas.openxmlformats.org/officeDocument/2006/relationships/hyperlink" Target="https://asb.co.nz/" TargetMode="External"/><Relationship Id="rId697" Type="http://schemas.openxmlformats.org/officeDocument/2006/relationships/hyperlink" Target="https://westpac.co.nz/" TargetMode="External"/><Relationship Id="rId698" Type="http://schemas.openxmlformats.org/officeDocument/2006/relationships/hyperlink" Target="https://bnz.co.nz/" TargetMode="External"/><Relationship Id="rId699" Type="http://schemas.openxmlformats.org/officeDocument/2006/relationships/hyperlink" Target="https://govt.nz/" TargetMode="External"/><Relationship Id="rId700" Type="http://schemas.openxmlformats.org/officeDocument/2006/relationships/hyperlink" Target="https://immigration.govt.nz/" TargetMode="External"/><Relationship Id="rId701" Type="http://schemas.openxmlformats.org/officeDocument/2006/relationships/hyperlink" Target="https://health.govt.nz/" TargetMode="External"/><Relationship Id="rId702" Type="http://schemas.openxmlformats.org/officeDocument/2006/relationships/hyperlink" Target="https://acc.co.nz/" TargetMode="External"/><Relationship Id="rId703" Type="http://schemas.openxmlformats.org/officeDocument/2006/relationships/hyperlink" Target="https://southerncross.co.nz/" TargetMode="External"/><Relationship Id="rId704" Type="http://schemas.openxmlformats.org/officeDocument/2006/relationships/hyperlink" Target="https://nib.co.nz/" TargetMode="External"/><Relationship Id="rId705" Type="http://schemas.openxmlformats.org/officeDocument/2006/relationships/hyperlink" Target="https://healthpoint.co.nz/" TargetMode="External"/><Relationship Id="rId706" Type="http://schemas.openxmlformats.org/officeDocument/2006/relationships/hyperlink" Target="https://tenancy.govt.nz/" TargetMode="External"/><Relationship Id="rId707" Type="http://schemas.openxmlformats.org/officeDocument/2006/relationships/hyperlink" Target="https://linz.govt.nz/" TargetMode="External"/><Relationship Id="rId708" Type="http://schemas.openxmlformats.org/officeDocument/2006/relationships/hyperlink" Target="https://reinz.co.nz/" TargetMode="External"/><Relationship Id="rId709" Type="http://schemas.openxmlformats.org/officeDocument/2006/relationships/hyperlink" Target="https://naturalhazards.govt.nz/" TargetMode="External"/><Relationship Id="rId710" Type="http://schemas.openxmlformats.org/officeDocument/2006/relationships/hyperlink" Target="https://wellington.diplo.de/" TargetMode="External"/><Relationship Id="rId711" Type="http://schemas.openxmlformats.org/officeDocument/2006/relationships/hyperlink" Target="https://nzta.govt.nz/" TargetMode="External"/><Relationship Id="rId712" Type="http://schemas.openxmlformats.org/officeDocument/2006/relationships/hyperlink" Target="https://aa.co.nz/" TargetMode="External"/><Relationship Id="rId713" Type="http://schemas.openxmlformats.org/officeDocument/2006/relationships/hyperlink" Target="https://transport.govt.nz/" TargetMode="External"/><Relationship Id="rId714" Type="http://schemas.openxmlformats.org/officeDocument/2006/relationships/hyperlink" Target="https://consumerprotection.govt.nz/" TargetMode="External"/><Relationship Id="rId715" Type="http://schemas.openxmlformats.org/officeDocument/2006/relationships/hyperlink" Target="https://police.govt.nz/" TargetMode="External"/><Relationship Id="rId716" Type="http://schemas.openxmlformats.org/officeDocument/2006/relationships/hyperlink" Target="https://tpk.govt.nz/" TargetMode="External"/><Relationship Id="rId717" Type="http://schemas.openxmlformats.org/officeDocument/2006/relationships/hyperlink" Target="https://newzealand.govt.nz/" TargetMode="External"/><Relationship Id="rId718" Type="http://schemas.openxmlformats.org/officeDocument/2006/relationships/hyperlink" Target="https://mch.govt.nz/" TargetMode="External"/><Relationship Id="rId719" Type="http://schemas.openxmlformats.org/officeDocument/2006/relationships/hyperlink" Target="https://stats.govt.nz/" TargetMode="External"/><Relationship Id="rId720" Type="http://schemas.openxmlformats.org/officeDocument/2006/relationships/hyperlink" Target="https://wellington.diplo.de/" TargetMode="External"/><Relationship Id="rId721" Type="http://schemas.openxmlformats.org/officeDocument/2006/relationships/hyperlink" Target="https://goethe.de/ins/nz" TargetMode="External"/><Relationship Id="rId722" Type="http://schemas.openxmlformats.org/officeDocument/2006/relationships/hyperlink" Target="https://1737.org.nz/" TargetMode="External"/><Relationship Id="rId723" Type="http://schemas.openxmlformats.org/officeDocument/2006/relationships/hyperlink" Target="https://lifeline.org.nz/" TargetMode="External"/><Relationship Id="rId724" Type="http://schemas.openxmlformats.org/officeDocument/2006/relationships/hyperlink" Target="https://plunket.org.nz/" TargetMode="External"/><Relationship Id="rId725" Type="http://schemas.openxmlformats.org/officeDocument/2006/relationships/hyperlink" Target="https://fireandemergency.nz/" TargetMode="External"/><Relationship Id="rId726" Type="http://schemas.openxmlformats.org/officeDocument/2006/relationships/hyperlink" Target="https://education.govt.nz/" TargetMode="External"/><Relationship Id="rId727" Type="http://schemas.openxmlformats.org/officeDocument/2006/relationships/hyperlink" Target="https://nzqa.govt.nz/" TargetMode="External"/><Relationship Id="rId728" Type="http://schemas.openxmlformats.org/officeDocument/2006/relationships/hyperlink" Target="https://education.govt.nz/" TargetMode="External"/><Relationship Id="rId729" Type="http://schemas.openxmlformats.org/officeDocument/2006/relationships/hyperlink" Target="https://auslandsschulwesen.de/" TargetMode="External"/><Relationship Id="rId730" Type="http://schemas.openxmlformats.org/officeDocument/2006/relationships/hyperlink" Target="https://goethe.de/ins/nz" TargetMode="External"/><Relationship Id="rId731" Type="http://schemas.openxmlformats.org/officeDocument/2006/relationships/hyperlink" Target="https://employment.govt.nz/" TargetMode="External"/><Relationship Id="rId732" Type="http://schemas.openxmlformats.org/officeDocument/2006/relationships/hyperlink" Target="https://employment.govt.nz/starting-employment/trial-periods" TargetMode="External"/><Relationship Id="rId733" Type="http://schemas.openxmlformats.org/officeDocument/2006/relationships/hyperlink" Target="https://era.govt.nz/" TargetMode="External"/><Relationship Id="rId734" Type="http://schemas.openxmlformats.org/officeDocument/2006/relationships/hyperlink" Target="https://immigration.govt.nz/visas/accredited-employer-work-visa" TargetMode="External"/><Relationship Id="rId735" Type="http://schemas.openxmlformats.org/officeDocument/2006/relationships/hyperlink" Target="https://legislation.govt.nz/" TargetMode="External"/><Relationship Id="rId736" Type="http://schemas.openxmlformats.org/officeDocument/2006/relationships/hyperlink" Target="https://seek.co.nz/" TargetMode="External"/><Relationship Id="rId737" Type="http://schemas.openxmlformats.org/officeDocument/2006/relationships/hyperlink" Target="https://trademe.co.nz/jobs" TargetMode="External"/><Relationship Id="rId738" Type="http://schemas.openxmlformats.org/officeDocument/2006/relationships/hyperlink" Target="https://police.govt.nz/" TargetMode="External"/><Relationship Id="rId739" Type="http://schemas.openxmlformats.org/officeDocument/2006/relationships/hyperlink" Target="https://firearmssafety.govt.nz/" TargetMode="External"/><Relationship Id="rId740" Type="http://schemas.openxmlformats.org/officeDocument/2006/relationships/hyperlink" Target="https://justice.govt.nz/" TargetMode="External"/><Relationship Id="rId741" Type="http://schemas.openxmlformats.org/officeDocument/2006/relationships/hyperlink" Target="https://drugfoundation.org.nz/" TargetMode="External"/><Relationship Id="rId742" Type="http://schemas.openxmlformats.org/officeDocument/2006/relationships/hyperlink" Target="https://police.govt.nz/" TargetMode="External"/><Relationship Id="rId743" Type="http://schemas.openxmlformats.org/officeDocument/2006/relationships/hyperlink" Target="https://geonet.org.nz/" TargetMode="External"/><Relationship Id="rId744" Type="http://schemas.openxmlformats.org/officeDocument/2006/relationships/hyperlink" Target="https://getready.govt.nz/" TargetMode="External"/><Relationship Id="rId745" Type="http://schemas.openxmlformats.org/officeDocument/2006/relationships/hyperlink" Target="https://civildefence.govt.nz/" TargetMode="External"/><Relationship Id="rId746" Type="http://schemas.openxmlformats.org/officeDocument/2006/relationships/hyperlink" Target="https://naturalhazards.govt.nz/" TargetMode="External"/><Relationship Id="rId747" Type="http://schemas.openxmlformats.org/officeDocument/2006/relationships/hyperlink" Target="https://auswaertiges-amt.de/" TargetMode="External"/><Relationship Id="rId748" Type="http://schemas.openxmlformats.org/officeDocument/2006/relationships/hyperlink" Target="https://dia.govt.nz/" TargetMode="External"/><Relationship Id="rId749" Type="http://schemas.openxmlformats.org/officeDocument/2006/relationships/hyperlink" Target="https://immigration.govt.nz/" TargetMode="External"/><Relationship Id="rId750" Type="http://schemas.openxmlformats.org/officeDocument/2006/relationships/hyperlink" Target="https://ird.govt.nz/" TargetMode="External"/><Relationship Id="rId751" Type="http://schemas.openxmlformats.org/officeDocument/2006/relationships/hyperlink" Target="https://bmi.bund.de/" TargetMode="External"/><Relationship Id="rId752" Type="http://schemas.openxmlformats.org/officeDocument/2006/relationships/hyperlink" Target="https://wellington.diplo.de/" TargetMode="External"/><Relationship Id="rId753" Type="http://schemas.openxmlformats.org/officeDocument/2006/relationships/footer" Target="footer91.xml"/><Relationship Id="rId754" Type="http://schemas.openxmlformats.org/officeDocument/2006/relationships/footer" Target="footer92.xml"/><Relationship Id="rId755" Type="http://schemas.openxmlformats.org/officeDocument/2006/relationships/footer" Target="footer93.xml"/><Relationship Id="rId756" Type="http://schemas.openxmlformats.org/officeDocument/2006/relationships/numbering" Target="numbering.xml"/><Relationship Id="rId757" Type="http://schemas.openxmlformats.org/officeDocument/2006/relationships/fontTable" Target="fontTable.xml"/><Relationship Id="rId758" Type="http://schemas.openxmlformats.org/officeDocument/2006/relationships/settings" Target="settings.xml"/><Relationship Id="rId75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1668</Pages>
  <Words>306749</Words>
  <Characters>1939478</Characters>
  <CharactersWithSpaces>2228874</CharactersWithSpaces>
  <Paragraphs>17668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2026-09-27T06:03:07Z</dcterms:created>
  <dc:creator>Lothar J. Musiol</dc:creator>
  <dc:description>Visa und Aufenthaltstitel, Umzug und Kosten, Wohnen und Steuern, Schule, Freunde und Kultur: Alles, was du vor, während und nach dem Umzug von Deutschland in die USA, nach Kanada, Australien oder Neuseeland wissen musst.</dc:description>
  <dc:language>en-US</dc:language>
  <cp:lastModifiedBy/>
  <dcterms:modified xsi:type="dcterms:W3CDTF">2026-09-27T06:03:59Z</dcterms:modified>
  <cp:revision>2</cp:revision>
  <dc:subject>Visa und Aufenthaltstitel, Umzug und Kosten, Wohnen und Steuern, Schule, Freunde und Kultur: Alles, was du vor, während und nach dem Umzug von Deutschland in die USA, nach Kanada, Australien oder Neuseeland wissen musst.</dc:subject>
  <dc:title>Auswandern – Ab in die USA, Kanada, Australien oder Neuseeland?</dc:title>
</cp:coreProperties>
</file>