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Solution.</w:t>
      </w:r>
      <w:r>
        <w:rPr>
          <w:b w:val="0"/>
        </w:rPr>
        <w:t xml:space="preserve">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The series' smart thermostat has a USB-C service port at 5 V and a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b w:val="0"/>
        </w:rPr>
        <w:t>With the dielectric constant and other dimensions fixed, a wider trace increases 0.8w + t in the formula's denominator. That reduces the logarithm and the estimated characteristic impedance.</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The prospective short-circuit peak is I = 4000 V / 2 ohms = 2000 A. This is the generator current into a short at the stated line-to-line source impedance, not the current a protected product necessarily conducts during a surge.</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 FCC OET KDB Publication 996369, including D04 Module Integration Guide, for modular-transmitter conditions and host-product responsibilities (Chapter 27): https://apps.fcc.gov/oetcf/kdb/forms/FTSSearchResultPage.cfm?id=44637&amp;switch=P.</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