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 Die Frage „Bin ich bereit?“ kommt vor der Frage „Wohin?“. Sie betrifft alle vier Zielländer gleichermaßen.</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ns2:paraId="0A96BF15" ns2: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deutlich höhere Brutto- und Nettogehälter, aber ohne das deutsche soziale Netz: kein Kündigungsschutz, kaum gesetzlicher Urlaub, Krankenversicherung hängt am Job.</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70.000–150.000 $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der monatlichen Stichtagsliste des State Department, lautet die Final Action Date für EB-2 in der Spalte „All Chargeability Areas Except Those Listed“ 1. Januar 2025; für EB-3 lautet sie 15. Mai 2024. Ein Priority Date vor dem jeweiligen Stichtag kann. Vorbehaltlich aller übrigen Anforderungen – für die Visaerteilung in Betracht kommen.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ist für „Rest der Welt“ (also die meisten Deutschen) ohne Wartezeit. EB-2 wurde zum Start des Fiskaljahres 2027 zurückgestuft und gilt für Priority Dates vor dem 15. März 2026, EB-3 für solche vor dem 15. Mai 2024.</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uscis.gov/green-card</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Deutsche gilt im Oktober 2026: EB-1 ist ohne Warteschlange („current“), EB-2 wurde auf den Stichtag 1. Januar 2025 zurückgestuft, EB-3 liegt beim 15. Mai 2024; das Verfahren über den Arbeitgeber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 Ein zweijähriger Master kostet grob 70.000–150.000 $ mit Lebenshaltung und Krankenversicherung.</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 Visa Integrity Fee separat prüfen</w:t>
      </w:r>
    </w:p>
    <w:p ns2:paraId="07A4CBCE" ns2:textId="77777777" w:rsidR="001F7233" w:rsidRDefault="00000000">
      <w:r>
        <w:rPr>
          <w:b/>
        </w:rPr>
        <w:t xml:space="preserve">Spanne pro Jahr: </w:t>
      </w:r>
      <w:r>
        <w:t>785 $</w:t>
      </w:r>
    </w:p>
    <w:p ns2:paraId="582B4B8B" ns2:textId="77777777" w:rsidR="001F7233" w:rsidRDefault="00000000">
      <w:r>
        <w:rPr>
          <w:b/>
        </w:rPr>
        <w:t xml:space="preserve">Anmerkung: </w:t>
      </w:r>
      <w:r>
        <w:t>Summe aus 350, 185 und 250 $</w:t>
      </w:r>
    </w:p>
    <w:p ns2:paraId="0FFDE5B2" ns2:textId="77777777" w:rsidR="001F7233" w:rsidRDefault="001F7233">
      <w:pPr>
        <w:spacing w:line="180" w:lineRule="exact"/>
      </w:pPr>
    </w:p>
    <w:p ns2:paraId="1A619B1C" ns2:textId="77777777" w:rsidR="001F7233" w:rsidRDefault="00000000">
      <w:pPr>
        <w:spacing w:after="140"/>
      </w:pPr>
      <w:r>
        <w:t>Für einen zweijährigen Master ergeben sich damit grob 70.000–150.000 $; ein einjähriges Programm halbiert den Betrag ungefähr. Elite-Universitäten liegen darüber: Die I-20 der Boston University weist für neun Monate 105.566 $ aus. Diese Summe musst du im Visumverfahren belegen können.</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70.000–150.000 $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Fast überall gilt At-will Employment (Kündigung ohne Grund, für beide Seiten). Ausnahmen betreffen vor allem Diskriminierung, Vergeltung und Vertragsbruch.</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Krankenversicherung hängt am Job: Wartefristen bis 90 Tage, COBRA rund 790 $ pro Monat</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Bevor du aber überhaupt ein Gebot abgeben kannst, entscheidet eine ganz andere Frage: Giltst du nach neuseeländischem Recht als „</w:t>
      </w:r>
      <w:r>
        <w:rPr>
          <w:i/>
          <w:iCs/>
        </w:rPr>
        <w:t xml:space="preserve">Overseas Person</w:t>
      </w:r>
      <w:r>
        <w:t xml:space="preserve">“ oder nicht?</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können sie ein Wohnhaus für mehr als 5 Mio. NZD kaufen oder bauen.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Eine Zustimmung ist an Bedingungen geknüpft; wer zwölf Monate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uscis.gov/green-card"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uscis.gov/green-card"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