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5" w:id="1"/>
      <w:r>
        <w:rPr>
          <w:rFonts w:ascii="Amazon Ember" w:cs="Amazon Ember" w:eastAsia="Amazon Ember" w:hAnsi="Amazon Ember"/>
          <w:b/>
          <w:bCs/>
          <w:color w:val="1F4E79"/>
          <w:sz w:val="32"/>
          <w:szCs w:val="32"/>
        </w:rPr>
        <w:t xml:space="preserve">1450 to the Late 1800s: Machines and Manifestos — Renaissance, Enlightenment, and Industry</w:t>
      </w:r>
      <w:bookmarkEnd w:id="1"/>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In the century and a half after Copernicus proposed, in 1543, that the Earth orbited the sun, not the other way around, a habit took hold among a scattered and quarrelsome set of thinkers: test a claim against observation and evidence, not against who holds the authority to state it. Historians of science now warn there was no single, tidy Scientific Revolution to tell this as — Galileo’s mathematics, Kepler’s astrology-laced astronomy, and Newton’s long private detours into alchemy and biblical chronology were not one method perfecting itself by relay, whatever the textbook version implies. What they share, in hindsight, is only the result: Newton’s 1687 laws of motion and gravitation unified the falling apple and the orbiting moon under one set of equations, proof that the habit, however messily arrived at, worked.</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It unleashed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Steam power, made practical by Thomas Newcomen’s pumping engine of 1712 and efficient by James Watt’s improved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ratchet found an engine. For a million years the stored know-how of the species had been multiplied by muscle, its own or an animal’s. Coal multiplied it by sunlight buried three hundred million years earlier. Wisdom had no equivalent fuel. Factory laws, public sanitation, and limits on child labor all came eventually, but each had to be argued for, one parliament and one generation at a time, after the damage was done.</w:t>
      </w:r>
    </w:p>
    <w:p>
      <w:pPr>
        <w:spacing w:after="200"/>
      </w:pPr>
      <w:r>
        <w:t xml:space="preserve">The other side of the ledger was immediate, and it belongs beside the productivity gains, not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five days of coal smoke so thick that about four thousand people died within days, and by later estimates as many as twelve thousand over the following months, a rare occasion on which British weather was not entirely the weather’s fault.</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armed and allied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little over two centuries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2026-10-13T00:47:19.266Z</dcterms:created>
  <dcterms:modified xsi:type="dcterms:W3CDTF">2026-10-13T00:47:19.266Z</dcterms:modified>
</cp:coreProperties>
</file>

<file path=docProps/custom.xml><?xml version="1.0" encoding="utf-8"?>
<Properties xmlns="http://schemas.openxmlformats.org/officeDocument/2006/custom-properties" xmlns:vt="http://schemas.openxmlformats.org/officeDocument/2006/docPropsVTypes"/>
</file>